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50A070D0">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014578B0" w:rsidR="00086BF0" w:rsidRDefault="009C7DBC" w:rsidP="00086BF0">
      <w:pPr>
        <w:pStyle w:val="ShortT"/>
      </w:pPr>
      <w:r>
        <w:t>Radiocommunications (</w:t>
      </w:r>
      <w:r w:rsidR="00440DED">
        <w:t>Unacceptable Levels of Interference</w:t>
      </w:r>
      <w:r>
        <w:t xml:space="preserve"> </w:t>
      </w:r>
      <w:r w:rsidR="00D75B12">
        <w:t>2.3 G</w:t>
      </w:r>
      <w:r>
        <w:t xml:space="preserve">Hz Band) </w:t>
      </w:r>
      <w:r w:rsidR="00440DED">
        <w:t xml:space="preserve">Determination </w:t>
      </w:r>
      <w:r>
        <w:t>20</w:t>
      </w:r>
      <w:r w:rsidR="00440DED">
        <w:t>2</w:t>
      </w:r>
      <w:r w:rsidR="000138A8">
        <w:t>3</w:t>
      </w:r>
    </w:p>
    <w:p w14:paraId="75AA3C11" w14:textId="77777777" w:rsidR="00086BF0" w:rsidRDefault="00086BF0" w:rsidP="00086BF0">
      <w:pPr>
        <w:pStyle w:val="SignCoverPageStart"/>
        <w:spacing w:before="0" w:line="240" w:lineRule="auto"/>
        <w:rPr>
          <w:szCs w:val="22"/>
        </w:rPr>
      </w:pPr>
    </w:p>
    <w:p w14:paraId="1ECF4D11" w14:textId="37A9D4B6"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40DED">
        <w:rPr>
          <w:szCs w:val="22"/>
        </w:rPr>
        <w:t>determination</w:t>
      </w:r>
      <w:r>
        <w:rPr>
          <w:szCs w:val="22"/>
        </w:rPr>
        <w:t xml:space="preserve"> under </w:t>
      </w:r>
      <w:r w:rsidR="00440DED">
        <w:rPr>
          <w:szCs w:val="22"/>
        </w:rPr>
        <w:t>sub</w:t>
      </w:r>
      <w:r w:rsidR="000B0AAB">
        <w:t xml:space="preserve">section </w:t>
      </w:r>
      <w:r w:rsidR="00440DED">
        <w:t>145(4)</w:t>
      </w:r>
      <w:r>
        <w:t xml:space="preserve"> of the </w:t>
      </w:r>
      <w:r w:rsidR="000B0AAB">
        <w:rPr>
          <w:i/>
        </w:rPr>
        <w:t>Radiocommunications Act 1992</w:t>
      </w:r>
      <w:r>
        <w:t>.</w:t>
      </w:r>
    </w:p>
    <w:p w14:paraId="11CC4671" w14:textId="77777777"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4B7188B" w14:textId="77777777" w:rsidR="00086BF0" w:rsidRDefault="00086BF0" w:rsidP="00086BF0">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F356EE0" w14:textId="77777777" w:rsidR="00086BF0" w:rsidRDefault="00086BF0" w:rsidP="00086BF0">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12"/>
          <w:headerReference w:type="default" r:id="rId13"/>
          <w:headerReference w:type="first" r:id="rId14"/>
          <w:pgSz w:w="11906" w:h="16838"/>
          <w:pgMar w:top="1440" w:right="1440" w:bottom="1440" w:left="1440" w:header="708" w:footer="708" w:gutter="0"/>
          <w:pgNumType w:start="1"/>
          <w:cols w:space="720"/>
        </w:sectPr>
      </w:pPr>
    </w:p>
    <w:p w14:paraId="1EFDD9FA" w14:textId="77777777" w:rsidR="00086BF0" w:rsidRDefault="00086BF0" w:rsidP="00086BF0">
      <w:pPr>
        <w:pStyle w:val="ActHead5"/>
      </w:pPr>
      <w:bookmarkStart w:id="2" w:name="_Toc444596031"/>
      <w:r>
        <w:rPr>
          <w:rStyle w:val="CharSectno"/>
        </w:rPr>
        <w:lastRenderedPageBreak/>
        <w:t>1</w:t>
      </w:r>
      <w:r>
        <w:t xml:space="preserve">  Name</w:t>
      </w:r>
    </w:p>
    <w:p w14:paraId="0BA01627" w14:textId="18FA54AB" w:rsidR="00086BF0" w:rsidRDefault="00086BF0" w:rsidP="00086BF0">
      <w:pPr>
        <w:pStyle w:val="subsection"/>
      </w:pPr>
      <w:r>
        <w:tab/>
      </w:r>
      <w:r>
        <w:tab/>
        <w:t>This is the</w:t>
      </w:r>
      <w:r w:rsidR="00B81DF6">
        <w:t xml:space="preserve"> </w:t>
      </w:r>
      <w:r w:rsidR="003538E9">
        <w:rPr>
          <w:i/>
          <w:iCs/>
        </w:rPr>
        <w:t>Radiocommunications (</w:t>
      </w:r>
      <w:r w:rsidR="00440DED">
        <w:rPr>
          <w:i/>
          <w:iCs/>
        </w:rPr>
        <w:t>Unacceptable Levels of Interference</w:t>
      </w:r>
      <w:r w:rsidR="003538E9">
        <w:rPr>
          <w:i/>
          <w:iCs/>
        </w:rPr>
        <w:t xml:space="preserve"> – </w:t>
      </w:r>
      <w:r w:rsidR="00451AEE">
        <w:rPr>
          <w:i/>
          <w:iCs/>
        </w:rPr>
        <w:t>2.3 G</w:t>
      </w:r>
      <w:r w:rsidR="003538E9">
        <w:rPr>
          <w:i/>
          <w:iCs/>
        </w:rPr>
        <w:t>Hz Band)</w:t>
      </w:r>
      <w:r w:rsidR="00440DED">
        <w:rPr>
          <w:i/>
          <w:iCs/>
        </w:rPr>
        <w:t xml:space="preserve"> Determination</w:t>
      </w:r>
      <w:r w:rsidR="003538E9">
        <w:rPr>
          <w:i/>
          <w:iCs/>
        </w:rPr>
        <w:t xml:space="preserve"> 202</w:t>
      </w:r>
      <w:r w:rsidR="000138A8">
        <w:rPr>
          <w:i/>
          <w:iCs/>
        </w:rPr>
        <w:t>3</w:t>
      </w:r>
      <w:r>
        <w:t>.</w:t>
      </w:r>
    </w:p>
    <w:p w14:paraId="177E90D7" w14:textId="77777777" w:rsidR="00086BF0" w:rsidRDefault="00086BF0" w:rsidP="00086BF0">
      <w:pPr>
        <w:pStyle w:val="ActHead5"/>
      </w:pPr>
      <w:bookmarkStart w:id="3" w:name="_Toc444596032"/>
      <w:r>
        <w:rPr>
          <w:rStyle w:val="CharSectno"/>
        </w:rPr>
        <w:t>2</w:t>
      </w:r>
      <w:r>
        <w:t xml:space="preserve">  Commencement</w:t>
      </w:r>
      <w:bookmarkEnd w:id="3"/>
    </w:p>
    <w:p w14:paraId="6D874432" w14:textId="77777777" w:rsidR="00086BF0" w:rsidRDefault="00086BF0" w:rsidP="00086BF0">
      <w:pPr>
        <w:pStyle w:val="subsection"/>
      </w:pPr>
      <w:r>
        <w:tab/>
      </w:r>
      <w:r>
        <w:tab/>
        <w:t xml:space="preserve">This instrument commences at the start of the day after the day it is registered on the Federal Register of Legislation. </w:t>
      </w:r>
    </w:p>
    <w:p w14:paraId="795025ED" w14:textId="77777777" w:rsidR="00086BF0" w:rsidRDefault="00086BF0" w:rsidP="00086BF0">
      <w:pPr>
        <w:pStyle w:val="LI-BodyTextNote"/>
        <w:spacing w:before="122"/>
      </w:pPr>
      <w:r>
        <w:t>Note:</w:t>
      </w:r>
      <w:r>
        <w:tab/>
        <w:t xml:space="preserve">The Federal Register of Legislation may be accessed free of charge at </w:t>
      </w:r>
      <w:hyperlink r:id="rId15" w:history="1">
        <w:r>
          <w:rPr>
            <w:rStyle w:val="Hyperlink"/>
            <w:rFonts w:eastAsiaTheme="majorEastAsia"/>
          </w:rPr>
          <w:t>www.legislation.gov.au</w:t>
        </w:r>
      </w:hyperlink>
      <w:r>
        <w:t>.</w:t>
      </w:r>
    </w:p>
    <w:p w14:paraId="12CBE75E" w14:textId="77777777" w:rsidR="00086BF0" w:rsidRDefault="00086BF0" w:rsidP="00086BF0">
      <w:pPr>
        <w:pStyle w:val="ActHead5"/>
      </w:pPr>
      <w:bookmarkStart w:id="4" w:name="_Toc444596033"/>
      <w:r>
        <w:rPr>
          <w:rStyle w:val="CharSectno"/>
        </w:rPr>
        <w:t>3</w:t>
      </w:r>
      <w:r>
        <w:t xml:space="preserve">  Authority</w:t>
      </w:r>
      <w:bookmarkEnd w:id="4"/>
    </w:p>
    <w:p w14:paraId="3377B4C6" w14:textId="330EE232" w:rsidR="00086BF0" w:rsidRDefault="00086BF0" w:rsidP="00086BF0">
      <w:pPr>
        <w:pStyle w:val="subsection"/>
      </w:pPr>
      <w:r>
        <w:tab/>
      </w:r>
      <w:r>
        <w:tab/>
        <w:t xml:space="preserve">This instrument is made under </w:t>
      </w:r>
      <w:r w:rsidR="00440DED">
        <w:t>subsection 145(4)</w:t>
      </w:r>
      <w:r>
        <w:t xml:space="preserve"> of the</w:t>
      </w:r>
      <w:r w:rsidR="002030E8">
        <w:t xml:space="preserve"> Act</w:t>
      </w:r>
      <w:r>
        <w:t>.</w:t>
      </w:r>
    </w:p>
    <w:p w14:paraId="125EEF8B" w14:textId="2E266579" w:rsidR="00086BF0" w:rsidRDefault="00086BF0" w:rsidP="00086BF0">
      <w:pPr>
        <w:pStyle w:val="ActHead5"/>
        <w:rPr>
          <w:i/>
        </w:rPr>
      </w:pPr>
      <w:bookmarkStart w:id="5" w:name="_Toc444596034"/>
      <w:r>
        <w:t xml:space="preserve">4  Repeal of the </w:t>
      </w:r>
      <w:r w:rsidR="00F2341F">
        <w:rPr>
          <w:i/>
        </w:rPr>
        <w:t xml:space="preserve">Radiocommunications </w:t>
      </w:r>
      <w:r w:rsidR="00440DED">
        <w:rPr>
          <w:i/>
        </w:rPr>
        <w:t>(Unacceptable Levels of Interference</w:t>
      </w:r>
      <w:r w:rsidR="00F2341F">
        <w:rPr>
          <w:i/>
        </w:rPr>
        <w:t xml:space="preserve"> – </w:t>
      </w:r>
      <w:r w:rsidR="00451AEE">
        <w:rPr>
          <w:i/>
        </w:rPr>
        <w:t>2.3 G</w:t>
      </w:r>
      <w:r w:rsidR="00F2341F">
        <w:rPr>
          <w:i/>
        </w:rPr>
        <w:t xml:space="preserve">Hz Band) </w:t>
      </w:r>
      <w:r w:rsidR="002E64CD">
        <w:rPr>
          <w:i/>
        </w:rPr>
        <w:t xml:space="preserve">Determination </w:t>
      </w:r>
      <w:r w:rsidR="00F2341F">
        <w:rPr>
          <w:i/>
        </w:rPr>
        <w:t>201</w:t>
      </w:r>
      <w:r w:rsidR="00451AEE">
        <w:rPr>
          <w:i/>
        </w:rPr>
        <w:t>3</w:t>
      </w:r>
    </w:p>
    <w:p w14:paraId="5F185247" w14:textId="23120255" w:rsidR="00086BF0" w:rsidRDefault="00086BF0" w:rsidP="00086BF0">
      <w:pPr>
        <w:pStyle w:val="subsection"/>
        <w:rPr>
          <w:rStyle w:val="CharSectno"/>
        </w:rPr>
      </w:pPr>
      <w:r>
        <w:tab/>
      </w:r>
      <w:r>
        <w:tab/>
        <w:t xml:space="preserve">The </w:t>
      </w:r>
      <w:r w:rsidR="008C3397">
        <w:rPr>
          <w:i/>
        </w:rPr>
        <w:t>Radiocommunications (</w:t>
      </w:r>
      <w:r w:rsidR="00440DED">
        <w:rPr>
          <w:i/>
        </w:rPr>
        <w:t>Unacceptable Levels of Interference</w:t>
      </w:r>
      <w:r w:rsidR="008C3397">
        <w:rPr>
          <w:i/>
        </w:rPr>
        <w:t xml:space="preserve"> </w:t>
      </w:r>
      <w:r w:rsidR="00CB0521">
        <w:rPr>
          <w:i/>
        </w:rPr>
        <w:t>–</w:t>
      </w:r>
      <w:r w:rsidR="008C3397">
        <w:rPr>
          <w:i/>
        </w:rPr>
        <w:t xml:space="preserve"> </w:t>
      </w:r>
      <w:r w:rsidR="00451AEE">
        <w:rPr>
          <w:i/>
        </w:rPr>
        <w:t>2.3 G</w:t>
      </w:r>
      <w:r w:rsidR="008C3397">
        <w:rPr>
          <w:i/>
        </w:rPr>
        <w:t>Hz</w:t>
      </w:r>
      <w:r w:rsidR="00440DED">
        <w:rPr>
          <w:i/>
        </w:rPr>
        <w:t xml:space="preserve"> </w:t>
      </w:r>
      <w:r w:rsidR="008C3397">
        <w:rPr>
          <w:i/>
        </w:rPr>
        <w:t xml:space="preserve">Band) </w:t>
      </w:r>
      <w:r w:rsidR="00440DED">
        <w:rPr>
          <w:i/>
        </w:rPr>
        <w:t>Determination 20</w:t>
      </w:r>
      <w:r w:rsidR="002E64CD">
        <w:rPr>
          <w:i/>
        </w:rPr>
        <w:t>1</w:t>
      </w:r>
      <w:r w:rsidR="00451AEE">
        <w:rPr>
          <w:i/>
        </w:rPr>
        <w:t>3</w:t>
      </w:r>
      <w:r>
        <w:rPr>
          <w:i/>
        </w:rPr>
        <w:t xml:space="preserve"> </w:t>
      </w:r>
      <w:r>
        <w:t>[F201</w:t>
      </w:r>
      <w:r w:rsidR="00447048">
        <w:t>3</w:t>
      </w:r>
      <w:r>
        <w:t>L</w:t>
      </w:r>
      <w:r w:rsidR="008C3397">
        <w:t>0</w:t>
      </w:r>
      <w:r w:rsidR="00447048">
        <w:t>2155</w:t>
      </w:r>
      <w:r>
        <w:t xml:space="preserve">] is repealed. </w:t>
      </w:r>
    </w:p>
    <w:p w14:paraId="616032F1" w14:textId="61EA68AA" w:rsidR="00086BF0" w:rsidRDefault="003F5840" w:rsidP="00086BF0">
      <w:pPr>
        <w:pStyle w:val="ActHead5"/>
      </w:pPr>
      <w:r>
        <w:rPr>
          <w:rStyle w:val="CharSectno"/>
        </w:rPr>
        <w:t>5</w:t>
      </w:r>
      <w:r w:rsidR="00086BF0">
        <w:t xml:space="preserve">  Definitions</w:t>
      </w:r>
      <w:bookmarkEnd w:id="5"/>
    </w:p>
    <w:p w14:paraId="428F2C2E" w14:textId="4E566648" w:rsidR="00086BF0" w:rsidRDefault="00086BF0" w:rsidP="00086BF0">
      <w:pPr>
        <w:pStyle w:val="subsection"/>
      </w:pPr>
      <w:r>
        <w:tab/>
      </w:r>
      <w:r w:rsidR="00D0776C">
        <w:t>(1)</w:t>
      </w:r>
      <w:r>
        <w:tab/>
        <w:t>In this instrument</w:t>
      </w:r>
      <w:r w:rsidR="002D3DB2">
        <w:t>, unless the contrary intention appears</w:t>
      </w:r>
      <w:r>
        <w:t>:</w:t>
      </w:r>
    </w:p>
    <w:p w14:paraId="73552F2F" w14:textId="1D6D48B2" w:rsidR="00825998" w:rsidRPr="00043482" w:rsidRDefault="00447048" w:rsidP="00086BF0">
      <w:pPr>
        <w:pStyle w:val="Definition"/>
        <w:rPr>
          <w:bCs/>
          <w:iCs/>
        </w:rPr>
      </w:pPr>
      <w:r>
        <w:rPr>
          <w:b/>
          <w:i/>
        </w:rPr>
        <w:t>2.3 G</w:t>
      </w:r>
      <w:r w:rsidR="00825998">
        <w:rPr>
          <w:b/>
          <w:i/>
        </w:rPr>
        <w:t>Hz band</w:t>
      </w:r>
      <w:r w:rsidR="00825998">
        <w:rPr>
          <w:bCs/>
          <w:iCs/>
        </w:rPr>
        <w:t xml:space="preserve"> </w:t>
      </w:r>
      <w:r w:rsidR="00825998" w:rsidRPr="00043482">
        <w:rPr>
          <w:bCs/>
          <w:iCs/>
        </w:rPr>
        <w:t xml:space="preserve">means the </w:t>
      </w:r>
      <w:r w:rsidR="00EA4124" w:rsidRPr="00043482">
        <w:rPr>
          <w:bCs/>
          <w:iCs/>
        </w:rPr>
        <w:t>frequency band 2300 MHz to 2400 MHz</w:t>
      </w:r>
      <w:r w:rsidR="00825998" w:rsidRPr="00043482">
        <w:rPr>
          <w:bCs/>
          <w:iCs/>
        </w:rPr>
        <w:t>.</w:t>
      </w:r>
    </w:p>
    <w:p w14:paraId="042CEE07" w14:textId="11CC514F" w:rsidR="00145762" w:rsidRPr="00043482" w:rsidRDefault="00FC5024" w:rsidP="00086BF0">
      <w:pPr>
        <w:pStyle w:val="Definition"/>
        <w:rPr>
          <w:bCs/>
          <w:iCs/>
        </w:rPr>
      </w:pPr>
      <w:r w:rsidRPr="00043482">
        <w:rPr>
          <w:b/>
          <w:i/>
        </w:rPr>
        <w:t>2.3 G</w:t>
      </w:r>
      <w:r w:rsidR="00145762" w:rsidRPr="00043482">
        <w:rPr>
          <w:b/>
          <w:i/>
        </w:rPr>
        <w:t xml:space="preserve">Hz spectrum licence </w:t>
      </w:r>
      <w:r w:rsidR="00145762" w:rsidRPr="00043482">
        <w:rPr>
          <w:bCs/>
          <w:iCs/>
        </w:rPr>
        <w:t xml:space="preserve">means a spectrum licence that authorises the operation of radiocommunications devices in the </w:t>
      </w:r>
      <w:r w:rsidRPr="00043482">
        <w:rPr>
          <w:bCs/>
          <w:iCs/>
        </w:rPr>
        <w:t>2.3 G</w:t>
      </w:r>
      <w:r w:rsidR="00145762" w:rsidRPr="00043482">
        <w:rPr>
          <w:bCs/>
          <w:iCs/>
        </w:rPr>
        <w:t>Hz band.</w:t>
      </w:r>
    </w:p>
    <w:p w14:paraId="19A7839D" w14:textId="66F49EB2" w:rsidR="00F97F3D" w:rsidRPr="00043482" w:rsidRDefault="004238AF" w:rsidP="00086BF0">
      <w:pPr>
        <w:pStyle w:val="Definition"/>
        <w:rPr>
          <w:bCs/>
          <w:iCs/>
        </w:rPr>
      </w:pPr>
      <w:r w:rsidRPr="00043482">
        <w:rPr>
          <w:b/>
          <w:i/>
        </w:rPr>
        <w:t>device boundary</w:t>
      </w:r>
      <w:r w:rsidR="006A385F" w:rsidRPr="00043482">
        <w:rPr>
          <w:bCs/>
          <w:iCs/>
        </w:rPr>
        <w:t xml:space="preserve">: see </w:t>
      </w:r>
      <w:r w:rsidR="00FD6DBA" w:rsidRPr="00043482">
        <w:rPr>
          <w:bCs/>
          <w:iCs/>
        </w:rPr>
        <w:t>item</w:t>
      </w:r>
      <w:r w:rsidR="006A385F" w:rsidRPr="00043482">
        <w:rPr>
          <w:bCs/>
          <w:iCs/>
        </w:rPr>
        <w:t xml:space="preserve"> 1 of Schedule </w:t>
      </w:r>
      <w:r w:rsidR="008859FD" w:rsidRPr="00043482">
        <w:rPr>
          <w:bCs/>
          <w:iCs/>
        </w:rPr>
        <w:t>1</w:t>
      </w:r>
      <w:r w:rsidR="006A385F" w:rsidRPr="00043482">
        <w:rPr>
          <w:bCs/>
          <w:iCs/>
        </w:rPr>
        <w:t>.</w:t>
      </w:r>
    </w:p>
    <w:p w14:paraId="14FCBCB1" w14:textId="6A2DB701" w:rsidR="00EA2E15" w:rsidRPr="00043482" w:rsidRDefault="00EA2E15" w:rsidP="00086BF0">
      <w:pPr>
        <w:pStyle w:val="Definition"/>
        <w:rPr>
          <w:bCs/>
          <w:iCs/>
        </w:rPr>
      </w:pPr>
      <w:r w:rsidRPr="00043482">
        <w:rPr>
          <w:b/>
          <w:i/>
        </w:rPr>
        <w:t>device boundary criterion</w:t>
      </w:r>
      <w:r w:rsidRPr="00043482">
        <w:rPr>
          <w:bCs/>
          <w:iCs/>
        </w:rPr>
        <w:t xml:space="preserve">: see </w:t>
      </w:r>
      <w:r w:rsidR="00FD6DBA" w:rsidRPr="00043482">
        <w:rPr>
          <w:bCs/>
          <w:iCs/>
        </w:rPr>
        <w:t>item</w:t>
      </w:r>
      <w:r w:rsidRPr="00043482">
        <w:rPr>
          <w:bCs/>
          <w:iCs/>
        </w:rPr>
        <w:t xml:space="preserve"> 2 of Schedule </w:t>
      </w:r>
      <w:r w:rsidR="008859FD" w:rsidRPr="00043482">
        <w:rPr>
          <w:bCs/>
          <w:iCs/>
        </w:rPr>
        <w:t>1</w:t>
      </w:r>
      <w:r w:rsidRPr="00043482">
        <w:rPr>
          <w:bCs/>
          <w:iCs/>
        </w:rPr>
        <w:t>.</w:t>
      </w:r>
    </w:p>
    <w:p w14:paraId="4D566AE9" w14:textId="77777777" w:rsidR="0048715F" w:rsidRPr="00043482" w:rsidRDefault="0048715F" w:rsidP="0048715F">
      <w:pPr>
        <w:pStyle w:val="Definition"/>
        <w:rPr>
          <w:bCs/>
          <w:iCs/>
        </w:rPr>
      </w:pPr>
      <w:r w:rsidRPr="00043482">
        <w:rPr>
          <w:b/>
          <w:i/>
        </w:rPr>
        <w:t xml:space="preserve">Recommendation ITU-R P.525-4 </w:t>
      </w:r>
      <w:r w:rsidRPr="00043482">
        <w:rPr>
          <w:bCs/>
          <w:iCs/>
        </w:rPr>
        <w:t>means the ITU-R Recommendation “P.525-4 Calculation of free-space attenuation”.</w:t>
      </w:r>
    </w:p>
    <w:p w14:paraId="07504045" w14:textId="77777777" w:rsidR="0048715F" w:rsidRDefault="0048715F" w:rsidP="0048715F">
      <w:pPr>
        <w:pStyle w:val="notetext"/>
        <w:rPr>
          <w:bCs/>
          <w:iCs/>
        </w:rPr>
      </w:pPr>
      <w:r w:rsidRPr="00043482">
        <w:rPr>
          <w:bCs/>
          <w:iCs/>
        </w:rPr>
        <w:t>Note:</w:t>
      </w:r>
      <w:r w:rsidRPr="00043482">
        <w:rPr>
          <w:bCs/>
          <w:iCs/>
        </w:rPr>
        <w:tab/>
        <w:t>The ITU-R Recommendations are available, free of charge, from the International</w:t>
      </w:r>
      <w:r>
        <w:rPr>
          <w:bCs/>
          <w:iCs/>
        </w:rPr>
        <w:t xml:space="preserve"> Telecommunication Union’s website at </w:t>
      </w:r>
      <w:hyperlink r:id="rId16" w:history="1">
        <w:r w:rsidRPr="00B565E0">
          <w:rPr>
            <w:rStyle w:val="Hyperlink"/>
            <w:bCs/>
            <w:iCs/>
          </w:rPr>
          <w:t>www.itu.int</w:t>
        </w:r>
      </w:hyperlink>
      <w:r>
        <w:rPr>
          <w:bCs/>
          <w:iCs/>
        </w:rPr>
        <w:t xml:space="preserve">. </w:t>
      </w:r>
    </w:p>
    <w:p w14:paraId="2CBE3F74" w14:textId="77777777" w:rsidR="0048715F" w:rsidRDefault="0048715F" w:rsidP="0048715F">
      <w:pPr>
        <w:pStyle w:val="Definition"/>
        <w:rPr>
          <w:bCs/>
          <w:iCs/>
        </w:rPr>
      </w:pPr>
      <w:r>
        <w:rPr>
          <w:b/>
          <w:i/>
        </w:rPr>
        <w:t xml:space="preserve">Recommendation ITU-R P.526-15 </w:t>
      </w:r>
      <w:r>
        <w:rPr>
          <w:bCs/>
          <w:iCs/>
        </w:rPr>
        <w:t>means the ITU-R Recommendation “P.526-15 Propagation by diffraction”.</w:t>
      </w:r>
    </w:p>
    <w:p w14:paraId="19951B50" w14:textId="77777777" w:rsidR="0048715F" w:rsidRDefault="0048715F" w:rsidP="0048715F">
      <w:pPr>
        <w:pStyle w:val="notetext"/>
        <w:rPr>
          <w:bCs/>
          <w:iCs/>
        </w:rPr>
      </w:pPr>
      <w:r>
        <w:rPr>
          <w:bCs/>
          <w:iCs/>
        </w:rPr>
        <w:t>Note:</w:t>
      </w:r>
      <w:r>
        <w:rPr>
          <w:bCs/>
          <w:iCs/>
        </w:rPr>
        <w:tab/>
        <w:t xml:space="preserve">The ITU-R Recommendations are available, free of charge, from the International Telecommunication Union’s website at </w:t>
      </w:r>
      <w:hyperlink r:id="rId17" w:history="1">
        <w:r w:rsidRPr="00B565E0">
          <w:rPr>
            <w:rStyle w:val="Hyperlink"/>
            <w:bCs/>
            <w:iCs/>
          </w:rPr>
          <w:t>www.itu.int</w:t>
        </w:r>
      </w:hyperlink>
      <w:r>
        <w:rPr>
          <w:bCs/>
          <w:iCs/>
        </w:rPr>
        <w:t xml:space="preserve">. </w:t>
      </w:r>
    </w:p>
    <w:p w14:paraId="08457B32" w14:textId="77777777" w:rsidR="0048715F" w:rsidRPr="009107B0" w:rsidRDefault="0048715F" w:rsidP="0048715F">
      <w:pPr>
        <w:pStyle w:val="Definition"/>
        <w:rPr>
          <w:bCs/>
          <w:iCs/>
        </w:rPr>
      </w:pPr>
      <w:r>
        <w:rPr>
          <w:b/>
          <w:i/>
        </w:rPr>
        <w:t xml:space="preserve">Recommendation ITU-R P.2108-0 </w:t>
      </w:r>
      <w:r>
        <w:rPr>
          <w:bCs/>
          <w:iCs/>
        </w:rPr>
        <w:t>means the ITU-R Recommendation “P.2108-0 Prediction of clutter loss”.</w:t>
      </w:r>
    </w:p>
    <w:p w14:paraId="6C93EA4E" w14:textId="30C5480B" w:rsidR="0048715F" w:rsidRDefault="0048715F" w:rsidP="0048715F">
      <w:pPr>
        <w:pStyle w:val="notetext"/>
        <w:rPr>
          <w:bCs/>
          <w:iCs/>
        </w:rPr>
      </w:pPr>
      <w:r>
        <w:rPr>
          <w:bCs/>
          <w:iCs/>
        </w:rPr>
        <w:t>Note</w:t>
      </w:r>
      <w:r w:rsidR="004C25E8">
        <w:rPr>
          <w:bCs/>
          <w:iCs/>
        </w:rPr>
        <w:t xml:space="preserve"> 1</w:t>
      </w:r>
      <w:r>
        <w:rPr>
          <w:bCs/>
          <w:iCs/>
        </w:rPr>
        <w:t>:</w:t>
      </w:r>
      <w:r>
        <w:rPr>
          <w:bCs/>
          <w:iCs/>
        </w:rPr>
        <w:tab/>
        <w:t xml:space="preserve">The ITU-R Recommendations are available, free of charge, from the International Telecommunication Union’s website at </w:t>
      </w:r>
      <w:hyperlink r:id="rId18" w:history="1">
        <w:r w:rsidRPr="00B565E0">
          <w:rPr>
            <w:rStyle w:val="Hyperlink"/>
            <w:bCs/>
            <w:iCs/>
          </w:rPr>
          <w:t>www.itu.int</w:t>
        </w:r>
      </w:hyperlink>
      <w:r>
        <w:rPr>
          <w:bCs/>
          <w:iCs/>
        </w:rPr>
        <w:t xml:space="preserve">. </w:t>
      </w:r>
    </w:p>
    <w:p w14:paraId="545D5A10" w14:textId="3005026F" w:rsidR="00306651" w:rsidRDefault="00306651" w:rsidP="00306651">
      <w:pPr>
        <w:pStyle w:val="notetext"/>
      </w:pPr>
      <w:r>
        <w:t>Note</w:t>
      </w:r>
      <w:r w:rsidR="004C25E8">
        <w:t xml:space="preserve"> 2</w:t>
      </w:r>
      <w:r>
        <w:t>:</w:t>
      </w:r>
      <w:r>
        <w:tab/>
        <w:t>A number of other expressions used in this instrument are defined in the Act, including the following:</w:t>
      </w:r>
    </w:p>
    <w:p w14:paraId="1C54FE8B" w14:textId="548BD166" w:rsidR="00306651" w:rsidRDefault="00306651" w:rsidP="00306651">
      <w:pPr>
        <w:pStyle w:val="notepara"/>
      </w:pPr>
      <w:r>
        <w:t>(a)</w:t>
      </w:r>
      <w:r>
        <w:tab/>
        <w:t>ACMA;</w:t>
      </w:r>
    </w:p>
    <w:p w14:paraId="12ED29D2" w14:textId="10B25FA4" w:rsidR="00D31FFE" w:rsidRDefault="00D31FFE" w:rsidP="00306651">
      <w:pPr>
        <w:pStyle w:val="notepara"/>
      </w:pPr>
      <w:r>
        <w:t>(</w:t>
      </w:r>
      <w:r w:rsidR="00CA14ED">
        <w:t>b</w:t>
      </w:r>
      <w:r>
        <w:t>)</w:t>
      </w:r>
      <w:r>
        <w:tab/>
        <w:t>core condition</w:t>
      </w:r>
      <w:r w:rsidR="00E63BB8">
        <w:t>;</w:t>
      </w:r>
    </w:p>
    <w:p w14:paraId="70D6B930" w14:textId="0CE4FF94" w:rsidR="00306651" w:rsidRDefault="00306651" w:rsidP="00306651">
      <w:pPr>
        <w:pStyle w:val="notepara"/>
      </w:pPr>
      <w:r>
        <w:t>(</w:t>
      </w:r>
      <w:r w:rsidR="00CA14ED">
        <w:t>c</w:t>
      </w:r>
      <w:r>
        <w:t>)</w:t>
      </w:r>
      <w:r>
        <w:tab/>
        <w:t>frequency band;</w:t>
      </w:r>
    </w:p>
    <w:p w14:paraId="788B4EBC" w14:textId="0ED72141" w:rsidR="00306651" w:rsidRDefault="00306651" w:rsidP="00306651">
      <w:pPr>
        <w:pStyle w:val="notepara"/>
      </w:pPr>
      <w:r>
        <w:t>(</w:t>
      </w:r>
      <w:r w:rsidR="00CA14ED">
        <w:t>d</w:t>
      </w:r>
      <w:r>
        <w:t>)</w:t>
      </w:r>
      <w:r>
        <w:tab/>
        <w:t>interference;</w:t>
      </w:r>
    </w:p>
    <w:p w14:paraId="13587C82" w14:textId="435D364C" w:rsidR="00306651" w:rsidRDefault="00306651" w:rsidP="00306651">
      <w:pPr>
        <w:pStyle w:val="notepara"/>
      </w:pPr>
      <w:r>
        <w:t>(</w:t>
      </w:r>
      <w:r w:rsidR="00CA14ED">
        <w:t>e</w:t>
      </w:r>
      <w:r>
        <w:t>)</w:t>
      </w:r>
      <w:r>
        <w:tab/>
        <w:t>radiocommunications device;</w:t>
      </w:r>
    </w:p>
    <w:p w14:paraId="44AD4498" w14:textId="3583B6BE" w:rsidR="00306651" w:rsidRDefault="00306651" w:rsidP="00306651">
      <w:pPr>
        <w:pStyle w:val="notepara"/>
      </w:pPr>
      <w:r>
        <w:lastRenderedPageBreak/>
        <w:t>(</w:t>
      </w:r>
      <w:r w:rsidR="00091C36">
        <w:t>f</w:t>
      </w:r>
      <w:r>
        <w:t>)</w:t>
      </w:r>
      <w:r>
        <w:tab/>
        <w:t>radiocommunications receiver;</w:t>
      </w:r>
    </w:p>
    <w:p w14:paraId="462D4BFE" w14:textId="4608F435" w:rsidR="00306651" w:rsidRDefault="00306651" w:rsidP="00306651">
      <w:pPr>
        <w:pStyle w:val="notepara"/>
      </w:pPr>
      <w:r>
        <w:t>(</w:t>
      </w:r>
      <w:r w:rsidR="00091C36">
        <w:t>g</w:t>
      </w:r>
      <w:r>
        <w:t>)</w:t>
      </w:r>
      <w:r>
        <w:tab/>
        <w:t>radiocommunications transmitter;</w:t>
      </w:r>
    </w:p>
    <w:p w14:paraId="2687ADD5" w14:textId="22164583" w:rsidR="00E63BB8" w:rsidRDefault="00E63BB8" w:rsidP="00306651">
      <w:pPr>
        <w:pStyle w:val="notepara"/>
      </w:pPr>
      <w:r>
        <w:t>(</w:t>
      </w:r>
      <w:r w:rsidR="00047295">
        <w:t>h</w:t>
      </w:r>
      <w:r>
        <w:t>)</w:t>
      </w:r>
      <w:r>
        <w:tab/>
        <w:t>radio emission;</w:t>
      </w:r>
    </w:p>
    <w:p w14:paraId="52C921C5" w14:textId="54CEA4DA" w:rsidR="00306651" w:rsidRDefault="00306651" w:rsidP="00306651">
      <w:pPr>
        <w:pStyle w:val="notepara"/>
      </w:pPr>
      <w:r>
        <w:t>(</w:t>
      </w:r>
      <w:r w:rsidR="00047295">
        <w:t>i</w:t>
      </w:r>
      <w:r>
        <w:t>)</w:t>
      </w:r>
      <w:r>
        <w:tab/>
        <w:t>Register;</w:t>
      </w:r>
    </w:p>
    <w:p w14:paraId="17E9FD4C" w14:textId="1A6C84DF" w:rsidR="00306651" w:rsidRDefault="00306651" w:rsidP="00CA14ED">
      <w:pPr>
        <w:pStyle w:val="notepara"/>
      </w:pPr>
      <w:r>
        <w:t>(</w:t>
      </w:r>
      <w:r w:rsidR="00047295">
        <w:t>j</w:t>
      </w:r>
      <w:r>
        <w:t>)</w:t>
      </w:r>
      <w:r>
        <w:tab/>
        <w:t>spectrum licence.</w:t>
      </w:r>
    </w:p>
    <w:p w14:paraId="2D3775BB" w14:textId="5D50EEF8" w:rsidR="004C25E8" w:rsidRDefault="004C25E8" w:rsidP="004C25E8">
      <w:pPr>
        <w:pStyle w:val="notetext"/>
      </w:pPr>
      <w:r>
        <w:t>Note 3:</w:t>
      </w:r>
      <w:r>
        <w:tab/>
        <w:t xml:space="preserve">A number of other expressions used in this instrument may be defined in an instrument made under subsection 64(1) of the </w:t>
      </w:r>
      <w:r>
        <w:rPr>
          <w:i/>
          <w:iCs/>
        </w:rPr>
        <w:t>Australian Communications and Media Authority Act 2005</w:t>
      </w:r>
      <w:r>
        <w:t>, including:</w:t>
      </w:r>
    </w:p>
    <w:p w14:paraId="43AC5C94" w14:textId="6A1FC8C5" w:rsidR="004C25E8" w:rsidRDefault="004C25E8" w:rsidP="004C25E8">
      <w:pPr>
        <w:pStyle w:val="notepara"/>
      </w:pPr>
      <w:r>
        <w:t>(a)</w:t>
      </w:r>
      <w:r>
        <w:tab/>
        <w:t>AAS;</w:t>
      </w:r>
    </w:p>
    <w:p w14:paraId="466864D8" w14:textId="54F5589D" w:rsidR="004C25E8" w:rsidRDefault="004C25E8" w:rsidP="004C25E8">
      <w:pPr>
        <w:pStyle w:val="notepara"/>
      </w:pPr>
      <w:r>
        <w:t>(b)</w:t>
      </w:r>
      <w:r>
        <w:tab/>
        <w:t>Act;</w:t>
      </w:r>
    </w:p>
    <w:p w14:paraId="2DF18C76" w14:textId="1C726096" w:rsidR="004C25E8" w:rsidRDefault="004C25E8" w:rsidP="004C25E8">
      <w:pPr>
        <w:pStyle w:val="notepara"/>
      </w:pPr>
      <w:r>
        <w:t>(c)</w:t>
      </w:r>
      <w:r>
        <w:tab/>
        <w:t>Australian Spectrum Map Grid;</w:t>
      </w:r>
    </w:p>
    <w:p w14:paraId="26A6441D" w14:textId="25AFCEFE" w:rsidR="004C25E8" w:rsidRDefault="004C25E8" w:rsidP="004C25E8">
      <w:pPr>
        <w:pStyle w:val="notepara"/>
      </w:pPr>
      <w:r>
        <w:t>(d)</w:t>
      </w:r>
      <w:r>
        <w:tab/>
        <w:t>Australian territorial sea baseline;</w:t>
      </w:r>
    </w:p>
    <w:p w14:paraId="38C61F07" w14:textId="167B0C67" w:rsidR="00ED5487" w:rsidRDefault="00ED5487" w:rsidP="004C25E8">
      <w:pPr>
        <w:pStyle w:val="notepara"/>
      </w:pPr>
      <w:r>
        <w:t>(</w:t>
      </w:r>
      <w:r w:rsidR="003217D9">
        <w:t>e</w:t>
      </w:r>
      <w:r>
        <w:t>)</w:t>
      </w:r>
      <w:r>
        <w:tab/>
        <w:t>average ground height;</w:t>
      </w:r>
    </w:p>
    <w:p w14:paraId="7114AC47" w14:textId="7E1E7C4D" w:rsidR="00D52208" w:rsidRDefault="00D52208" w:rsidP="004C25E8">
      <w:pPr>
        <w:pStyle w:val="notepara"/>
      </w:pPr>
      <w:r>
        <w:t>(f)</w:t>
      </w:r>
      <w:r>
        <w:tab/>
        <w:t>DEM-3S;</w:t>
      </w:r>
    </w:p>
    <w:p w14:paraId="538FDDAE" w14:textId="04566C14" w:rsidR="004C25E8" w:rsidRDefault="004C25E8" w:rsidP="004C25E8">
      <w:pPr>
        <w:pStyle w:val="notepara"/>
      </w:pPr>
      <w:r>
        <w:t>(</w:t>
      </w:r>
      <w:r w:rsidR="00D52208">
        <w:t>g</w:t>
      </w:r>
      <w:r>
        <w:t>)</w:t>
      </w:r>
      <w:r>
        <w:tab/>
      </w:r>
      <w:r w:rsidR="00071217">
        <w:t>geographic area</w:t>
      </w:r>
      <w:r>
        <w:t>;</w:t>
      </w:r>
    </w:p>
    <w:p w14:paraId="5138518C" w14:textId="7CA564D9" w:rsidR="004C25E8" w:rsidRDefault="004C25E8" w:rsidP="004C25E8">
      <w:pPr>
        <w:pStyle w:val="notepara"/>
      </w:pPr>
      <w:r>
        <w:t>(</w:t>
      </w:r>
      <w:r w:rsidR="00D52208">
        <w:t>h</w:t>
      </w:r>
      <w:r>
        <w:t>)</w:t>
      </w:r>
      <w:r>
        <w:tab/>
      </w:r>
      <w:r w:rsidR="00071217">
        <w:t>HCIS</w:t>
      </w:r>
      <w:r>
        <w:t>;</w:t>
      </w:r>
    </w:p>
    <w:p w14:paraId="789D52EE" w14:textId="2DCA9FE4" w:rsidR="004C25E8" w:rsidRDefault="004C25E8" w:rsidP="004C25E8">
      <w:pPr>
        <w:pStyle w:val="notepara"/>
      </w:pPr>
      <w:r>
        <w:t>(</w:t>
      </w:r>
      <w:r w:rsidR="00D52208">
        <w:t>i</w:t>
      </w:r>
      <w:r>
        <w:t>)</w:t>
      </w:r>
      <w:r>
        <w:tab/>
      </w:r>
      <w:r w:rsidR="00071217">
        <w:t>HCIS identifier</w:t>
      </w:r>
      <w:r>
        <w:t>;</w:t>
      </w:r>
    </w:p>
    <w:p w14:paraId="468363F4" w14:textId="093C669D" w:rsidR="004C25E8" w:rsidRDefault="004C25E8" w:rsidP="004C25E8">
      <w:pPr>
        <w:pStyle w:val="notepara"/>
      </w:pPr>
      <w:r>
        <w:t>(</w:t>
      </w:r>
      <w:r w:rsidR="00D52208">
        <w:t>j</w:t>
      </w:r>
      <w:r>
        <w:t>)</w:t>
      </w:r>
      <w:r>
        <w:tab/>
      </w:r>
      <w:r w:rsidR="00071217">
        <w:t>ITU-R Recommendation</w:t>
      </w:r>
      <w:r>
        <w:t>;</w:t>
      </w:r>
    </w:p>
    <w:p w14:paraId="399E6C45" w14:textId="05FF9A64" w:rsidR="004C25E8" w:rsidRDefault="004C25E8" w:rsidP="004C25E8">
      <w:pPr>
        <w:pStyle w:val="notepara"/>
      </w:pPr>
      <w:r>
        <w:t>(</w:t>
      </w:r>
      <w:r w:rsidR="00D52208">
        <w:t>k</w:t>
      </w:r>
      <w:r>
        <w:t>)</w:t>
      </w:r>
      <w:r>
        <w:tab/>
      </w:r>
      <w:r w:rsidR="00071217">
        <w:t>Radio Regulation</w:t>
      </w:r>
      <w:r w:rsidR="00256C60">
        <w:t>s.</w:t>
      </w:r>
    </w:p>
    <w:p w14:paraId="0CFF0CF2" w14:textId="1A2F4096" w:rsidR="00306651" w:rsidRPr="00837E5B" w:rsidRDefault="00306651" w:rsidP="00306651">
      <w:pPr>
        <w:pStyle w:val="subsection"/>
      </w:pPr>
      <w:r>
        <w:tab/>
        <w:t>(</w:t>
      </w:r>
      <w:r w:rsidR="0068429B">
        <w:t>2</w:t>
      </w:r>
      <w:r>
        <w:t>)</w:t>
      </w:r>
      <w:r>
        <w:tab/>
        <w:t>In this instrument, unless otherwise specified, a reference to a</w:t>
      </w:r>
      <w:r w:rsidR="00D46AB2">
        <w:t xml:space="preserve"> part of the spectrum or a</w:t>
      </w:r>
      <w:r>
        <w:t xml:space="preserve"> frequency band includes all frequencies that are greater than but not including the lower frequency, up to and including the higher frequency.</w:t>
      </w:r>
    </w:p>
    <w:p w14:paraId="2FA04D52" w14:textId="65C370DD" w:rsidR="00306651" w:rsidRDefault="00306651" w:rsidP="00306651">
      <w:pPr>
        <w:pStyle w:val="notetext"/>
      </w:pPr>
      <w:r>
        <w:t>Note:</w:t>
      </w:r>
      <w:r>
        <w:tab/>
        <w:t xml:space="preserve">This subsection means the lower number in a </w:t>
      </w:r>
      <w:r w:rsidR="00D46AB2">
        <w:t xml:space="preserve">part of the spectrum or a </w:t>
      </w:r>
      <w:r>
        <w:t>frequency band is not included in the frequency band.</w:t>
      </w:r>
    </w:p>
    <w:p w14:paraId="13C406F7" w14:textId="04D4F0CF" w:rsidR="00086BF0" w:rsidRDefault="004F1E24" w:rsidP="00086BF0">
      <w:pPr>
        <w:pStyle w:val="ActHead5"/>
      </w:pPr>
      <w:r>
        <w:rPr>
          <w:rStyle w:val="CharSectno"/>
        </w:rPr>
        <w:t>6</w:t>
      </w:r>
      <w:r w:rsidR="00086BF0" w:rsidRPr="004F1E24">
        <w:rPr>
          <w:rStyle w:val="CharSectno"/>
        </w:rPr>
        <w:t xml:space="preserve"> </w:t>
      </w:r>
      <w:r w:rsidR="00086BF0">
        <w:t xml:space="preserve"> References to other instruments</w:t>
      </w:r>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7DC63764" w:rsidR="00086BF0" w:rsidRDefault="00086BF0" w:rsidP="00086BF0">
      <w:pPr>
        <w:pStyle w:val="paragraph"/>
        <w:tabs>
          <w:tab w:val="left" w:pos="2160"/>
          <w:tab w:val="left" w:pos="2880"/>
          <w:tab w:val="left" w:pos="3600"/>
          <w:tab w:val="center" w:pos="4513"/>
        </w:tabs>
      </w:pPr>
      <w:r>
        <w:tab/>
        <w:t>(b)</w:t>
      </w:r>
      <w:r>
        <w:tab/>
        <w:t xml:space="preserve">a reference to any other kind of instrument </w:t>
      </w:r>
      <w:r w:rsidR="00D14005">
        <w:t xml:space="preserve">or writing </w:t>
      </w:r>
      <w:r>
        <w:t>is a reference to that other instrument</w:t>
      </w:r>
      <w:r w:rsidR="00D14005">
        <w:t xml:space="preserve"> or writing</w:t>
      </w:r>
      <w:r>
        <w:t xml:space="preserve"> as in force</w:t>
      </w:r>
      <w:r w:rsidR="00D14005">
        <w:t xml:space="preserve"> or existence</w:t>
      </w:r>
      <w:r>
        <w:t xml:space="preserve"> from time to time.</w:t>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7EA366ED" w:rsidR="00086BF0" w:rsidRDefault="00086BF0" w:rsidP="00086BF0">
      <w:pPr>
        <w:pStyle w:val="notetext"/>
      </w:pPr>
      <w:r>
        <w:t>Note 2:</w:t>
      </w:r>
      <w:r>
        <w:tab/>
        <w:t xml:space="preserve">All Commonwealth Acts and legislative instruments are registered on the Federal Register of Legislation. </w:t>
      </w:r>
    </w:p>
    <w:p w14:paraId="5DB095AC" w14:textId="7C57AE9F" w:rsidR="00D14005" w:rsidRDefault="00D14005" w:rsidP="00086BF0">
      <w:pPr>
        <w:pStyle w:val="notetext"/>
      </w:pPr>
      <w:r>
        <w:t>Note 3:</w:t>
      </w:r>
      <w:r>
        <w:tab/>
        <w:t>See section 314</w:t>
      </w:r>
      <w:r w:rsidR="004F1E24">
        <w:t>A</w:t>
      </w:r>
      <w:r>
        <w:t xml:space="preserve"> of the Act.</w:t>
      </w:r>
    </w:p>
    <w:p w14:paraId="01867CE6" w14:textId="284DEDBB" w:rsidR="00602A54" w:rsidRDefault="00256C60" w:rsidP="00602A54">
      <w:pPr>
        <w:pStyle w:val="ActHead5"/>
      </w:pPr>
      <w:r>
        <w:rPr>
          <w:rStyle w:val="CharSectno"/>
        </w:rPr>
        <w:t>7</w:t>
      </w:r>
      <w:r w:rsidR="00602A54" w:rsidRPr="004F1E24">
        <w:rPr>
          <w:rStyle w:val="CharSectno"/>
        </w:rPr>
        <w:t xml:space="preserve"> </w:t>
      </w:r>
      <w:r w:rsidR="00602A54">
        <w:t xml:space="preserve"> Unacceptable level</w:t>
      </w:r>
      <w:r w:rsidR="008F27C7">
        <w:t>s</w:t>
      </w:r>
      <w:r w:rsidR="00602A54">
        <w:t xml:space="preserve"> of interference</w:t>
      </w:r>
    </w:p>
    <w:p w14:paraId="327EE266" w14:textId="5D6EA3D6" w:rsidR="00602A54" w:rsidRDefault="00602A54" w:rsidP="00602A54">
      <w:pPr>
        <w:pStyle w:val="subsection"/>
      </w:pPr>
      <w:r>
        <w:tab/>
        <w:t>(1)</w:t>
      </w:r>
      <w:r>
        <w:tab/>
        <w:t>A level of interference caused by a radiocommunications transmitter operated under a</w:t>
      </w:r>
      <w:r w:rsidR="00145762">
        <w:t xml:space="preserve"> </w:t>
      </w:r>
      <w:r w:rsidR="009A34AE">
        <w:t>2.3</w:t>
      </w:r>
      <w:r w:rsidR="00256C60">
        <w:t> </w:t>
      </w:r>
      <w:r w:rsidR="009A34AE">
        <w:t>G</w:t>
      </w:r>
      <w:r w:rsidR="00145762">
        <w:t>Hz</w:t>
      </w:r>
      <w:r>
        <w:t xml:space="preserve"> spectrum licence is unacceptable if:</w:t>
      </w:r>
    </w:p>
    <w:p w14:paraId="48C03699" w14:textId="6B41964D" w:rsidR="00602A54" w:rsidRPr="00602A54" w:rsidRDefault="00286CB6" w:rsidP="00602A54">
      <w:pPr>
        <w:pStyle w:val="paragraph"/>
        <w:tabs>
          <w:tab w:val="left" w:pos="2160"/>
          <w:tab w:val="left" w:pos="2880"/>
          <w:tab w:val="left" w:pos="3600"/>
          <w:tab w:val="center" w:pos="4513"/>
        </w:tabs>
      </w:pPr>
      <w:r>
        <w:tab/>
      </w:r>
      <w:r w:rsidR="00602A54" w:rsidRPr="00602A54">
        <w:t>(a)</w:t>
      </w:r>
      <w:r w:rsidR="00602A54" w:rsidRPr="00602A54">
        <w:tab/>
        <w:t xml:space="preserve">the operation of the transmitter results in a </w:t>
      </w:r>
      <w:r w:rsidR="005C16A8">
        <w:t>contravention</w:t>
      </w:r>
      <w:r w:rsidR="005C16A8" w:rsidRPr="00602A54">
        <w:t xml:space="preserve"> </w:t>
      </w:r>
      <w:r w:rsidR="00602A54" w:rsidRPr="00602A54">
        <w:t>of a core condition of the licence relating to the maximum permitted level of radio emission from the transmitter:</w:t>
      </w:r>
    </w:p>
    <w:p w14:paraId="10FB79BB" w14:textId="2740EB8A" w:rsidR="00602A54" w:rsidRPr="00602A54" w:rsidRDefault="00286CB6" w:rsidP="00602A54">
      <w:pPr>
        <w:pStyle w:val="paragraphsub"/>
      </w:pPr>
      <w:r>
        <w:tab/>
      </w:r>
      <w:r w:rsidR="00602A54" w:rsidRPr="00602A54">
        <w:t>(i)</w:t>
      </w:r>
      <w:r w:rsidR="00602A54" w:rsidRPr="00602A54">
        <w:tab/>
        <w:t>outside the parts of the spectrum the use of which is authorised under the licence; or</w:t>
      </w:r>
    </w:p>
    <w:p w14:paraId="1A79AEDD" w14:textId="7886B1F3" w:rsidR="00602A54" w:rsidRPr="00602A54" w:rsidRDefault="00286CB6" w:rsidP="00602A54">
      <w:pPr>
        <w:pStyle w:val="paragraphsub"/>
      </w:pPr>
      <w:r>
        <w:tab/>
      </w:r>
      <w:r w:rsidR="00602A54" w:rsidRPr="00602A54">
        <w:t>(ii)</w:t>
      </w:r>
      <w:r w:rsidR="00602A54" w:rsidRPr="00602A54">
        <w:tab/>
        <w:t>outside the geographic area of the licence; or</w:t>
      </w:r>
    </w:p>
    <w:p w14:paraId="4936030A" w14:textId="0CD6F431" w:rsidR="00602A54" w:rsidRPr="00043482" w:rsidRDefault="00286CB6" w:rsidP="00602A54">
      <w:pPr>
        <w:pStyle w:val="paragraph"/>
        <w:tabs>
          <w:tab w:val="left" w:pos="2160"/>
          <w:tab w:val="left" w:pos="2880"/>
          <w:tab w:val="left" w:pos="3600"/>
          <w:tab w:val="center" w:pos="4513"/>
        </w:tabs>
      </w:pPr>
      <w:r>
        <w:tab/>
      </w:r>
      <w:r w:rsidR="00602A54" w:rsidRPr="00602A54">
        <w:t>(b)</w:t>
      </w:r>
      <w:r w:rsidR="00602A54" w:rsidRPr="00602A54">
        <w:tab/>
        <w:t xml:space="preserve">subject to </w:t>
      </w:r>
      <w:r w:rsidR="00602A54" w:rsidRPr="00043482">
        <w:t>subsection</w:t>
      </w:r>
      <w:r w:rsidR="00830379" w:rsidRPr="00043482">
        <w:t>s</w:t>
      </w:r>
      <w:r w:rsidR="00602A54" w:rsidRPr="00043482">
        <w:t xml:space="preserve"> (2)</w:t>
      </w:r>
      <w:r w:rsidR="00830379" w:rsidRPr="00043482">
        <w:t xml:space="preserve"> and (3)</w:t>
      </w:r>
      <w:r w:rsidR="00602A54" w:rsidRPr="00043482">
        <w:t>, any part of the device boundary of the transmitter lies outside of the geographic area of the licence; or</w:t>
      </w:r>
    </w:p>
    <w:p w14:paraId="381F7DA9" w14:textId="7E1756B8" w:rsidR="00602A54" w:rsidRPr="00043482" w:rsidRDefault="00286CB6" w:rsidP="00602A54">
      <w:pPr>
        <w:pStyle w:val="paragraph"/>
        <w:tabs>
          <w:tab w:val="left" w:pos="2160"/>
          <w:tab w:val="left" w:pos="2880"/>
          <w:tab w:val="left" w:pos="3600"/>
          <w:tab w:val="center" w:pos="4513"/>
        </w:tabs>
      </w:pPr>
      <w:r w:rsidRPr="00043482">
        <w:tab/>
      </w:r>
      <w:r w:rsidR="00602A54" w:rsidRPr="00043482">
        <w:t>(c)</w:t>
      </w:r>
      <w:r w:rsidR="00602A54" w:rsidRPr="00043482">
        <w:tab/>
        <w:t xml:space="preserve">the device boundary of the transmitter cannot be calculated in accordance with </w:t>
      </w:r>
      <w:r w:rsidR="00D52208" w:rsidRPr="00043482">
        <w:t>item</w:t>
      </w:r>
      <w:r w:rsidR="00DA3FFE" w:rsidRPr="00043482">
        <w:t> </w:t>
      </w:r>
      <w:r w:rsidR="00602A54" w:rsidRPr="00043482">
        <w:t xml:space="preserve">1 of Schedule </w:t>
      </w:r>
      <w:r w:rsidR="00185690" w:rsidRPr="00043482">
        <w:t>1</w:t>
      </w:r>
      <w:r w:rsidR="00830379" w:rsidRPr="00043482">
        <w:t>.</w:t>
      </w:r>
    </w:p>
    <w:p w14:paraId="787E55BD" w14:textId="4F735D2C" w:rsidR="00602A54" w:rsidRPr="00043482" w:rsidRDefault="00602A54" w:rsidP="00185690">
      <w:pPr>
        <w:pStyle w:val="subsection"/>
        <w:keepNext/>
      </w:pPr>
      <w:r w:rsidRPr="00043482">
        <w:lastRenderedPageBreak/>
        <w:tab/>
        <w:t>(2)</w:t>
      </w:r>
      <w:r w:rsidRPr="00043482">
        <w:tab/>
        <w:t>A level of interference mentioned in paragraph (1)(b) is not unacceptable in relation to a part of the device boundary of the transmitter that:</w:t>
      </w:r>
    </w:p>
    <w:p w14:paraId="21AC3583" w14:textId="3E1FD233" w:rsidR="00602A54" w:rsidRPr="00043482" w:rsidRDefault="00315BF5" w:rsidP="00602A54">
      <w:pPr>
        <w:pStyle w:val="paragraph"/>
        <w:tabs>
          <w:tab w:val="left" w:pos="2160"/>
          <w:tab w:val="left" w:pos="2880"/>
          <w:tab w:val="left" w:pos="3600"/>
          <w:tab w:val="center" w:pos="4513"/>
        </w:tabs>
      </w:pPr>
      <w:r w:rsidRPr="00043482">
        <w:tab/>
      </w:r>
      <w:r w:rsidR="00602A54" w:rsidRPr="00043482">
        <w:t>(a)</w:t>
      </w:r>
      <w:r w:rsidR="00602A54" w:rsidRPr="00043482">
        <w:tab/>
        <w:t>lies outside the geographic area of the licence; and</w:t>
      </w:r>
    </w:p>
    <w:p w14:paraId="668DB42F" w14:textId="3A29B57E" w:rsidR="00602A54" w:rsidRPr="00043482" w:rsidRDefault="00315BF5" w:rsidP="00602A54">
      <w:pPr>
        <w:pStyle w:val="paragraph"/>
        <w:tabs>
          <w:tab w:val="left" w:pos="2160"/>
          <w:tab w:val="left" w:pos="2880"/>
          <w:tab w:val="left" w:pos="3600"/>
          <w:tab w:val="center" w:pos="4513"/>
        </w:tabs>
      </w:pPr>
      <w:r w:rsidRPr="00043482">
        <w:tab/>
      </w:r>
      <w:r w:rsidR="00602A54" w:rsidRPr="00043482">
        <w:t>(b)</w:t>
      </w:r>
      <w:r w:rsidR="00602A54" w:rsidRPr="00043482">
        <w:tab/>
        <w:t>is connected to a radial that:</w:t>
      </w:r>
    </w:p>
    <w:p w14:paraId="654667DB" w14:textId="1B36B865" w:rsidR="00602A54" w:rsidRPr="00043482" w:rsidRDefault="00315BF5" w:rsidP="00602A54">
      <w:pPr>
        <w:pStyle w:val="paragraphsub"/>
      </w:pPr>
      <w:r w:rsidRPr="00043482">
        <w:tab/>
      </w:r>
      <w:r w:rsidR="00602A54" w:rsidRPr="00043482">
        <w:t>(i)</w:t>
      </w:r>
      <w:r w:rsidR="00602A54" w:rsidRPr="00043482">
        <w:tab/>
        <w:t xml:space="preserve">is mentioned in </w:t>
      </w:r>
      <w:r w:rsidR="00D52208" w:rsidRPr="00043482">
        <w:t>item</w:t>
      </w:r>
      <w:r w:rsidR="00185690" w:rsidRPr="00043482">
        <w:t xml:space="preserve"> </w:t>
      </w:r>
      <w:r w:rsidR="00602A54" w:rsidRPr="00043482">
        <w:t xml:space="preserve">1 of Schedule </w:t>
      </w:r>
      <w:r w:rsidR="00185690" w:rsidRPr="00043482">
        <w:t>1</w:t>
      </w:r>
      <w:r w:rsidR="00602A54" w:rsidRPr="00043482">
        <w:t>; and</w:t>
      </w:r>
    </w:p>
    <w:p w14:paraId="590B3544" w14:textId="60256FB0" w:rsidR="00602A54" w:rsidRPr="00043482" w:rsidRDefault="00315BF5" w:rsidP="00602A54">
      <w:pPr>
        <w:pStyle w:val="paragraphsub"/>
      </w:pPr>
      <w:r w:rsidRPr="00043482">
        <w:tab/>
      </w:r>
      <w:r w:rsidR="00602A54" w:rsidRPr="00043482">
        <w:t>(ii)</w:t>
      </w:r>
      <w:r w:rsidR="00602A54" w:rsidRPr="00043482">
        <w:tab/>
        <w:t>does not cross over land outside the geographic area of the licence that is permanently above the Australian territorial sea baseline</w:t>
      </w:r>
      <w:r w:rsidR="00C222E3" w:rsidRPr="00043482">
        <w:t>.</w:t>
      </w:r>
    </w:p>
    <w:p w14:paraId="7A8C6902" w14:textId="35B3ADF8" w:rsidR="00E16B1B" w:rsidRPr="00043482" w:rsidRDefault="00E16B1B" w:rsidP="00330A3D">
      <w:pPr>
        <w:pStyle w:val="subsection"/>
        <w:keepNext/>
      </w:pPr>
      <w:r w:rsidRPr="00043482">
        <w:tab/>
        <w:t>(3)</w:t>
      </w:r>
      <w:r w:rsidRPr="00043482">
        <w:tab/>
        <w:t>A level of interference mentioned in paragraph (1)(</w:t>
      </w:r>
      <w:r w:rsidR="00CF60B6" w:rsidRPr="00043482">
        <w:t>b</w:t>
      </w:r>
      <w:r w:rsidRPr="00043482">
        <w:t xml:space="preserve">) is not unacceptable in relation to a part </w:t>
      </w:r>
      <w:r w:rsidR="009D783E" w:rsidRPr="00043482">
        <w:t xml:space="preserve">of the device boundary of the transmitter </w:t>
      </w:r>
      <w:r w:rsidR="000C13BB" w:rsidRPr="00043482">
        <w:t>if:</w:t>
      </w:r>
    </w:p>
    <w:p w14:paraId="360B019E" w14:textId="77777777" w:rsidR="00605B84" w:rsidRPr="00043482" w:rsidRDefault="00605B84" w:rsidP="00605B84">
      <w:pPr>
        <w:pStyle w:val="paragraph"/>
        <w:tabs>
          <w:tab w:val="left" w:pos="2160"/>
          <w:tab w:val="left" w:pos="2880"/>
          <w:tab w:val="left" w:pos="3600"/>
          <w:tab w:val="center" w:pos="4513"/>
        </w:tabs>
      </w:pPr>
      <w:r w:rsidRPr="00043482">
        <w:tab/>
        <w:t>(a)</w:t>
      </w:r>
      <w:r w:rsidRPr="00043482">
        <w:tab/>
        <w:t>lies outside the geographic area of the licence; and</w:t>
      </w:r>
    </w:p>
    <w:p w14:paraId="5F49DED7" w14:textId="77777777" w:rsidR="00605B84" w:rsidRPr="00043482" w:rsidRDefault="00605B84" w:rsidP="00605B84">
      <w:pPr>
        <w:pStyle w:val="paragraph"/>
        <w:tabs>
          <w:tab w:val="left" w:pos="2160"/>
          <w:tab w:val="left" w:pos="2880"/>
          <w:tab w:val="left" w:pos="3600"/>
          <w:tab w:val="center" w:pos="4513"/>
        </w:tabs>
      </w:pPr>
      <w:r w:rsidRPr="00043482">
        <w:tab/>
        <w:t>(b)</w:t>
      </w:r>
      <w:r w:rsidRPr="00043482">
        <w:tab/>
        <w:t>is connected to a radial that:</w:t>
      </w:r>
    </w:p>
    <w:p w14:paraId="2FF6D325" w14:textId="34BB292A" w:rsidR="00605B84" w:rsidRPr="00043482" w:rsidRDefault="00605B84" w:rsidP="00605B84">
      <w:pPr>
        <w:pStyle w:val="paragraphsub"/>
      </w:pPr>
      <w:r w:rsidRPr="00043482">
        <w:tab/>
        <w:t>(i)</w:t>
      </w:r>
      <w:r w:rsidRPr="00043482">
        <w:tab/>
        <w:t xml:space="preserve">is mentioned in </w:t>
      </w:r>
      <w:r w:rsidR="00D52208" w:rsidRPr="00043482">
        <w:t>item</w:t>
      </w:r>
      <w:r w:rsidRPr="00043482">
        <w:t xml:space="preserve"> 1 of Schedule </w:t>
      </w:r>
      <w:r w:rsidR="00185690" w:rsidRPr="00043482">
        <w:t>1</w:t>
      </w:r>
      <w:r w:rsidRPr="00043482">
        <w:t>; and</w:t>
      </w:r>
    </w:p>
    <w:p w14:paraId="2B0F01A4" w14:textId="77777777" w:rsidR="00605B84" w:rsidRDefault="00605B84" w:rsidP="00605B84">
      <w:pPr>
        <w:pStyle w:val="paragraphsub"/>
      </w:pPr>
      <w:r w:rsidRPr="00043482">
        <w:tab/>
        <w:t>(ii)</w:t>
      </w:r>
      <w:r w:rsidRPr="00043482">
        <w:tab/>
        <w:t>does not cross over land outside the geographic area of the</w:t>
      </w:r>
      <w:r w:rsidRPr="005773CC">
        <w:t xml:space="preserve"> licence that is permanently above the Australian territorial sea baseline</w:t>
      </w:r>
      <w:r>
        <w:t>; and</w:t>
      </w:r>
    </w:p>
    <w:p w14:paraId="79BECA30" w14:textId="77777777" w:rsidR="00605B84" w:rsidRPr="005708E9" w:rsidRDefault="00605B84" w:rsidP="00605B84">
      <w:pPr>
        <w:pStyle w:val="paragraphsub"/>
        <w:keepNext/>
      </w:pPr>
      <w:r>
        <w:tab/>
        <w:t xml:space="preserve">(iii) </w:t>
      </w:r>
      <w:r>
        <w:tab/>
      </w:r>
      <w:r w:rsidRPr="005708E9">
        <w:t>does not cross into any of the following HCIS</w:t>
      </w:r>
      <w:r>
        <w:t xml:space="preserve"> identifiers</w:t>
      </w:r>
      <w:r w:rsidRPr="005708E9">
        <w:t>: IW3E, IW3I, IW3M, IW6A, IW6E, KX9, LX7, LX8, LX9.</w:t>
      </w:r>
    </w:p>
    <w:p w14:paraId="275F9CEF" w14:textId="46C28B6E" w:rsidR="00605B84" w:rsidRDefault="00605B84" w:rsidP="00605B84">
      <w:pPr>
        <w:pStyle w:val="notetext"/>
      </w:pPr>
      <w:r>
        <w:t>Note:</w:t>
      </w:r>
      <w:r>
        <w:tab/>
        <w:t>The HCIS identifiers beginning with IW describe an area near Adelaide. The HCIS identifiers beginning with KX and LX describe an area in</w:t>
      </w:r>
      <w:r w:rsidR="008F27C7">
        <w:t xml:space="preserve"> the</w:t>
      </w:r>
      <w:r>
        <w:t xml:space="preserve"> Bass Strait.</w:t>
      </w:r>
    </w:p>
    <w:p w14:paraId="49C76F22" w14:textId="0A133869" w:rsidR="00602A54" w:rsidRDefault="00602A54" w:rsidP="00602A54">
      <w:pPr>
        <w:pStyle w:val="subsection"/>
      </w:pPr>
      <w:r>
        <w:tab/>
        <w:t>(</w:t>
      </w:r>
      <w:r w:rsidR="00E16B1B">
        <w:t>4</w:t>
      </w:r>
      <w:r>
        <w:t>)</w:t>
      </w:r>
      <w:r>
        <w:tab/>
        <w:t xml:space="preserve">This section does not apply in relation to a radiocommunications transmitter to which section </w:t>
      </w:r>
      <w:r w:rsidR="00E04D95">
        <w:t>9</w:t>
      </w:r>
      <w:r>
        <w:t xml:space="preserve"> applies.</w:t>
      </w:r>
    </w:p>
    <w:p w14:paraId="103A590C" w14:textId="4932CA5A" w:rsidR="00445A58" w:rsidRDefault="00445A58" w:rsidP="00445A58">
      <w:pPr>
        <w:pStyle w:val="notetext"/>
      </w:pPr>
      <w:r w:rsidRPr="00602A54">
        <w:t>Note</w:t>
      </w:r>
      <w:r>
        <w:tab/>
        <w:t>Subsection 145(1) of the Act provides that the ACMA may refuse to include in the Register</w:t>
      </w:r>
      <w:r w:rsidR="00185690">
        <w:t xml:space="preserve"> </w:t>
      </w:r>
      <w:r>
        <w:t xml:space="preserve">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their </w:t>
      </w:r>
      <w:r w:rsidR="00F201E4">
        <w:t>2.3 G</w:t>
      </w:r>
      <w:r>
        <w:t>Hz band spectrum licence – see subsection 69(2) of the Act.</w:t>
      </w:r>
    </w:p>
    <w:p w14:paraId="563EC280" w14:textId="43749CBE" w:rsidR="008E08EC" w:rsidRDefault="00E04D95" w:rsidP="008E08EC">
      <w:pPr>
        <w:pStyle w:val="ActHead5"/>
      </w:pPr>
      <w:r>
        <w:rPr>
          <w:rStyle w:val="CharSectno"/>
        </w:rPr>
        <w:t>8</w:t>
      </w:r>
      <w:r w:rsidR="008E08EC" w:rsidRPr="004F1E24">
        <w:rPr>
          <w:rStyle w:val="CharSectno"/>
        </w:rPr>
        <w:t xml:space="preserve"> </w:t>
      </w:r>
      <w:r w:rsidR="008E08EC">
        <w:t xml:space="preserve"> Accuracy</w:t>
      </w:r>
    </w:p>
    <w:p w14:paraId="40B8894F" w14:textId="7E6EABA0" w:rsidR="008E08EC" w:rsidRDefault="008E08EC" w:rsidP="008E08EC">
      <w:pPr>
        <w:pStyle w:val="subsection"/>
      </w:pPr>
      <w:r>
        <w:tab/>
      </w:r>
      <w:r>
        <w:tab/>
        <w:t xml:space="preserve">Unless otherwise specified, the value of a </w:t>
      </w:r>
      <w:r w:rsidRPr="00043482">
        <w:t xml:space="preserve">parameter in Schedule </w:t>
      </w:r>
      <w:r w:rsidR="00E04D95" w:rsidRPr="00043482">
        <w:t>1</w:t>
      </w:r>
      <w:r w:rsidRPr="00043482">
        <w:t xml:space="preserve"> must be esti</w:t>
      </w:r>
      <w:r>
        <w:t>mated with a level of confidence not less than 95 pe</w:t>
      </w:r>
      <w:r w:rsidR="00BB5DB6">
        <w:t>r</w:t>
      </w:r>
      <w:r>
        <w:t>cent that the true value of the parameter will always remain below the requirement specified in this instrument.</w:t>
      </w:r>
    </w:p>
    <w:p w14:paraId="5D0FE880" w14:textId="79E05C1A" w:rsidR="0010352B" w:rsidRDefault="00E04D95" w:rsidP="0010352B">
      <w:pPr>
        <w:pStyle w:val="ActHead5"/>
      </w:pPr>
      <w:r>
        <w:rPr>
          <w:rStyle w:val="CharSectno"/>
        </w:rPr>
        <w:t>9</w:t>
      </w:r>
      <w:r w:rsidR="0010352B" w:rsidRPr="004F1E24">
        <w:rPr>
          <w:rStyle w:val="CharSectno"/>
        </w:rPr>
        <w:t xml:space="preserve"> </w:t>
      </w:r>
      <w:r w:rsidR="0010352B">
        <w:t xml:space="preserve"> Transitional</w:t>
      </w:r>
      <w:r w:rsidR="00A27937">
        <w:t xml:space="preserve"> – radiocommunications transmitter registered before commencement of this instrument</w:t>
      </w:r>
    </w:p>
    <w:p w14:paraId="2E53294E" w14:textId="15537AF0" w:rsidR="0010352B" w:rsidRDefault="0010352B" w:rsidP="0010352B">
      <w:pPr>
        <w:pStyle w:val="subsection"/>
      </w:pPr>
      <w:r>
        <w:tab/>
        <w:t>(1)</w:t>
      </w:r>
      <w:r>
        <w:tab/>
        <w:t>If a radiocommunications transmitter was included in the Register in relation to a</w:t>
      </w:r>
      <w:r w:rsidR="00877446">
        <w:t xml:space="preserve"> </w:t>
      </w:r>
      <w:r w:rsidR="00F0799D">
        <w:t>2.3 G</w:t>
      </w:r>
      <w:r w:rsidR="00877446">
        <w:t>Hz band</w:t>
      </w:r>
      <w:r>
        <w:t xml:space="preserve"> spectrum licence before the commencement of this </w:t>
      </w:r>
      <w:r w:rsidR="00A27937">
        <w:t>instrument</w:t>
      </w:r>
      <w:r>
        <w:t xml:space="preserve"> (</w:t>
      </w:r>
      <w:r>
        <w:rPr>
          <w:b/>
          <w:bCs/>
          <w:i/>
          <w:iCs/>
        </w:rPr>
        <w:t>relevant transmitter</w:t>
      </w:r>
      <w:r>
        <w:t>), this section applies in relation to that transmitter.</w:t>
      </w:r>
    </w:p>
    <w:p w14:paraId="476469A1" w14:textId="79870032" w:rsidR="0010352B" w:rsidRDefault="0010352B" w:rsidP="00EC1F09">
      <w:pPr>
        <w:pStyle w:val="subsection"/>
        <w:keepLines/>
        <w:rPr>
          <w:szCs w:val="22"/>
        </w:rPr>
      </w:pPr>
      <w:r>
        <w:rPr>
          <w:szCs w:val="22"/>
        </w:rPr>
        <w:tab/>
        <w:t>(2)</w:t>
      </w:r>
      <w:r>
        <w:rPr>
          <w:szCs w:val="22"/>
        </w:rPr>
        <w:tab/>
        <w:t>Subject to subsection (3), for the purposes of subsection 145(4) of the Act, a level of interference caused by a relevant transmitter is unacceptable if it would have been unacceptable under</w:t>
      </w:r>
      <w:r w:rsidR="0072368A">
        <w:rPr>
          <w:szCs w:val="22"/>
        </w:rPr>
        <w:t xml:space="preserve"> the</w:t>
      </w:r>
      <w:r>
        <w:rPr>
          <w:szCs w:val="22"/>
        </w:rPr>
        <w:t xml:space="preserve"> </w:t>
      </w:r>
      <w:r w:rsidR="00206920">
        <w:rPr>
          <w:i/>
          <w:iCs/>
          <w:szCs w:val="22"/>
        </w:rPr>
        <w:t xml:space="preserve">Radiocommunications (Unacceptable Levels of Interference – </w:t>
      </w:r>
      <w:r w:rsidR="00F0799D">
        <w:rPr>
          <w:i/>
          <w:iCs/>
          <w:szCs w:val="22"/>
        </w:rPr>
        <w:t>2.3 G</w:t>
      </w:r>
      <w:r w:rsidR="00206920">
        <w:rPr>
          <w:i/>
          <w:iCs/>
          <w:szCs w:val="22"/>
        </w:rPr>
        <w:t xml:space="preserve">Hz Band) Determination </w:t>
      </w:r>
      <w:r w:rsidR="00206920" w:rsidRPr="0030516D">
        <w:rPr>
          <w:i/>
          <w:iCs/>
          <w:szCs w:val="22"/>
        </w:rPr>
        <w:t>201</w:t>
      </w:r>
      <w:r w:rsidR="00F0799D">
        <w:rPr>
          <w:i/>
          <w:iCs/>
          <w:szCs w:val="22"/>
        </w:rPr>
        <w:t>3</w:t>
      </w:r>
      <w:r w:rsidR="00206920">
        <w:rPr>
          <w:szCs w:val="22"/>
        </w:rPr>
        <w:t xml:space="preserve">, </w:t>
      </w:r>
      <w:r w:rsidRPr="00206920">
        <w:rPr>
          <w:szCs w:val="22"/>
        </w:rPr>
        <w:t>as</w:t>
      </w:r>
      <w:r>
        <w:rPr>
          <w:szCs w:val="22"/>
        </w:rPr>
        <w:t xml:space="preserve"> in force at the time the relevant transmitter was included in the Register.</w:t>
      </w:r>
    </w:p>
    <w:p w14:paraId="72352C96" w14:textId="33317FD6" w:rsidR="0010352B" w:rsidRDefault="0010352B" w:rsidP="0010352B">
      <w:pPr>
        <w:pStyle w:val="notetext"/>
        <w:rPr>
          <w:iCs/>
        </w:rPr>
      </w:pPr>
      <w:r w:rsidRPr="00206920">
        <w:rPr>
          <w:iCs/>
        </w:rPr>
        <w:t>Note:</w:t>
      </w:r>
      <w:r>
        <w:rPr>
          <w:iCs/>
        </w:rPr>
        <w:tab/>
        <w:t>Th</w:t>
      </w:r>
      <w:r w:rsidR="00206920">
        <w:rPr>
          <w:iCs/>
        </w:rPr>
        <w:t xml:space="preserve">e </w:t>
      </w:r>
      <w:r w:rsidR="00206920">
        <w:rPr>
          <w:i/>
        </w:rPr>
        <w:t xml:space="preserve">Radiocommunications (Unacceptable Levels of Interference – </w:t>
      </w:r>
      <w:r w:rsidR="00F0799D">
        <w:rPr>
          <w:i/>
        </w:rPr>
        <w:t>2.3 G</w:t>
      </w:r>
      <w:r w:rsidR="00206920">
        <w:rPr>
          <w:i/>
        </w:rPr>
        <w:t>Hz</w:t>
      </w:r>
      <w:r w:rsidR="0030516D">
        <w:rPr>
          <w:i/>
        </w:rPr>
        <w:t xml:space="preserve"> Band) Determination 201</w:t>
      </w:r>
      <w:r w:rsidR="00F0799D">
        <w:rPr>
          <w:i/>
        </w:rPr>
        <w:t>3</w:t>
      </w:r>
      <w:r w:rsidR="0030516D">
        <w:rPr>
          <w:iCs/>
        </w:rPr>
        <w:t xml:space="preserve"> is available</w:t>
      </w:r>
      <w:r>
        <w:rPr>
          <w:iCs/>
        </w:rPr>
        <w:t>, free of charge, from the Federal Register of Legislation</w:t>
      </w:r>
      <w:r w:rsidR="00D15451">
        <w:rPr>
          <w:iCs/>
        </w:rPr>
        <w:t xml:space="preserve"> at</w:t>
      </w:r>
      <w:r>
        <w:rPr>
          <w:iCs/>
        </w:rPr>
        <w:t xml:space="preserve"> </w:t>
      </w:r>
      <w:hyperlink r:id="rId19" w:history="1">
        <w:r>
          <w:rPr>
            <w:rStyle w:val="Hyperlink"/>
            <w:iCs/>
          </w:rPr>
          <w:t>www.legislation.gov.au</w:t>
        </w:r>
      </w:hyperlink>
      <w:r>
        <w:rPr>
          <w:iCs/>
        </w:rPr>
        <w:t>.</w:t>
      </w:r>
    </w:p>
    <w:p w14:paraId="7CFC744B" w14:textId="77777777" w:rsidR="0010352B" w:rsidRDefault="0010352B" w:rsidP="0010352B">
      <w:pPr>
        <w:pStyle w:val="subsection"/>
        <w:rPr>
          <w:iCs/>
        </w:rPr>
      </w:pPr>
      <w:r>
        <w:rPr>
          <w:iCs/>
        </w:rPr>
        <w:tab/>
        <w:t>(3)</w:t>
      </w:r>
      <w:r>
        <w:rPr>
          <w:iCs/>
        </w:rPr>
        <w:tab/>
        <w:t>For the purposes of subsection 145(4) of the Act, if:</w:t>
      </w:r>
    </w:p>
    <w:p w14:paraId="7C06608C" w14:textId="7384BD53" w:rsidR="0010352B" w:rsidRPr="00BB347E" w:rsidRDefault="00AC6F8A" w:rsidP="00BB347E">
      <w:pPr>
        <w:pStyle w:val="paragraph"/>
        <w:tabs>
          <w:tab w:val="left" w:pos="2160"/>
          <w:tab w:val="left" w:pos="2880"/>
          <w:tab w:val="left" w:pos="3600"/>
          <w:tab w:val="center" w:pos="4513"/>
        </w:tabs>
      </w:pPr>
      <w:r>
        <w:tab/>
      </w:r>
      <w:r w:rsidR="0010352B" w:rsidRPr="00BB347E">
        <w:t>(a)</w:t>
      </w:r>
      <w:r w:rsidR="0010352B" w:rsidRPr="00BB347E">
        <w:tab/>
        <w:t xml:space="preserve">after the commencement of this </w:t>
      </w:r>
      <w:r w:rsidR="0030516D" w:rsidRPr="00BB347E">
        <w:t>instrument</w:t>
      </w:r>
      <w:r w:rsidR="0010352B" w:rsidRPr="00BB347E">
        <w:t>, both:</w:t>
      </w:r>
    </w:p>
    <w:p w14:paraId="1BB2CC14" w14:textId="6BF0FAAA" w:rsidR="0010352B" w:rsidRPr="00BB347E" w:rsidRDefault="00AC6F8A" w:rsidP="00BB347E">
      <w:pPr>
        <w:pStyle w:val="paragraphsub"/>
      </w:pPr>
      <w:r>
        <w:tab/>
      </w:r>
      <w:r w:rsidR="0010352B" w:rsidRPr="00BB347E">
        <w:t>(i)</w:t>
      </w:r>
      <w:r w:rsidR="0010352B" w:rsidRPr="00BB347E">
        <w:tab/>
        <w:t>a detail of a relevant transmitter changes (</w:t>
      </w:r>
      <w:r w:rsidR="0010352B" w:rsidRPr="00AC6F8A">
        <w:rPr>
          <w:b/>
          <w:bCs/>
          <w:i/>
          <w:iCs/>
        </w:rPr>
        <w:t>relevant change</w:t>
      </w:r>
      <w:r w:rsidR="0010352B" w:rsidRPr="00BB347E">
        <w:t>); and</w:t>
      </w:r>
    </w:p>
    <w:p w14:paraId="354BE06D" w14:textId="675063D1" w:rsidR="0010352B" w:rsidRPr="00BB347E" w:rsidRDefault="00AC6F8A" w:rsidP="00BB347E">
      <w:pPr>
        <w:pStyle w:val="paragraphsub"/>
      </w:pPr>
      <w:r>
        <w:lastRenderedPageBreak/>
        <w:tab/>
      </w:r>
      <w:r w:rsidR="0010352B" w:rsidRPr="00BB347E">
        <w:t>(ii)</w:t>
      </w:r>
      <w:r w:rsidR="0010352B" w:rsidRPr="00BB347E">
        <w:tab/>
        <w:t>the change to the detail is recorded in the Register; and</w:t>
      </w:r>
    </w:p>
    <w:p w14:paraId="3AED822D" w14:textId="043BBEFA" w:rsidR="0010352B" w:rsidRPr="00BB347E" w:rsidRDefault="00AC6F8A" w:rsidP="00BB347E">
      <w:pPr>
        <w:pStyle w:val="paragraph"/>
        <w:tabs>
          <w:tab w:val="left" w:pos="2160"/>
          <w:tab w:val="left" w:pos="2880"/>
          <w:tab w:val="left" w:pos="3600"/>
          <w:tab w:val="center" w:pos="4513"/>
        </w:tabs>
      </w:pPr>
      <w:r>
        <w:rPr>
          <w:color w:val="000000"/>
          <w:szCs w:val="22"/>
        </w:rPr>
        <w:tab/>
      </w:r>
      <w:r w:rsidR="0010352B">
        <w:rPr>
          <w:color w:val="000000"/>
          <w:szCs w:val="22"/>
        </w:rPr>
        <w:t>(b)</w:t>
      </w:r>
      <w:r w:rsidR="0010352B" w:rsidRPr="00BB347E">
        <w:tab/>
        <w:t xml:space="preserve">the distance of the new device boundary of the relevant transmitter is, on each radial mentioned in </w:t>
      </w:r>
      <w:r w:rsidR="007377EE">
        <w:t>item</w:t>
      </w:r>
      <w:r w:rsidR="0010352B" w:rsidRPr="00BB347E">
        <w:t xml:space="preserve"> 1 of Schedule </w:t>
      </w:r>
      <w:r w:rsidR="008859FD">
        <w:t>1</w:t>
      </w:r>
      <w:r w:rsidR="0010352B" w:rsidRPr="00BB347E">
        <w:t>, equal to or less than the distance of the old device boundary of the relevant transmitter on that radial; and</w:t>
      </w:r>
    </w:p>
    <w:p w14:paraId="44A7C440" w14:textId="54AB9722" w:rsidR="0010352B" w:rsidRPr="00BB347E" w:rsidRDefault="00AC6F8A" w:rsidP="00BB347E">
      <w:pPr>
        <w:pStyle w:val="paragraph"/>
        <w:tabs>
          <w:tab w:val="left" w:pos="2160"/>
          <w:tab w:val="left" w:pos="2880"/>
          <w:tab w:val="left" w:pos="3600"/>
          <w:tab w:val="center" w:pos="4513"/>
        </w:tabs>
      </w:pPr>
      <w:r>
        <w:tab/>
      </w:r>
      <w:r w:rsidR="0010352B" w:rsidRPr="00BB347E">
        <w:t>(c)</w:t>
      </w:r>
      <w:r w:rsidR="0010352B" w:rsidRPr="00BB347E">
        <w:tab/>
        <w:t>but for the effect of this subsection, a level of interference caused by the relevant transmitter, immediately after the change time, would be unacceptable;</w:t>
      </w:r>
    </w:p>
    <w:p w14:paraId="7320A529" w14:textId="77777777" w:rsidR="0010352B" w:rsidRDefault="0010352B" w:rsidP="0010352B">
      <w:pPr>
        <w:pStyle w:val="subsection"/>
        <w:spacing w:before="60"/>
        <w:rPr>
          <w:iCs/>
        </w:rPr>
      </w:pPr>
      <w:r>
        <w:rPr>
          <w:iCs/>
        </w:rPr>
        <w:tab/>
      </w:r>
      <w:r>
        <w:rPr>
          <w:iCs/>
        </w:rPr>
        <w:tab/>
        <w:t>the level of interference caused by the relevant transmitter, immediately after the change time, is not unacceptable because of the relevant change.</w:t>
      </w:r>
    </w:p>
    <w:p w14:paraId="6D4A64E9" w14:textId="0D70DD5E" w:rsidR="00B32892" w:rsidRDefault="00B32892" w:rsidP="00B32892">
      <w:pPr>
        <w:pStyle w:val="subsection"/>
        <w:rPr>
          <w:iCs/>
        </w:rPr>
      </w:pPr>
      <w:r>
        <w:rPr>
          <w:iCs/>
        </w:rPr>
        <w:tab/>
        <w:t>(4)</w:t>
      </w:r>
      <w:r>
        <w:rPr>
          <w:iCs/>
        </w:rPr>
        <w:tab/>
        <w:t>For the purposes of subsection 145(4) of the Act, if:</w:t>
      </w:r>
    </w:p>
    <w:p w14:paraId="5A0E39E6" w14:textId="77777777" w:rsidR="00B32892" w:rsidRPr="00BB347E" w:rsidRDefault="00B32892" w:rsidP="00B32892">
      <w:pPr>
        <w:pStyle w:val="paragraph"/>
        <w:tabs>
          <w:tab w:val="left" w:pos="2160"/>
          <w:tab w:val="left" w:pos="2880"/>
          <w:tab w:val="left" w:pos="3600"/>
          <w:tab w:val="center" w:pos="4513"/>
        </w:tabs>
      </w:pPr>
      <w:r>
        <w:tab/>
      </w:r>
      <w:r w:rsidRPr="00BB347E">
        <w:t>(a)</w:t>
      </w:r>
      <w:r w:rsidRPr="00BB347E">
        <w:tab/>
        <w:t>after the commencement of this instrument, both:</w:t>
      </w:r>
    </w:p>
    <w:p w14:paraId="6ED0251D" w14:textId="77777777" w:rsidR="00B32892" w:rsidRPr="00BB347E" w:rsidRDefault="00B32892" w:rsidP="00B32892">
      <w:pPr>
        <w:pStyle w:val="paragraphsub"/>
      </w:pPr>
      <w:r>
        <w:tab/>
      </w:r>
      <w:r w:rsidRPr="00BB347E">
        <w:t>(i)</w:t>
      </w:r>
      <w:r w:rsidRPr="00BB347E">
        <w:tab/>
        <w:t>a detail of a relevant transmitter changes (</w:t>
      </w:r>
      <w:r w:rsidRPr="00AC6F8A">
        <w:rPr>
          <w:b/>
          <w:bCs/>
          <w:i/>
          <w:iCs/>
        </w:rPr>
        <w:t>relevant change</w:t>
      </w:r>
      <w:r w:rsidRPr="00BB347E">
        <w:t>); and</w:t>
      </w:r>
    </w:p>
    <w:p w14:paraId="422CAD57" w14:textId="77777777" w:rsidR="00B32892" w:rsidRPr="00BB347E" w:rsidRDefault="00B32892" w:rsidP="00B32892">
      <w:pPr>
        <w:pStyle w:val="paragraphsub"/>
      </w:pPr>
      <w:r>
        <w:tab/>
      </w:r>
      <w:r w:rsidRPr="00BB347E">
        <w:t>(ii)</w:t>
      </w:r>
      <w:r w:rsidRPr="00BB347E">
        <w:tab/>
        <w:t>the change to the detail is recorded in the Register; and</w:t>
      </w:r>
    </w:p>
    <w:p w14:paraId="4702BA59" w14:textId="549EAD59" w:rsidR="00B32892" w:rsidRPr="00BB347E" w:rsidRDefault="00B32892" w:rsidP="00B32892">
      <w:pPr>
        <w:pStyle w:val="paragraph"/>
        <w:tabs>
          <w:tab w:val="left" w:pos="2160"/>
          <w:tab w:val="left" w:pos="2880"/>
          <w:tab w:val="left" w:pos="3600"/>
          <w:tab w:val="center" w:pos="4513"/>
        </w:tabs>
      </w:pPr>
      <w:r>
        <w:rPr>
          <w:color w:val="000000"/>
          <w:szCs w:val="22"/>
        </w:rPr>
        <w:tab/>
        <w:t>(b)</w:t>
      </w:r>
      <w:r w:rsidRPr="00BB347E">
        <w:tab/>
        <w:t xml:space="preserve">the distance of the new </w:t>
      </w:r>
      <w:r>
        <w:t xml:space="preserve">additional </w:t>
      </w:r>
      <w:r w:rsidRPr="00BB347E">
        <w:t xml:space="preserve">device boundary of the relevant transmitter is, on each radial mentioned in </w:t>
      </w:r>
      <w:r>
        <w:t>item</w:t>
      </w:r>
      <w:r w:rsidRPr="00BB347E">
        <w:t xml:space="preserve"> 1 of Schedule </w:t>
      </w:r>
      <w:r w:rsidR="008859FD">
        <w:t>1</w:t>
      </w:r>
      <w:r w:rsidRPr="00BB347E">
        <w:t xml:space="preserve">, equal to or less than the distance of the old </w:t>
      </w:r>
      <w:r>
        <w:t xml:space="preserve">additional </w:t>
      </w:r>
      <w:r w:rsidRPr="00BB347E">
        <w:t>device boundary of the relevant transmitter on that radial; and</w:t>
      </w:r>
    </w:p>
    <w:p w14:paraId="4EB3B6B5" w14:textId="77777777" w:rsidR="00B32892" w:rsidRPr="00BB347E" w:rsidRDefault="00B32892" w:rsidP="00B32892">
      <w:pPr>
        <w:pStyle w:val="paragraph"/>
        <w:tabs>
          <w:tab w:val="left" w:pos="2160"/>
          <w:tab w:val="left" w:pos="2880"/>
          <w:tab w:val="left" w:pos="3600"/>
          <w:tab w:val="center" w:pos="4513"/>
        </w:tabs>
      </w:pPr>
      <w:r>
        <w:tab/>
      </w:r>
      <w:r w:rsidRPr="00BB347E">
        <w:t>(c)</w:t>
      </w:r>
      <w:r w:rsidRPr="00BB347E">
        <w:tab/>
        <w:t>but for the effect of this subsection, a level of interference caused by the relevant transmitter, immediately after the change time, would be unacceptable;</w:t>
      </w:r>
    </w:p>
    <w:p w14:paraId="5F751771" w14:textId="77777777" w:rsidR="00B32892" w:rsidRDefault="00B32892" w:rsidP="00B32892">
      <w:pPr>
        <w:pStyle w:val="subsection"/>
        <w:spacing w:before="60"/>
        <w:rPr>
          <w:iCs/>
        </w:rPr>
      </w:pPr>
      <w:r>
        <w:rPr>
          <w:iCs/>
        </w:rPr>
        <w:tab/>
      </w:r>
      <w:r>
        <w:rPr>
          <w:iCs/>
        </w:rPr>
        <w:tab/>
        <w:t>the level of interference caused by the relevant transmitter, immediately after the change time, is not unacceptable because of the relevant change.</w:t>
      </w:r>
    </w:p>
    <w:p w14:paraId="466D14E6" w14:textId="1EDA9EF6" w:rsidR="0010352B" w:rsidRDefault="0010352B" w:rsidP="0010352B">
      <w:pPr>
        <w:pStyle w:val="subsection"/>
        <w:rPr>
          <w:iCs/>
        </w:rPr>
      </w:pPr>
      <w:r>
        <w:rPr>
          <w:iCs/>
        </w:rPr>
        <w:tab/>
        <w:t>(</w:t>
      </w:r>
      <w:r w:rsidR="00B32892">
        <w:rPr>
          <w:iCs/>
        </w:rPr>
        <w:t>5</w:t>
      </w:r>
      <w:r>
        <w:rPr>
          <w:iCs/>
        </w:rPr>
        <w:t>)</w:t>
      </w:r>
      <w:r>
        <w:rPr>
          <w:iCs/>
        </w:rPr>
        <w:tab/>
        <w:t>In subsection</w:t>
      </w:r>
      <w:r w:rsidR="00B32892">
        <w:rPr>
          <w:iCs/>
        </w:rPr>
        <w:t>s</w:t>
      </w:r>
      <w:r>
        <w:rPr>
          <w:iCs/>
        </w:rPr>
        <w:t xml:space="preserve"> (3)</w:t>
      </w:r>
      <w:r w:rsidR="00B32892">
        <w:rPr>
          <w:iCs/>
        </w:rPr>
        <w:t xml:space="preserve"> and (4)</w:t>
      </w:r>
      <w:r>
        <w:rPr>
          <w:iCs/>
        </w:rPr>
        <w:t>:</w:t>
      </w:r>
    </w:p>
    <w:p w14:paraId="61C790E5" w14:textId="77777777" w:rsidR="0010352B" w:rsidRDefault="0010352B" w:rsidP="0010352B">
      <w:pPr>
        <w:pStyle w:val="Definition"/>
      </w:pPr>
      <w:r>
        <w:rPr>
          <w:b/>
          <w:bCs/>
          <w:i/>
          <w:iCs/>
        </w:rPr>
        <w:t>change time</w:t>
      </w:r>
      <w:r>
        <w:t>, for a relevant transmitter, means the time the relevant change is recorded in the Register.</w:t>
      </w:r>
    </w:p>
    <w:p w14:paraId="2667B26C" w14:textId="3EB54107" w:rsidR="00B32892" w:rsidRDefault="00B32892" w:rsidP="00B32892">
      <w:pPr>
        <w:pStyle w:val="Definition"/>
      </w:pPr>
      <w:r>
        <w:rPr>
          <w:b/>
          <w:bCs/>
          <w:i/>
          <w:iCs/>
        </w:rPr>
        <w:t>new additional device boundary</w:t>
      </w:r>
      <w:r>
        <w:t>, of a relevant transmitter, means the additional device boundary of the transmitter established immediately after the change time, in accordance with this instrument as in force at the change time.</w:t>
      </w:r>
    </w:p>
    <w:p w14:paraId="400E9D20" w14:textId="7B0CD874" w:rsidR="0010352B" w:rsidRDefault="0010352B" w:rsidP="0010352B">
      <w:pPr>
        <w:pStyle w:val="Definition"/>
      </w:pPr>
      <w:r>
        <w:rPr>
          <w:b/>
          <w:bCs/>
          <w:i/>
          <w:iCs/>
        </w:rPr>
        <w:t>new device boundary</w:t>
      </w:r>
      <w:r>
        <w:t xml:space="preserve">, of a relevant transmitter, means the device boundary of the transmitter established immediately after the change time, in accordance with this </w:t>
      </w:r>
      <w:r w:rsidR="002D15A8">
        <w:t>instrument</w:t>
      </w:r>
      <w:r>
        <w:t xml:space="preserve"> as in force at the change time.</w:t>
      </w:r>
    </w:p>
    <w:p w14:paraId="2815FA90" w14:textId="0A8447BA" w:rsidR="00B32892" w:rsidRDefault="00B32892" w:rsidP="00B32892">
      <w:pPr>
        <w:pStyle w:val="Definition"/>
      </w:pPr>
      <w:r>
        <w:rPr>
          <w:b/>
          <w:bCs/>
          <w:i/>
          <w:iCs/>
        </w:rPr>
        <w:t>old additional device boundary</w:t>
      </w:r>
      <w:r>
        <w:t xml:space="preserve">, of a relevant transmitter, means the additional device boundary of the transmitter established immediately before the change time, in accordance with the </w:t>
      </w:r>
      <w:r>
        <w:rPr>
          <w:i/>
          <w:iCs/>
          <w:szCs w:val="22"/>
        </w:rPr>
        <w:t xml:space="preserve">Radiocommunications (Unacceptable Levels of Interference – </w:t>
      </w:r>
      <w:r w:rsidR="00F0799D">
        <w:rPr>
          <w:i/>
          <w:iCs/>
          <w:szCs w:val="22"/>
        </w:rPr>
        <w:t>2.3 G</w:t>
      </w:r>
      <w:r>
        <w:rPr>
          <w:i/>
          <w:iCs/>
          <w:szCs w:val="22"/>
        </w:rPr>
        <w:t xml:space="preserve">Hz Band) Determination </w:t>
      </w:r>
      <w:r w:rsidRPr="0030516D">
        <w:rPr>
          <w:i/>
          <w:iCs/>
          <w:szCs w:val="22"/>
        </w:rPr>
        <w:t>201</w:t>
      </w:r>
      <w:r w:rsidR="00BB5142">
        <w:rPr>
          <w:i/>
          <w:iCs/>
          <w:szCs w:val="22"/>
        </w:rPr>
        <w:t>3</w:t>
      </w:r>
      <w:r>
        <w:rPr>
          <w:szCs w:val="22"/>
        </w:rPr>
        <w:t>,</w:t>
      </w:r>
      <w:r>
        <w:t xml:space="preserve"> as in force at the registration time.</w:t>
      </w:r>
    </w:p>
    <w:p w14:paraId="0BAE98BD" w14:textId="5B5E7D05" w:rsidR="0010352B" w:rsidRDefault="0010352B" w:rsidP="0010352B">
      <w:pPr>
        <w:pStyle w:val="Definition"/>
      </w:pPr>
      <w:r>
        <w:rPr>
          <w:b/>
          <w:bCs/>
          <w:i/>
          <w:iCs/>
        </w:rPr>
        <w:t>old device boundary</w:t>
      </w:r>
      <w:r>
        <w:t>, of a relevant transmitter, means the device boundary of the transmitter established immediately before the change time, in accordance with</w:t>
      </w:r>
      <w:r w:rsidR="00DC52B1">
        <w:t xml:space="preserve"> the</w:t>
      </w:r>
      <w:r>
        <w:t xml:space="preserve"> </w:t>
      </w:r>
      <w:r w:rsidR="002D15A8">
        <w:rPr>
          <w:i/>
          <w:iCs/>
          <w:szCs w:val="22"/>
        </w:rPr>
        <w:t xml:space="preserve">Radiocommunications (Unacceptable Levels of Interference – </w:t>
      </w:r>
      <w:r w:rsidR="00F0799D">
        <w:rPr>
          <w:i/>
          <w:iCs/>
          <w:szCs w:val="22"/>
        </w:rPr>
        <w:t>2.3 GHz</w:t>
      </w:r>
      <w:r w:rsidR="002D15A8">
        <w:rPr>
          <w:i/>
          <w:iCs/>
          <w:szCs w:val="22"/>
        </w:rPr>
        <w:t xml:space="preserve"> Band) Determination </w:t>
      </w:r>
      <w:r w:rsidR="002D15A8" w:rsidRPr="0030516D">
        <w:rPr>
          <w:i/>
          <w:iCs/>
          <w:szCs w:val="22"/>
        </w:rPr>
        <w:t>201</w:t>
      </w:r>
      <w:r w:rsidR="00BB5142">
        <w:rPr>
          <w:i/>
          <w:iCs/>
          <w:szCs w:val="22"/>
        </w:rPr>
        <w:t>3</w:t>
      </w:r>
      <w:r w:rsidR="002D15A8">
        <w:rPr>
          <w:szCs w:val="22"/>
        </w:rPr>
        <w:t>,</w:t>
      </w:r>
      <w:r>
        <w:t xml:space="preserve"> as in force at the registration time.</w:t>
      </w:r>
    </w:p>
    <w:p w14:paraId="44264268" w14:textId="77777777" w:rsidR="0010352B" w:rsidRDefault="0010352B" w:rsidP="0010352B">
      <w:pPr>
        <w:pStyle w:val="Definition"/>
      </w:pPr>
      <w:r>
        <w:rPr>
          <w:b/>
          <w:bCs/>
          <w:i/>
          <w:iCs/>
        </w:rPr>
        <w:t>registration time</w:t>
      </w:r>
      <w:r>
        <w:t>, for a relevant transmitter, means the time the transmitter was included in the Register.</w:t>
      </w:r>
    </w:p>
    <w:p w14:paraId="1F6E1CCB" w14:textId="77777777" w:rsidR="001941F1" w:rsidRDefault="001941F1" w:rsidP="00086BF0">
      <w:pPr>
        <w:rPr>
          <w:rFonts w:ascii="Times New Roman" w:eastAsia="Times New Roman" w:hAnsi="Times New Roman" w:cs="Times New Roman"/>
          <w:b/>
          <w:kern w:val="28"/>
          <w:sz w:val="24"/>
          <w:szCs w:val="20"/>
          <w:lang w:eastAsia="en-AU"/>
        </w:rPr>
      </w:pPr>
    </w:p>
    <w:bookmarkEnd w:id="2"/>
    <w:p w14:paraId="725FBC0D" w14:textId="77777777" w:rsidR="00086BF0" w:rsidRDefault="00086BF0" w:rsidP="00086BF0">
      <w:pPr>
        <w:spacing w:after="0"/>
        <w:rPr>
          <w:rFonts w:ascii="Times New Roman" w:hAnsi="Times New Roman" w:cs="Times New Roman"/>
          <w:b/>
          <w:sz w:val="24"/>
          <w:szCs w:val="24"/>
        </w:rPr>
        <w:sectPr w:rsidR="00086BF0" w:rsidSect="003801F5">
          <w:headerReference w:type="even" r:id="rId20"/>
          <w:headerReference w:type="default" r:id="rId21"/>
          <w:footerReference w:type="default" r:id="rId22"/>
          <w:headerReference w:type="first" r:id="rId23"/>
          <w:pgSz w:w="11906" w:h="16838"/>
          <w:pgMar w:top="1440" w:right="1440" w:bottom="1440" w:left="1440" w:header="708" w:footer="708" w:gutter="0"/>
          <w:pgNumType w:start="2"/>
          <w:cols w:space="720"/>
        </w:sectPr>
      </w:pPr>
    </w:p>
    <w:p w14:paraId="2F2328B9" w14:textId="1AD8340A" w:rsidR="003165F5" w:rsidRPr="00A872A6" w:rsidRDefault="003165F5" w:rsidP="00267196">
      <w:pPr>
        <w:pStyle w:val="Heading1"/>
        <w:ind w:left="1843" w:hanging="1843"/>
        <w:rPr>
          <w:rStyle w:val="CharSectno"/>
          <w:rFonts w:asciiTheme="minorHAnsi" w:eastAsiaTheme="minorHAnsi" w:hAnsiTheme="minorHAnsi" w:cstheme="minorBidi"/>
          <w:b w:val="0"/>
          <w:kern w:val="0"/>
          <w:sz w:val="32"/>
          <w:szCs w:val="32"/>
          <w:lang w:eastAsia="en-US"/>
        </w:rPr>
      </w:pPr>
      <w:bookmarkStart w:id="6" w:name="_Toc65596040"/>
      <w:r w:rsidRPr="00A872A6">
        <w:rPr>
          <w:rStyle w:val="CharSectno"/>
          <w:sz w:val="32"/>
          <w:szCs w:val="32"/>
        </w:rPr>
        <w:lastRenderedPageBreak/>
        <w:t xml:space="preserve">Schedule </w:t>
      </w:r>
      <w:r w:rsidR="002B4911">
        <w:rPr>
          <w:rStyle w:val="CharSectno"/>
          <w:sz w:val="32"/>
          <w:szCs w:val="32"/>
        </w:rPr>
        <w:t>1</w:t>
      </w:r>
      <w:r w:rsidRPr="00A872A6">
        <w:rPr>
          <w:rStyle w:val="CharSectno"/>
          <w:sz w:val="32"/>
          <w:szCs w:val="32"/>
        </w:rPr>
        <w:tab/>
        <w:t xml:space="preserve">Device </w:t>
      </w:r>
      <w:bookmarkEnd w:id="6"/>
      <w:r w:rsidR="001649B7">
        <w:rPr>
          <w:rStyle w:val="CharSectno"/>
          <w:sz w:val="32"/>
          <w:szCs w:val="32"/>
        </w:rPr>
        <w:t>boundary</w:t>
      </w:r>
      <w:r w:rsidR="004028C9">
        <w:rPr>
          <w:rStyle w:val="CharSectno"/>
          <w:sz w:val="32"/>
          <w:szCs w:val="32"/>
        </w:rPr>
        <w:t xml:space="preserve"> and device boundary criterion</w:t>
      </w:r>
    </w:p>
    <w:p w14:paraId="72DE1CB1" w14:textId="17456E88" w:rsidR="003165F5" w:rsidRPr="0086190C" w:rsidRDefault="003165F5" w:rsidP="003165F5">
      <w:pPr>
        <w:pStyle w:val="subsection"/>
        <w:spacing w:before="0"/>
        <w:rPr>
          <w:sz w:val="18"/>
          <w:szCs w:val="16"/>
        </w:rPr>
      </w:pPr>
      <w:r w:rsidRPr="0086190C">
        <w:rPr>
          <w:sz w:val="18"/>
          <w:szCs w:val="16"/>
        </w:rPr>
        <w:tab/>
      </w:r>
      <w:r w:rsidRPr="0086190C">
        <w:rPr>
          <w:sz w:val="18"/>
          <w:szCs w:val="16"/>
        </w:rPr>
        <w:tab/>
        <w:t>(subsection</w:t>
      </w:r>
      <w:r w:rsidR="008B6202">
        <w:rPr>
          <w:sz w:val="18"/>
          <w:szCs w:val="16"/>
        </w:rPr>
        <w:t>s</w:t>
      </w:r>
      <w:r w:rsidRPr="0086190C">
        <w:rPr>
          <w:sz w:val="18"/>
          <w:szCs w:val="16"/>
        </w:rPr>
        <w:t xml:space="preserve"> </w:t>
      </w:r>
      <w:r>
        <w:rPr>
          <w:sz w:val="18"/>
          <w:szCs w:val="16"/>
        </w:rPr>
        <w:t>5</w:t>
      </w:r>
      <w:r w:rsidRPr="0086190C">
        <w:rPr>
          <w:sz w:val="18"/>
          <w:szCs w:val="16"/>
        </w:rPr>
        <w:t>(1)</w:t>
      </w:r>
      <w:r w:rsidR="00552C18">
        <w:rPr>
          <w:sz w:val="18"/>
          <w:szCs w:val="16"/>
        </w:rPr>
        <w:t>,</w:t>
      </w:r>
      <w:r w:rsidR="00746D87">
        <w:rPr>
          <w:sz w:val="18"/>
          <w:szCs w:val="16"/>
        </w:rPr>
        <w:t xml:space="preserve"> </w:t>
      </w:r>
      <w:r w:rsidR="002B4911">
        <w:rPr>
          <w:sz w:val="18"/>
          <w:szCs w:val="16"/>
        </w:rPr>
        <w:t>7</w:t>
      </w:r>
      <w:r w:rsidR="00A50C27">
        <w:rPr>
          <w:sz w:val="18"/>
          <w:szCs w:val="16"/>
        </w:rPr>
        <w:t>(1)</w:t>
      </w:r>
      <w:r w:rsidR="001C7D0F">
        <w:rPr>
          <w:sz w:val="18"/>
          <w:szCs w:val="16"/>
        </w:rPr>
        <w:t xml:space="preserve">, </w:t>
      </w:r>
      <w:r w:rsidR="002B4911">
        <w:rPr>
          <w:sz w:val="18"/>
          <w:szCs w:val="16"/>
        </w:rPr>
        <w:t>7</w:t>
      </w:r>
      <w:r w:rsidR="001C7D0F">
        <w:rPr>
          <w:sz w:val="18"/>
          <w:szCs w:val="16"/>
        </w:rPr>
        <w:t>(2)</w:t>
      </w:r>
      <w:r w:rsidR="00A50C27">
        <w:rPr>
          <w:sz w:val="18"/>
          <w:szCs w:val="16"/>
        </w:rPr>
        <w:t xml:space="preserve"> and </w:t>
      </w:r>
      <w:r w:rsidR="002B4911">
        <w:rPr>
          <w:sz w:val="18"/>
          <w:szCs w:val="16"/>
        </w:rPr>
        <w:t>7</w:t>
      </w:r>
      <w:r w:rsidR="00A50C27">
        <w:rPr>
          <w:sz w:val="18"/>
          <w:szCs w:val="16"/>
        </w:rPr>
        <w:t>(</w:t>
      </w:r>
      <w:r w:rsidR="001C7D0F">
        <w:rPr>
          <w:sz w:val="18"/>
          <w:szCs w:val="16"/>
        </w:rPr>
        <w:t>3</w:t>
      </w:r>
      <w:r w:rsidR="00A50C27">
        <w:rPr>
          <w:sz w:val="18"/>
          <w:szCs w:val="16"/>
        </w:rPr>
        <w:t xml:space="preserve">), </w:t>
      </w:r>
      <w:r w:rsidR="00746D87">
        <w:rPr>
          <w:sz w:val="18"/>
          <w:szCs w:val="16"/>
        </w:rPr>
        <w:t xml:space="preserve">section </w:t>
      </w:r>
      <w:r w:rsidR="002B4911">
        <w:rPr>
          <w:sz w:val="18"/>
          <w:szCs w:val="16"/>
        </w:rPr>
        <w:t xml:space="preserve">8 </w:t>
      </w:r>
      <w:r w:rsidR="00206C63">
        <w:rPr>
          <w:sz w:val="18"/>
          <w:szCs w:val="16"/>
        </w:rPr>
        <w:t>and subsection</w:t>
      </w:r>
      <w:r w:rsidR="008859FD">
        <w:rPr>
          <w:sz w:val="18"/>
          <w:szCs w:val="16"/>
        </w:rPr>
        <w:t>s</w:t>
      </w:r>
      <w:r w:rsidR="00206C63">
        <w:rPr>
          <w:sz w:val="18"/>
          <w:szCs w:val="16"/>
        </w:rPr>
        <w:t xml:space="preserve"> </w:t>
      </w:r>
      <w:r w:rsidR="00382377">
        <w:rPr>
          <w:sz w:val="18"/>
          <w:szCs w:val="16"/>
        </w:rPr>
        <w:t>9</w:t>
      </w:r>
      <w:r w:rsidR="00206C63">
        <w:rPr>
          <w:sz w:val="18"/>
          <w:szCs w:val="16"/>
        </w:rPr>
        <w:t>(3)</w:t>
      </w:r>
      <w:r w:rsidR="008859FD">
        <w:rPr>
          <w:sz w:val="18"/>
          <w:szCs w:val="16"/>
        </w:rPr>
        <w:t xml:space="preserve"> and 9(4)</w:t>
      </w:r>
      <w:r w:rsidRPr="0086190C">
        <w:rPr>
          <w:sz w:val="18"/>
          <w:szCs w:val="16"/>
        </w:rPr>
        <w:t>)</w:t>
      </w:r>
    </w:p>
    <w:p w14:paraId="4DFFAA2F" w14:textId="0B9DF307" w:rsidR="003165F5" w:rsidRPr="0086190C" w:rsidRDefault="003165F5" w:rsidP="002B34D0">
      <w:pPr>
        <w:pStyle w:val="ActHead5"/>
      </w:pPr>
      <w:r w:rsidRPr="0086190C">
        <w:t xml:space="preserve">1  Device boundary of a </w:t>
      </w:r>
      <w:r w:rsidR="00DB6BD7">
        <w:t xml:space="preserve">radiocommunications </w:t>
      </w:r>
      <w:r w:rsidRPr="0086190C">
        <w:t>transmitter</w:t>
      </w:r>
    </w:p>
    <w:p w14:paraId="6430BEE3" w14:textId="2D8212BE" w:rsidR="003165F5" w:rsidRPr="0086190C" w:rsidRDefault="002B34D0" w:rsidP="002B34D0">
      <w:pPr>
        <w:pStyle w:val="subsection"/>
        <w:rPr>
          <w:szCs w:val="22"/>
        </w:rPr>
      </w:pPr>
      <w:r>
        <w:rPr>
          <w:szCs w:val="22"/>
        </w:rPr>
        <w:tab/>
        <w:t>(1)</w:t>
      </w:r>
      <w:r w:rsidR="003165F5" w:rsidRPr="0086190C">
        <w:rPr>
          <w:szCs w:val="22"/>
        </w:rPr>
        <w:tab/>
        <w:t xml:space="preserve">The </w:t>
      </w:r>
      <w:r w:rsidR="003165F5" w:rsidRPr="008F4CB2">
        <w:rPr>
          <w:b/>
          <w:bCs/>
          <w:i/>
          <w:iCs/>
          <w:szCs w:val="22"/>
        </w:rPr>
        <w:t>device boundary</w:t>
      </w:r>
      <w:r w:rsidR="003165F5" w:rsidRPr="0086190C">
        <w:rPr>
          <w:szCs w:val="22"/>
        </w:rPr>
        <w:t xml:space="preserve"> of a single radiocommunications transmitter is established as follows:</w:t>
      </w:r>
    </w:p>
    <w:p w14:paraId="3D18074C" w14:textId="51080FE1"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1: Calculate the device boundary criterion at each </w:t>
      </w:r>
      <w:r w:rsidRPr="0086190C">
        <w:rPr>
          <w:i/>
          <w:iCs/>
          <w:sz w:val="22"/>
          <w:szCs w:val="22"/>
        </w:rPr>
        <w:t>m</w:t>
      </w:r>
      <w:r w:rsidRPr="0086190C">
        <w:rPr>
          <w:sz w:val="22"/>
          <w:szCs w:val="22"/>
        </w:rPr>
        <w:t>×</w:t>
      </w:r>
      <w:r w:rsidRPr="008252F7">
        <w:rPr>
          <w:sz w:val="22"/>
          <w:szCs w:val="22"/>
        </w:rPr>
        <w:t>100</w:t>
      </w:r>
      <w:r w:rsidRPr="0086190C">
        <w:rPr>
          <w:sz w:val="22"/>
          <w:szCs w:val="22"/>
        </w:rPr>
        <w:t xml:space="preserve"> metre increment along each of the </w:t>
      </w:r>
      <w:r w:rsidRPr="0086190C">
        <w:rPr>
          <w:i/>
          <w:iCs/>
          <w:sz w:val="22"/>
          <w:szCs w:val="22"/>
        </w:rPr>
        <w:t>n</w:t>
      </w:r>
      <w:r w:rsidRPr="0086190C">
        <w:rPr>
          <w:sz w:val="22"/>
          <w:szCs w:val="22"/>
        </w:rPr>
        <w:t>-degree radials, where:</w:t>
      </w:r>
    </w:p>
    <w:p w14:paraId="5DDCB99C" w14:textId="5DA155BD" w:rsidR="003165F5" w:rsidRPr="001F10FB" w:rsidRDefault="003165F5" w:rsidP="00FF2F89">
      <w:pPr>
        <w:pStyle w:val="paragraph"/>
        <w:tabs>
          <w:tab w:val="clear" w:pos="1531"/>
        </w:tabs>
        <w:ind w:left="2552" w:hanging="992"/>
        <w:rPr>
          <w:szCs w:val="22"/>
        </w:rPr>
      </w:pPr>
      <w:r w:rsidRPr="0086190C">
        <w:rPr>
          <w:szCs w:val="22"/>
        </w:rPr>
        <w:tab/>
      </w:r>
      <w:r w:rsidRPr="0086190C">
        <w:rPr>
          <w:b/>
          <w:bCs/>
          <w:i/>
          <w:iCs/>
          <w:szCs w:val="22"/>
        </w:rPr>
        <w:t>m</w:t>
      </w:r>
      <w:r w:rsidRPr="0086190C">
        <w:rPr>
          <w:szCs w:val="22"/>
        </w:rPr>
        <w:t xml:space="preserve"> is each of the integers </w:t>
      </w:r>
      <w:r w:rsidRPr="001F10FB">
        <w:rPr>
          <w:szCs w:val="22"/>
        </w:rPr>
        <w:t xml:space="preserve">from </w:t>
      </w:r>
      <w:r w:rsidR="00876445">
        <w:rPr>
          <w:szCs w:val="22"/>
        </w:rPr>
        <w:t>2</w:t>
      </w:r>
      <w:r w:rsidRPr="001F10FB">
        <w:rPr>
          <w:szCs w:val="22"/>
        </w:rPr>
        <w:t xml:space="preserve"> through </w:t>
      </w:r>
      <w:r w:rsidR="00876445">
        <w:rPr>
          <w:szCs w:val="22"/>
        </w:rPr>
        <w:t>1010</w:t>
      </w:r>
      <w:r w:rsidRPr="001F10FB">
        <w:rPr>
          <w:szCs w:val="22"/>
        </w:rPr>
        <w:t>; and</w:t>
      </w:r>
    </w:p>
    <w:p w14:paraId="77C98F0D" w14:textId="6899CCCC" w:rsidR="003165F5" w:rsidRPr="001F10FB" w:rsidRDefault="003165F5" w:rsidP="00FF2F89">
      <w:pPr>
        <w:pStyle w:val="paragraph"/>
        <w:tabs>
          <w:tab w:val="clear" w:pos="1531"/>
        </w:tabs>
        <w:ind w:left="2552" w:hanging="992"/>
        <w:rPr>
          <w:szCs w:val="22"/>
        </w:rPr>
      </w:pPr>
      <w:r w:rsidRPr="001F10FB">
        <w:rPr>
          <w:szCs w:val="22"/>
        </w:rPr>
        <w:tab/>
      </w:r>
      <w:r w:rsidRPr="001F10FB">
        <w:rPr>
          <w:b/>
          <w:bCs/>
          <w:i/>
          <w:iCs/>
          <w:szCs w:val="22"/>
        </w:rPr>
        <w:t>n</w:t>
      </w:r>
      <w:r w:rsidRPr="001F10FB">
        <w:rPr>
          <w:szCs w:val="22"/>
        </w:rPr>
        <w:t xml:space="preserve"> is each of the integer degrees from 0 (true north) through 359.</w:t>
      </w:r>
    </w:p>
    <w:p w14:paraId="0A81EFD2" w14:textId="09166390" w:rsidR="003165F5" w:rsidRPr="001F10FB" w:rsidRDefault="003165F5" w:rsidP="002B34D0">
      <w:pPr>
        <w:pStyle w:val="Schedulepara"/>
        <w:tabs>
          <w:tab w:val="clear" w:pos="567"/>
        </w:tabs>
        <w:spacing w:line="240" w:lineRule="auto"/>
        <w:ind w:left="1440" w:firstLine="0"/>
        <w:jc w:val="left"/>
        <w:rPr>
          <w:sz w:val="22"/>
          <w:szCs w:val="22"/>
        </w:rPr>
      </w:pPr>
      <w:r w:rsidRPr="001F10FB">
        <w:rPr>
          <w:sz w:val="22"/>
          <w:szCs w:val="22"/>
        </w:rPr>
        <w:t xml:space="preserve">Step 2: For each radial, find the latitude and longitude of the first point on the radial, moving away from the location of the </w:t>
      </w:r>
      <w:r w:rsidR="003E42A5">
        <w:rPr>
          <w:sz w:val="22"/>
          <w:szCs w:val="22"/>
        </w:rPr>
        <w:t xml:space="preserve">radiocommunications </w:t>
      </w:r>
      <w:r w:rsidRPr="001F10FB">
        <w:rPr>
          <w:sz w:val="22"/>
          <w:szCs w:val="22"/>
        </w:rPr>
        <w:t xml:space="preserve">transmitter (that is, with the lowest value of </w:t>
      </w:r>
      <w:r w:rsidRPr="001F10FB">
        <w:rPr>
          <w:i/>
          <w:iCs/>
          <w:sz w:val="22"/>
          <w:szCs w:val="22"/>
        </w:rPr>
        <w:t>m</w:t>
      </w:r>
      <w:r w:rsidRPr="001F10FB">
        <w:rPr>
          <w:sz w:val="22"/>
          <w:szCs w:val="22"/>
        </w:rPr>
        <w:t>) where either:</w:t>
      </w:r>
    </w:p>
    <w:p w14:paraId="35D9F5C6" w14:textId="59B83F72" w:rsidR="003165F5" w:rsidRPr="001F10FB" w:rsidRDefault="003165F5" w:rsidP="00FF2F89">
      <w:pPr>
        <w:pStyle w:val="paragraph"/>
        <w:tabs>
          <w:tab w:val="clear" w:pos="1531"/>
        </w:tabs>
        <w:ind w:left="2552" w:hanging="992"/>
        <w:rPr>
          <w:szCs w:val="22"/>
        </w:rPr>
      </w:pPr>
      <w:r w:rsidRPr="001F10FB">
        <w:rPr>
          <w:szCs w:val="22"/>
        </w:rPr>
        <w:t>(a)</w:t>
      </w:r>
      <w:r w:rsidRPr="001F10FB">
        <w:rPr>
          <w:szCs w:val="22"/>
        </w:rPr>
        <w:tab/>
        <w:t xml:space="preserve">the device boundary criterion, </w:t>
      </w:r>
      <w:r w:rsidRPr="00043482">
        <w:rPr>
          <w:i/>
          <w:iCs/>
          <w:szCs w:val="22"/>
        </w:rPr>
        <w:t>RP</w:t>
      </w:r>
      <w:r w:rsidR="00664623">
        <w:rPr>
          <w:szCs w:val="22"/>
        </w:rPr>
        <w:t xml:space="preserve"> – </w:t>
      </w:r>
      <w:r w:rsidRPr="00043482">
        <w:rPr>
          <w:i/>
          <w:iCs/>
          <w:szCs w:val="22"/>
        </w:rPr>
        <w:t>MP</w:t>
      </w:r>
      <w:r w:rsidRPr="001F10FB">
        <w:rPr>
          <w:szCs w:val="22"/>
        </w:rPr>
        <w:t>, is less than or equal to 0; or</w:t>
      </w:r>
    </w:p>
    <w:p w14:paraId="05B68666" w14:textId="18FFC83C" w:rsidR="003165F5" w:rsidRPr="0086190C" w:rsidRDefault="003165F5" w:rsidP="00FF2F89">
      <w:pPr>
        <w:pStyle w:val="paragraph"/>
        <w:tabs>
          <w:tab w:val="clear" w:pos="1531"/>
        </w:tabs>
        <w:ind w:left="2552" w:hanging="992"/>
        <w:rPr>
          <w:szCs w:val="22"/>
        </w:rPr>
      </w:pPr>
      <w:r w:rsidRPr="001F10FB">
        <w:rPr>
          <w:szCs w:val="22"/>
        </w:rPr>
        <w:t>(b)</w:t>
      </w:r>
      <w:r w:rsidRPr="001F10FB">
        <w:rPr>
          <w:szCs w:val="22"/>
        </w:rPr>
        <w:tab/>
      </w:r>
      <w:r w:rsidRPr="001F10FB">
        <w:rPr>
          <w:i/>
          <w:iCs/>
          <w:szCs w:val="22"/>
        </w:rPr>
        <w:t>m</w:t>
      </w:r>
      <w:r w:rsidRPr="001F10FB">
        <w:rPr>
          <w:szCs w:val="22"/>
        </w:rPr>
        <w:t xml:space="preserve"> is equal to </w:t>
      </w:r>
      <w:r w:rsidR="000F595B">
        <w:rPr>
          <w:szCs w:val="22"/>
        </w:rPr>
        <w:t>1010</w:t>
      </w:r>
      <w:r w:rsidRPr="001F10FB">
        <w:rPr>
          <w:szCs w:val="22"/>
        </w:rPr>
        <w:t>.</w:t>
      </w:r>
    </w:p>
    <w:p w14:paraId="464EA5E3" w14:textId="52D9F963"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This point is the </w:t>
      </w:r>
      <w:r w:rsidRPr="0086190C">
        <w:rPr>
          <w:b/>
          <w:bCs/>
          <w:i/>
          <w:iCs/>
          <w:sz w:val="22"/>
          <w:szCs w:val="22"/>
        </w:rPr>
        <w:t>end point</w:t>
      </w:r>
      <w:r w:rsidRPr="0086190C">
        <w:rPr>
          <w:sz w:val="22"/>
          <w:szCs w:val="22"/>
        </w:rPr>
        <w:t xml:space="preserve"> of the radial.</w:t>
      </w:r>
    </w:p>
    <w:p w14:paraId="523EBD18" w14:textId="677843C7" w:rsidR="003165F5" w:rsidRPr="0086190C" w:rsidRDefault="003165F5" w:rsidP="002B34D0">
      <w:pPr>
        <w:pStyle w:val="Schedulepara"/>
        <w:tabs>
          <w:tab w:val="clear" w:pos="567"/>
        </w:tabs>
        <w:spacing w:line="240" w:lineRule="auto"/>
        <w:ind w:left="1440" w:firstLine="0"/>
        <w:jc w:val="left"/>
        <w:rPr>
          <w:sz w:val="22"/>
          <w:szCs w:val="22"/>
        </w:rPr>
      </w:pPr>
      <w:r w:rsidRPr="0086190C">
        <w:rPr>
          <w:sz w:val="22"/>
          <w:szCs w:val="22"/>
        </w:rPr>
        <w:t xml:space="preserve">Step 3: The end point of each radial is the </w:t>
      </w:r>
      <w:r w:rsidRPr="0086190C">
        <w:rPr>
          <w:b/>
          <w:bCs/>
          <w:i/>
          <w:iCs/>
          <w:sz w:val="22"/>
          <w:szCs w:val="22"/>
        </w:rPr>
        <w:t>device boundary</w:t>
      </w:r>
      <w:r w:rsidRPr="0086190C">
        <w:rPr>
          <w:sz w:val="22"/>
          <w:szCs w:val="22"/>
        </w:rPr>
        <w:t xml:space="preserve"> of the radiocommunications transmitter connected to that radial.</w:t>
      </w:r>
    </w:p>
    <w:p w14:paraId="4BE9346F" w14:textId="5988AF0C" w:rsidR="003165F5" w:rsidRPr="0086190C" w:rsidRDefault="003165F5" w:rsidP="00390F92">
      <w:pPr>
        <w:pStyle w:val="notetext"/>
        <w:rPr>
          <w:szCs w:val="18"/>
        </w:rPr>
      </w:pPr>
      <w:r w:rsidRPr="0086190C">
        <w:rPr>
          <w:szCs w:val="18"/>
        </w:rPr>
        <w:t>Note:</w:t>
      </w:r>
      <w:r w:rsidRPr="0086190C">
        <w:rPr>
          <w:szCs w:val="18"/>
        </w:rPr>
        <w:tab/>
      </w:r>
      <w:r w:rsidRPr="00043482">
        <w:rPr>
          <w:i/>
          <w:iCs/>
          <w:szCs w:val="18"/>
        </w:rPr>
        <w:t>RP</w:t>
      </w:r>
      <w:r w:rsidR="002C10A8" w:rsidRPr="00043482">
        <w:rPr>
          <w:i/>
          <w:iCs/>
          <w:szCs w:val="18"/>
        </w:rPr>
        <w:t xml:space="preserve"> </w:t>
      </w:r>
      <w:r w:rsidR="002C10A8">
        <w:rPr>
          <w:szCs w:val="18"/>
        </w:rPr>
        <w:t xml:space="preserve">– </w:t>
      </w:r>
      <w:r w:rsidRPr="00043482">
        <w:rPr>
          <w:i/>
          <w:iCs/>
          <w:szCs w:val="18"/>
        </w:rPr>
        <w:t>MP</w:t>
      </w:r>
      <w:r w:rsidRPr="0086190C">
        <w:rPr>
          <w:szCs w:val="18"/>
        </w:rPr>
        <w:t xml:space="preserve"> (the </w:t>
      </w:r>
      <w:r w:rsidRPr="00390F92">
        <w:t>device</w:t>
      </w:r>
      <w:r w:rsidRPr="0086190C">
        <w:rPr>
          <w:szCs w:val="18"/>
        </w:rPr>
        <w:t xml:space="preserve"> boundary criterion) is calculated under </w:t>
      </w:r>
      <w:r w:rsidR="00676ADE">
        <w:rPr>
          <w:szCs w:val="18"/>
        </w:rPr>
        <w:t>item</w:t>
      </w:r>
      <w:r w:rsidRPr="0086190C">
        <w:rPr>
          <w:szCs w:val="18"/>
        </w:rPr>
        <w:t xml:space="preserve"> 2 of this Schedule.</w:t>
      </w:r>
    </w:p>
    <w:p w14:paraId="4C8D63AF" w14:textId="17121EB9" w:rsidR="003165F5" w:rsidRPr="0086190C" w:rsidRDefault="002B34D0" w:rsidP="002B34D0">
      <w:pPr>
        <w:pStyle w:val="subsection"/>
        <w:rPr>
          <w:szCs w:val="22"/>
        </w:rPr>
      </w:pPr>
      <w:r>
        <w:rPr>
          <w:szCs w:val="22"/>
        </w:rPr>
        <w:tab/>
        <w:t>(2)</w:t>
      </w:r>
      <w:r>
        <w:rPr>
          <w:szCs w:val="22"/>
        </w:rPr>
        <w:tab/>
      </w:r>
      <w:r w:rsidR="003165F5" w:rsidRPr="0086190C">
        <w:rPr>
          <w:szCs w:val="22"/>
        </w:rPr>
        <w:t xml:space="preserve">For a group of radiocommunications transmitters the </w:t>
      </w:r>
      <w:r w:rsidR="003165F5" w:rsidRPr="0086190C">
        <w:rPr>
          <w:b/>
          <w:bCs/>
          <w:i/>
          <w:iCs/>
          <w:szCs w:val="22"/>
        </w:rPr>
        <w:t>device boundary</w:t>
      </w:r>
      <w:r w:rsidR="003165F5" w:rsidRPr="0086190C">
        <w:rPr>
          <w:szCs w:val="22"/>
        </w:rPr>
        <w:t xml:space="preserve"> is calculated as if for a single radiocommunications transmitter. However, the radiated power (</w:t>
      </w:r>
      <w:r w:rsidR="003165F5" w:rsidRPr="0086190C">
        <w:rPr>
          <w:b/>
          <w:bCs/>
          <w:i/>
          <w:iCs/>
          <w:szCs w:val="22"/>
        </w:rPr>
        <w:t>RP</w:t>
      </w:r>
      <w:r w:rsidR="003165F5" w:rsidRPr="0086190C">
        <w:rPr>
          <w:szCs w:val="22"/>
        </w:rPr>
        <w:t>) for a group of radiocommunications transmitters is taken:</w:t>
      </w:r>
    </w:p>
    <w:p w14:paraId="673616D9" w14:textId="2E5E8784" w:rsidR="003165F5" w:rsidRPr="0086190C" w:rsidRDefault="002B34D0" w:rsidP="002B34D0">
      <w:pPr>
        <w:pStyle w:val="paragraph"/>
        <w:tabs>
          <w:tab w:val="left" w:pos="2160"/>
          <w:tab w:val="left" w:pos="2880"/>
          <w:tab w:val="left" w:pos="3600"/>
          <w:tab w:val="center" w:pos="4513"/>
        </w:tabs>
        <w:rPr>
          <w:szCs w:val="22"/>
        </w:rPr>
      </w:pPr>
      <w:r>
        <w:rPr>
          <w:szCs w:val="22"/>
        </w:rPr>
        <w:tab/>
      </w:r>
      <w:r w:rsidR="003165F5" w:rsidRPr="0086190C">
        <w:rPr>
          <w:szCs w:val="22"/>
        </w:rPr>
        <w:t>(a)</w:t>
      </w:r>
      <w:r w:rsidR="003165F5" w:rsidRPr="0086190C">
        <w:rPr>
          <w:szCs w:val="22"/>
        </w:rPr>
        <w:tab/>
        <w:t xml:space="preserve">to be </w:t>
      </w:r>
      <w:r w:rsidR="003165F5" w:rsidRPr="002B34D0">
        <w:t>equal</w:t>
      </w:r>
      <w:r w:rsidR="003165F5" w:rsidRPr="0086190C">
        <w:rPr>
          <w:szCs w:val="22"/>
        </w:rPr>
        <w:t xml:space="preserve"> for each bearing </w:t>
      </w:r>
      <w:r w:rsidR="003165F5" w:rsidRPr="0086190C">
        <w:rPr>
          <w:i/>
          <w:szCs w:val="22"/>
        </w:rPr>
        <w:t>σ</w:t>
      </w:r>
      <w:r w:rsidR="003165F5" w:rsidRPr="0086190C">
        <w:rPr>
          <w:i/>
          <w:szCs w:val="22"/>
          <w:vertAlign w:val="subscript"/>
        </w:rPr>
        <w:t>n</w:t>
      </w:r>
      <w:r w:rsidR="003165F5" w:rsidRPr="0086190C">
        <w:rPr>
          <w:iCs/>
          <w:szCs w:val="22"/>
        </w:rPr>
        <w:t>; and</w:t>
      </w:r>
    </w:p>
    <w:p w14:paraId="211780B7" w14:textId="3B542652" w:rsidR="003165F5" w:rsidRPr="0086190C" w:rsidRDefault="002B34D0" w:rsidP="002B34D0">
      <w:pPr>
        <w:pStyle w:val="paragraph"/>
        <w:tabs>
          <w:tab w:val="left" w:pos="2160"/>
          <w:tab w:val="left" w:pos="2880"/>
          <w:tab w:val="left" w:pos="3600"/>
          <w:tab w:val="center" w:pos="4513"/>
        </w:tabs>
        <w:rPr>
          <w:szCs w:val="22"/>
        </w:rPr>
      </w:pPr>
      <w:r>
        <w:rPr>
          <w:szCs w:val="22"/>
        </w:rPr>
        <w:tab/>
      </w:r>
      <w:r w:rsidR="003165F5" w:rsidRPr="0086190C">
        <w:rPr>
          <w:szCs w:val="22"/>
        </w:rPr>
        <w:t>(b)</w:t>
      </w:r>
      <w:r w:rsidR="003165F5" w:rsidRPr="0086190C">
        <w:rPr>
          <w:szCs w:val="22"/>
        </w:rPr>
        <w:tab/>
        <w:t xml:space="preserve">to have a value that is equal to the maximum horizontally radiated power, in any direction, </w:t>
      </w:r>
      <w:r w:rsidR="003165F5" w:rsidRPr="002B34D0">
        <w:t>of</w:t>
      </w:r>
      <w:r w:rsidR="003165F5" w:rsidRPr="0086190C">
        <w:rPr>
          <w:szCs w:val="22"/>
        </w:rPr>
        <w:t xml:space="preserve"> any of the radiocommunications transmitters in the group.</w:t>
      </w:r>
    </w:p>
    <w:p w14:paraId="1DB1A5F4" w14:textId="77777777" w:rsidR="003165F5" w:rsidRPr="0086190C" w:rsidRDefault="003165F5" w:rsidP="00390F92">
      <w:pPr>
        <w:pStyle w:val="notetext"/>
        <w:rPr>
          <w:szCs w:val="22"/>
        </w:rPr>
      </w:pPr>
      <w:r w:rsidRPr="0086190C">
        <w:rPr>
          <w:szCs w:val="18"/>
        </w:rPr>
        <w:t>Note:</w:t>
      </w:r>
      <w:r w:rsidRPr="0086190C">
        <w:rPr>
          <w:szCs w:val="18"/>
        </w:rPr>
        <w:tab/>
      </w:r>
      <w:r w:rsidRPr="00043482">
        <w:rPr>
          <w:i/>
          <w:iCs/>
          <w:szCs w:val="18"/>
        </w:rPr>
        <w:sym w:font="Symbol" w:char="F073"/>
      </w:r>
      <w:r w:rsidRPr="00D52208">
        <w:rPr>
          <w:i/>
          <w:iCs/>
          <w:szCs w:val="18"/>
          <w:vertAlign w:val="subscript"/>
        </w:rPr>
        <w:t>n</w:t>
      </w:r>
      <w:r w:rsidRPr="0086190C">
        <w:rPr>
          <w:szCs w:val="18"/>
        </w:rPr>
        <w:t xml:space="preserve"> is the bearing of the </w:t>
      </w:r>
      <w:r w:rsidRPr="0086190C">
        <w:rPr>
          <w:i/>
          <w:iCs/>
          <w:szCs w:val="18"/>
        </w:rPr>
        <w:t>n</w:t>
      </w:r>
      <w:r w:rsidRPr="0086190C">
        <w:rPr>
          <w:i/>
          <w:iCs/>
          <w:szCs w:val="18"/>
          <w:vertAlign w:val="superscript"/>
        </w:rPr>
        <w:t>th</w:t>
      </w:r>
      <w:r w:rsidRPr="0086190C">
        <w:rPr>
          <w:szCs w:val="18"/>
        </w:rPr>
        <w:t xml:space="preserve">-degree </w:t>
      </w:r>
      <w:r w:rsidRPr="00390F92">
        <w:t>radial</w:t>
      </w:r>
      <w:r w:rsidRPr="0086190C">
        <w:rPr>
          <w:szCs w:val="18"/>
        </w:rPr>
        <w:t xml:space="preserve"> for the group of radiocommunications transmitters.</w:t>
      </w:r>
    </w:p>
    <w:p w14:paraId="3997FA1F" w14:textId="543DE562" w:rsidR="00390F92" w:rsidRDefault="00390F92" w:rsidP="00390F92">
      <w:pPr>
        <w:pStyle w:val="ActHead5"/>
      </w:pPr>
      <w:r>
        <w:t>2</w:t>
      </w:r>
      <w:r w:rsidRPr="0086190C">
        <w:t xml:space="preserve">  Device boundary </w:t>
      </w:r>
      <w:r>
        <w:t>criterion</w:t>
      </w:r>
    </w:p>
    <w:p w14:paraId="602F1C7D" w14:textId="5C5A5585" w:rsidR="003165F5" w:rsidRPr="0086190C" w:rsidRDefault="00390F92" w:rsidP="009D6B29">
      <w:pPr>
        <w:pStyle w:val="subsection"/>
        <w:rPr>
          <w:szCs w:val="22"/>
        </w:rPr>
      </w:pPr>
      <w:r>
        <w:tab/>
      </w:r>
      <w:r>
        <w:tab/>
      </w:r>
      <w:r w:rsidR="003165F5" w:rsidRPr="0086190C">
        <w:rPr>
          <w:szCs w:val="22"/>
        </w:rPr>
        <w:t xml:space="preserve">The </w:t>
      </w:r>
      <w:r w:rsidR="003165F5" w:rsidRPr="00604454">
        <w:rPr>
          <w:b/>
          <w:bCs/>
          <w:i/>
          <w:iCs/>
          <w:szCs w:val="22"/>
        </w:rPr>
        <w:t>device boundary criterion</w:t>
      </w:r>
      <w:r w:rsidR="003165F5" w:rsidRPr="0086190C">
        <w:rPr>
          <w:szCs w:val="22"/>
        </w:rPr>
        <w:t xml:space="preserve"> is the value of the mathematical expression:</w:t>
      </w:r>
    </w:p>
    <w:p w14:paraId="0A64D39C" w14:textId="66D8C395" w:rsidR="003165F5" w:rsidRPr="0086190C" w:rsidRDefault="003165F5" w:rsidP="003165F5">
      <w:pPr>
        <w:pStyle w:val="Schedulepara"/>
        <w:tabs>
          <w:tab w:val="clear" w:pos="567"/>
          <w:tab w:val="right" w:pos="709"/>
        </w:tabs>
        <w:spacing w:line="240" w:lineRule="auto"/>
        <w:ind w:left="1069" w:firstLine="0"/>
        <w:jc w:val="left"/>
        <w:rPr>
          <w:sz w:val="22"/>
          <w:szCs w:val="22"/>
        </w:rPr>
      </w:pPr>
      <w:r w:rsidRPr="00043482">
        <w:rPr>
          <w:i/>
          <w:iCs/>
          <w:sz w:val="22"/>
          <w:szCs w:val="22"/>
        </w:rPr>
        <w:t>RP</w:t>
      </w:r>
      <w:r w:rsidR="00AE3DC6">
        <w:rPr>
          <w:sz w:val="22"/>
          <w:szCs w:val="22"/>
        </w:rPr>
        <w:t xml:space="preserve"> – </w:t>
      </w:r>
      <w:r w:rsidRPr="00043482">
        <w:rPr>
          <w:i/>
          <w:iCs/>
          <w:sz w:val="22"/>
          <w:szCs w:val="22"/>
        </w:rPr>
        <w:t>MP</w:t>
      </w:r>
    </w:p>
    <w:p w14:paraId="5916C63C" w14:textId="77777777" w:rsidR="003165F5" w:rsidRPr="0086190C" w:rsidRDefault="003165F5" w:rsidP="003165F5">
      <w:pPr>
        <w:pStyle w:val="Schedulepara"/>
        <w:tabs>
          <w:tab w:val="clear" w:pos="567"/>
          <w:tab w:val="right" w:pos="709"/>
        </w:tabs>
        <w:spacing w:line="240" w:lineRule="auto"/>
        <w:ind w:left="1069" w:firstLine="0"/>
        <w:jc w:val="left"/>
        <w:rPr>
          <w:sz w:val="22"/>
          <w:szCs w:val="22"/>
        </w:rPr>
      </w:pPr>
      <w:r w:rsidRPr="0086190C">
        <w:rPr>
          <w:sz w:val="22"/>
          <w:szCs w:val="22"/>
        </w:rPr>
        <w:t>where:</w:t>
      </w:r>
    </w:p>
    <w:tbl>
      <w:tblPr>
        <w:tblW w:w="7319" w:type="dxa"/>
        <w:tblInd w:w="720" w:type="dxa"/>
        <w:tblLayout w:type="fixed"/>
        <w:tblLook w:val="04A0" w:firstRow="1" w:lastRow="0" w:firstColumn="1" w:lastColumn="0" w:noHBand="0" w:noVBand="1"/>
      </w:tblPr>
      <w:tblGrid>
        <w:gridCol w:w="2365"/>
        <w:gridCol w:w="473"/>
        <w:gridCol w:w="4481"/>
      </w:tblGrid>
      <w:tr w:rsidR="003165F5" w:rsidRPr="0086190C" w14:paraId="5DEBE555" w14:textId="77777777" w:rsidTr="0075062E">
        <w:tc>
          <w:tcPr>
            <w:tcW w:w="2365" w:type="dxa"/>
          </w:tcPr>
          <w:p w14:paraId="59BFDF56" w14:textId="77777777" w:rsidR="003165F5" w:rsidRPr="0086190C" w:rsidRDefault="003165F5" w:rsidP="0075062E">
            <w:pPr>
              <w:ind w:left="993"/>
              <w:rPr>
                <w:rFonts w:ascii="Times New Roman" w:hAnsi="Times New Roman" w:cs="Times New Roman"/>
                <w:b/>
                <w:bCs/>
                <w:i/>
                <w:iCs/>
              </w:rPr>
            </w:pPr>
            <w:r w:rsidRPr="0086190C">
              <w:rPr>
                <w:rFonts w:ascii="Times New Roman" w:hAnsi="Times New Roman" w:cs="Times New Roman"/>
                <w:b/>
                <w:bCs/>
                <w:i/>
                <w:iCs/>
              </w:rPr>
              <w:t>MP</w:t>
            </w:r>
          </w:p>
        </w:tc>
        <w:tc>
          <w:tcPr>
            <w:tcW w:w="473" w:type="dxa"/>
          </w:tcPr>
          <w:p w14:paraId="30E7C387" w14:textId="77777777" w:rsidR="003165F5" w:rsidRPr="0086190C" w:rsidRDefault="003165F5" w:rsidP="0075062E">
            <w:pPr>
              <w:ind w:left="993"/>
              <w:rPr>
                <w:rFonts w:ascii="Times New Roman" w:hAnsi="Times New Roman" w:cs="Times New Roman"/>
              </w:rPr>
            </w:pPr>
            <w:r w:rsidRPr="0086190C">
              <w:rPr>
                <w:rFonts w:ascii="Times New Roman" w:hAnsi="Times New Roman" w:cs="Times New Roman"/>
              </w:rPr>
              <w:t>:</w:t>
            </w:r>
          </w:p>
        </w:tc>
        <w:tc>
          <w:tcPr>
            <w:tcW w:w="4481" w:type="dxa"/>
          </w:tcPr>
          <w:p w14:paraId="4644F15A" w14:textId="2882FB4B" w:rsidR="003165F5" w:rsidRPr="0086190C" w:rsidRDefault="003165F5" w:rsidP="0075062E">
            <w:pPr>
              <w:spacing w:after="200"/>
              <w:ind w:left="34"/>
              <w:rPr>
                <w:rFonts w:ascii="Times New Roman" w:hAnsi="Times New Roman" w:cs="Times New Roman"/>
              </w:rPr>
            </w:pPr>
            <w:r w:rsidRPr="0086190C">
              <w:rPr>
                <w:rFonts w:ascii="Times New Roman" w:hAnsi="Times New Roman" w:cs="Times New Roman"/>
              </w:rPr>
              <w:t xml:space="preserve">is </w:t>
            </w:r>
            <w:r w:rsidRPr="0086190C">
              <w:rPr>
                <w:rFonts w:ascii="Times New Roman" w:hAnsi="Times New Roman" w:cs="Times New Roman"/>
                <w:i/>
              </w:rPr>
              <w:t>PL</w:t>
            </w:r>
            <w:r w:rsidRPr="0086190C">
              <w:rPr>
                <w:rFonts w:ascii="Times New Roman" w:hAnsi="Times New Roman" w:cs="Times New Roman"/>
              </w:rPr>
              <w:t>(</w:t>
            </w:r>
            <w:r w:rsidRPr="0086190C">
              <w:rPr>
                <w:rFonts w:ascii="Times New Roman" w:hAnsi="Times New Roman" w:cs="Times New Roman"/>
                <w:i/>
              </w:rPr>
              <w:t>l</w:t>
            </w:r>
            <w:r w:rsidRPr="0086190C">
              <w:rPr>
                <w:rFonts w:ascii="Times New Roman" w:hAnsi="Times New Roman" w:cs="Times New Roman"/>
                <w:i/>
                <w:vertAlign w:val="subscript"/>
              </w:rPr>
              <w:t>mn</w:t>
            </w:r>
            <w:r w:rsidRPr="0086190C">
              <w:rPr>
                <w:rFonts w:ascii="Times New Roman" w:hAnsi="Times New Roman" w:cs="Times New Roman"/>
                <w:i/>
              </w:rPr>
              <w:t>,</w:t>
            </w:r>
            <w:r w:rsidR="002C10A8">
              <w:rPr>
                <w:rFonts w:ascii="Times New Roman" w:hAnsi="Times New Roman" w:cs="Times New Roman"/>
                <w:i/>
              </w:rPr>
              <w:t xml:space="preserve"> </w:t>
            </w:r>
            <w:r w:rsidRPr="0086190C">
              <w:rPr>
                <w:rFonts w:ascii="Times New Roman" w:hAnsi="Times New Roman" w:cs="Times New Roman"/>
                <w:i/>
              </w:rPr>
              <w:t>L</w:t>
            </w:r>
            <w:r w:rsidRPr="0086190C">
              <w:rPr>
                <w:rFonts w:ascii="Times New Roman" w:hAnsi="Times New Roman" w:cs="Times New Roman"/>
                <w:i/>
                <w:vertAlign w:val="subscript"/>
              </w:rPr>
              <w:t>mn</w:t>
            </w:r>
            <w:r w:rsidRPr="0086190C">
              <w:rPr>
                <w:rFonts w:ascii="Times New Roman" w:hAnsi="Times New Roman" w:cs="Times New Roman"/>
              </w:rPr>
              <w:t>)</w:t>
            </w:r>
            <w:r w:rsidRPr="0086190C">
              <w:rPr>
                <w:rFonts w:ascii="Times New Roman" w:hAnsi="Times New Roman" w:cs="Times New Roman"/>
                <w:i/>
              </w:rPr>
              <w:t xml:space="preserve"> + LOP – G</w:t>
            </w:r>
            <w:r w:rsidRPr="0086190C">
              <w:rPr>
                <w:rFonts w:ascii="Times New Roman" w:hAnsi="Times New Roman" w:cs="Times New Roman"/>
                <w:i/>
                <w:vertAlign w:val="subscript"/>
              </w:rPr>
              <w:t>r</w:t>
            </w:r>
            <w:r w:rsidRPr="0086190C">
              <w:rPr>
                <w:rFonts w:ascii="Times New Roman" w:hAnsi="Times New Roman" w:cs="Times New Roman"/>
              </w:rPr>
              <w:t>;</w:t>
            </w:r>
          </w:p>
        </w:tc>
      </w:tr>
      <w:tr w:rsidR="003165F5" w:rsidRPr="0086190C" w14:paraId="63296167" w14:textId="77777777" w:rsidTr="0075062E">
        <w:tc>
          <w:tcPr>
            <w:tcW w:w="2365" w:type="dxa"/>
          </w:tcPr>
          <w:p w14:paraId="3DC9CD57" w14:textId="77777777" w:rsidR="003165F5" w:rsidRPr="001F10FB" w:rsidRDefault="003165F5" w:rsidP="0075062E">
            <w:pPr>
              <w:ind w:left="993"/>
              <w:rPr>
                <w:rFonts w:ascii="Times New Roman" w:hAnsi="Times New Roman" w:cs="Times New Roman"/>
                <w:b/>
                <w:bCs/>
                <w:i/>
                <w:iCs/>
              </w:rPr>
            </w:pPr>
            <w:r w:rsidRPr="001F10FB">
              <w:rPr>
                <w:rFonts w:ascii="Times New Roman" w:hAnsi="Times New Roman" w:cs="Times New Roman"/>
                <w:b/>
                <w:bCs/>
                <w:i/>
                <w:iCs/>
              </w:rPr>
              <w:t>RP</w:t>
            </w:r>
          </w:p>
        </w:tc>
        <w:tc>
          <w:tcPr>
            <w:tcW w:w="473" w:type="dxa"/>
          </w:tcPr>
          <w:p w14:paraId="01D745D2" w14:textId="77777777" w:rsidR="003165F5" w:rsidRPr="001F10FB" w:rsidRDefault="003165F5" w:rsidP="0075062E">
            <w:pPr>
              <w:ind w:left="993"/>
              <w:rPr>
                <w:rFonts w:ascii="Times New Roman" w:hAnsi="Times New Roman" w:cs="Times New Roman"/>
              </w:rPr>
            </w:pPr>
            <w:r w:rsidRPr="001F10FB">
              <w:rPr>
                <w:rFonts w:ascii="Times New Roman" w:hAnsi="Times New Roman" w:cs="Times New Roman"/>
              </w:rPr>
              <w:t>:</w:t>
            </w:r>
          </w:p>
        </w:tc>
        <w:tc>
          <w:tcPr>
            <w:tcW w:w="4481" w:type="dxa"/>
          </w:tcPr>
          <w:p w14:paraId="3A9E3A25" w14:textId="77777777" w:rsidR="003165F5" w:rsidRPr="001F10FB" w:rsidRDefault="003165F5" w:rsidP="0075062E">
            <w:pPr>
              <w:spacing w:after="200"/>
              <w:ind w:left="34"/>
              <w:rPr>
                <w:rFonts w:ascii="Times New Roman" w:hAnsi="Times New Roman" w:cs="Times New Roman"/>
              </w:rPr>
            </w:pPr>
            <w:r w:rsidRPr="001F10FB">
              <w:rPr>
                <w:rFonts w:ascii="Times New Roman" w:hAnsi="Times New Roman" w:cs="Times New Roman"/>
              </w:rPr>
              <w:t xml:space="preserve">is the horizontally radiated power, measured in dBm EIRP per MHz, for each bearing, </w:t>
            </w:r>
            <w:r w:rsidRPr="001F10FB">
              <w:rPr>
                <w:rFonts w:ascii="Times New Roman" w:hAnsi="Times New Roman" w:cs="Times New Roman"/>
                <w:i/>
              </w:rPr>
              <w:t>σ</w:t>
            </w:r>
            <w:r w:rsidRPr="001F10FB">
              <w:rPr>
                <w:rFonts w:ascii="Times New Roman" w:hAnsi="Times New Roman" w:cs="Times New Roman"/>
                <w:i/>
                <w:vertAlign w:val="subscript"/>
              </w:rPr>
              <w:t>n</w:t>
            </w:r>
            <w:r w:rsidRPr="001F10FB">
              <w:rPr>
                <w:rFonts w:ascii="Times New Roman" w:hAnsi="Times New Roman" w:cs="Times New Roman"/>
              </w:rPr>
              <w:t xml:space="preserve">; </w:t>
            </w:r>
          </w:p>
        </w:tc>
      </w:tr>
      <w:tr w:rsidR="003165F5" w:rsidRPr="0086190C" w14:paraId="763B2F0E" w14:textId="77777777" w:rsidTr="0075062E">
        <w:tc>
          <w:tcPr>
            <w:tcW w:w="2365" w:type="dxa"/>
          </w:tcPr>
          <w:p w14:paraId="458A9398" w14:textId="28BCCCCB" w:rsidR="003165F5" w:rsidRPr="001F10FB" w:rsidRDefault="003165F5" w:rsidP="0075062E">
            <w:pPr>
              <w:ind w:left="993"/>
              <w:rPr>
                <w:rFonts w:ascii="Times New Roman" w:hAnsi="Times New Roman" w:cs="Times New Roman"/>
                <w:sz w:val="18"/>
                <w:szCs w:val="18"/>
              </w:rPr>
            </w:pPr>
            <w:r w:rsidRPr="001F10FB">
              <w:rPr>
                <w:rFonts w:ascii="Times New Roman" w:hAnsi="Times New Roman" w:cs="Times New Roman"/>
                <w:sz w:val="18"/>
                <w:szCs w:val="18"/>
              </w:rPr>
              <w:t>Note</w:t>
            </w:r>
            <w:r w:rsidR="003C5EA5">
              <w:rPr>
                <w:rFonts w:ascii="Times New Roman" w:hAnsi="Times New Roman" w:cs="Times New Roman"/>
                <w:sz w:val="18"/>
                <w:szCs w:val="18"/>
              </w:rPr>
              <w:t xml:space="preserve"> 1</w:t>
            </w:r>
            <w:r w:rsidRPr="001F10FB">
              <w:rPr>
                <w:rFonts w:ascii="Times New Roman" w:hAnsi="Times New Roman" w:cs="Times New Roman"/>
                <w:sz w:val="18"/>
                <w:szCs w:val="18"/>
              </w:rPr>
              <w:t>:</w:t>
            </w:r>
          </w:p>
        </w:tc>
        <w:tc>
          <w:tcPr>
            <w:tcW w:w="473" w:type="dxa"/>
          </w:tcPr>
          <w:p w14:paraId="704D0CA0" w14:textId="77777777" w:rsidR="003165F5" w:rsidRPr="001F10FB" w:rsidRDefault="003165F5" w:rsidP="0075062E">
            <w:pPr>
              <w:ind w:left="993"/>
              <w:rPr>
                <w:rFonts w:ascii="Times New Roman" w:hAnsi="Times New Roman" w:cs="Times New Roman"/>
                <w:sz w:val="18"/>
                <w:szCs w:val="18"/>
              </w:rPr>
            </w:pPr>
          </w:p>
        </w:tc>
        <w:tc>
          <w:tcPr>
            <w:tcW w:w="4481" w:type="dxa"/>
          </w:tcPr>
          <w:p w14:paraId="56EA513B" w14:textId="6E1DDCD8" w:rsidR="003165F5" w:rsidRPr="001F10FB" w:rsidRDefault="003165F5" w:rsidP="0075062E">
            <w:pPr>
              <w:spacing w:after="200"/>
              <w:ind w:left="34"/>
              <w:rPr>
                <w:rFonts w:ascii="Times New Roman" w:hAnsi="Times New Roman" w:cs="Times New Roman"/>
                <w:sz w:val="18"/>
                <w:szCs w:val="18"/>
              </w:rPr>
            </w:pPr>
            <w:r w:rsidRPr="001F10FB">
              <w:rPr>
                <w:rFonts w:ascii="Times New Roman" w:hAnsi="Times New Roman" w:cs="Times New Roman"/>
                <w:sz w:val="18"/>
                <w:szCs w:val="18"/>
              </w:rPr>
              <w:t xml:space="preserve">For a </w:t>
            </w:r>
            <w:r w:rsidR="00576C9A">
              <w:rPr>
                <w:rFonts w:ascii="Times New Roman" w:hAnsi="Times New Roman" w:cs="Times New Roman"/>
                <w:sz w:val="18"/>
                <w:szCs w:val="18"/>
              </w:rPr>
              <w:t xml:space="preserve">radiocommunications </w:t>
            </w:r>
            <w:r w:rsidR="00737230">
              <w:rPr>
                <w:rFonts w:ascii="Times New Roman" w:hAnsi="Times New Roman" w:cs="Times New Roman"/>
                <w:sz w:val="18"/>
                <w:szCs w:val="18"/>
              </w:rPr>
              <w:t>transmitter</w:t>
            </w:r>
            <w:r w:rsidRPr="001F10FB">
              <w:rPr>
                <w:rFonts w:ascii="Times New Roman" w:hAnsi="Times New Roman" w:cs="Times New Roman"/>
                <w:sz w:val="18"/>
                <w:szCs w:val="18"/>
              </w:rPr>
              <w:t xml:space="preserve"> with </w:t>
            </w:r>
            <w:r w:rsidR="001B686C">
              <w:rPr>
                <w:rFonts w:ascii="Times New Roman" w:hAnsi="Times New Roman" w:cs="Times New Roman"/>
                <w:sz w:val="18"/>
                <w:szCs w:val="18"/>
              </w:rPr>
              <w:t>AAS</w:t>
            </w:r>
            <w:r w:rsidRPr="001F10FB">
              <w:rPr>
                <w:rFonts w:ascii="Times New Roman" w:hAnsi="Times New Roman" w:cs="Times New Roman"/>
                <w:sz w:val="18"/>
                <w:szCs w:val="18"/>
              </w:rPr>
              <w:t>, the</w:t>
            </w:r>
            <w:r w:rsidRPr="00043482">
              <w:rPr>
                <w:rFonts w:ascii="Times New Roman" w:hAnsi="Times New Roman" w:cs="Times New Roman"/>
                <w:i/>
                <w:iCs/>
                <w:sz w:val="18"/>
                <w:szCs w:val="18"/>
              </w:rPr>
              <w:t xml:space="preserve"> RP</w:t>
            </w:r>
            <w:r w:rsidRPr="001F10FB">
              <w:rPr>
                <w:rFonts w:ascii="Times New Roman" w:hAnsi="Times New Roman" w:cs="Times New Roman"/>
                <w:sz w:val="18"/>
                <w:szCs w:val="18"/>
              </w:rPr>
              <w:t xml:space="preserve"> at bearing </w:t>
            </w:r>
            <w:r w:rsidRPr="00043482">
              <w:rPr>
                <w:rFonts w:ascii="Times New Roman" w:hAnsi="Times New Roman" w:cs="Times New Roman"/>
                <w:i/>
                <w:iCs/>
                <w:sz w:val="18"/>
                <w:szCs w:val="18"/>
              </w:rPr>
              <w:t>σ</w:t>
            </w:r>
            <w:r w:rsidRPr="00043482">
              <w:rPr>
                <w:rFonts w:ascii="Times New Roman" w:hAnsi="Times New Roman" w:cs="Times New Roman"/>
                <w:i/>
                <w:iCs/>
                <w:sz w:val="18"/>
                <w:szCs w:val="18"/>
                <w:vertAlign w:val="subscript"/>
              </w:rPr>
              <w:t>n</w:t>
            </w:r>
            <w:r w:rsidRPr="001F10FB">
              <w:rPr>
                <w:rFonts w:ascii="Times New Roman" w:hAnsi="Times New Roman" w:cs="Times New Roman"/>
                <w:sz w:val="18"/>
                <w:szCs w:val="18"/>
              </w:rPr>
              <w:t xml:space="preserve"> is defined as the sum of the gain of the antenna towards the horizontal plane and towards azimuth </w:t>
            </w:r>
            <w:r w:rsidRPr="00043482">
              <w:rPr>
                <w:rFonts w:ascii="Times New Roman" w:hAnsi="Times New Roman" w:cs="Times New Roman"/>
                <w:i/>
                <w:iCs/>
                <w:sz w:val="18"/>
                <w:szCs w:val="18"/>
              </w:rPr>
              <w:t>σ</w:t>
            </w:r>
            <w:r w:rsidRPr="00043482">
              <w:rPr>
                <w:rFonts w:ascii="Times New Roman" w:hAnsi="Times New Roman" w:cs="Times New Roman"/>
                <w:i/>
                <w:iCs/>
                <w:sz w:val="18"/>
                <w:szCs w:val="18"/>
                <w:vertAlign w:val="subscript"/>
              </w:rPr>
              <w:t>n</w:t>
            </w:r>
            <w:r w:rsidRPr="001F10FB">
              <w:rPr>
                <w:rFonts w:ascii="Times New Roman" w:hAnsi="Times New Roman" w:cs="Times New Roman"/>
                <w:sz w:val="18"/>
                <w:szCs w:val="18"/>
              </w:rPr>
              <w:t xml:space="preserve"> (dB) and the total radiated power (dBm). This allowance is based on the assumption that beam pointing angles and/or power can be controlled dynamically to ensure </w:t>
            </w:r>
            <w:r w:rsidRPr="00043482">
              <w:rPr>
                <w:rFonts w:ascii="Times New Roman" w:hAnsi="Times New Roman" w:cs="Times New Roman"/>
                <w:i/>
                <w:iCs/>
                <w:sz w:val="18"/>
                <w:szCs w:val="18"/>
              </w:rPr>
              <w:t xml:space="preserve">RP </w:t>
            </w:r>
            <w:r w:rsidRPr="001F10FB">
              <w:rPr>
                <w:rFonts w:ascii="Times New Roman" w:hAnsi="Times New Roman" w:cs="Times New Roman"/>
                <w:sz w:val="18"/>
                <w:szCs w:val="18"/>
              </w:rPr>
              <w:t>is not exceeded.</w:t>
            </w:r>
          </w:p>
        </w:tc>
      </w:tr>
      <w:tr w:rsidR="003C5EA5" w:rsidRPr="0086190C" w14:paraId="01FBD687" w14:textId="77777777" w:rsidTr="0075062E">
        <w:tc>
          <w:tcPr>
            <w:tcW w:w="2365" w:type="dxa"/>
          </w:tcPr>
          <w:p w14:paraId="36F9CB0A" w14:textId="5449A13F" w:rsidR="003C5EA5" w:rsidRPr="001F10FB" w:rsidRDefault="003C5EA5" w:rsidP="0075062E">
            <w:pPr>
              <w:ind w:left="993"/>
              <w:rPr>
                <w:rFonts w:ascii="Times New Roman" w:hAnsi="Times New Roman" w:cs="Times New Roman"/>
                <w:sz w:val="18"/>
                <w:szCs w:val="18"/>
              </w:rPr>
            </w:pPr>
            <w:r>
              <w:rPr>
                <w:rFonts w:ascii="Times New Roman" w:hAnsi="Times New Roman" w:cs="Times New Roman"/>
                <w:sz w:val="18"/>
                <w:szCs w:val="18"/>
              </w:rPr>
              <w:lastRenderedPageBreak/>
              <w:t>Note 2:</w:t>
            </w:r>
          </w:p>
        </w:tc>
        <w:tc>
          <w:tcPr>
            <w:tcW w:w="473" w:type="dxa"/>
          </w:tcPr>
          <w:p w14:paraId="27EF20F1" w14:textId="77777777" w:rsidR="003C5EA5" w:rsidRPr="001F10FB" w:rsidRDefault="003C5EA5" w:rsidP="0075062E">
            <w:pPr>
              <w:ind w:left="993"/>
              <w:rPr>
                <w:rFonts w:ascii="Times New Roman" w:hAnsi="Times New Roman" w:cs="Times New Roman"/>
                <w:sz w:val="18"/>
                <w:szCs w:val="18"/>
              </w:rPr>
            </w:pPr>
          </w:p>
        </w:tc>
        <w:tc>
          <w:tcPr>
            <w:tcW w:w="4481" w:type="dxa"/>
          </w:tcPr>
          <w:p w14:paraId="1BCF7D05" w14:textId="32985660" w:rsidR="003C5EA5" w:rsidRPr="003C5EA5" w:rsidRDefault="003C5EA5" w:rsidP="0075062E">
            <w:pPr>
              <w:spacing w:after="200"/>
              <w:ind w:left="34"/>
              <w:rPr>
                <w:rFonts w:ascii="Times New Roman" w:hAnsi="Times New Roman" w:cs="Times New Roman"/>
                <w:sz w:val="18"/>
                <w:szCs w:val="18"/>
              </w:rPr>
            </w:pPr>
            <w:r>
              <w:rPr>
                <w:rFonts w:ascii="Times New Roman" w:hAnsi="Times New Roman" w:cs="Times New Roman"/>
                <w:sz w:val="18"/>
                <w:szCs w:val="18"/>
              </w:rPr>
              <w:t xml:space="preserve">For </w:t>
            </w:r>
            <w:r w:rsidRPr="00FA76AC">
              <w:rPr>
                <w:rFonts w:ascii="Times New Roman" w:hAnsi="Times New Roman" w:cs="Times New Roman"/>
                <w:b/>
                <w:bCs/>
                <w:i/>
                <w:iCs/>
                <w:sz w:val="18"/>
                <w:szCs w:val="18"/>
              </w:rPr>
              <w:t>RP</w:t>
            </w:r>
            <w:r>
              <w:rPr>
                <w:rFonts w:ascii="Times New Roman" w:hAnsi="Times New Roman" w:cs="Times New Roman"/>
                <w:i/>
                <w:iCs/>
                <w:sz w:val="18"/>
                <w:szCs w:val="18"/>
              </w:rPr>
              <w:t xml:space="preserve"> </w:t>
            </w:r>
            <w:r>
              <w:rPr>
                <w:rFonts w:ascii="Times New Roman" w:hAnsi="Times New Roman" w:cs="Times New Roman"/>
                <w:sz w:val="18"/>
                <w:szCs w:val="18"/>
              </w:rPr>
              <w:t xml:space="preserve">for a group of </w:t>
            </w:r>
            <w:r w:rsidR="00C364CF">
              <w:rPr>
                <w:rFonts w:ascii="Times New Roman" w:hAnsi="Times New Roman" w:cs="Times New Roman"/>
                <w:sz w:val="18"/>
                <w:szCs w:val="18"/>
              </w:rPr>
              <w:t xml:space="preserve">radiocommunications </w:t>
            </w:r>
            <w:r>
              <w:rPr>
                <w:rFonts w:ascii="Times New Roman" w:hAnsi="Times New Roman" w:cs="Times New Roman"/>
                <w:sz w:val="18"/>
                <w:szCs w:val="18"/>
              </w:rPr>
              <w:t xml:space="preserve">transmitters, see </w:t>
            </w:r>
            <w:r w:rsidR="00237BA0">
              <w:rPr>
                <w:rFonts w:ascii="Times New Roman" w:hAnsi="Times New Roman" w:cs="Times New Roman"/>
                <w:sz w:val="18"/>
                <w:szCs w:val="18"/>
              </w:rPr>
              <w:t>sub</w:t>
            </w:r>
            <w:r w:rsidR="00FA76AC">
              <w:rPr>
                <w:rFonts w:ascii="Times New Roman" w:hAnsi="Times New Roman" w:cs="Times New Roman"/>
                <w:sz w:val="18"/>
                <w:szCs w:val="18"/>
              </w:rPr>
              <w:t xml:space="preserve">item </w:t>
            </w:r>
            <w:r w:rsidR="00237BA0">
              <w:rPr>
                <w:rFonts w:ascii="Times New Roman" w:hAnsi="Times New Roman" w:cs="Times New Roman"/>
                <w:sz w:val="18"/>
                <w:szCs w:val="18"/>
              </w:rPr>
              <w:t>1(</w:t>
            </w:r>
            <w:r w:rsidR="00FA76AC">
              <w:rPr>
                <w:rFonts w:ascii="Times New Roman" w:hAnsi="Times New Roman" w:cs="Times New Roman"/>
                <w:sz w:val="18"/>
                <w:szCs w:val="18"/>
              </w:rPr>
              <w:t>2</w:t>
            </w:r>
            <w:r w:rsidR="00237BA0">
              <w:rPr>
                <w:rFonts w:ascii="Times New Roman" w:hAnsi="Times New Roman" w:cs="Times New Roman"/>
                <w:sz w:val="18"/>
                <w:szCs w:val="18"/>
              </w:rPr>
              <w:t>)</w:t>
            </w:r>
            <w:r w:rsidR="00D52208">
              <w:rPr>
                <w:rFonts w:ascii="Times New Roman" w:hAnsi="Times New Roman" w:cs="Times New Roman"/>
                <w:sz w:val="18"/>
                <w:szCs w:val="18"/>
              </w:rPr>
              <w:t xml:space="preserve"> of this Schedule</w:t>
            </w:r>
            <w:r w:rsidR="00FA76AC">
              <w:rPr>
                <w:rFonts w:ascii="Times New Roman" w:hAnsi="Times New Roman" w:cs="Times New Roman"/>
                <w:sz w:val="18"/>
                <w:szCs w:val="18"/>
              </w:rPr>
              <w:t>.</w:t>
            </w:r>
          </w:p>
        </w:tc>
      </w:tr>
      <w:tr w:rsidR="00664623" w:rsidRPr="0086190C" w14:paraId="16A0BA18" w14:textId="77777777" w:rsidTr="000949DB">
        <w:tc>
          <w:tcPr>
            <w:tcW w:w="2365" w:type="dxa"/>
          </w:tcPr>
          <w:p w14:paraId="1A0855E3" w14:textId="77777777" w:rsidR="00664623" w:rsidRPr="0086190C" w:rsidRDefault="00664623" w:rsidP="000949DB">
            <w:pPr>
              <w:ind w:left="993"/>
              <w:rPr>
                <w:rFonts w:ascii="Times New Roman" w:hAnsi="Times New Roman" w:cs="Times New Roman"/>
                <w:b/>
                <w:bCs/>
                <w:i/>
              </w:rPr>
            </w:pPr>
            <w:r w:rsidRPr="0086190C">
              <w:rPr>
                <w:rFonts w:ascii="Times New Roman" w:hAnsi="Times New Roman" w:cs="Times New Roman"/>
                <w:b/>
                <w:bCs/>
                <w:i/>
              </w:rPr>
              <w:t>G</w:t>
            </w:r>
            <w:r w:rsidRPr="0086190C">
              <w:rPr>
                <w:rFonts w:ascii="Times New Roman" w:hAnsi="Times New Roman" w:cs="Times New Roman"/>
                <w:b/>
                <w:bCs/>
                <w:i/>
                <w:vertAlign w:val="subscript"/>
              </w:rPr>
              <w:t>r</w:t>
            </w:r>
          </w:p>
        </w:tc>
        <w:tc>
          <w:tcPr>
            <w:tcW w:w="473" w:type="dxa"/>
          </w:tcPr>
          <w:p w14:paraId="4CD3AB73" w14:textId="77777777" w:rsidR="00664623" w:rsidRPr="0086190C" w:rsidRDefault="00664623" w:rsidP="000949DB">
            <w:pPr>
              <w:ind w:left="993"/>
              <w:rPr>
                <w:rFonts w:ascii="Times New Roman" w:hAnsi="Times New Roman" w:cs="Times New Roman"/>
              </w:rPr>
            </w:pPr>
            <w:r w:rsidRPr="0086190C">
              <w:rPr>
                <w:rFonts w:ascii="Times New Roman" w:hAnsi="Times New Roman" w:cs="Times New Roman"/>
              </w:rPr>
              <w:t>:</w:t>
            </w:r>
          </w:p>
        </w:tc>
        <w:tc>
          <w:tcPr>
            <w:tcW w:w="4481" w:type="dxa"/>
          </w:tcPr>
          <w:p w14:paraId="6F652747" w14:textId="77777777" w:rsidR="00664623" w:rsidRPr="0086190C" w:rsidRDefault="00664623" w:rsidP="000949DB">
            <w:pPr>
              <w:spacing w:after="200"/>
              <w:ind w:left="34"/>
              <w:rPr>
                <w:rFonts w:ascii="Times New Roman" w:hAnsi="Times New Roman" w:cs="Times New Roman"/>
              </w:rPr>
            </w:pPr>
            <w:r w:rsidRPr="0086190C">
              <w:rPr>
                <w:rFonts w:ascii="Times New Roman" w:hAnsi="Times New Roman" w:cs="Times New Roman"/>
              </w:rPr>
              <w:t>is the nominal radiocommunications receiver antenna gain</w:t>
            </w:r>
            <w:r>
              <w:rPr>
                <w:rFonts w:ascii="Times New Roman" w:hAnsi="Times New Roman" w:cs="Times New Roman"/>
              </w:rPr>
              <w:t>,</w:t>
            </w:r>
            <w:r w:rsidRPr="0086190C">
              <w:rPr>
                <w:rFonts w:ascii="Times New Roman" w:hAnsi="Times New Roman" w:cs="Times New Roman"/>
              </w:rPr>
              <w:t xml:space="preserve"> including</w:t>
            </w:r>
            <w:r>
              <w:t xml:space="preserve"> </w:t>
            </w:r>
            <w:r w:rsidRPr="006D65FB">
              <w:rPr>
                <w:rFonts w:ascii="Times New Roman" w:hAnsi="Times New Roman" w:cs="Times New Roman"/>
              </w:rPr>
              <w:t>feeder loss set to 0</w:t>
            </w:r>
            <w:r>
              <w:rPr>
                <w:rFonts w:ascii="Times New Roman" w:hAnsi="Times New Roman" w:cs="Times New Roman"/>
              </w:rPr>
              <w:t> </w:t>
            </w:r>
            <w:r w:rsidRPr="006D65FB">
              <w:rPr>
                <w:rFonts w:ascii="Times New Roman" w:hAnsi="Times New Roman" w:cs="Times New Roman"/>
              </w:rPr>
              <w:t>dBi</w:t>
            </w:r>
            <w:r>
              <w:rPr>
                <w:rFonts w:ascii="Times New Roman" w:hAnsi="Times New Roman" w:cs="Times New Roman"/>
              </w:rPr>
              <w:t>;</w:t>
            </w:r>
          </w:p>
        </w:tc>
      </w:tr>
      <w:tr w:rsidR="003165F5" w:rsidRPr="0086190C" w14:paraId="14CF7649" w14:textId="77777777" w:rsidTr="0075062E">
        <w:tc>
          <w:tcPr>
            <w:tcW w:w="2365" w:type="dxa"/>
          </w:tcPr>
          <w:p w14:paraId="57891822" w14:textId="77777777" w:rsidR="003165F5" w:rsidRPr="0086190C" w:rsidRDefault="003165F5" w:rsidP="0075062E">
            <w:pPr>
              <w:keepLines/>
              <w:spacing w:line="257" w:lineRule="auto"/>
              <w:ind w:left="993"/>
              <w:rPr>
                <w:rFonts w:ascii="Times New Roman" w:hAnsi="Times New Roman" w:cs="Times New Roman"/>
                <w:b/>
                <w:bCs/>
                <w:i/>
              </w:rPr>
            </w:pPr>
            <w:r w:rsidRPr="0086190C">
              <w:rPr>
                <w:rFonts w:ascii="Times New Roman" w:hAnsi="Times New Roman" w:cs="Times New Roman"/>
                <w:b/>
                <w:bCs/>
                <w:i/>
              </w:rPr>
              <w:t>LOP</w:t>
            </w:r>
          </w:p>
        </w:tc>
        <w:tc>
          <w:tcPr>
            <w:tcW w:w="473" w:type="dxa"/>
          </w:tcPr>
          <w:p w14:paraId="416FA77E" w14:textId="77777777" w:rsidR="003165F5" w:rsidRPr="0086190C" w:rsidRDefault="003165F5" w:rsidP="0075062E">
            <w:pPr>
              <w:keepLines/>
              <w:spacing w:line="257" w:lineRule="auto"/>
              <w:ind w:left="993"/>
              <w:rPr>
                <w:rFonts w:ascii="Times New Roman" w:hAnsi="Times New Roman" w:cs="Times New Roman"/>
              </w:rPr>
            </w:pPr>
            <w:r w:rsidRPr="0086190C">
              <w:rPr>
                <w:rFonts w:ascii="Times New Roman" w:hAnsi="Times New Roman" w:cs="Times New Roman"/>
              </w:rPr>
              <w:t>:</w:t>
            </w:r>
          </w:p>
        </w:tc>
        <w:tc>
          <w:tcPr>
            <w:tcW w:w="4481" w:type="dxa"/>
          </w:tcPr>
          <w:p w14:paraId="73797020" w14:textId="5B876D3A" w:rsidR="003165F5" w:rsidRPr="0086190C" w:rsidRDefault="003165F5" w:rsidP="0075062E">
            <w:pPr>
              <w:keepLines/>
              <w:spacing w:after="200" w:line="257" w:lineRule="auto"/>
              <w:ind w:left="34"/>
              <w:rPr>
                <w:rFonts w:ascii="Times New Roman" w:hAnsi="Times New Roman" w:cs="Times New Roman"/>
              </w:rPr>
            </w:pPr>
            <w:r w:rsidRPr="0086190C">
              <w:rPr>
                <w:rFonts w:ascii="Times New Roman" w:hAnsi="Times New Roman" w:cs="Times New Roman"/>
              </w:rPr>
              <w:t xml:space="preserve">is the level of protection. For radiocommunications transmitters that incorporate </w:t>
            </w:r>
            <w:r>
              <w:rPr>
                <w:rFonts w:ascii="Times New Roman" w:hAnsi="Times New Roman" w:cs="Times New Roman"/>
              </w:rPr>
              <w:t xml:space="preserve">an </w:t>
            </w:r>
            <w:r w:rsidRPr="0086190C">
              <w:rPr>
                <w:rFonts w:ascii="Times New Roman" w:hAnsi="Times New Roman" w:cs="Times New Roman"/>
              </w:rPr>
              <w:t xml:space="preserve">AAS, the </w:t>
            </w:r>
            <w:r w:rsidRPr="0086190C">
              <w:rPr>
                <w:rFonts w:ascii="Times New Roman" w:hAnsi="Times New Roman" w:cs="Times New Roman"/>
                <w:b/>
                <w:bCs/>
                <w:i/>
                <w:iCs/>
              </w:rPr>
              <w:t>LOP</w:t>
            </w:r>
            <w:r w:rsidRPr="0086190C">
              <w:rPr>
                <w:rFonts w:ascii="Times New Roman" w:hAnsi="Times New Roman" w:cs="Times New Roman"/>
              </w:rPr>
              <w:t xml:space="preserve"> is </w:t>
            </w:r>
            <w:r w:rsidR="00B25884">
              <w:rPr>
                <w:rFonts w:ascii="Times New Roman" w:hAnsi="Times New Roman" w:cs="Times New Roman"/>
              </w:rPr>
              <w:t>-</w:t>
            </w:r>
            <w:r w:rsidR="000F595B">
              <w:rPr>
                <w:rFonts w:ascii="Times New Roman" w:hAnsi="Times New Roman" w:cs="Times New Roman"/>
              </w:rPr>
              <w:t>91.5</w:t>
            </w:r>
            <w:r w:rsidRPr="0086190C">
              <w:rPr>
                <w:rFonts w:ascii="Times New Roman" w:hAnsi="Times New Roman" w:cs="Times New Roman"/>
              </w:rPr>
              <w:t xml:space="preserve"> dBm per </w:t>
            </w:r>
            <w:r w:rsidR="000F595B">
              <w:rPr>
                <w:rFonts w:ascii="Times New Roman" w:hAnsi="Times New Roman" w:cs="Times New Roman"/>
              </w:rPr>
              <w:t>5</w:t>
            </w:r>
            <w:r w:rsidR="00DC3333">
              <w:rPr>
                <w:rFonts w:ascii="Times New Roman" w:hAnsi="Times New Roman" w:cs="Times New Roman"/>
              </w:rPr>
              <w:t xml:space="preserve"> </w:t>
            </w:r>
            <w:r w:rsidR="000F595B">
              <w:rPr>
                <w:rFonts w:ascii="Times New Roman" w:hAnsi="Times New Roman" w:cs="Times New Roman"/>
              </w:rPr>
              <w:t>M</w:t>
            </w:r>
            <w:r w:rsidRPr="0086190C">
              <w:rPr>
                <w:rFonts w:ascii="Times New Roman" w:hAnsi="Times New Roman" w:cs="Times New Roman"/>
              </w:rPr>
              <w:t xml:space="preserve">Hz. For </w:t>
            </w:r>
            <w:r>
              <w:rPr>
                <w:rFonts w:ascii="Times New Roman" w:hAnsi="Times New Roman" w:cs="Times New Roman"/>
              </w:rPr>
              <w:t xml:space="preserve">all other </w:t>
            </w:r>
            <w:r w:rsidRPr="0086190C">
              <w:rPr>
                <w:rFonts w:ascii="Times New Roman" w:hAnsi="Times New Roman" w:cs="Times New Roman"/>
              </w:rPr>
              <w:t xml:space="preserve">radiocommunications transmitters, the </w:t>
            </w:r>
            <w:r w:rsidRPr="0086190C">
              <w:rPr>
                <w:rFonts w:ascii="Times New Roman" w:hAnsi="Times New Roman" w:cs="Times New Roman"/>
                <w:b/>
                <w:bCs/>
                <w:i/>
                <w:iCs/>
              </w:rPr>
              <w:t>LOP</w:t>
            </w:r>
            <w:r w:rsidRPr="0086190C">
              <w:rPr>
                <w:rFonts w:ascii="Times New Roman" w:hAnsi="Times New Roman" w:cs="Times New Roman"/>
              </w:rPr>
              <w:t xml:space="preserve"> is </w:t>
            </w:r>
            <w:r w:rsidR="00B25884">
              <w:rPr>
                <w:rFonts w:ascii="Times New Roman" w:hAnsi="Times New Roman" w:cs="Times New Roman"/>
              </w:rPr>
              <w:t>-</w:t>
            </w:r>
            <w:r w:rsidR="000E2A67">
              <w:rPr>
                <w:rFonts w:ascii="Times New Roman" w:hAnsi="Times New Roman" w:cs="Times New Roman"/>
              </w:rPr>
              <w:t>99.5</w:t>
            </w:r>
            <w:r w:rsidRPr="0086190C">
              <w:rPr>
                <w:rFonts w:ascii="Times New Roman" w:hAnsi="Times New Roman" w:cs="Times New Roman"/>
              </w:rPr>
              <w:t xml:space="preserve"> dBm per </w:t>
            </w:r>
            <w:r w:rsidR="000E2A67">
              <w:rPr>
                <w:rFonts w:ascii="Times New Roman" w:hAnsi="Times New Roman" w:cs="Times New Roman"/>
              </w:rPr>
              <w:t>5 M</w:t>
            </w:r>
            <w:r w:rsidRPr="0086190C">
              <w:rPr>
                <w:rFonts w:ascii="Times New Roman" w:hAnsi="Times New Roman" w:cs="Times New Roman"/>
              </w:rPr>
              <w:t>Hz;</w:t>
            </w:r>
          </w:p>
        </w:tc>
      </w:tr>
      <w:tr w:rsidR="003165F5" w:rsidRPr="0086190C" w14:paraId="026FF2E4" w14:textId="77777777" w:rsidTr="0075062E">
        <w:tc>
          <w:tcPr>
            <w:tcW w:w="2365" w:type="dxa"/>
          </w:tcPr>
          <w:p w14:paraId="178ADF92" w14:textId="73A064A3" w:rsidR="003165F5" w:rsidRPr="0086190C" w:rsidRDefault="003165F5" w:rsidP="0075062E">
            <w:pPr>
              <w:ind w:left="993"/>
              <w:rPr>
                <w:rFonts w:ascii="Times New Roman" w:hAnsi="Times New Roman" w:cs="Times New Roman"/>
                <w:b/>
                <w:bCs/>
                <w:i/>
              </w:rPr>
            </w:pPr>
            <w:r w:rsidRPr="0086190C">
              <w:rPr>
                <w:rFonts w:ascii="Times New Roman" w:hAnsi="Times New Roman" w:cs="Times New Roman"/>
                <w:b/>
                <w:bCs/>
                <w:i/>
              </w:rPr>
              <w:t>PL(l</w:t>
            </w:r>
            <w:r w:rsidRPr="0086190C">
              <w:rPr>
                <w:rFonts w:ascii="Times New Roman" w:hAnsi="Times New Roman" w:cs="Times New Roman"/>
                <w:b/>
                <w:bCs/>
                <w:i/>
                <w:vertAlign w:val="subscript"/>
              </w:rPr>
              <w:t>mn</w:t>
            </w:r>
            <w:r w:rsidRPr="0086190C">
              <w:rPr>
                <w:rFonts w:ascii="Times New Roman" w:hAnsi="Times New Roman" w:cs="Times New Roman"/>
                <w:b/>
                <w:bCs/>
                <w:i/>
              </w:rPr>
              <w:t>,</w:t>
            </w:r>
            <w:r w:rsidR="002C10A8">
              <w:rPr>
                <w:rFonts w:ascii="Times New Roman" w:hAnsi="Times New Roman" w:cs="Times New Roman"/>
                <w:b/>
                <w:bCs/>
                <w:i/>
              </w:rPr>
              <w:t xml:space="preserve"> </w:t>
            </w:r>
            <w:r w:rsidRPr="0086190C">
              <w:rPr>
                <w:rFonts w:ascii="Times New Roman" w:hAnsi="Times New Roman" w:cs="Times New Roman"/>
                <w:b/>
                <w:bCs/>
                <w:i/>
              </w:rPr>
              <w:t>L</w:t>
            </w:r>
            <w:r w:rsidRPr="0086190C">
              <w:rPr>
                <w:rFonts w:ascii="Times New Roman" w:hAnsi="Times New Roman" w:cs="Times New Roman"/>
                <w:b/>
                <w:bCs/>
                <w:i/>
                <w:vertAlign w:val="subscript"/>
              </w:rPr>
              <w:t>mn</w:t>
            </w:r>
            <w:r w:rsidRPr="0086190C">
              <w:rPr>
                <w:rFonts w:ascii="Times New Roman" w:hAnsi="Times New Roman" w:cs="Times New Roman"/>
                <w:b/>
                <w:bCs/>
                <w:i/>
              </w:rPr>
              <w:t>)</w:t>
            </w:r>
          </w:p>
        </w:tc>
        <w:tc>
          <w:tcPr>
            <w:tcW w:w="473" w:type="dxa"/>
          </w:tcPr>
          <w:p w14:paraId="45AF8FB9" w14:textId="77777777" w:rsidR="003165F5" w:rsidRPr="0086190C" w:rsidRDefault="003165F5" w:rsidP="0075062E">
            <w:pPr>
              <w:ind w:left="993"/>
              <w:rPr>
                <w:rFonts w:ascii="Times New Roman" w:hAnsi="Times New Roman" w:cs="Times New Roman"/>
              </w:rPr>
            </w:pPr>
            <w:r w:rsidRPr="0086190C">
              <w:rPr>
                <w:rFonts w:ascii="Times New Roman" w:hAnsi="Times New Roman" w:cs="Times New Roman"/>
              </w:rPr>
              <w:t>:</w:t>
            </w:r>
          </w:p>
        </w:tc>
        <w:tc>
          <w:tcPr>
            <w:tcW w:w="4481" w:type="dxa"/>
          </w:tcPr>
          <w:p w14:paraId="7B298212" w14:textId="2E130407" w:rsidR="003165F5" w:rsidRPr="0086190C" w:rsidRDefault="003165F5" w:rsidP="0075062E">
            <w:pPr>
              <w:ind w:left="34"/>
              <w:rPr>
                <w:rFonts w:ascii="Times New Roman" w:hAnsi="Times New Roman" w:cs="Times New Roman"/>
              </w:rPr>
            </w:pPr>
            <w:r w:rsidRPr="0086190C">
              <w:rPr>
                <w:rFonts w:ascii="Times New Roman" w:hAnsi="Times New Roman" w:cs="Times New Roman"/>
              </w:rPr>
              <w:t xml:space="preserve">is the propagation loss (dB) (calculated under </w:t>
            </w:r>
            <w:r w:rsidR="00237BA0">
              <w:rPr>
                <w:rFonts w:ascii="Times New Roman" w:hAnsi="Times New Roman" w:cs="Times New Roman"/>
              </w:rPr>
              <w:t>item</w:t>
            </w:r>
            <w:r w:rsidRPr="0086190C">
              <w:rPr>
                <w:rFonts w:ascii="Times New Roman" w:hAnsi="Times New Roman" w:cs="Times New Roman"/>
              </w:rPr>
              <w:t xml:space="preserve"> 3 of this Schedule) of the </w:t>
            </w:r>
            <w:r w:rsidRPr="0086190C">
              <w:rPr>
                <w:rFonts w:ascii="Times New Roman" w:hAnsi="Times New Roman" w:cs="Times New Roman"/>
                <w:i/>
                <w:iCs/>
              </w:rPr>
              <w:t>m</w:t>
            </w:r>
            <w:r w:rsidRPr="0086190C">
              <w:rPr>
                <w:rFonts w:ascii="Times New Roman" w:hAnsi="Times New Roman" w:cs="Times New Roman"/>
                <w:i/>
                <w:iCs/>
                <w:vertAlign w:val="superscript"/>
              </w:rPr>
              <w:t>th</w:t>
            </w:r>
            <w:r w:rsidRPr="0086190C">
              <w:rPr>
                <w:rFonts w:ascii="Times New Roman" w:hAnsi="Times New Roman" w:cs="Times New Roman"/>
              </w:rPr>
              <w:t xml:space="preserve"> increment on the </w:t>
            </w:r>
            <w:r w:rsidRPr="0086190C">
              <w:rPr>
                <w:rFonts w:ascii="Times New Roman" w:hAnsi="Times New Roman" w:cs="Times New Roman"/>
                <w:i/>
                <w:iCs/>
              </w:rPr>
              <w:t>n</w:t>
            </w:r>
            <w:r w:rsidRPr="0086190C">
              <w:rPr>
                <w:rFonts w:ascii="Times New Roman" w:hAnsi="Times New Roman" w:cs="Times New Roman"/>
                <w:i/>
                <w:iCs/>
                <w:vertAlign w:val="superscript"/>
              </w:rPr>
              <w:t>th</w:t>
            </w:r>
            <w:r w:rsidRPr="0086190C">
              <w:rPr>
                <w:rFonts w:ascii="Times New Roman" w:hAnsi="Times New Roman" w:cs="Times New Roman"/>
              </w:rPr>
              <w:t xml:space="preserve"> radial.</w:t>
            </w:r>
          </w:p>
        </w:tc>
      </w:tr>
    </w:tbl>
    <w:p w14:paraId="4778DD2A" w14:textId="3ED0A9F6" w:rsidR="00390F92" w:rsidRDefault="00390F92" w:rsidP="00390F92">
      <w:pPr>
        <w:pStyle w:val="ActHead5"/>
      </w:pPr>
      <w:r>
        <w:t>3</w:t>
      </w:r>
      <w:r w:rsidRPr="0086190C">
        <w:t xml:space="preserve">  </w:t>
      </w:r>
      <w:r>
        <w:t>Calculation of propagation loss for device boundary criterion</w:t>
      </w:r>
    </w:p>
    <w:p w14:paraId="46974E62" w14:textId="290D3D57" w:rsidR="00DE7810" w:rsidRDefault="00DE7810" w:rsidP="00DE7810">
      <w:pPr>
        <w:pStyle w:val="subsection"/>
        <w:rPr>
          <w:szCs w:val="22"/>
        </w:rPr>
      </w:pPr>
      <w:r>
        <w:rPr>
          <w:szCs w:val="22"/>
        </w:rPr>
        <w:tab/>
        <w:t>(1)</w:t>
      </w:r>
      <w:r>
        <w:rPr>
          <w:szCs w:val="22"/>
        </w:rPr>
        <w:tab/>
        <w:t xml:space="preserve">Subject to this </w:t>
      </w:r>
      <w:r w:rsidR="00D52208">
        <w:rPr>
          <w:szCs w:val="22"/>
        </w:rPr>
        <w:t>item</w:t>
      </w:r>
      <w:r>
        <w:rPr>
          <w:szCs w:val="22"/>
        </w:rPr>
        <w:t>, t</w:t>
      </w:r>
      <w:r w:rsidRPr="00375BBA">
        <w:rPr>
          <w:szCs w:val="22"/>
        </w:rPr>
        <w:t xml:space="preserve">he </w:t>
      </w:r>
      <w:r w:rsidRPr="00424D8F">
        <w:rPr>
          <w:szCs w:val="22"/>
        </w:rPr>
        <w:t>propagation</w:t>
      </w:r>
      <w:r w:rsidRPr="00375BBA">
        <w:rPr>
          <w:szCs w:val="22"/>
        </w:rPr>
        <w:t xml:space="preserve"> loss for</w:t>
      </w:r>
      <w:r>
        <w:rPr>
          <w:szCs w:val="22"/>
        </w:rPr>
        <w:t xml:space="preserve"> a radiocommunications transmitter, at</w:t>
      </w:r>
      <w:r w:rsidRPr="00375BBA">
        <w:rPr>
          <w:szCs w:val="22"/>
        </w:rPr>
        <w:t xml:space="preserve"> the </w:t>
      </w:r>
      <w:r w:rsidRPr="00375BBA">
        <w:rPr>
          <w:i/>
          <w:iCs/>
          <w:szCs w:val="22"/>
        </w:rPr>
        <w:t>m</w:t>
      </w:r>
      <w:r w:rsidRPr="00375BBA">
        <w:rPr>
          <w:i/>
          <w:iCs/>
          <w:szCs w:val="22"/>
          <w:vertAlign w:val="superscript"/>
        </w:rPr>
        <w:t>th</w:t>
      </w:r>
      <w:r w:rsidRPr="00375BBA">
        <w:rPr>
          <w:szCs w:val="22"/>
        </w:rPr>
        <w:t xml:space="preserve"> increment on the </w:t>
      </w:r>
      <w:r w:rsidRPr="00375BBA">
        <w:rPr>
          <w:i/>
          <w:iCs/>
          <w:szCs w:val="22"/>
        </w:rPr>
        <w:t>n</w:t>
      </w:r>
      <w:r w:rsidRPr="00375BBA">
        <w:rPr>
          <w:i/>
          <w:iCs/>
          <w:szCs w:val="22"/>
          <w:vertAlign w:val="superscript"/>
        </w:rPr>
        <w:t>th</w:t>
      </w:r>
      <w:r w:rsidRPr="00375BBA">
        <w:rPr>
          <w:szCs w:val="22"/>
        </w:rPr>
        <w:t xml:space="preserve"> radial (</w:t>
      </w:r>
      <w:r w:rsidRPr="00375BBA">
        <w:rPr>
          <w:i/>
          <w:szCs w:val="22"/>
        </w:rPr>
        <w:t>PL(l</w:t>
      </w:r>
      <w:r w:rsidRPr="00375BBA">
        <w:rPr>
          <w:i/>
          <w:szCs w:val="22"/>
          <w:vertAlign w:val="subscript"/>
        </w:rPr>
        <w:t>mn</w:t>
      </w:r>
      <w:r w:rsidRPr="00375BBA">
        <w:rPr>
          <w:i/>
          <w:szCs w:val="22"/>
        </w:rPr>
        <w:t>, L</w:t>
      </w:r>
      <w:r w:rsidRPr="00375BBA">
        <w:rPr>
          <w:i/>
          <w:szCs w:val="22"/>
          <w:vertAlign w:val="subscript"/>
        </w:rPr>
        <w:t>m</w:t>
      </w:r>
      <w:r>
        <w:rPr>
          <w:i/>
          <w:szCs w:val="22"/>
          <w:vertAlign w:val="subscript"/>
        </w:rPr>
        <w:t>n</w:t>
      </w:r>
      <w:r w:rsidRPr="00375BBA">
        <w:rPr>
          <w:i/>
          <w:szCs w:val="22"/>
        </w:rPr>
        <w:t>)</w:t>
      </w:r>
      <w:r w:rsidRPr="00375BBA">
        <w:rPr>
          <w:iCs/>
          <w:szCs w:val="22"/>
        </w:rPr>
        <w:t>)</w:t>
      </w:r>
      <w:r>
        <w:rPr>
          <w:iCs/>
          <w:szCs w:val="22"/>
        </w:rPr>
        <w:t xml:space="preserve"> is calculated using</w:t>
      </w:r>
      <w:r w:rsidRPr="00375BBA">
        <w:rPr>
          <w:szCs w:val="22"/>
        </w:rPr>
        <w:t>:</w:t>
      </w:r>
    </w:p>
    <w:p w14:paraId="35A6E1B0" w14:textId="113C3F2E" w:rsidR="00DE7810" w:rsidRDefault="00DE7810" w:rsidP="00DE7810">
      <w:pPr>
        <w:pStyle w:val="paragraph"/>
        <w:tabs>
          <w:tab w:val="left" w:pos="2160"/>
          <w:tab w:val="left" w:pos="2880"/>
          <w:tab w:val="left" w:pos="3600"/>
          <w:tab w:val="center" w:pos="4513"/>
        </w:tabs>
        <w:rPr>
          <w:szCs w:val="22"/>
        </w:rPr>
      </w:pPr>
      <w:r>
        <w:rPr>
          <w:szCs w:val="22"/>
        </w:rPr>
        <w:tab/>
        <w:t>(a)</w:t>
      </w:r>
      <w:r>
        <w:rPr>
          <w:szCs w:val="22"/>
        </w:rPr>
        <w:tab/>
        <w:t>for a transmitter connected to an antenna that is located more than 6 metres above ground level – the method and parameters set out in section 2.2 of Recommendation ITU-R P.525-4 and section 4.5.2 of Recommendation ITU-R P.526-15;</w:t>
      </w:r>
      <w:r w:rsidR="00D52208">
        <w:rPr>
          <w:szCs w:val="22"/>
        </w:rPr>
        <w:t xml:space="preserve"> or</w:t>
      </w:r>
    </w:p>
    <w:p w14:paraId="5E2CFFD7" w14:textId="3ABAB5B1" w:rsidR="00DE7810" w:rsidRPr="00043482" w:rsidRDefault="00DE7810" w:rsidP="00DE7810">
      <w:pPr>
        <w:pStyle w:val="paragraph"/>
        <w:tabs>
          <w:tab w:val="left" w:pos="2160"/>
          <w:tab w:val="left" w:pos="2880"/>
          <w:tab w:val="left" w:pos="3600"/>
          <w:tab w:val="center" w:pos="4513"/>
        </w:tabs>
        <w:rPr>
          <w:szCs w:val="22"/>
        </w:rPr>
      </w:pPr>
      <w:r>
        <w:rPr>
          <w:szCs w:val="22"/>
        </w:rPr>
        <w:tab/>
        <w:t>(b)</w:t>
      </w:r>
      <w:r>
        <w:rPr>
          <w:szCs w:val="22"/>
        </w:rPr>
        <w:tab/>
        <w:t xml:space="preserve">for a transmitter connected to </w:t>
      </w:r>
      <w:r w:rsidR="00D75099">
        <w:rPr>
          <w:szCs w:val="22"/>
        </w:rPr>
        <w:t xml:space="preserve">an </w:t>
      </w:r>
      <w:r>
        <w:rPr>
          <w:szCs w:val="22"/>
        </w:rPr>
        <w:t xml:space="preserve">antenna that is located 6 metres above ground level, or lower – the method and parameters set out in section 2.2 of Recommendation ITU-R P.525-4 </w:t>
      </w:r>
      <w:r w:rsidRPr="00043482">
        <w:rPr>
          <w:szCs w:val="22"/>
        </w:rPr>
        <w:t>and section 3 of Recommendation ITU-R P.2108-0.</w:t>
      </w:r>
    </w:p>
    <w:p w14:paraId="7F5FD250" w14:textId="77777777" w:rsidR="00DE7810" w:rsidRPr="00043482" w:rsidRDefault="00DE7810" w:rsidP="00DE7810">
      <w:pPr>
        <w:pStyle w:val="subsection"/>
        <w:rPr>
          <w:szCs w:val="22"/>
        </w:rPr>
      </w:pPr>
      <w:r w:rsidRPr="00043482">
        <w:rPr>
          <w:szCs w:val="22"/>
        </w:rPr>
        <w:tab/>
        <w:t>(2)</w:t>
      </w:r>
      <w:r w:rsidRPr="00043482">
        <w:rPr>
          <w:szCs w:val="22"/>
        </w:rPr>
        <w:tab/>
        <w:t>For the purposes of using the method set out in section 4.5.2 of Recommendation ITU-R P.526-15:</w:t>
      </w:r>
    </w:p>
    <w:p w14:paraId="1A1446E5" w14:textId="65764DD4" w:rsidR="00DE7810" w:rsidRPr="00043482" w:rsidRDefault="00DE7810" w:rsidP="00DE7810">
      <w:pPr>
        <w:pStyle w:val="paragraph"/>
        <w:tabs>
          <w:tab w:val="left" w:pos="2160"/>
          <w:tab w:val="left" w:pos="2880"/>
          <w:tab w:val="left" w:pos="3600"/>
          <w:tab w:val="center" w:pos="4513"/>
        </w:tabs>
        <w:rPr>
          <w:szCs w:val="22"/>
        </w:rPr>
      </w:pPr>
      <w:r w:rsidRPr="00043482">
        <w:rPr>
          <w:szCs w:val="22"/>
        </w:rPr>
        <w:tab/>
        <w:t>(a)</w:t>
      </w:r>
      <w:r w:rsidRPr="00043482">
        <w:rPr>
          <w:szCs w:val="22"/>
        </w:rPr>
        <w:tab/>
        <w:t xml:space="preserve">the height of the nominal </w:t>
      </w:r>
      <w:r w:rsidR="0097270F" w:rsidRPr="00043482">
        <w:rPr>
          <w:szCs w:val="22"/>
        </w:rPr>
        <w:t xml:space="preserve">radiocommunications </w:t>
      </w:r>
      <w:r w:rsidRPr="00043482">
        <w:rPr>
          <w:szCs w:val="22"/>
        </w:rPr>
        <w:t>receiver is taken to be 5 metres above ground level;</w:t>
      </w:r>
      <w:r w:rsidR="00D75099" w:rsidRPr="00043482">
        <w:rPr>
          <w:szCs w:val="22"/>
        </w:rPr>
        <w:t xml:space="preserve"> and</w:t>
      </w:r>
    </w:p>
    <w:p w14:paraId="16F06E2D" w14:textId="0D5C4D40" w:rsidR="00DE7810" w:rsidRPr="00043482" w:rsidRDefault="00DE7810" w:rsidP="00DE7810">
      <w:pPr>
        <w:pStyle w:val="paragraph"/>
        <w:tabs>
          <w:tab w:val="left" w:pos="2160"/>
          <w:tab w:val="left" w:pos="2880"/>
          <w:tab w:val="left" w:pos="3600"/>
          <w:tab w:val="center" w:pos="4513"/>
        </w:tabs>
        <w:rPr>
          <w:szCs w:val="22"/>
        </w:rPr>
      </w:pPr>
      <w:r w:rsidRPr="00043482">
        <w:rPr>
          <w:szCs w:val="22"/>
        </w:rPr>
        <w:tab/>
        <w:t>(b)</w:t>
      </w:r>
      <w:r w:rsidRPr="00043482">
        <w:rPr>
          <w:szCs w:val="22"/>
        </w:rPr>
        <w:tab/>
        <w:t xml:space="preserve">the height of the transmitter above ground level is </w:t>
      </w:r>
      <w:r w:rsidR="00ED5487" w:rsidRPr="00043482">
        <w:rPr>
          <w:szCs w:val="22"/>
        </w:rPr>
        <w:t>the height of the</w:t>
      </w:r>
      <w:r w:rsidR="00F03673" w:rsidRPr="00043482">
        <w:rPr>
          <w:szCs w:val="22"/>
        </w:rPr>
        <w:t xml:space="preserve"> antenna for the</w:t>
      </w:r>
      <w:r w:rsidR="00ED5487" w:rsidRPr="00043482">
        <w:rPr>
          <w:szCs w:val="22"/>
        </w:rPr>
        <w:t xml:space="preserve"> transmitter</w:t>
      </w:r>
      <w:r w:rsidRPr="00043482">
        <w:rPr>
          <w:szCs w:val="22"/>
        </w:rPr>
        <w:t>; and</w:t>
      </w:r>
    </w:p>
    <w:p w14:paraId="74A41269" w14:textId="20402890" w:rsidR="00FC0B6B" w:rsidRPr="00043482" w:rsidRDefault="00DE7810" w:rsidP="00043482">
      <w:pPr>
        <w:pStyle w:val="paragraph"/>
        <w:tabs>
          <w:tab w:val="left" w:pos="2160"/>
          <w:tab w:val="left" w:pos="2880"/>
          <w:tab w:val="left" w:pos="3600"/>
          <w:tab w:val="center" w:pos="4513"/>
        </w:tabs>
        <w:rPr>
          <w:szCs w:val="22"/>
        </w:rPr>
      </w:pPr>
      <w:r w:rsidRPr="00043482">
        <w:rPr>
          <w:szCs w:val="22"/>
        </w:rPr>
        <w:tab/>
        <w:t>(c)</w:t>
      </w:r>
      <w:r w:rsidRPr="00043482">
        <w:rPr>
          <w:szCs w:val="22"/>
        </w:rPr>
        <w:tab/>
        <w:t>the height of a profile point is the average ground height of that point.</w:t>
      </w:r>
    </w:p>
    <w:p w14:paraId="695B02B2" w14:textId="1AF2EE13" w:rsidR="00DE7810" w:rsidRDefault="00DE7810" w:rsidP="00DE7810">
      <w:pPr>
        <w:pStyle w:val="subsection"/>
        <w:rPr>
          <w:szCs w:val="22"/>
        </w:rPr>
      </w:pPr>
      <w:r w:rsidRPr="00043482">
        <w:rPr>
          <w:szCs w:val="22"/>
        </w:rPr>
        <w:tab/>
        <w:t>(3)</w:t>
      </w:r>
      <w:r w:rsidRPr="00043482">
        <w:rPr>
          <w:szCs w:val="22"/>
        </w:rPr>
        <w:tab/>
        <w:t>For the purposes of using the method set out in section 4.5.2 of Recommendation</w:t>
      </w:r>
      <w:r>
        <w:rPr>
          <w:szCs w:val="22"/>
        </w:rPr>
        <w:t xml:space="preserve"> ITU-R P.526-15:</w:t>
      </w:r>
    </w:p>
    <w:p w14:paraId="638344C6" w14:textId="77777777" w:rsidR="00DE7810" w:rsidRDefault="00DE7810" w:rsidP="00DE7810">
      <w:pPr>
        <w:pStyle w:val="paragraph"/>
        <w:tabs>
          <w:tab w:val="left" w:pos="2160"/>
          <w:tab w:val="left" w:pos="2880"/>
          <w:tab w:val="left" w:pos="3600"/>
          <w:tab w:val="center" w:pos="4513"/>
        </w:tabs>
        <w:rPr>
          <w:szCs w:val="22"/>
        </w:rPr>
      </w:pPr>
      <w:r>
        <w:rPr>
          <w:szCs w:val="22"/>
        </w:rPr>
        <w:tab/>
        <w:t>(a)</w:t>
      </w:r>
      <w:r>
        <w:rPr>
          <w:szCs w:val="22"/>
        </w:rPr>
        <w:tab/>
        <w:t>the path profile in that method must be developed by sampling the DEM-3S at 100 metre increments along each radial; and</w:t>
      </w:r>
    </w:p>
    <w:p w14:paraId="3DF23F2A" w14:textId="412FC318" w:rsidR="00DE7810" w:rsidRDefault="00DE7810" w:rsidP="00DE7810">
      <w:pPr>
        <w:pStyle w:val="paragraph"/>
        <w:tabs>
          <w:tab w:val="left" w:pos="2160"/>
          <w:tab w:val="left" w:pos="2880"/>
          <w:tab w:val="left" w:pos="3600"/>
          <w:tab w:val="center" w:pos="4513"/>
        </w:tabs>
        <w:rPr>
          <w:szCs w:val="22"/>
        </w:rPr>
      </w:pPr>
      <w:r>
        <w:rPr>
          <w:szCs w:val="22"/>
        </w:rPr>
        <w:tab/>
        <w:t>(b)</w:t>
      </w:r>
      <w:r>
        <w:rPr>
          <w:szCs w:val="22"/>
        </w:rPr>
        <w:tab/>
      </w:r>
      <w:r w:rsidR="00C10657">
        <w:rPr>
          <w:szCs w:val="22"/>
        </w:rPr>
        <w:t xml:space="preserve">the average ground height is worked out </w:t>
      </w:r>
      <w:r>
        <w:rPr>
          <w:szCs w:val="22"/>
        </w:rPr>
        <w:t>at each increment along the path profile.</w:t>
      </w:r>
    </w:p>
    <w:p w14:paraId="116E02EE" w14:textId="77777777" w:rsidR="00DE7810" w:rsidRDefault="00DE7810" w:rsidP="00DE7810">
      <w:pPr>
        <w:pStyle w:val="subsection"/>
        <w:rPr>
          <w:szCs w:val="22"/>
        </w:rPr>
      </w:pPr>
      <w:r>
        <w:rPr>
          <w:szCs w:val="22"/>
        </w:rPr>
        <w:tab/>
        <w:t>(4)</w:t>
      </w:r>
      <w:r>
        <w:rPr>
          <w:szCs w:val="22"/>
        </w:rPr>
        <w:tab/>
        <w:t>For the purposes of using the method set out in section 3.2 of Recommendation ITU-R P.2108-0:</w:t>
      </w:r>
    </w:p>
    <w:p w14:paraId="447321AD" w14:textId="6535FC04" w:rsidR="00DE7810" w:rsidRDefault="00DE7810" w:rsidP="00DE7810">
      <w:pPr>
        <w:pStyle w:val="paragraph"/>
        <w:tabs>
          <w:tab w:val="left" w:pos="2160"/>
          <w:tab w:val="left" w:pos="2880"/>
          <w:tab w:val="left" w:pos="3600"/>
          <w:tab w:val="center" w:pos="4513"/>
        </w:tabs>
        <w:rPr>
          <w:szCs w:val="22"/>
        </w:rPr>
      </w:pPr>
      <w:r>
        <w:rPr>
          <w:szCs w:val="22"/>
        </w:rPr>
        <w:tab/>
        <w:t>(a)</w:t>
      </w:r>
      <w:r>
        <w:rPr>
          <w:szCs w:val="22"/>
        </w:rPr>
        <w:tab/>
        <w:t>the percentage of locations is 0.08%, and the correction is applied at only one end of the path;</w:t>
      </w:r>
      <w:r w:rsidR="00D52208">
        <w:rPr>
          <w:szCs w:val="22"/>
        </w:rPr>
        <w:t xml:space="preserve"> and</w:t>
      </w:r>
    </w:p>
    <w:p w14:paraId="0FDFD30D" w14:textId="77777777" w:rsidR="00DE7810" w:rsidRDefault="00DE7810" w:rsidP="00DE7810">
      <w:pPr>
        <w:pStyle w:val="paragraph"/>
        <w:tabs>
          <w:tab w:val="left" w:pos="2160"/>
          <w:tab w:val="left" w:pos="2880"/>
          <w:tab w:val="left" w:pos="3600"/>
          <w:tab w:val="center" w:pos="4513"/>
        </w:tabs>
        <w:rPr>
          <w:szCs w:val="22"/>
        </w:rPr>
      </w:pPr>
      <w:r>
        <w:rPr>
          <w:szCs w:val="22"/>
        </w:rPr>
        <w:tab/>
        <w:t>(b)</w:t>
      </w:r>
      <w:r>
        <w:rPr>
          <w:szCs w:val="22"/>
        </w:rPr>
        <w:tab/>
        <w:t>if the loss calculated using the method is less than 0 dB, the calculated loss value is taken to be 0 dB; and</w:t>
      </w:r>
    </w:p>
    <w:p w14:paraId="18B04E1A" w14:textId="6EE878AD" w:rsidR="00DE7810" w:rsidRDefault="00DE7810" w:rsidP="00DE7810">
      <w:pPr>
        <w:pStyle w:val="paragraph"/>
        <w:tabs>
          <w:tab w:val="left" w:pos="2160"/>
          <w:tab w:val="left" w:pos="2880"/>
          <w:tab w:val="left" w:pos="3600"/>
          <w:tab w:val="center" w:pos="4513"/>
        </w:tabs>
        <w:rPr>
          <w:szCs w:val="22"/>
        </w:rPr>
      </w:pPr>
      <w:r>
        <w:rPr>
          <w:szCs w:val="22"/>
        </w:rPr>
        <w:tab/>
        <w:t>(c)</w:t>
      </w:r>
      <w:r>
        <w:rPr>
          <w:szCs w:val="22"/>
        </w:rPr>
        <w:tab/>
        <w:t xml:space="preserve">if the loss calculated using the method is greater than 8 dB, the calculated loss value is taken to be </w:t>
      </w:r>
      <w:r w:rsidR="00D75099">
        <w:rPr>
          <w:szCs w:val="22"/>
        </w:rPr>
        <w:t>8</w:t>
      </w:r>
      <w:r>
        <w:rPr>
          <w:szCs w:val="22"/>
        </w:rPr>
        <w:t xml:space="preserve"> dB.</w:t>
      </w:r>
    </w:p>
    <w:p w14:paraId="36EDE112" w14:textId="77777777" w:rsidR="00032BBF" w:rsidRDefault="00032BBF" w:rsidP="00927ABD">
      <w:pPr>
        <w:rPr>
          <w:rFonts w:ascii="Times New Roman" w:hAnsi="Times New Roman" w:cs="Times New Roman"/>
        </w:rPr>
      </w:pPr>
    </w:p>
    <w:sectPr w:rsidR="00032BBF" w:rsidSect="00F76CB4">
      <w:headerReference w:type="even" r:id="rId24"/>
      <w:headerReference w:type="default" r:id="rId25"/>
      <w:headerReference w:type="first" r:id="rId2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1F0F" w14:textId="77777777" w:rsidR="00424AB3" w:rsidRDefault="00424AB3" w:rsidP="0017734A">
      <w:pPr>
        <w:spacing w:after="0" w:line="240" w:lineRule="auto"/>
      </w:pPr>
      <w:r>
        <w:separator/>
      </w:r>
    </w:p>
  </w:endnote>
  <w:endnote w:type="continuationSeparator" w:id="0">
    <w:p w14:paraId="33635FF0" w14:textId="77777777" w:rsidR="00424AB3" w:rsidRDefault="00424AB3"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E9D" w14:textId="62EA7684" w:rsidR="000B0AAB" w:rsidRPr="00B81DF6" w:rsidRDefault="00B81DF6" w:rsidP="00B81DF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0A6635">
      <w:rPr>
        <w:rFonts w:ascii="Times New Roman" w:hAnsi="Times New Roman" w:cs="Times New Roman"/>
        <w:i/>
        <w:iCs/>
      </w:rPr>
      <w:t>Unacceptable Levels of Interference</w:t>
    </w:r>
    <w:r>
      <w:rPr>
        <w:rFonts w:ascii="Times New Roman" w:hAnsi="Times New Roman" w:cs="Times New Roman"/>
        <w:i/>
        <w:iCs/>
      </w:rPr>
      <w:t xml:space="preserve"> – </w:t>
    </w:r>
    <w:r w:rsidR="00C93140">
      <w:rPr>
        <w:rFonts w:ascii="Times New Roman" w:hAnsi="Times New Roman" w:cs="Times New Roman"/>
        <w:i/>
        <w:iCs/>
      </w:rPr>
      <w:t>2.3 G</w:t>
    </w:r>
    <w:r>
      <w:rPr>
        <w:rFonts w:ascii="Times New Roman" w:hAnsi="Times New Roman" w:cs="Times New Roman"/>
        <w:i/>
        <w:iCs/>
      </w:rPr>
      <w:t xml:space="preserve">Hz Band) </w:t>
    </w:r>
    <w:r w:rsidR="000A6635">
      <w:rPr>
        <w:rFonts w:ascii="Times New Roman" w:hAnsi="Times New Roman" w:cs="Times New Roman"/>
        <w:i/>
        <w:iCs/>
      </w:rPr>
      <w:t xml:space="preserve">Determination </w:t>
    </w:r>
    <w:r>
      <w:rPr>
        <w:rFonts w:ascii="Times New Roman" w:hAnsi="Times New Roman" w:cs="Times New Roman"/>
        <w:i/>
        <w:iCs/>
      </w:rPr>
      <w:t>202</w:t>
    </w:r>
    <w:r w:rsidR="000138A8">
      <w:rPr>
        <w:rFonts w:ascii="Times New Roman" w:hAnsi="Times New Roman" w:cs="Times New Roman"/>
        <w:i/>
        <w:iCs/>
      </w:rPr>
      <w:t>3</w:t>
    </w:r>
  </w:p>
  <w:p w14:paraId="29238545" w14:textId="39843B86" w:rsidR="000B0AAB" w:rsidRDefault="00B81DF6" w:rsidP="000B0AAB">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sidRPr="00B81DF6">
      <w:rPr>
        <w:rFonts w:ascii="Times New Roman" w:hAnsi="Times New Roman" w:cs="Times New Roman"/>
        <w:noProof/>
      </w:rPr>
      <w:t>1</w:t>
    </w:r>
    <w:r w:rsidRPr="00B81DF6">
      <w:rPr>
        <w:rFonts w:ascii="Times New Roman" w:hAnsi="Times New Roman" w:cs="Times New Roman"/>
      </w:rPr>
      <w:fldChar w:fldCharType="end"/>
    </w:r>
  </w:p>
  <w:p w14:paraId="7B34D129" w14:textId="284233E5" w:rsidR="00C93140" w:rsidRPr="00C93140" w:rsidRDefault="00C93140" w:rsidP="00C93140">
    <w:pPr>
      <w:pStyle w:val="Footer"/>
      <w:pBdr>
        <w:top w:val="single" w:sz="4" w:space="1" w:color="auto"/>
      </w:pBdr>
      <w:jc w:val="center"/>
      <w:rPr>
        <w:rFonts w:ascii="Times New Roman" w:hAnsi="Times New Roman" w:cs="Times New Roman"/>
        <w:b/>
        <w:bCs/>
      </w:rPr>
    </w:pPr>
    <w:r>
      <w:rPr>
        <w:rFonts w:ascii="Times New Roman" w:hAnsi="Times New Roman" w:cs="Times New Roman"/>
        <w:b/>
        <w:bCs/>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1E7F" w14:textId="77777777" w:rsidR="00424AB3" w:rsidRDefault="00424AB3" w:rsidP="0017734A">
      <w:pPr>
        <w:spacing w:after="0" w:line="240" w:lineRule="auto"/>
      </w:pPr>
      <w:r>
        <w:separator/>
      </w:r>
    </w:p>
  </w:footnote>
  <w:footnote w:type="continuationSeparator" w:id="0">
    <w:p w14:paraId="0C5A722A" w14:textId="77777777" w:rsidR="00424AB3" w:rsidRDefault="00424AB3"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1EA8" w14:textId="1B5AA139" w:rsidR="00A665EB" w:rsidRDefault="002D1947">
    <w:pPr>
      <w:pStyle w:val="Header"/>
    </w:pPr>
    <w:r>
      <w:rPr>
        <w:noProof/>
      </w:rPr>
      <w:pict w14:anchorId="0F2BB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36657" o:spid="_x0000_s1027"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954D" w14:textId="65C336CD" w:rsidR="00A665EB" w:rsidRDefault="002D1947">
    <w:pPr>
      <w:pStyle w:val="Header"/>
    </w:pPr>
    <w:r>
      <w:rPr>
        <w:noProof/>
      </w:rPr>
      <w:pict w14:anchorId="6EA90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36658" o:spid="_x0000_s1028" type="#_x0000_t136" style="position:absolute;margin-left:0;margin-top:0;width:424.2pt;height:212.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2791" w14:textId="43A00293" w:rsidR="00A665EB" w:rsidRDefault="002D1947">
    <w:pPr>
      <w:pStyle w:val="Header"/>
    </w:pPr>
    <w:r>
      <w:rPr>
        <w:noProof/>
      </w:rPr>
      <w:pict w14:anchorId="3EF7C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36656" o:spid="_x0000_s1026" type="#_x0000_t136" style="position:absolute;margin-left:0;margin-top:0;width:424.2pt;height:212.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FE3E" w14:textId="42D5673C" w:rsidR="008F19A0" w:rsidRDefault="002D1947">
    <w:pPr>
      <w:pStyle w:val="Header"/>
    </w:pPr>
    <w:r>
      <w:rPr>
        <w:noProof/>
      </w:rPr>
      <w:pict w14:anchorId="2E8F1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36660" o:spid="_x0000_s1030" type="#_x0000_t136" style="position:absolute;margin-left:0;margin-top:0;width:424.2pt;height:212.1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1904" w14:textId="6CD8AF90" w:rsidR="000B0AAB" w:rsidRPr="000B0AAB" w:rsidRDefault="002D1947" w:rsidP="000B0AAB">
    <w:pPr>
      <w:pStyle w:val="Header"/>
      <w:pBdr>
        <w:bottom w:val="single" w:sz="4" w:space="1" w:color="auto"/>
      </w:pBdr>
      <w:rPr>
        <w:rFonts w:ascii="Times New Roman" w:hAnsi="Times New Roman" w:cs="Times New Roman"/>
      </w:rPr>
    </w:pPr>
    <w:r>
      <w:rPr>
        <w:noProof/>
      </w:rPr>
      <w:pict w14:anchorId="7D6DD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36661" o:spid="_x0000_s1031" type="#_x0000_t136" style="position:absolute;margin-left:0;margin-top:0;width:424.2pt;height:212.1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B0AAB" w:rsidRPr="000B0AAB">
      <w:rPr>
        <w:rFonts w:ascii="Times New Roman" w:hAnsi="Times New Roman" w:cs="Times New Roman"/>
      </w:rPr>
      <w:t xml:space="preserve">Section </w:t>
    </w:r>
    <w:r w:rsidR="000B0AAB" w:rsidRPr="000B0AAB">
      <w:rPr>
        <w:rFonts w:ascii="Times New Roman" w:hAnsi="Times New Roman" w:cs="Times New Roman"/>
      </w:rPr>
      <w:fldChar w:fldCharType="begin"/>
    </w:r>
    <w:r w:rsidR="000B0AAB" w:rsidRPr="000B0AAB">
      <w:rPr>
        <w:rFonts w:ascii="Times New Roman" w:hAnsi="Times New Roman" w:cs="Times New Roman"/>
      </w:rPr>
      <w:instrText xml:space="preserve"> STYLEREF  CharSectno  \* MERGEFORMAT </w:instrText>
    </w:r>
    <w:r w:rsidR="000B0AAB" w:rsidRPr="000B0AAB">
      <w:rPr>
        <w:rFonts w:ascii="Times New Roman" w:hAnsi="Times New Roman" w:cs="Times New Roman"/>
      </w:rPr>
      <w:fldChar w:fldCharType="separate"/>
    </w:r>
    <w:r>
      <w:rPr>
        <w:rFonts w:ascii="Times New Roman" w:hAnsi="Times New Roman" w:cs="Times New Roman"/>
        <w:noProof/>
      </w:rPr>
      <w:t>1</w:t>
    </w:r>
    <w:r w:rsidR="000B0AAB" w:rsidRPr="000B0AAB">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BFE1" w14:textId="586F2CA1" w:rsidR="008F19A0" w:rsidRDefault="002D1947">
    <w:pPr>
      <w:pStyle w:val="Header"/>
    </w:pPr>
    <w:r>
      <w:rPr>
        <w:noProof/>
      </w:rPr>
      <w:pict w14:anchorId="45B8A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36659" o:spid="_x0000_s1029" type="#_x0000_t136" style="position:absolute;margin-left:0;margin-top:0;width:424.2pt;height:212.1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F50" w14:textId="42F3EB22" w:rsidR="008F19A0" w:rsidRDefault="002D1947">
    <w:pPr>
      <w:pStyle w:val="Header"/>
    </w:pPr>
    <w:r>
      <w:rPr>
        <w:noProof/>
      </w:rPr>
      <w:pict w14:anchorId="4CCF2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36663" o:spid="_x0000_s1033" type="#_x0000_t136" style="position:absolute;margin-left:0;margin-top:0;width:424.2pt;height:212.1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9B6D" w14:textId="2F111081" w:rsidR="00FC2188" w:rsidRPr="000B0AAB" w:rsidRDefault="002D1947" w:rsidP="000B0AAB">
    <w:pPr>
      <w:pStyle w:val="Header"/>
      <w:pBdr>
        <w:bottom w:val="single" w:sz="4" w:space="1" w:color="auto"/>
      </w:pBdr>
      <w:rPr>
        <w:rFonts w:ascii="Times New Roman" w:hAnsi="Times New Roman" w:cs="Times New Roman"/>
      </w:rPr>
    </w:pPr>
    <w:r>
      <w:rPr>
        <w:noProof/>
      </w:rPr>
      <w:pict w14:anchorId="4D50C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36664" o:spid="_x0000_s1034" type="#_x0000_t136" style="position:absolute;margin-left:0;margin-top:0;width:424.2pt;height:212.1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C2188">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E33F" w14:textId="67B50A29" w:rsidR="008F19A0" w:rsidRDefault="002D1947">
    <w:pPr>
      <w:pStyle w:val="Header"/>
    </w:pPr>
    <w:r>
      <w:rPr>
        <w:noProof/>
      </w:rPr>
      <w:pict w14:anchorId="2A931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36662" o:spid="_x0000_s1032" type="#_x0000_t136" style="position:absolute;margin-left:0;margin-top:0;width:424.2pt;height:212.1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3467E5"/>
    <w:multiLevelType w:val="hybridMultilevel"/>
    <w:tmpl w:val="98BCD440"/>
    <w:lvl w:ilvl="0" w:tplc="5F48B9F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9755059">
    <w:abstractNumId w:val="2"/>
  </w:num>
  <w:num w:numId="2" w16cid:durableId="1147820046">
    <w:abstractNumId w:val="8"/>
  </w:num>
  <w:num w:numId="3" w16cid:durableId="455831750">
    <w:abstractNumId w:val="4"/>
  </w:num>
  <w:num w:numId="4" w16cid:durableId="1835148390">
    <w:abstractNumId w:val="6"/>
  </w:num>
  <w:num w:numId="5" w16cid:durableId="2116828822">
    <w:abstractNumId w:val="3"/>
  </w:num>
  <w:num w:numId="6" w16cid:durableId="393503104">
    <w:abstractNumId w:val="1"/>
  </w:num>
  <w:num w:numId="7" w16cid:durableId="1448427195">
    <w:abstractNumId w:val="0"/>
  </w:num>
  <w:num w:numId="8" w16cid:durableId="253362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1701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407251">
    <w:abstractNumId w:val="5"/>
  </w:num>
  <w:num w:numId="11" w16cid:durableId="2020427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805"/>
    <w:rsid w:val="000138A8"/>
    <w:rsid w:val="00023772"/>
    <w:rsid w:val="00027546"/>
    <w:rsid w:val="00030153"/>
    <w:rsid w:val="00032BBF"/>
    <w:rsid w:val="000340E0"/>
    <w:rsid w:val="00041C77"/>
    <w:rsid w:val="0004262E"/>
    <w:rsid w:val="00043482"/>
    <w:rsid w:val="00044E44"/>
    <w:rsid w:val="00047295"/>
    <w:rsid w:val="0005001B"/>
    <w:rsid w:val="0005235C"/>
    <w:rsid w:val="0005600C"/>
    <w:rsid w:val="00060D74"/>
    <w:rsid w:val="00062B08"/>
    <w:rsid w:val="000641CE"/>
    <w:rsid w:val="00067A61"/>
    <w:rsid w:val="00071217"/>
    <w:rsid w:val="000819D3"/>
    <w:rsid w:val="00081E21"/>
    <w:rsid w:val="00084AF2"/>
    <w:rsid w:val="00086BF0"/>
    <w:rsid w:val="00087F5A"/>
    <w:rsid w:val="00090A23"/>
    <w:rsid w:val="00091C36"/>
    <w:rsid w:val="000930D3"/>
    <w:rsid w:val="00093B6D"/>
    <w:rsid w:val="00096F66"/>
    <w:rsid w:val="000970A7"/>
    <w:rsid w:val="00097890"/>
    <w:rsid w:val="000A6635"/>
    <w:rsid w:val="000B0AAB"/>
    <w:rsid w:val="000B2768"/>
    <w:rsid w:val="000B5A64"/>
    <w:rsid w:val="000B7D65"/>
    <w:rsid w:val="000C01B0"/>
    <w:rsid w:val="000C13BB"/>
    <w:rsid w:val="000D0356"/>
    <w:rsid w:val="000D6066"/>
    <w:rsid w:val="000E0B1A"/>
    <w:rsid w:val="000E2620"/>
    <w:rsid w:val="000E2A67"/>
    <w:rsid w:val="000E35B9"/>
    <w:rsid w:val="000E3BFC"/>
    <w:rsid w:val="000E4FA5"/>
    <w:rsid w:val="000F1010"/>
    <w:rsid w:val="000F1CE3"/>
    <w:rsid w:val="000F2057"/>
    <w:rsid w:val="000F595B"/>
    <w:rsid w:val="001004C0"/>
    <w:rsid w:val="0010352B"/>
    <w:rsid w:val="0010419F"/>
    <w:rsid w:val="00107DF3"/>
    <w:rsid w:val="00111280"/>
    <w:rsid w:val="00116763"/>
    <w:rsid w:val="00126894"/>
    <w:rsid w:val="00126BCA"/>
    <w:rsid w:val="00127CF8"/>
    <w:rsid w:val="00141F3D"/>
    <w:rsid w:val="00142759"/>
    <w:rsid w:val="00145762"/>
    <w:rsid w:val="00152CE6"/>
    <w:rsid w:val="00154B71"/>
    <w:rsid w:val="00155AEE"/>
    <w:rsid w:val="00160942"/>
    <w:rsid w:val="00160F8E"/>
    <w:rsid w:val="001649B7"/>
    <w:rsid w:val="00165FB0"/>
    <w:rsid w:val="00167D35"/>
    <w:rsid w:val="00175DAF"/>
    <w:rsid w:val="00176FE4"/>
    <w:rsid w:val="0017734A"/>
    <w:rsid w:val="00183F81"/>
    <w:rsid w:val="00185690"/>
    <w:rsid w:val="001941F1"/>
    <w:rsid w:val="00196233"/>
    <w:rsid w:val="001A2A6A"/>
    <w:rsid w:val="001A2B69"/>
    <w:rsid w:val="001A4B39"/>
    <w:rsid w:val="001A6977"/>
    <w:rsid w:val="001B2574"/>
    <w:rsid w:val="001B686C"/>
    <w:rsid w:val="001B78E5"/>
    <w:rsid w:val="001C05BC"/>
    <w:rsid w:val="001C3477"/>
    <w:rsid w:val="001C3486"/>
    <w:rsid w:val="001C7046"/>
    <w:rsid w:val="001C7C9E"/>
    <w:rsid w:val="001C7D0F"/>
    <w:rsid w:val="001D4442"/>
    <w:rsid w:val="001D5D3B"/>
    <w:rsid w:val="001D6CA5"/>
    <w:rsid w:val="001E0709"/>
    <w:rsid w:val="001E2772"/>
    <w:rsid w:val="001E2EF4"/>
    <w:rsid w:val="001E45EA"/>
    <w:rsid w:val="001F100D"/>
    <w:rsid w:val="001F5A82"/>
    <w:rsid w:val="00202F00"/>
    <w:rsid w:val="002030E8"/>
    <w:rsid w:val="002046ED"/>
    <w:rsid w:val="00205FF3"/>
    <w:rsid w:val="00206920"/>
    <w:rsid w:val="00206C63"/>
    <w:rsid w:val="00206E28"/>
    <w:rsid w:val="00207A0D"/>
    <w:rsid w:val="00221707"/>
    <w:rsid w:val="00221B42"/>
    <w:rsid w:val="00222D19"/>
    <w:rsid w:val="002311CE"/>
    <w:rsid w:val="00231C7C"/>
    <w:rsid w:val="002332A2"/>
    <w:rsid w:val="002359DE"/>
    <w:rsid w:val="00237BA0"/>
    <w:rsid w:val="00254656"/>
    <w:rsid w:val="00254D17"/>
    <w:rsid w:val="002569B5"/>
    <w:rsid w:val="00256C60"/>
    <w:rsid w:val="00262395"/>
    <w:rsid w:val="002652EB"/>
    <w:rsid w:val="00265537"/>
    <w:rsid w:val="00267196"/>
    <w:rsid w:val="00271866"/>
    <w:rsid w:val="00272C2B"/>
    <w:rsid w:val="00272C78"/>
    <w:rsid w:val="00275476"/>
    <w:rsid w:val="0027748E"/>
    <w:rsid w:val="00282EF8"/>
    <w:rsid w:val="00286009"/>
    <w:rsid w:val="00286CB6"/>
    <w:rsid w:val="00291C8D"/>
    <w:rsid w:val="00292CEB"/>
    <w:rsid w:val="00294C39"/>
    <w:rsid w:val="002A0E1A"/>
    <w:rsid w:val="002A3B5A"/>
    <w:rsid w:val="002A57DB"/>
    <w:rsid w:val="002A5979"/>
    <w:rsid w:val="002B34D0"/>
    <w:rsid w:val="002B4911"/>
    <w:rsid w:val="002B5300"/>
    <w:rsid w:val="002B73D8"/>
    <w:rsid w:val="002C0B38"/>
    <w:rsid w:val="002C10A8"/>
    <w:rsid w:val="002D15A8"/>
    <w:rsid w:val="002D1947"/>
    <w:rsid w:val="002D3DB2"/>
    <w:rsid w:val="002D549B"/>
    <w:rsid w:val="002D5C57"/>
    <w:rsid w:val="002E5B01"/>
    <w:rsid w:val="002E64CD"/>
    <w:rsid w:val="002E7784"/>
    <w:rsid w:val="002F0E3F"/>
    <w:rsid w:val="002F29ED"/>
    <w:rsid w:val="002F2F50"/>
    <w:rsid w:val="002F40BF"/>
    <w:rsid w:val="002F7598"/>
    <w:rsid w:val="002F7B36"/>
    <w:rsid w:val="003043BC"/>
    <w:rsid w:val="0030516D"/>
    <w:rsid w:val="00306651"/>
    <w:rsid w:val="00315BF5"/>
    <w:rsid w:val="003165F5"/>
    <w:rsid w:val="003166CF"/>
    <w:rsid w:val="00317888"/>
    <w:rsid w:val="003217D9"/>
    <w:rsid w:val="0032236D"/>
    <w:rsid w:val="00324942"/>
    <w:rsid w:val="00324C04"/>
    <w:rsid w:val="00330A3D"/>
    <w:rsid w:val="003329AD"/>
    <w:rsid w:val="00333D64"/>
    <w:rsid w:val="003341BC"/>
    <w:rsid w:val="0033449E"/>
    <w:rsid w:val="003358AA"/>
    <w:rsid w:val="00335B8C"/>
    <w:rsid w:val="00341F76"/>
    <w:rsid w:val="00351792"/>
    <w:rsid w:val="003538E9"/>
    <w:rsid w:val="003600B3"/>
    <w:rsid w:val="00363AAC"/>
    <w:rsid w:val="00363CD2"/>
    <w:rsid w:val="0036414A"/>
    <w:rsid w:val="00372D68"/>
    <w:rsid w:val="003801F5"/>
    <w:rsid w:val="0038131D"/>
    <w:rsid w:val="00382377"/>
    <w:rsid w:val="00390E8C"/>
    <w:rsid w:val="00390F92"/>
    <w:rsid w:val="00391922"/>
    <w:rsid w:val="0039412A"/>
    <w:rsid w:val="00395204"/>
    <w:rsid w:val="003973D0"/>
    <w:rsid w:val="003A6A89"/>
    <w:rsid w:val="003B2C48"/>
    <w:rsid w:val="003B50D3"/>
    <w:rsid w:val="003B64CF"/>
    <w:rsid w:val="003C0096"/>
    <w:rsid w:val="003C261A"/>
    <w:rsid w:val="003C48AD"/>
    <w:rsid w:val="003C5EA5"/>
    <w:rsid w:val="003C6739"/>
    <w:rsid w:val="003D36E3"/>
    <w:rsid w:val="003D436D"/>
    <w:rsid w:val="003D7A59"/>
    <w:rsid w:val="003E42A5"/>
    <w:rsid w:val="003E6967"/>
    <w:rsid w:val="003E755D"/>
    <w:rsid w:val="003F3DA4"/>
    <w:rsid w:val="003F4431"/>
    <w:rsid w:val="003F5840"/>
    <w:rsid w:val="003F788F"/>
    <w:rsid w:val="004028C9"/>
    <w:rsid w:val="00403964"/>
    <w:rsid w:val="00405FC1"/>
    <w:rsid w:val="00415603"/>
    <w:rsid w:val="0041572C"/>
    <w:rsid w:val="00416E07"/>
    <w:rsid w:val="00417B8B"/>
    <w:rsid w:val="00420758"/>
    <w:rsid w:val="00422F5E"/>
    <w:rsid w:val="004238AF"/>
    <w:rsid w:val="00424038"/>
    <w:rsid w:val="00424575"/>
    <w:rsid w:val="00424AB3"/>
    <w:rsid w:val="004331D1"/>
    <w:rsid w:val="00434B53"/>
    <w:rsid w:val="004361D9"/>
    <w:rsid w:val="00440385"/>
    <w:rsid w:val="00440610"/>
    <w:rsid w:val="00440DED"/>
    <w:rsid w:val="004425C4"/>
    <w:rsid w:val="00445A58"/>
    <w:rsid w:val="00446B31"/>
    <w:rsid w:val="00447048"/>
    <w:rsid w:val="00451AEE"/>
    <w:rsid w:val="004561D2"/>
    <w:rsid w:val="0046038D"/>
    <w:rsid w:val="004658C7"/>
    <w:rsid w:val="0047307C"/>
    <w:rsid w:val="0047636D"/>
    <w:rsid w:val="00476749"/>
    <w:rsid w:val="00486F7F"/>
    <w:rsid w:val="0048715F"/>
    <w:rsid w:val="0049340A"/>
    <w:rsid w:val="0049440A"/>
    <w:rsid w:val="00496120"/>
    <w:rsid w:val="004A6A32"/>
    <w:rsid w:val="004B4796"/>
    <w:rsid w:val="004C102C"/>
    <w:rsid w:val="004C25E8"/>
    <w:rsid w:val="004C5121"/>
    <w:rsid w:val="004C62D2"/>
    <w:rsid w:val="004C7568"/>
    <w:rsid w:val="004D0D5C"/>
    <w:rsid w:val="004D3891"/>
    <w:rsid w:val="004D419C"/>
    <w:rsid w:val="004D6B79"/>
    <w:rsid w:val="004E12C4"/>
    <w:rsid w:val="004E2D0F"/>
    <w:rsid w:val="004E3164"/>
    <w:rsid w:val="004E7150"/>
    <w:rsid w:val="004F1E24"/>
    <w:rsid w:val="004F20D7"/>
    <w:rsid w:val="004F74DD"/>
    <w:rsid w:val="004F7DD4"/>
    <w:rsid w:val="00502445"/>
    <w:rsid w:val="00503A91"/>
    <w:rsid w:val="0050665F"/>
    <w:rsid w:val="00506B23"/>
    <w:rsid w:val="00507D03"/>
    <w:rsid w:val="00513512"/>
    <w:rsid w:val="00517CE3"/>
    <w:rsid w:val="00520A33"/>
    <w:rsid w:val="00523D92"/>
    <w:rsid w:val="00524D36"/>
    <w:rsid w:val="00530BEB"/>
    <w:rsid w:val="00532630"/>
    <w:rsid w:val="005415FF"/>
    <w:rsid w:val="00552C18"/>
    <w:rsid w:val="005536F1"/>
    <w:rsid w:val="00567DA9"/>
    <w:rsid w:val="00572762"/>
    <w:rsid w:val="005745B4"/>
    <w:rsid w:val="00576C9A"/>
    <w:rsid w:val="005813CC"/>
    <w:rsid w:val="0058191C"/>
    <w:rsid w:val="00583F0E"/>
    <w:rsid w:val="005873D4"/>
    <w:rsid w:val="00590BAD"/>
    <w:rsid w:val="00592166"/>
    <w:rsid w:val="0059312A"/>
    <w:rsid w:val="005957A6"/>
    <w:rsid w:val="005A24F9"/>
    <w:rsid w:val="005A3582"/>
    <w:rsid w:val="005B226F"/>
    <w:rsid w:val="005B306A"/>
    <w:rsid w:val="005B4124"/>
    <w:rsid w:val="005B4292"/>
    <w:rsid w:val="005C0555"/>
    <w:rsid w:val="005C0FC5"/>
    <w:rsid w:val="005C16A8"/>
    <w:rsid w:val="005C4F81"/>
    <w:rsid w:val="005D0706"/>
    <w:rsid w:val="005D0CA1"/>
    <w:rsid w:val="005D3EBA"/>
    <w:rsid w:val="005D43B5"/>
    <w:rsid w:val="005D6E85"/>
    <w:rsid w:val="005E26E6"/>
    <w:rsid w:val="005F474D"/>
    <w:rsid w:val="005F74DF"/>
    <w:rsid w:val="00602A54"/>
    <w:rsid w:val="00604454"/>
    <w:rsid w:val="00605B84"/>
    <w:rsid w:val="0061355B"/>
    <w:rsid w:val="00615D68"/>
    <w:rsid w:val="0062246F"/>
    <w:rsid w:val="00622D30"/>
    <w:rsid w:val="00632B15"/>
    <w:rsid w:val="00634EE0"/>
    <w:rsid w:val="00635E31"/>
    <w:rsid w:val="00640849"/>
    <w:rsid w:val="00641C29"/>
    <w:rsid w:val="006437D6"/>
    <w:rsid w:val="0064407D"/>
    <w:rsid w:val="00645257"/>
    <w:rsid w:val="006453A3"/>
    <w:rsid w:val="00663C68"/>
    <w:rsid w:val="00664623"/>
    <w:rsid w:val="006726BD"/>
    <w:rsid w:val="00673F2C"/>
    <w:rsid w:val="00676ADE"/>
    <w:rsid w:val="00681361"/>
    <w:rsid w:val="00681956"/>
    <w:rsid w:val="0068429B"/>
    <w:rsid w:val="0068672C"/>
    <w:rsid w:val="00687A9B"/>
    <w:rsid w:val="00692792"/>
    <w:rsid w:val="006931DB"/>
    <w:rsid w:val="00693D4F"/>
    <w:rsid w:val="00695A4A"/>
    <w:rsid w:val="006976A6"/>
    <w:rsid w:val="006A1B47"/>
    <w:rsid w:val="006A238D"/>
    <w:rsid w:val="006A385F"/>
    <w:rsid w:val="006A749D"/>
    <w:rsid w:val="006B7F08"/>
    <w:rsid w:val="006C0251"/>
    <w:rsid w:val="006C3B4C"/>
    <w:rsid w:val="006D36DE"/>
    <w:rsid w:val="006D7EC0"/>
    <w:rsid w:val="006E0AAA"/>
    <w:rsid w:val="006E4E07"/>
    <w:rsid w:val="006E4E70"/>
    <w:rsid w:val="006E5B82"/>
    <w:rsid w:val="006E66B1"/>
    <w:rsid w:val="006F43AC"/>
    <w:rsid w:val="006F4500"/>
    <w:rsid w:val="006F453E"/>
    <w:rsid w:val="006F4EEB"/>
    <w:rsid w:val="006F5CF2"/>
    <w:rsid w:val="006F662B"/>
    <w:rsid w:val="00701074"/>
    <w:rsid w:val="007033DF"/>
    <w:rsid w:val="00703828"/>
    <w:rsid w:val="00704756"/>
    <w:rsid w:val="00705AB8"/>
    <w:rsid w:val="0071142C"/>
    <w:rsid w:val="007168F4"/>
    <w:rsid w:val="00717811"/>
    <w:rsid w:val="00721966"/>
    <w:rsid w:val="0072368A"/>
    <w:rsid w:val="007259F8"/>
    <w:rsid w:val="007317CE"/>
    <w:rsid w:val="00733A9B"/>
    <w:rsid w:val="00733FB0"/>
    <w:rsid w:val="00734ECD"/>
    <w:rsid w:val="00737230"/>
    <w:rsid w:val="007377EE"/>
    <w:rsid w:val="00744063"/>
    <w:rsid w:val="00746D87"/>
    <w:rsid w:val="00752B92"/>
    <w:rsid w:val="00753549"/>
    <w:rsid w:val="0075511F"/>
    <w:rsid w:val="0076091B"/>
    <w:rsid w:val="00763880"/>
    <w:rsid w:val="00763A33"/>
    <w:rsid w:val="007674D3"/>
    <w:rsid w:val="00770264"/>
    <w:rsid w:val="00782ADA"/>
    <w:rsid w:val="00785259"/>
    <w:rsid w:val="00786978"/>
    <w:rsid w:val="00786D9D"/>
    <w:rsid w:val="00793204"/>
    <w:rsid w:val="00795294"/>
    <w:rsid w:val="007A1030"/>
    <w:rsid w:val="007A583A"/>
    <w:rsid w:val="007A6F7B"/>
    <w:rsid w:val="007C10C1"/>
    <w:rsid w:val="007C51CC"/>
    <w:rsid w:val="007D093E"/>
    <w:rsid w:val="007D7E6E"/>
    <w:rsid w:val="007E221E"/>
    <w:rsid w:val="007E3D76"/>
    <w:rsid w:val="007E6077"/>
    <w:rsid w:val="007F04F7"/>
    <w:rsid w:val="00800926"/>
    <w:rsid w:val="00802E1F"/>
    <w:rsid w:val="00806B46"/>
    <w:rsid w:val="0081244E"/>
    <w:rsid w:val="00812A22"/>
    <w:rsid w:val="00814838"/>
    <w:rsid w:val="00814A6F"/>
    <w:rsid w:val="0082056A"/>
    <w:rsid w:val="00823093"/>
    <w:rsid w:val="00824439"/>
    <w:rsid w:val="008249D0"/>
    <w:rsid w:val="0082541B"/>
    <w:rsid w:val="00825998"/>
    <w:rsid w:val="00830379"/>
    <w:rsid w:val="00837E5B"/>
    <w:rsid w:val="0084377F"/>
    <w:rsid w:val="0084526B"/>
    <w:rsid w:val="00847F94"/>
    <w:rsid w:val="008500CD"/>
    <w:rsid w:val="0085099F"/>
    <w:rsid w:val="00854E86"/>
    <w:rsid w:val="0086239F"/>
    <w:rsid w:val="00872752"/>
    <w:rsid w:val="00876445"/>
    <w:rsid w:val="00877446"/>
    <w:rsid w:val="008859FD"/>
    <w:rsid w:val="00890CDE"/>
    <w:rsid w:val="008911CA"/>
    <w:rsid w:val="00892659"/>
    <w:rsid w:val="0089278F"/>
    <w:rsid w:val="0089430F"/>
    <w:rsid w:val="00895EE2"/>
    <w:rsid w:val="00896A23"/>
    <w:rsid w:val="00896F45"/>
    <w:rsid w:val="008B0A30"/>
    <w:rsid w:val="008B3648"/>
    <w:rsid w:val="008B6202"/>
    <w:rsid w:val="008B6C70"/>
    <w:rsid w:val="008C3397"/>
    <w:rsid w:val="008C5759"/>
    <w:rsid w:val="008D059F"/>
    <w:rsid w:val="008D0A7D"/>
    <w:rsid w:val="008D642E"/>
    <w:rsid w:val="008E08EC"/>
    <w:rsid w:val="008E30B1"/>
    <w:rsid w:val="008E508B"/>
    <w:rsid w:val="008E5B7A"/>
    <w:rsid w:val="008E5EBD"/>
    <w:rsid w:val="008E79B4"/>
    <w:rsid w:val="008F015D"/>
    <w:rsid w:val="008F0D09"/>
    <w:rsid w:val="008F19A0"/>
    <w:rsid w:val="008F27C7"/>
    <w:rsid w:val="008F2D65"/>
    <w:rsid w:val="008F2E5F"/>
    <w:rsid w:val="008F4CB2"/>
    <w:rsid w:val="008F67BE"/>
    <w:rsid w:val="008F782D"/>
    <w:rsid w:val="00900E40"/>
    <w:rsid w:val="00903870"/>
    <w:rsid w:val="00906667"/>
    <w:rsid w:val="009072C1"/>
    <w:rsid w:val="00911AB2"/>
    <w:rsid w:val="00914490"/>
    <w:rsid w:val="0091792E"/>
    <w:rsid w:val="00921570"/>
    <w:rsid w:val="00922472"/>
    <w:rsid w:val="00927ABD"/>
    <w:rsid w:val="00932072"/>
    <w:rsid w:val="009333B7"/>
    <w:rsid w:val="00936E66"/>
    <w:rsid w:val="00936F02"/>
    <w:rsid w:val="00937B1E"/>
    <w:rsid w:val="00944F73"/>
    <w:rsid w:val="00954745"/>
    <w:rsid w:val="00957210"/>
    <w:rsid w:val="00964969"/>
    <w:rsid w:val="00966602"/>
    <w:rsid w:val="00966DA5"/>
    <w:rsid w:val="009714C8"/>
    <w:rsid w:val="00971DBD"/>
    <w:rsid w:val="0097270F"/>
    <w:rsid w:val="00972EBC"/>
    <w:rsid w:val="009734C4"/>
    <w:rsid w:val="009763C5"/>
    <w:rsid w:val="0098619A"/>
    <w:rsid w:val="00987A5F"/>
    <w:rsid w:val="009906E3"/>
    <w:rsid w:val="00991125"/>
    <w:rsid w:val="00993158"/>
    <w:rsid w:val="00995981"/>
    <w:rsid w:val="009964F4"/>
    <w:rsid w:val="009978B5"/>
    <w:rsid w:val="009A0AB5"/>
    <w:rsid w:val="009A268B"/>
    <w:rsid w:val="009A34AE"/>
    <w:rsid w:val="009A45A9"/>
    <w:rsid w:val="009A7E84"/>
    <w:rsid w:val="009B231A"/>
    <w:rsid w:val="009B3E70"/>
    <w:rsid w:val="009C7DBC"/>
    <w:rsid w:val="009D643E"/>
    <w:rsid w:val="009D6B29"/>
    <w:rsid w:val="009D783E"/>
    <w:rsid w:val="009D7F52"/>
    <w:rsid w:val="009E1C8B"/>
    <w:rsid w:val="009E2417"/>
    <w:rsid w:val="009E3466"/>
    <w:rsid w:val="009F3246"/>
    <w:rsid w:val="009F5A88"/>
    <w:rsid w:val="009F79D1"/>
    <w:rsid w:val="009F7AB2"/>
    <w:rsid w:val="00A004BA"/>
    <w:rsid w:val="00A004ED"/>
    <w:rsid w:val="00A01951"/>
    <w:rsid w:val="00A034B6"/>
    <w:rsid w:val="00A1246F"/>
    <w:rsid w:val="00A154C1"/>
    <w:rsid w:val="00A17C7E"/>
    <w:rsid w:val="00A21B76"/>
    <w:rsid w:val="00A21C24"/>
    <w:rsid w:val="00A25F9A"/>
    <w:rsid w:val="00A27056"/>
    <w:rsid w:val="00A27937"/>
    <w:rsid w:val="00A3649C"/>
    <w:rsid w:val="00A43F82"/>
    <w:rsid w:val="00A50C27"/>
    <w:rsid w:val="00A533E4"/>
    <w:rsid w:val="00A64601"/>
    <w:rsid w:val="00A65E3E"/>
    <w:rsid w:val="00A665EB"/>
    <w:rsid w:val="00A71EAA"/>
    <w:rsid w:val="00A76F5D"/>
    <w:rsid w:val="00A87309"/>
    <w:rsid w:val="00A914C1"/>
    <w:rsid w:val="00A91E94"/>
    <w:rsid w:val="00A965A3"/>
    <w:rsid w:val="00A97B31"/>
    <w:rsid w:val="00A97FD2"/>
    <w:rsid w:val="00AA214C"/>
    <w:rsid w:val="00AB321D"/>
    <w:rsid w:val="00AC1691"/>
    <w:rsid w:val="00AC5FC8"/>
    <w:rsid w:val="00AC6D40"/>
    <w:rsid w:val="00AC6F8A"/>
    <w:rsid w:val="00AC7AC9"/>
    <w:rsid w:val="00AD14AA"/>
    <w:rsid w:val="00AD1EEA"/>
    <w:rsid w:val="00AE0F16"/>
    <w:rsid w:val="00AE1ECA"/>
    <w:rsid w:val="00AE3A71"/>
    <w:rsid w:val="00AE3DC6"/>
    <w:rsid w:val="00AE4433"/>
    <w:rsid w:val="00AE50D5"/>
    <w:rsid w:val="00AE69B7"/>
    <w:rsid w:val="00B014A8"/>
    <w:rsid w:val="00B018A9"/>
    <w:rsid w:val="00B03B3D"/>
    <w:rsid w:val="00B057C9"/>
    <w:rsid w:val="00B079B7"/>
    <w:rsid w:val="00B10280"/>
    <w:rsid w:val="00B13B65"/>
    <w:rsid w:val="00B2121F"/>
    <w:rsid w:val="00B222F7"/>
    <w:rsid w:val="00B2278A"/>
    <w:rsid w:val="00B22FA4"/>
    <w:rsid w:val="00B24917"/>
    <w:rsid w:val="00B25884"/>
    <w:rsid w:val="00B32892"/>
    <w:rsid w:val="00B33B9B"/>
    <w:rsid w:val="00B34A4D"/>
    <w:rsid w:val="00B37B2B"/>
    <w:rsid w:val="00B4265C"/>
    <w:rsid w:val="00B519BB"/>
    <w:rsid w:val="00B56CDA"/>
    <w:rsid w:val="00B64F77"/>
    <w:rsid w:val="00B65CF4"/>
    <w:rsid w:val="00B72201"/>
    <w:rsid w:val="00B7359B"/>
    <w:rsid w:val="00B73FF9"/>
    <w:rsid w:val="00B75AFA"/>
    <w:rsid w:val="00B75C9A"/>
    <w:rsid w:val="00B81DF6"/>
    <w:rsid w:val="00B8496D"/>
    <w:rsid w:val="00B87639"/>
    <w:rsid w:val="00B90F17"/>
    <w:rsid w:val="00B94518"/>
    <w:rsid w:val="00BA4326"/>
    <w:rsid w:val="00BA7DB7"/>
    <w:rsid w:val="00BB1C56"/>
    <w:rsid w:val="00BB2665"/>
    <w:rsid w:val="00BB28A4"/>
    <w:rsid w:val="00BB3202"/>
    <w:rsid w:val="00BB347E"/>
    <w:rsid w:val="00BB5142"/>
    <w:rsid w:val="00BB5DB6"/>
    <w:rsid w:val="00BC30F7"/>
    <w:rsid w:val="00BC36A9"/>
    <w:rsid w:val="00BD0266"/>
    <w:rsid w:val="00BD1774"/>
    <w:rsid w:val="00BD1A57"/>
    <w:rsid w:val="00BD51C5"/>
    <w:rsid w:val="00BD77C9"/>
    <w:rsid w:val="00BE095C"/>
    <w:rsid w:val="00BE4BC7"/>
    <w:rsid w:val="00BF287C"/>
    <w:rsid w:val="00BF7A95"/>
    <w:rsid w:val="00C022F2"/>
    <w:rsid w:val="00C0339B"/>
    <w:rsid w:val="00C04BC4"/>
    <w:rsid w:val="00C0644E"/>
    <w:rsid w:val="00C10657"/>
    <w:rsid w:val="00C10CAD"/>
    <w:rsid w:val="00C1189E"/>
    <w:rsid w:val="00C222E3"/>
    <w:rsid w:val="00C227FB"/>
    <w:rsid w:val="00C25DB4"/>
    <w:rsid w:val="00C27DAC"/>
    <w:rsid w:val="00C342D7"/>
    <w:rsid w:val="00C34CDB"/>
    <w:rsid w:val="00C364CF"/>
    <w:rsid w:val="00C52631"/>
    <w:rsid w:val="00C5287B"/>
    <w:rsid w:val="00C53E38"/>
    <w:rsid w:val="00C6118F"/>
    <w:rsid w:val="00C637FC"/>
    <w:rsid w:val="00C67DB3"/>
    <w:rsid w:val="00C70408"/>
    <w:rsid w:val="00C71E74"/>
    <w:rsid w:val="00C733C4"/>
    <w:rsid w:val="00C76D9C"/>
    <w:rsid w:val="00C85BED"/>
    <w:rsid w:val="00C91AF7"/>
    <w:rsid w:val="00C93140"/>
    <w:rsid w:val="00C9448D"/>
    <w:rsid w:val="00CA14ED"/>
    <w:rsid w:val="00CA2A38"/>
    <w:rsid w:val="00CB0521"/>
    <w:rsid w:val="00CB20E2"/>
    <w:rsid w:val="00CB7288"/>
    <w:rsid w:val="00CC2C56"/>
    <w:rsid w:val="00CC3B00"/>
    <w:rsid w:val="00CC64DD"/>
    <w:rsid w:val="00CC6A90"/>
    <w:rsid w:val="00CD11E8"/>
    <w:rsid w:val="00CD2240"/>
    <w:rsid w:val="00CD2FCD"/>
    <w:rsid w:val="00CD47EB"/>
    <w:rsid w:val="00CD6839"/>
    <w:rsid w:val="00CE001E"/>
    <w:rsid w:val="00CE3DD5"/>
    <w:rsid w:val="00CF449E"/>
    <w:rsid w:val="00CF4541"/>
    <w:rsid w:val="00CF4A41"/>
    <w:rsid w:val="00CF60B6"/>
    <w:rsid w:val="00D05DD1"/>
    <w:rsid w:val="00D0621C"/>
    <w:rsid w:val="00D0776C"/>
    <w:rsid w:val="00D11456"/>
    <w:rsid w:val="00D1159E"/>
    <w:rsid w:val="00D1165C"/>
    <w:rsid w:val="00D14005"/>
    <w:rsid w:val="00D15451"/>
    <w:rsid w:val="00D15825"/>
    <w:rsid w:val="00D1715C"/>
    <w:rsid w:val="00D26380"/>
    <w:rsid w:val="00D31F3F"/>
    <w:rsid w:val="00D31FFE"/>
    <w:rsid w:val="00D37487"/>
    <w:rsid w:val="00D42BA1"/>
    <w:rsid w:val="00D44918"/>
    <w:rsid w:val="00D46AB2"/>
    <w:rsid w:val="00D47D60"/>
    <w:rsid w:val="00D510ED"/>
    <w:rsid w:val="00D52208"/>
    <w:rsid w:val="00D529C1"/>
    <w:rsid w:val="00D532B1"/>
    <w:rsid w:val="00D55C18"/>
    <w:rsid w:val="00D55DC4"/>
    <w:rsid w:val="00D56CCA"/>
    <w:rsid w:val="00D57723"/>
    <w:rsid w:val="00D613CA"/>
    <w:rsid w:val="00D62DCD"/>
    <w:rsid w:val="00D630AC"/>
    <w:rsid w:val="00D65F59"/>
    <w:rsid w:val="00D66879"/>
    <w:rsid w:val="00D70080"/>
    <w:rsid w:val="00D704F8"/>
    <w:rsid w:val="00D736DF"/>
    <w:rsid w:val="00D73DA9"/>
    <w:rsid w:val="00D73FF9"/>
    <w:rsid w:val="00D75099"/>
    <w:rsid w:val="00D75B12"/>
    <w:rsid w:val="00D762D6"/>
    <w:rsid w:val="00D77C1E"/>
    <w:rsid w:val="00D80A39"/>
    <w:rsid w:val="00D80CC7"/>
    <w:rsid w:val="00D864C7"/>
    <w:rsid w:val="00DA3F1E"/>
    <w:rsid w:val="00DA3FFE"/>
    <w:rsid w:val="00DA578C"/>
    <w:rsid w:val="00DA62D3"/>
    <w:rsid w:val="00DA64FC"/>
    <w:rsid w:val="00DB6BD7"/>
    <w:rsid w:val="00DB72B3"/>
    <w:rsid w:val="00DC0CDF"/>
    <w:rsid w:val="00DC0FD7"/>
    <w:rsid w:val="00DC1590"/>
    <w:rsid w:val="00DC31AF"/>
    <w:rsid w:val="00DC3333"/>
    <w:rsid w:val="00DC52B1"/>
    <w:rsid w:val="00DC6FC5"/>
    <w:rsid w:val="00DC7A82"/>
    <w:rsid w:val="00DD1108"/>
    <w:rsid w:val="00DD20FE"/>
    <w:rsid w:val="00DD4C79"/>
    <w:rsid w:val="00DD4D14"/>
    <w:rsid w:val="00DD7621"/>
    <w:rsid w:val="00DE128D"/>
    <w:rsid w:val="00DE3705"/>
    <w:rsid w:val="00DE3FA5"/>
    <w:rsid w:val="00DE61CB"/>
    <w:rsid w:val="00DE7810"/>
    <w:rsid w:val="00DF2944"/>
    <w:rsid w:val="00DF736B"/>
    <w:rsid w:val="00E02935"/>
    <w:rsid w:val="00E04D95"/>
    <w:rsid w:val="00E07707"/>
    <w:rsid w:val="00E1155D"/>
    <w:rsid w:val="00E1191F"/>
    <w:rsid w:val="00E13491"/>
    <w:rsid w:val="00E161FD"/>
    <w:rsid w:val="00E16B1B"/>
    <w:rsid w:val="00E21994"/>
    <w:rsid w:val="00E25BB7"/>
    <w:rsid w:val="00E318F7"/>
    <w:rsid w:val="00E3447E"/>
    <w:rsid w:val="00E36199"/>
    <w:rsid w:val="00E43CFB"/>
    <w:rsid w:val="00E455F0"/>
    <w:rsid w:val="00E458FD"/>
    <w:rsid w:val="00E469AF"/>
    <w:rsid w:val="00E56907"/>
    <w:rsid w:val="00E56D03"/>
    <w:rsid w:val="00E57F0B"/>
    <w:rsid w:val="00E618B6"/>
    <w:rsid w:val="00E62BA1"/>
    <w:rsid w:val="00E63BB8"/>
    <w:rsid w:val="00E6675A"/>
    <w:rsid w:val="00E66FFC"/>
    <w:rsid w:val="00E7332E"/>
    <w:rsid w:val="00E74D8B"/>
    <w:rsid w:val="00E81455"/>
    <w:rsid w:val="00E8660D"/>
    <w:rsid w:val="00E90B30"/>
    <w:rsid w:val="00E928A7"/>
    <w:rsid w:val="00E934DA"/>
    <w:rsid w:val="00E959C9"/>
    <w:rsid w:val="00EA1D48"/>
    <w:rsid w:val="00EA255E"/>
    <w:rsid w:val="00EA2E15"/>
    <w:rsid w:val="00EA4124"/>
    <w:rsid w:val="00EA51D1"/>
    <w:rsid w:val="00EB1DDC"/>
    <w:rsid w:val="00EB2CCA"/>
    <w:rsid w:val="00EB7081"/>
    <w:rsid w:val="00EC1F09"/>
    <w:rsid w:val="00EC3B81"/>
    <w:rsid w:val="00EC54C3"/>
    <w:rsid w:val="00EC5B45"/>
    <w:rsid w:val="00ED2DFF"/>
    <w:rsid w:val="00ED2E8B"/>
    <w:rsid w:val="00ED5487"/>
    <w:rsid w:val="00EE40A0"/>
    <w:rsid w:val="00EE6FF0"/>
    <w:rsid w:val="00EF2DE7"/>
    <w:rsid w:val="00EF3C12"/>
    <w:rsid w:val="00EF4737"/>
    <w:rsid w:val="00EF492C"/>
    <w:rsid w:val="00F03673"/>
    <w:rsid w:val="00F0799D"/>
    <w:rsid w:val="00F07A2C"/>
    <w:rsid w:val="00F110CB"/>
    <w:rsid w:val="00F11558"/>
    <w:rsid w:val="00F1333B"/>
    <w:rsid w:val="00F1448E"/>
    <w:rsid w:val="00F16548"/>
    <w:rsid w:val="00F201E4"/>
    <w:rsid w:val="00F2341F"/>
    <w:rsid w:val="00F25438"/>
    <w:rsid w:val="00F2603D"/>
    <w:rsid w:val="00F300AB"/>
    <w:rsid w:val="00F31E2D"/>
    <w:rsid w:val="00F31EC9"/>
    <w:rsid w:val="00F32D2F"/>
    <w:rsid w:val="00F37AC2"/>
    <w:rsid w:val="00F43AB4"/>
    <w:rsid w:val="00F444FF"/>
    <w:rsid w:val="00F4630A"/>
    <w:rsid w:val="00F5032A"/>
    <w:rsid w:val="00F519B5"/>
    <w:rsid w:val="00F5784E"/>
    <w:rsid w:val="00F61CD7"/>
    <w:rsid w:val="00F62C1E"/>
    <w:rsid w:val="00F63280"/>
    <w:rsid w:val="00F637FD"/>
    <w:rsid w:val="00F649C0"/>
    <w:rsid w:val="00F70560"/>
    <w:rsid w:val="00F752C1"/>
    <w:rsid w:val="00F76CB4"/>
    <w:rsid w:val="00F77DB5"/>
    <w:rsid w:val="00F83320"/>
    <w:rsid w:val="00F837D7"/>
    <w:rsid w:val="00F848FE"/>
    <w:rsid w:val="00F85490"/>
    <w:rsid w:val="00F856A6"/>
    <w:rsid w:val="00F85ED9"/>
    <w:rsid w:val="00F87D34"/>
    <w:rsid w:val="00F901B9"/>
    <w:rsid w:val="00F90642"/>
    <w:rsid w:val="00F91A22"/>
    <w:rsid w:val="00F97F3D"/>
    <w:rsid w:val="00FA2522"/>
    <w:rsid w:val="00FA76AC"/>
    <w:rsid w:val="00FB1145"/>
    <w:rsid w:val="00FB2712"/>
    <w:rsid w:val="00FB3027"/>
    <w:rsid w:val="00FB37B2"/>
    <w:rsid w:val="00FB5784"/>
    <w:rsid w:val="00FB59C1"/>
    <w:rsid w:val="00FC0B6B"/>
    <w:rsid w:val="00FC2188"/>
    <w:rsid w:val="00FC5024"/>
    <w:rsid w:val="00FC69E6"/>
    <w:rsid w:val="00FD005B"/>
    <w:rsid w:val="00FD0C5A"/>
    <w:rsid w:val="00FD1E00"/>
    <w:rsid w:val="00FD323F"/>
    <w:rsid w:val="00FD39FC"/>
    <w:rsid w:val="00FD4BCC"/>
    <w:rsid w:val="00FD5A55"/>
    <w:rsid w:val="00FD5FE7"/>
    <w:rsid w:val="00FD6DBA"/>
    <w:rsid w:val="00FE2083"/>
    <w:rsid w:val="00FE6AFE"/>
    <w:rsid w:val="00FF00B2"/>
    <w:rsid w:val="00FF2F89"/>
    <w:rsid w:val="00FF55AF"/>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03015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6726BD"/>
    <w:rPr>
      <w:color w:val="605E5C"/>
      <w:shd w:val="clear" w:color="auto" w:fill="E1DFDD"/>
    </w:rPr>
  </w:style>
  <w:style w:type="character" w:customStyle="1" w:styleId="paragraphChar">
    <w:name w:val="paragraph Char"/>
    <w:aliases w:val="a Char"/>
    <w:link w:val="paragraph"/>
    <w:rsid w:val="00DE3705"/>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DE3705"/>
    <w:rPr>
      <w:rFonts w:ascii="Times New Roman" w:eastAsia="Times New Roman" w:hAnsi="Times New Roman" w:cs="Times New Roman"/>
      <w:szCs w:val="20"/>
      <w:lang w:eastAsia="en-AU"/>
    </w:rPr>
  </w:style>
  <w:style w:type="paragraph" w:customStyle="1" w:styleId="Note">
    <w:name w:val="Note"/>
    <w:basedOn w:val="Normal"/>
    <w:rsid w:val="00602A5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hr">
    <w:name w:val="hr"/>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30153"/>
    <w:rPr>
      <w:rFonts w:ascii="Times New Roman" w:eastAsia="Times New Roman" w:hAnsi="Times New Roman" w:cs="Times New Roman"/>
      <w:b/>
      <w:kern w:val="28"/>
      <w:sz w:val="24"/>
      <w:szCs w:val="20"/>
      <w:lang w:eastAsia="en-AU"/>
    </w:rPr>
  </w:style>
  <w:style w:type="paragraph" w:customStyle="1" w:styleId="Schedulepara">
    <w:name w:val="Schedule para"/>
    <w:basedOn w:val="Normal"/>
    <w:rsid w:val="0003015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ItemHead">
    <w:name w:val="ItemHead"/>
    <w:aliases w:val="ih"/>
    <w:basedOn w:val="Normal"/>
    <w:next w:val="Normal"/>
    <w:rsid w:val="003165F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PlaceholderText">
    <w:name w:val="Placeholder Text"/>
    <w:basedOn w:val="DefaultParagraphFont"/>
    <w:uiPriority w:val="99"/>
    <w:semiHidden/>
    <w:rsid w:val="00C70408"/>
    <w:rPr>
      <w:color w:val="808080"/>
    </w:rPr>
  </w:style>
  <w:style w:type="paragraph" w:customStyle="1" w:styleId="listlevel1">
    <w:name w:val="list level 1"/>
    <w:rsid w:val="00927ABD"/>
    <w:pPr>
      <w:spacing w:after="0" w:line="240" w:lineRule="auto"/>
      <w:ind w:left="1699" w:hanging="562"/>
    </w:pPr>
    <w:rPr>
      <w:rFonts w:ascii="Arial" w:eastAsia="Times New Roman" w:hAnsi="Arial" w:cs="Times New Roman"/>
      <w:szCs w:val="20"/>
      <w:lang w:eastAsia="en-AU"/>
    </w:rPr>
  </w:style>
  <w:style w:type="table" w:styleId="TableGrid">
    <w:name w:val="Table Grid"/>
    <w:basedOn w:val="TableNormal"/>
    <w:uiPriority w:val="39"/>
    <w:rsid w:val="009D64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077"/>
    <w:rPr>
      <w:color w:val="954F72" w:themeColor="followedHyperlink"/>
      <w:u w:val="single"/>
    </w:rPr>
  </w:style>
  <w:style w:type="paragraph" w:customStyle="1" w:styleId="acthead50">
    <w:name w:val="acthead5"/>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49440A"/>
  </w:style>
  <w:style w:type="paragraph" w:customStyle="1" w:styleId="subsection2">
    <w:name w:val="subsection2"/>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63229">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5873499">
      <w:bodyDiv w:val="1"/>
      <w:marLeft w:val="0"/>
      <w:marRight w:val="0"/>
      <w:marTop w:val="0"/>
      <w:marBottom w:val="0"/>
      <w:divBdr>
        <w:top w:val="none" w:sz="0" w:space="0" w:color="auto"/>
        <w:left w:val="none" w:sz="0" w:space="0" w:color="auto"/>
        <w:bottom w:val="none" w:sz="0" w:space="0" w:color="auto"/>
        <w:right w:val="none" w:sz="0" w:space="0" w:color="auto"/>
      </w:divBdr>
    </w:div>
    <w:div w:id="1401050967">
      <w:bodyDiv w:val="1"/>
      <w:marLeft w:val="0"/>
      <w:marRight w:val="0"/>
      <w:marTop w:val="0"/>
      <w:marBottom w:val="0"/>
      <w:divBdr>
        <w:top w:val="none" w:sz="0" w:space="0" w:color="auto"/>
        <w:left w:val="none" w:sz="0" w:space="0" w:color="auto"/>
        <w:bottom w:val="none" w:sz="0" w:space="0" w:color="auto"/>
        <w:right w:val="none" w:sz="0" w:space="0" w:color="auto"/>
      </w:divBdr>
    </w:div>
    <w:div w:id="16953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tu.int"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tu.int"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eader" Target="header4.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3NE2HDV7HD6D-128-8251</_dlc_DocId>
    <_dlc_DocIdUrl xmlns="1d983eb4-33f7-44b0-aea1-cbdcf0c55136">
      <Url>http://collaboration/organisation/cid/speb/sp/_layouts/15/DocIdRedir.aspx?ID=3NE2HDV7HD6D-128-8251</Url>
      <Description>3NE2HDV7HD6D-128-8251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3.xml><?xml version="1.0" encoding="utf-8"?>
<ds:datastoreItem xmlns:ds="http://schemas.openxmlformats.org/officeDocument/2006/customXml" ds:itemID="{8D286CEC-183B-4BAE-B43C-62C63D593281}"/>
</file>

<file path=customXml/itemProps4.xml><?xml version="1.0" encoding="utf-8"?>
<ds:datastoreItem xmlns:ds="http://schemas.openxmlformats.org/officeDocument/2006/customXml" ds:itemID="{5A6A1459-A477-46EA-9CB4-A77073B0AF7A}">
  <ds:schemaRefs>
    <ds:schemaRef ds:uri="ffcaacd4-51b0-487d-9500-5676dac395a7"/>
    <ds:schemaRef ds:uri="http://purl.org/dc/elements/1.1/"/>
    <ds:schemaRef ds:uri="fe763861-97b4-4142-9b42-ef40e7c6d928"/>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4DA575E2-EC12-4447-8EE6-BFA30D825EE6}"/>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12947</Characters>
  <Application>Microsoft Office Word</Application>
  <DocSecurity>0</DocSecurity>
  <Lines>294</Lines>
  <Paragraphs>194</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Patrick Belton</cp:lastModifiedBy>
  <cp:revision>2</cp:revision>
  <cp:lastPrinted>2023-08-22T03:09:00Z</cp:lastPrinted>
  <dcterms:created xsi:type="dcterms:W3CDTF">2023-09-05T06:14:00Z</dcterms:created>
  <dcterms:modified xsi:type="dcterms:W3CDTF">2023-09-05T06:14:00Z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0x010100D922B896673C3B4CAC6395581CF998E6</vt:lpwstr>
  </property>
  <property fmtid="{D5CDD505-2E9C-101B-9397-08002B2CF9AE}" pid="3" name="_dlc_DocIdItemGuid">
    <vt:lpwstr>6c2cf849-926c-4603-b7ba-332f5c3c07ca</vt:lpwstr>
  </property>
</Properties>
</file>