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C54E9" w14:textId="77777777" w:rsidR="002B4267" w:rsidRPr="00BF6E15" w:rsidRDefault="002B4267" w:rsidP="00BF6E15">
      <w:pPr>
        <w:rPr>
          <w:rFonts w:ascii="Times New Roman" w:hAnsi="Times New Roman" w:cs="Times New Roman"/>
          <w:sz w:val="28"/>
        </w:rPr>
      </w:pPr>
      <w:r>
        <w:rPr>
          <w:rFonts w:ascii="Times New Roman" w:hAnsi="Times New Roman" w:cs="Times New Roman"/>
          <w:noProof/>
          <w:lang w:eastAsia="en-AU"/>
        </w:rPr>
        <w:drawing>
          <wp:inline distT="0" distB="0" distL="0" distR="0" wp14:anchorId="2EC11B08" wp14:editId="31B37464">
            <wp:extent cx="1504950" cy="1104900"/>
            <wp:effectExtent l="0" t="0" r="0" b="0"/>
            <wp:docPr id="1" name="Picture 1" descr="Commonwealth of Austral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of Australia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6730E5F7" w14:textId="77777777" w:rsidR="002B4267" w:rsidRPr="00774096" w:rsidRDefault="002B4267" w:rsidP="00774096">
      <w:pPr>
        <w:rPr>
          <w:rFonts w:ascii="Times New Roman" w:hAnsi="Times New Roman" w:cs="Times New Roman"/>
          <w:sz w:val="19"/>
        </w:rPr>
      </w:pPr>
    </w:p>
    <w:p w14:paraId="597720ED" w14:textId="48DB69D1" w:rsidR="00CF05C2" w:rsidRDefault="00CF05C2" w:rsidP="00CF05C2">
      <w:pPr>
        <w:pStyle w:val="ShortT"/>
      </w:pPr>
      <w:r>
        <w:t>Radiocommunications Advisory Guidelines (</w:t>
      </w:r>
      <w:r w:rsidR="00BC27E7">
        <w:t xml:space="preserve">Managing Interference </w:t>
      </w:r>
      <w:r w:rsidR="00EF75CF">
        <w:t>from</w:t>
      </w:r>
      <w:r w:rsidR="00BC27E7">
        <w:t xml:space="preserve"> Spectrum Licensed </w:t>
      </w:r>
      <w:r w:rsidR="00EF75CF">
        <w:t>Transmitters</w:t>
      </w:r>
      <w:r w:rsidR="00BC27E7">
        <w:t xml:space="preserve"> – </w:t>
      </w:r>
      <w:r w:rsidR="00B52EE5">
        <w:t>2</w:t>
      </w:r>
      <w:r w:rsidR="0076392F">
        <w:t>.</w:t>
      </w:r>
      <w:r w:rsidR="00947463">
        <w:t>3</w:t>
      </w:r>
      <w:r w:rsidR="00B52EE5">
        <w:t xml:space="preserve"> G</w:t>
      </w:r>
      <w:r w:rsidR="00BC27E7">
        <w:t>Hz Band</w:t>
      </w:r>
      <w:r>
        <w:t>) 202</w:t>
      </w:r>
      <w:r w:rsidR="005E5F4A">
        <w:t>3</w:t>
      </w:r>
    </w:p>
    <w:p w14:paraId="4A370CFF" w14:textId="77777777" w:rsidR="00CF05C2" w:rsidRDefault="00CF05C2" w:rsidP="00CF05C2">
      <w:pPr>
        <w:pStyle w:val="SignCoverPageStart"/>
        <w:spacing w:before="0" w:line="240" w:lineRule="auto"/>
        <w:rPr>
          <w:szCs w:val="22"/>
        </w:rPr>
      </w:pPr>
    </w:p>
    <w:p w14:paraId="3CFA77DE" w14:textId="0953EE7D" w:rsidR="00CF05C2" w:rsidRDefault="00CF05C2" w:rsidP="00CF05C2">
      <w:pPr>
        <w:pStyle w:val="SignCoverPageStart"/>
        <w:spacing w:before="0" w:line="240" w:lineRule="auto"/>
        <w:rPr>
          <w:szCs w:val="22"/>
        </w:rPr>
      </w:pPr>
      <w:r>
        <w:rPr>
          <w:szCs w:val="22"/>
        </w:rPr>
        <w:t xml:space="preserve">The Australian Communications and Media Authority makes the following </w:t>
      </w:r>
      <w:r w:rsidR="00D85BF8">
        <w:rPr>
          <w:szCs w:val="22"/>
        </w:rPr>
        <w:t>guidelines</w:t>
      </w:r>
      <w:r>
        <w:rPr>
          <w:szCs w:val="22"/>
        </w:rPr>
        <w:t xml:space="preserve"> under </w:t>
      </w:r>
      <w:r>
        <w:t xml:space="preserve">section 262 of the </w:t>
      </w:r>
      <w:r>
        <w:rPr>
          <w:i/>
        </w:rPr>
        <w:t>Radiocommunications Act 1992</w:t>
      </w:r>
      <w:r>
        <w:t>.</w:t>
      </w:r>
    </w:p>
    <w:p w14:paraId="6FD54255" w14:textId="77777777" w:rsidR="00CF05C2" w:rsidRDefault="00CF05C2" w:rsidP="00CF05C2">
      <w:pPr>
        <w:keepNext/>
        <w:spacing w:before="300" w:line="240" w:lineRule="atLeast"/>
        <w:ind w:right="397"/>
        <w:jc w:val="both"/>
        <w:rPr>
          <w:rFonts w:ascii="Times New Roman" w:hAnsi="Times New Roman" w:cs="Times New Roman"/>
        </w:rPr>
      </w:pPr>
      <w:r>
        <w:rPr>
          <w:rFonts w:ascii="Times New Roman" w:hAnsi="Times New Roman" w:cs="Times New Roman"/>
        </w:rPr>
        <w:t>Dated</w:t>
      </w:r>
      <w:bookmarkStart w:id="0" w:name="BKCheck15B_1"/>
      <w:bookmarkEnd w:id="0"/>
      <w:r>
        <w:rPr>
          <w:rFonts w:ascii="Times New Roman" w:hAnsi="Times New Roman" w:cs="Times New Roman"/>
        </w:rPr>
        <w:t>:</w:t>
      </w:r>
    </w:p>
    <w:p w14:paraId="635EAA0B" w14:textId="77777777" w:rsidR="00CF05C2" w:rsidRDefault="00CF05C2" w:rsidP="00CF05C2">
      <w:pPr>
        <w:tabs>
          <w:tab w:val="left" w:pos="3119"/>
        </w:tabs>
        <w:spacing w:before="1200" w:after="600" w:line="300" w:lineRule="atLeast"/>
        <w:ind w:right="375"/>
        <w:jc w:val="right"/>
        <w:rPr>
          <w:rFonts w:ascii="Times New Roman" w:hAnsi="Times New Roman" w:cs="Times New Roman"/>
        </w:rPr>
      </w:pPr>
      <w:r>
        <w:rPr>
          <w:rFonts w:ascii="Times New Roman" w:hAnsi="Times New Roman" w:cs="Times New Roman"/>
        </w:rPr>
        <w:t>Member</w:t>
      </w:r>
      <w:bookmarkStart w:id="1" w:name="Minister"/>
    </w:p>
    <w:p w14:paraId="41AE48E1" w14:textId="77777777" w:rsidR="00CF05C2" w:rsidRDefault="00CF05C2" w:rsidP="00CF05C2">
      <w:pPr>
        <w:tabs>
          <w:tab w:val="left" w:pos="3119"/>
        </w:tabs>
        <w:spacing w:before="1200" w:line="300" w:lineRule="atLeast"/>
        <w:ind w:right="375"/>
        <w:jc w:val="right"/>
        <w:rPr>
          <w:rFonts w:ascii="Times New Roman" w:hAnsi="Times New Roman" w:cs="Times New Roman"/>
        </w:rPr>
      </w:pPr>
      <w:r>
        <w:rPr>
          <w:rFonts w:ascii="Times New Roman" w:hAnsi="Times New Roman" w:cs="Times New Roman"/>
        </w:rPr>
        <w:t>Member/General Manager</w:t>
      </w:r>
      <w:bookmarkEnd w:id="1"/>
    </w:p>
    <w:p w14:paraId="562EB442" w14:textId="77777777" w:rsidR="00CF05C2" w:rsidRDefault="00CF05C2" w:rsidP="00CF05C2">
      <w:pPr>
        <w:pStyle w:val="SignCoverPageEnd"/>
        <w:ind w:right="794"/>
        <w:rPr>
          <w:szCs w:val="22"/>
        </w:rPr>
      </w:pPr>
    </w:p>
    <w:p w14:paraId="58C61D9E" w14:textId="77777777" w:rsidR="00CF05C2" w:rsidRDefault="00CF05C2" w:rsidP="00CF05C2">
      <w:pPr>
        <w:pStyle w:val="SignCoverPageEnd"/>
        <w:ind w:right="794"/>
        <w:rPr>
          <w:szCs w:val="22"/>
        </w:rPr>
      </w:pPr>
      <w:r>
        <w:rPr>
          <w:szCs w:val="22"/>
        </w:rPr>
        <w:t>Australian Communications and Media Authority</w:t>
      </w:r>
    </w:p>
    <w:p w14:paraId="436B27D7" w14:textId="77777777" w:rsidR="00CF05C2" w:rsidRDefault="00CF05C2" w:rsidP="00CF05C2">
      <w:pPr>
        <w:rPr>
          <w:rFonts w:ascii="Times New Roman" w:hAnsi="Times New Roman" w:cs="Times New Roman"/>
        </w:rPr>
      </w:pPr>
    </w:p>
    <w:p w14:paraId="00E43D19" w14:textId="77777777" w:rsidR="00CF05C2" w:rsidRDefault="00CF05C2" w:rsidP="00CF05C2">
      <w:pPr>
        <w:rPr>
          <w:rFonts w:ascii="Times New Roman" w:hAnsi="Times New Roman" w:cs="Times New Roman"/>
        </w:rPr>
      </w:pPr>
    </w:p>
    <w:p w14:paraId="4F08A154" w14:textId="77777777" w:rsidR="00CF05C2" w:rsidRDefault="00CF05C2" w:rsidP="00CF05C2">
      <w:pPr>
        <w:rPr>
          <w:rFonts w:ascii="Times New Roman" w:hAnsi="Times New Roman" w:cs="Times New Roman"/>
        </w:rPr>
      </w:pPr>
    </w:p>
    <w:p w14:paraId="1921E4AB" w14:textId="77777777" w:rsidR="00CF05C2" w:rsidRDefault="00CF05C2" w:rsidP="00CF05C2">
      <w:pPr>
        <w:spacing w:after="0"/>
        <w:rPr>
          <w:rFonts w:ascii="Times New Roman" w:hAnsi="Times New Roman" w:cs="Times New Roman"/>
        </w:rPr>
        <w:sectPr w:rsidR="00CF05C2">
          <w:pgSz w:w="11906" w:h="16838"/>
          <w:pgMar w:top="1440" w:right="1440" w:bottom="1440" w:left="1440" w:header="708" w:footer="708" w:gutter="0"/>
          <w:pgNumType w:start="1"/>
          <w:cols w:space="720"/>
        </w:sectPr>
      </w:pPr>
    </w:p>
    <w:p w14:paraId="6B3D9C84" w14:textId="407EC6DD" w:rsidR="005F58CD" w:rsidRPr="004F1E24" w:rsidRDefault="005F58CD" w:rsidP="005F58CD">
      <w:pPr>
        <w:rPr>
          <w:rFonts w:ascii="Times New Roman" w:hAnsi="Times New Roman" w:cs="Times New Roman"/>
          <w:b/>
          <w:bCs/>
          <w:sz w:val="32"/>
          <w:szCs w:val="32"/>
        </w:rPr>
      </w:pPr>
      <w:r w:rsidRPr="004F1E24">
        <w:rPr>
          <w:rFonts w:ascii="Times New Roman" w:hAnsi="Times New Roman" w:cs="Times New Roman"/>
          <w:b/>
          <w:bCs/>
          <w:sz w:val="32"/>
          <w:szCs w:val="32"/>
        </w:rPr>
        <w:lastRenderedPageBreak/>
        <w:t xml:space="preserve">Part </w:t>
      </w:r>
      <w:r>
        <w:rPr>
          <w:rFonts w:ascii="Times New Roman" w:hAnsi="Times New Roman" w:cs="Times New Roman"/>
          <w:b/>
          <w:bCs/>
          <w:sz w:val="32"/>
          <w:szCs w:val="32"/>
        </w:rPr>
        <w:t>1</w:t>
      </w:r>
      <w:r w:rsidRPr="004F1E24">
        <w:rPr>
          <w:rFonts w:ascii="Times New Roman" w:hAnsi="Times New Roman" w:cs="Times New Roman"/>
          <w:b/>
          <w:bCs/>
          <w:sz w:val="32"/>
          <w:szCs w:val="32"/>
        </w:rPr>
        <w:t>—</w:t>
      </w:r>
      <w:r>
        <w:rPr>
          <w:rFonts w:ascii="Times New Roman" w:hAnsi="Times New Roman" w:cs="Times New Roman"/>
          <w:b/>
          <w:bCs/>
          <w:sz w:val="32"/>
          <w:szCs w:val="32"/>
        </w:rPr>
        <w:t>Preliminary</w:t>
      </w:r>
    </w:p>
    <w:p w14:paraId="444E2832" w14:textId="77777777" w:rsidR="00CF05C2" w:rsidRDefault="00CF05C2" w:rsidP="005F58CD">
      <w:pPr>
        <w:pStyle w:val="ActHead5"/>
      </w:pPr>
      <w:r>
        <w:rPr>
          <w:rStyle w:val="CharSectno"/>
        </w:rPr>
        <w:t>1</w:t>
      </w:r>
      <w:r>
        <w:t xml:space="preserve">  Name</w:t>
      </w:r>
    </w:p>
    <w:p w14:paraId="0568E939" w14:textId="2BA68B57" w:rsidR="00CF05C2" w:rsidRDefault="00CF05C2" w:rsidP="00CF05C2">
      <w:pPr>
        <w:pStyle w:val="subsection"/>
      </w:pPr>
      <w:r>
        <w:tab/>
      </w:r>
      <w:r>
        <w:tab/>
      </w:r>
      <w:r w:rsidR="005E5F4A">
        <w:t>These are</w:t>
      </w:r>
      <w:r>
        <w:t xml:space="preserve"> the </w:t>
      </w:r>
      <w:r>
        <w:rPr>
          <w:i/>
          <w:iCs/>
        </w:rPr>
        <w:t>Radiocommunications Advisory Guidelines (</w:t>
      </w:r>
      <w:r w:rsidR="00BC27E7">
        <w:rPr>
          <w:i/>
          <w:iCs/>
        </w:rPr>
        <w:t xml:space="preserve">Managing Interference </w:t>
      </w:r>
      <w:r w:rsidR="00BC2B23">
        <w:rPr>
          <w:i/>
          <w:iCs/>
        </w:rPr>
        <w:t>from</w:t>
      </w:r>
      <w:r w:rsidR="00BC27E7">
        <w:rPr>
          <w:i/>
          <w:iCs/>
        </w:rPr>
        <w:t xml:space="preserve"> Spectrum Licensed </w:t>
      </w:r>
      <w:r w:rsidR="00BC2B23">
        <w:rPr>
          <w:i/>
          <w:iCs/>
        </w:rPr>
        <w:t>Transmitters</w:t>
      </w:r>
      <w:r w:rsidR="00BC27E7">
        <w:rPr>
          <w:i/>
          <w:iCs/>
        </w:rPr>
        <w:t xml:space="preserve"> – </w:t>
      </w:r>
      <w:r w:rsidR="00B52EE5">
        <w:rPr>
          <w:i/>
          <w:iCs/>
        </w:rPr>
        <w:t>2</w:t>
      </w:r>
      <w:r w:rsidR="0076392F">
        <w:rPr>
          <w:i/>
          <w:iCs/>
        </w:rPr>
        <w:t>.</w:t>
      </w:r>
      <w:r w:rsidR="00947463">
        <w:rPr>
          <w:i/>
          <w:iCs/>
        </w:rPr>
        <w:t>3</w:t>
      </w:r>
      <w:r w:rsidR="00B52EE5">
        <w:rPr>
          <w:i/>
          <w:iCs/>
        </w:rPr>
        <w:t xml:space="preserve"> G</w:t>
      </w:r>
      <w:r w:rsidR="00BC27E7">
        <w:rPr>
          <w:i/>
          <w:iCs/>
        </w:rPr>
        <w:t>Hz Band</w:t>
      </w:r>
      <w:r>
        <w:rPr>
          <w:i/>
          <w:iCs/>
        </w:rPr>
        <w:t>) 202</w:t>
      </w:r>
      <w:r w:rsidR="005E5F4A">
        <w:rPr>
          <w:i/>
          <w:iCs/>
        </w:rPr>
        <w:t>3</w:t>
      </w:r>
      <w:r>
        <w:t>.</w:t>
      </w:r>
    </w:p>
    <w:p w14:paraId="24C7E821" w14:textId="6D3B62FD" w:rsidR="00CF05C2" w:rsidRDefault="00CF05C2" w:rsidP="00CF05C2">
      <w:pPr>
        <w:pStyle w:val="ActHead5"/>
      </w:pPr>
      <w:bookmarkStart w:id="2" w:name="_Toc444596032"/>
      <w:r>
        <w:rPr>
          <w:rStyle w:val="CharSectno"/>
        </w:rPr>
        <w:t>2</w:t>
      </w:r>
      <w:r>
        <w:t xml:space="preserve">  Commencemen</w:t>
      </w:r>
      <w:bookmarkEnd w:id="2"/>
      <w:r>
        <w:t>t</w:t>
      </w:r>
    </w:p>
    <w:p w14:paraId="24210B36" w14:textId="77777777" w:rsidR="00CF05C2" w:rsidRDefault="00CF05C2" w:rsidP="00CF05C2">
      <w:pPr>
        <w:pStyle w:val="subsection"/>
      </w:pPr>
      <w:r>
        <w:tab/>
      </w:r>
      <w:r>
        <w:tab/>
        <w:t xml:space="preserve">This instrument commences at the start of the day after the day it is registered on the Federal Register of Legislation. </w:t>
      </w:r>
    </w:p>
    <w:p w14:paraId="22B7EC90" w14:textId="77777777" w:rsidR="00CF05C2" w:rsidRDefault="00CF05C2" w:rsidP="005448B2">
      <w:pPr>
        <w:pStyle w:val="LI-BodyTextNote"/>
        <w:spacing w:before="122"/>
        <w:ind w:left="1985" w:hanging="851"/>
      </w:pPr>
      <w:r>
        <w:t>Note:</w:t>
      </w:r>
      <w:r>
        <w:tab/>
        <w:t xml:space="preserve">The Federal Register of Legislation may be accessed free of charge at </w:t>
      </w:r>
      <w:hyperlink r:id="rId13" w:history="1">
        <w:r>
          <w:rPr>
            <w:rStyle w:val="Hyperlink"/>
            <w:rFonts w:eastAsiaTheme="majorEastAsia"/>
          </w:rPr>
          <w:t>www.legislation.gov.au</w:t>
        </w:r>
      </w:hyperlink>
      <w:r>
        <w:t>.</w:t>
      </w:r>
    </w:p>
    <w:p w14:paraId="04FB10E8" w14:textId="77777777" w:rsidR="00CF05C2" w:rsidRDefault="00CF05C2" w:rsidP="00CF05C2">
      <w:pPr>
        <w:pStyle w:val="ActHead5"/>
      </w:pPr>
      <w:bookmarkStart w:id="3" w:name="_Toc444596033"/>
      <w:r>
        <w:rPr>
          <w:rStyle w:val="CharSectno"/>
        </w:rPr>
        <w:t>3</w:t>
      </w:r>
      <w:r>
        <w:t xml:space="preserve">  Authority</w:t>
      </w:r>
      <w:bookmarkEnd w:id="3"/>
    </w:p>
    <w:p w14:paraId="2EC4376D" w14:textId="1BDA9190" w:rsidR="00CF05C2" w:rsidRDefault="00CF05C2" w:rsidP="00CF05C2">
      <w:pPr>
        <w:pStyle w:val="subsection"/>
      </w:pPr>
      <w:r>
        <w:tab/>
      </w:r>
      <w:r>
        <w:tab/>
        <w:t>This instrument is made under section 262 of the Act.</w:t>
      </w:r>
    </w:p>
    <w:p w14:paraId="388F0B58" w14:textId="2743CF72" w:rsidR="00CF05C2" w:rsidRDefault="00CF05C2" w:rsidP="00CF05C2">
      <w:pPr>
        <w:pStyle w:val="ActHead5"/>
        <w:rPr>
          <w:i/>
        </w:rPr>
      </w:pPr>
      <w:bookmarkStart w:id="4" w:name="_Toc444596034"/>
      <w:r>
        <w:t xml:space="preserve">4  Repeal of the </w:t>
      </w:r>
      <w:r>
        <w:rPr>
          <w:i/>
        </w:rPr>
        <w:t>Radiocommunications Advisory Guidelines (</w:t>
      </w:r>
      <w:r w:rsidR="00A06486">
        <w:rPr>
          <w:i/>
        </w:rPr>
        <w:t xml:space="preserve">Managing Interference </w:t>
      </w:r>
      <w:r w:rsidR="00BC2B23">
        <w:rPr>
          <w:i/>
        </w:rPr>
        <w:t>from</w:t>
      </w:r>
      <w:r w:rsidR="00A06486">
        <w:rPr>
          <w:i/>
        </w:rPr>
        <w:t xml:space="preserve"> </w:t>
      </w:r>
      <w:r w:rsidR="001516C2">
        <w:rPr>
          <w:i/>
        </w:rPr>
        <w:t xml:space="preserve">Spectrum Licensed </w:t>
      </w:r>
      <w:r w:rsidR="00BC2B23">
        <w:rPr>
          <w:i/>
        </w:rPr>
        <w:t>Transmitters</w:t>
      </w:r>
      <w:r w:rsidR="00A06486">
        <w:rPr>
          <w:i/>
        </w:rPr>
        <w:t xml:space="preserve"> – </w:t>
      </w:r>
      <w:r w:rsidR="00B52EE5">
        <w:rPr>
          <w:i/>
        </w:rPr>
        <w:t>2</w:t>
      </w:r>
      <w:r w:rsidR="0076392F">
        <w:rPr>
          <w:i/>
        </w:rPr>
        <w:t>.</w:t>
      </w:r>
      <w:r w:rsidR="001516C2">
        <w:rPr>
          <w:i/>
        </w:rPr>
        <w:t>3</w:t>
      </w:r>
      <w:r w:rsidR="00B52EE5">
        <w:rPr>
          <w:i/>
        </w:rPr>
        <w:t xml:space="preserve"> G</w:t>
      </w:r>
      <w:r w:rsidR="00A06486">
        <w:rPr>
          <w:i/>
        </w:rPr>
        <w:t xml:space="preserve">Hz </w:t>
      </w:r>
      <w:r w:rsidR="001516C2">
        <w:rPr>
          <w:i/>
        </w:rPr>
        <w:t>Band</w:t>
      </w:r>
      <w:r>
        <w:rPr>
          <w:i/>
        </w:rPr>
        <w:t>) 201</w:t>
      </w:r>
      <w:r w:rsidR="001516C2">
        <w:rPr>
          <w:i/>
        </w:rPr>
        <w:t>3</w:t>
      </w:r>
    </w:p>
    <w:p w14:paraId="62B2F207" w14:textId="10B5B9E5" w:rsidR="00CF05C2" w:rsidRDefault="00CF05C2" w:rsidP="00CF05C2">
      <w:pPr>
        <w:pStyle w:val="subsection"/>
        <w:rPr>
          <w:rStyle w:val="CharSectno"/>
        </w:rPr>
      </w:pPr>
      <w:r>
        <w:tab/>
      </w:r>
      <w:r>
        <w:tab/>
        <w:t xml:space="preserve">The </w:t>
      </w:r>
      <w:r>
        <w:rPr>
          <w:i/>
        </w:rPr>
        <w:t>Radiocommunications Advisory Guidelines (</w:t>
      </w:r>
      <w:r w:rsidR="00A06486">
        <w:rPr>
          <w:i/>
        </w:rPr>
        <w:t xml:space="preserve">Managing Interference </w:t>
      </w:r>
      <w:r w:rsidR="00BC2B23">
        <w:rPr>
          <w:i/>
        </w:rPr>
        <w:t>from</w:t>
      </w:r>
      <w:r w:rsidR="00A06486">
        <w:rPr>
          <w:i/>
        </w:rPr>
        <w:t xml:space="preserve"> </w:t>
      </w:r>
      <w:r w:rsidR="001516C2">
        <w:rPr>
          <w:i/>
        </w:rPr>
        <w:t xml:space="preserve">Spectrum Licensed </w:t>
      </w:r>
      <w:r w:rsidR="00BC2B23">
        <w:rPr>
          <w:i/>
        </w:rPr>
        <w:t>Transmitters</w:t>
      </w:r>
      <w:r w:rsidR="00A06486">
        <w:rPr>
          <w:i/>
        </w:rPr>
        <w:t xml:space="preserve"> – </w:t>
      </w:r>
      <w:r w:rsidR="00B52EE5">
        <w:rPr>
          <w:i/>
        </w:rPr>
        <w:t>2</w:t>
      </w:r>
      <w:r w:rsidR="00E43A63">
        <w:rPr>
          <w:i/>
        </w:rPr>
        <w:t>.</w:t>
      </w:r>
      <w:r w:rsidR="001516C2">
        <w:rPr>
          <w:i/>
        </w:rPr>
        <w:t>3</w:t>
      </w:r>
      <w:r w:rsidR="00B52EE5">
        <w:rPr>
          <w:i/>
        </w:rPr>
        <w:t xml:space="preserve"> G</w:t>
      </w:r>
      <w:r w:rsidR="00A06486">
        <w:rPr>
          <w:i/>
        </w:rPr>
        <w:t xml:space="preserve">Hz </w:t>
      </w:r>
      <w:r w:rsidR="001516C2">
        <w:rPr>
          <w:i/>
        </w:rPr>
        <w:t>B</w:t>
      </w:r>
      <w:r w:rsidR="00A06486">
        <w:rPr>
          <w:i/>
        </w:rPr>
        <w:t>and</w:t>
      </w:r>
      <w:r w:rsidR="001516C2">
        <w:rPr>
          <w:i/>
        </w:rPr>
        <w:t>)</w:t>
      </w:r>
      <w:r>
        <w:rPr>
          <w:i/>
        </w:rPr>
        <w:t xml:space="preserve"> 20</w:t>
      </w:r>
      <w:r w:rsidR="00B52EE5">
        <w:rPr>
          <w:i/>
        </w:rPr>
        <w:t>1</w:t>
      </w:r>
      <w:r w:rsidR="001516C2">
        <w:rPr>
          <w:i/>
        </w:rPr>
        <w:t>3</w:t>
      </w:r>
      <w:r>
        <w:rPr>
          <w:i/>
        </w:rPr>
        <w:t xml:space="preserve"> </w:t>
      </w:r>
      <w:r>
        <w:t>[F201</w:t>
      </w:r>
      <w:r w:rsidR="001516C2">
        <w:t>3</w:t>
      </w:r>
      <w:r>
        <w:t>L0</w:t>
      </w:r>
      <w:r w:rsidR="00E43A63">
        <w:t>2</w:t>
      </w:r>
      <w:r w:rsidR="001516C2">
        <w:t>143</w:t>
      </w:r>
      <w:r>
        <w:t xml:space="preserve">] </w:t>
      </w:r>
      <w:r w:rsidR="00DC60B1">
        <w:t xml:space="preserve">are </w:t>
      </w:r>
      <w:r>
        <w:t>repealed.</w:t>
      </w:r>
    </w:p>
    <w:p w14:paraId="05FBE631" w14:textId="77777777" w:rsidR="00CF05C2" w:rsidRDefault="00CF05C2" w:rsidP="00CF05C2">
      <w:pPr>
        <w:pStyle w:val="ActHead5"/>
      </w:pPr>
      <w:r>
        <w:rPr>
          <w:rStyle w:val="CharSectno"/>
        </w:rPr>
        <w:t>5</w:t>
      </w:r>
      <w:r>
        <w:t xml:space="preserve">  Definitions</w:t>
      </w:r>
      <w:bookmarkEnd w:id="4"/>
    </w:p>
    <w:p w14:paraId="2BBA8BA4" w14:textId="416F6FD4" w:rsidR="00CF05C2" w:rsidRDefault="00CF05C2" w:rsidP="00CF05C2">
      <w:pPr>
        <w:pStyle w:val="subsection"/>
      </w:pPr>
      <w:r>
        <w:tab/>
        <w:t>(1)</w:t>
      </w:r>
      <w:r>
        <w:tab/>
        <w:t>In this instrument</w:t>
      </w:r>
      <w:r w:rsidR="00DE0445">
        <w:t>, unless the contrary intention appears</w:t>
      </w:r>
      <w:r>
        <w:t>:</w:t>
      </w:r>
    </w:p>
    <w:p w14:paraId="0C14ADCC" w14:textId="768D66C2" w:rsidR="005B6485" w:rsidRPr="006F51A1" w:rsidRDefault="005B6485" w:rsidP="00CF05C2">
      <w:pPr>
        <w:pStyle w:val="Definition"/>
        <w:rPr>
          <w:bCs/>
          <w:iCs/>
        </w:rPr>
      </w:pPr>
      <w:r w:rsidRPr="006F51A1">
        <w:rPr>
          <w:b/>
          <w:i/>
        </w:rPr>
        <w:t>2.</w:t>
      </w:r>
      <w:r w:rsidR="001516C2">
        <w:rPr>
          <w:b/>
          <w:i/>
        </w:rPr>
        <w:t>3</w:t>
      </w:r>
      <w:r w:rsidRPr="006F51A1">
        <w:rPr>
          <w:b/>
          <w:i/>
        </w:rPr>
        <w:t xml:space="preserve"> GHz band </w:t>
      </w:r>
      <w:r w:rsidRPr="006F51A1">
        <w:rPr>
          <w:bCs/>
          <w:iCs/>
        </w:rPr>
        <w:t xml:space="preserve">means the frequency band </w:t>
      </w:r>
      <w:r w:rsidR="001516C2">
        <w:rPr>
          <w:bCs/>
          <w:iCs/>
        </w:rPr>
        <w:t>2300</w:t>
      </w:r>
      <w:r w:rsidR="00874895" w:rsidRPr="006F51A1">
        <w:rPr>
          <w:bCs/>
          <w:iCs/>
        </w:rPr>
        <w:t xml:space="preserve"> MHz to 2</w:t>
      </w:r>
      <w:r w:rsidR="001516C2">
        <w:rPr>
          <w:bCs/>
          <w:iCs/>
        </w:rPr>
        <w:t>4</w:t>
      </w:r>
      <w:r w:rsidR="00874895" w:rsidRPr="006F51A1">
        <w:rPr>
          <w:bCs/>
          <w:iCs/>
        </w:rPr>
        <w:t xml:space="preserve">00 </w:t>
      </w:r>
      <w:proofErr w:type="spellStart"/>
      <w:r w:rsidR="00874895" w:rsidRPr="006F51A1">
        <w:rPr>
          <w:bCs/>
          <w:iCs/>
        </w:rPr>
        <w:t>MHz.</w:t>
      </w:r>
      <w:proofErr w:type="spellEnd"/>
    </w:p>
    <w:p w14:paraId="09029499" w14:textId="67F53BB8" w:rsidR="00890AD6" w:rsidRPr="00B011A9" w:rsidRDefault="00D03A4F" w:rsidP="00890AD6">
      <w:pPr>
        <w:pStyle w:val="Definition"/>
        <w:rPr>
          <w:bCs/>
          <w:iCs/>
        </w:rPr>
      </w:pPr>
      <w:r w:rsidRPr="00B011A9">
        <w:rPr>
          <w:b/>
          <w:i/>
        </w:rPr>
        <w:t>2</w:t>
      </w:r>
      <w:r w:rsidR="002F6D9B" w:rsidRPr="00B011A9">
        <w:rPr>
          <w:b/>
          <w:i/>
        </w:rPr>
        <w:t>.</w:t>
      </w:r>
      <w:r w:rsidR="00B011A9">
        <w:rPr>
          <w:b/>
          <w:i/>
        </w:rPr>
        <w:t>3</w:t>
      </w:r>
      <w:r w:rsidRPr="00B011A9">
        <w:rPr>
          <w:b/>
          <w:i/>
        </w:rPr>
        <w:t xml:space="preserve"> G</w:t>
      </w:r>
      <w:r w:rsidR="00890AD6" w:rsidRPr="00B011A9">
        <w:rPr>
          <w:b/>
          <w:i/>
        </w:rPr>
        <w:t xml:space="preserve">Hz spectrum licence </w:t>
      </w:r>
      <w:r w:rsidR="00890AD6" w:rsidRPr="00B011A9">
        <w:rPr>
          <w:bCs/>
          <w:iCs/>
        </w:rPr>
        <w:t xml:space="preserve">means a spectrum licence that authorises the operation of radiocommunications devices in the </w:t>
      </w:r>
      <w:r w:rsidRPr="00B011A9">
        <w:rPr>
          <w:bCs/>
          <w:iCs/>
        </w:rPr>
        <w:t>2</w:t>
      </w:r>
      <w:r w:rsidR="002F6D9B" w:rsidRPr="00B011A9">
        <w:rPr>
          <w:bCs/>
          <w:iCs/>
        </w:rPr>
        <w:t>.</w:t>
      </w:r>
      <w:r w:rsidR="00B011A9">
        <w:rPr>
          <w:bCs/>
          <w:iCs/>
        </w:rPr>
        <w:t>3</w:t>
      </w:r>
      <w:r w:rsidRPr="00B011A9">
        <w:rPr>
          <w:bCs/>
          <w:iCs/>
        </w:rPr>
        <w:t xml:space="preserve"> G</w:t>
      </w:r>
      <w:r w:rsidR="00890AD6" w:rsidRPr="00B011A9">
        <w:rPr>
          <w:bCs/>
          <w:iCs/>
        </w:rPr>
        <w:t xml:space="preserve">Hz </w:t>
      </w:r>
      <w:r w:rsidR="009B3811" w:rsidRPr="00B011A9">
        <w:rPr>
          <w:bCs/>
          <w:iCs/>
        </w:rPr>
        <w:t>band</w:t>
      </w:r>
      <w:r w:rsidR="00890AD6" w:rsidRPr="00B011A9">
        <w:rPr>
          <w:bCs/>
          <w:iCs/>
        </w:rPr>
        <w:t>.</w:t>
      </w:r>
    </w:p>
    <w:p w14:paraId="0A127A78" w14:textId="6357DAE5" w:rsidR="000C4758" w:rsidRPr="000C4758" w:rsidRDefault="000C4758" w:rsidP="00CF05C2">
      <w:pPr>
        <w:pStyle w:val="Definition"/>
        <w:rPr>
          <w:bCs/>
          <w:iCs/>
        </w:rPr>
      </w:pPr>
      <w:r>
        <w:rPr>
          <w:b/>
          <w:i/>
        </w:rPr>
        <w:t xml:space="preserve">AMT </w:t>
      </w:r>
      <w:r>
        <w:rPr>
          <w:bCs/>
          <w:iCs/>
        </w:rPr>
        <w:t>means aeronautical mobile telemetry.</w:t>
      </w:r>
    </w:p>
    <w:p w14:paraId="2185A649" w14:textId="6859FCB0" w:rsidR="00181F97" w:rsidRPr="0019555A" w:rsidRDefault="00181F97" w:rsidP="00CF05C2">
      <w:pPr>
        <w:pStyle w:val="Definition"/>
        <w:rPr>
          <w:bCs/>
          <w:iCs/>
        </w:rPr>
      </w:pPr>
      <w:r w:rsidRPr="0019555A">
        <w:rPr>
          <w:b/>
          <w:i/>
        </w:rPr>
        <w:t xml:space="preserve">RALI FX 3 </w:t>
      </w:r>
      <w:r w:rsidR="00377E5E" w:rsidRPr="0019555A">
        <w:rPr>
          <w:bCs/>
          <w:iCs/>
        </w:rPr>
        <w:t xml:space="preserve">means the Radiocommunications Assignment and Licensing Instruction FX 3 </w:t>
      </w:r>
      <w:r w:rsidR="007523CC" w:rsidRPr="0019555A">
        <w:rPr>
          <w:bCs/>
          <w:i/>
        </w:rPr>
        <w:t xml:space="preserve">Microwave </w:t>
      </w:r>
      <w:r w:rsidR="003E431A" w:rsidRPr="0019555A">
        <w:rPr>
          <w:bCs/>
          <w:i/>
        </w:rPr>
        <w:t>f</w:t>
      </w:r>
      <w:r w:rsidR="007523CC" w:rsidRPr="0019555A">
        <w:rPr>
          <w:bCs/>
          <w:i/>
        </w:rPr>
        <w:t xml:space="preserve">ixed </w:t>
      </w:r>
      <w:r w:rsidR="003E431A" w:rsidRPr="0019555A">
        <w:rPr>
          <w:bCs/>
          <w:i/>
        </w:rPr>
        <w:t>s</w:t>
      </w:r>
      <w:r w:rsidR="007523CC" w:rsidRPr="0019555A">
        <w:rPr>
          <w:bCs/>
          <w:i/>
        </w:rPr>
        <w:t>ervices</w:t>
      </w:r>
      <w:r w:rsidR="003E431A" w:rsidRPr="0019555A">
        <w:rPr>
          <w:bCs/>
          <w:i/>
        </w:rPr>
        <w:t xml:space="preserve"> f</w:t>
      </w:r>
      <w:r w:rsidR="007523CC" w:rsidRPr="0019555A">
        <w:rPr>
          <w:bCs/>
          <w:i/>
        </w:rPr>
        <w:t xml:space="preserve">requency </w:t>
      </w:r>
      <w:r w:rsidR="003E431A" w:rsidRPr="0019555A">
        <w:rPr>
          <w:bCs/>
          <w:i/>
        </w:rPr>
        <w:t>c</w:t>
      </w:r>
      <w:r w:rsidR="007523CC" w:rsidRPr="0019555A">
        <w:rPr>
          <w:bCs/>
          <w:i/>
        </w:rPr>
        <w:t>oordination</w:t>
      </w:r>
      <w:r w:rsidR="007523CC" w:rsidRPr="0019555A">
        <w:rPr>
          <w:bCs/>
          <w:iCs/>
        </w:rPr>
        <w:t>, published by the ACMA.</w:t>
      </w:r>
    </w:p>
    <w:p w14:paraId="44FD5F16" w14:textId="3D0DC568" w:rsidR="007523CC" w:rsidRPr="0019555A" w:rsidRDefault="007523CC" w:rsidP="007523CC">
      <w:pPr>
        <w:pStyle w:val="notetext"/>
        <w:rPr>
          <w:bCs/>
          <w:iCs/>
        </w:rPr>
      </w:pPr>
      <w:r w:rsidRPr="0019555A">
        <w:rPr>
          <w:bCs/>
          <w:iCs/>
        </w:rPr>
        <w:t>Note:</w:t>
      </w:r>
      <w:r w:rsidRPr="0019555A">
        <w:rPr>
          <w:bCs/>
          <w:iCs/>
        </w:rPr>
        <w:tab/>
        <w:t xml:space="preserve">RALI FX 3 is available, free of charge, from the ACMA’s website at </w:t>
      </w:r>
      <w:hyperlink r:id="rId14" w:history="1">
        <w:r w:rsidRPr="0019555A">
          <w:rPr>
            <w:rStyle w:val="Hyperlink"/>
            <w:bCs/>
            <w:iCs/>
          </w:rPr>
          <w:t>www.acma.gov.au</w:t>
        </w:r>
      </w:hyperlink>
      <w:r w:rsidRPr="0019555A">
        <w:rPr>
          <w:bCs/>
          <w:iCs/>
        </w:rPr>
        <w:t xml:space="preserve">. </w:t>
      </w:r>
    </w:p>
    <w:p w14:paraId="523F839B" w14:textId="30C9F441" w:rsidR="00A13255" w:rsidRPr="0019555A" w:rsidRDefault="00A13255" w:rsidP="00A13255">
      <w:pPr>
        <w:pStyle w:val="Definition"/>
        <w:rPr>
          <w:bCs/>
          <w:iCs/>
        </w:rPr>
      </w:pPr>
      <w:r w:rsidRPr="0019555A">
        <w:rPr>
          <w:b/>
          <w:i/>
        </w:rPr>
        <w:t xml:space="preserve">RALI FX </w:t>
      </w:r>
      <w:r>
        <w:rPr>
          <w:b/>
          <w:i/>
        </w:rPr>
        <w:t>21</w:t>
      </w:r>
      <w:r w:rsidRPr="0019555A">
        <w:rPr>
          <w:b/>
          <w:i/>
        </w:rPr>
        <w:t xml:space="preserve"> </w:t>
      </w:r>
      <w:r w:rsidRPr="0019555A">
        <w:rPr>
          <w:bCs/>
          <w:iCs/>
        </w:rPr>
        <w:t>means the Radiocommunications Assignment and Licensing Instruction FX </w:t>
      </w:r>
      <w:r>
        <w:rPr>
          <w:bCs/>
          <w:iCs/>
        </w:rPr>
        <w:t>21</w:t>
      </w:r>
      <w:r w:rsidRPr="0019555A">
        <w:rPr>
          <w:bCs/>
          <w:iCs/>
        </w:rPr>
        <w:t xml:space="preserve"> </w:t>
      </w:r>
      <w:r>
        <w:rPr>
          <w:bCs/>
          <w:i/>
        </w:rPr>
        <w:t>Television outside broadcasting services in the bands 1980-2110 MHz and 2170-2300 MHz</w:t>
      </w:r>
      <w:r w:rsidRPr="0019555A">
        <w:rPr>
          <w:bCs/>
          <w:iCs/>
        </w:rPr>
        <w:t>, published by the ACMA.</w:t>
      </w:r>
    </w:p>
    <w:p w14:paraId="69A8A29B" w14:textId="4CA9DA2C" w:rsidR="00A13255" w:rsidRPr="0019555A" w:rsidRDefault="00A13255" w:rsidP="00A13255">
      <w:pPr>
        <w:pStyle w:val="notetext"/>
        <w:rPr>
          <w:bCs/>
          <w:iCs/>
        </w:rPr>
      </w:pPr>
      <w:r w:rsidRPr="0019555A">
        <w:rPr>
          <w:bCs/>
          <w:iCs/>
        </w:rPr>
        <w:t>Note:</w:t>
      </w:r>
      <w:r w:rsidRPr="0019555A">
        <w:rPr>
          <w:bCs/>
          <w:iCs/>
        </w:rPr>
        <w:tab/>
        <w:t xml:space="preserve">RALI FX </w:t>
      </w:r>
      <w:r>
        <w:rPr>
          <w:bCs/>
          <w:iCs/>
        </w:rPr>
        <w:t>21</w:t>
      </w:r>
      <w:r w:rsidRPr="0019555A">
        <w:rPr>
          <w:bCs/>
          <w:iCs/>
        </w:rPr>
        <w:t xml:space="preserve"> is available, free of charge, from the ACMA’s website at </w:t>
      </w:r>
      <w:hyperlink r:id="rId15" w:history="1">
        <w:r w:rsidRPr="0019555A">
          <w:rPr>
            <w:rStyle w:val="Hyperlink"/>
            <w:bCs/>
            <w:iCs/>
          </w:rPr>
          <w:t>www.acma.gov.au</w:t>
        </w:r>
      </w:hyperlink>
      <w:r w:rsidRPr="0019555A">
        <w:rPr>
          <w:bCs/>
          <w:iCs/>
        </w:rPr>
        <w:t xml:space="preserve">. </w:t>
      </w:r>
    </w:p>
    <w:p w14:paraId="2EB1C1DE" w14:textId="4C37C7B2" w:rsidR="003F1639" w:rsidRPr="0019555A" w:rsidRDefault="003F1639" w:rsidP="003F1639">
      <w:pPr>
        <w:pStyle w:val="Definition"/>
        <w:rPr>
          <w:bCs/>
          <w:iCs/>
        </w:rPr>
      </w:pPr>
      <w:r w:rsidRPr="0019555A">
        <w:rPr>
          <w:b/>
          <w:i/>
        </w:rPr>
        <w:t>RALI MS 3</w:t>
      </w:r>
      <w:r>
        <w:rPr>
          <w:b/>
          <w:i/>
        </w:rPr>
        <w:t>1</w:t>
      </w:r>
      <w:r w:rsidRPr="0019555A">
        <w:rPr>
          <w:bCs/>
          <w:iCs/>
        </w:rPr>
        <w:t xml:space="preserve"> means the Radiocommunications Assignment and Licensing Instruction MS 3</w:t>
      </w:r>
      <w:r w:rsidR="007E7F9D">
        <w:rPr>
          <w:bCs/>
          <w:iCs/>
        </w:rPr>
        <w:t>1</w:t>
      </w:r>
      <w:r w:rsidRPr="0019555A">
        <w:rPr>
          <w:bCs/>
          <w:iCs/>
        </w:rPr>
        <w:t xml:space="preserve"> </w:t>
      </w:r>
      <w:r>
        <w:rPr>
          <w:bCs/>
          <w:i/>
        </w:rPr>
        <w:t>Notification Zones for Apparatus Licensed Services Around Radio Astronomy Facilities</w:t>
      </w:r>
      <w:r w:rsidRPr="0019555A">
        <w:rPr>
          <w:bCs/>
          <w:iCs/>
        </w:rPr>
        <w:t>, published by the ACMA.</w:t>
      </w:r>
    </w:p>
    <w:p w14:paraId="74671E0A" w14:textId="2F660A57" w:rsidR="003F1639" w:rsidRPr="0019555A" w:rsidRDefault="003F1639" w:rsidP="003F1639">
      <w:pPr>
        <w:pStyle w:val="notetext"/>
        <w:rPr>
          <w:bCs/>
          <w:iCs/>
        </w:rPr>
      </w:pPr>
      <w:r w:rsidRPr="0019555A">
        <w:rPr>
          <w:bCs/>
          <w:iCs/>
        </w:rPr>
        <w:t>Note:</w:t>
      </w:r>
      <w:r w:rsidRPr="0019555A">
        <w:rPr>
          <w:bCs/>
          <w:iCs/>
        </w:rPr>
        <w:tab/>
        <w:t>RALI MS 3</w:t>
      </w:r>
      <w:r>
        <w:rPr>
          <w:bCs/>
          <w:iCs/>
        </w:rPr>
        <w:t>1</w:t>
      </w:r>
      <w:r w:rsidRPr="0019555A">
        <w:rPr>
          <w:bCs/>
          <w:iCs/>
        </w:rPr>
        <w:t xml:space="preserve"> is available, free of charge, from the ACMA’s website at </w:t>
      </w:r>
      <w:hyperlink r:id="rId16" w:history="1">
        <w:r w:rsidRPr="0019555A">
          <w:rPr>
            <w:rStyle w:val="Hyperlink"/>
            <w:bCs/>
            <w:iCs/>
          </w:rPr>
          <w:t>www.acma.gov.au</w:t>
        </w:r>
      </w:hyperlink>
      <w:r w:rsidRPr="0019555A">
        <w:rPr>
          <w:bCs/>
          <w:iCs/>
        </w:rPr>
        <w:t xml:space="preserve">. </w:t>
      </w:r>
    </w:p>
    <w:p w14:paraId="70FA36A0" w14:textId="681665BC" w:rsidR="008152D7" w:rsidRPr="004A6E27" w:rsidRDefault="008152D7" w:rsidP="008152D7">
      <w:pPr>
        <w:pStyle w:val="Definition"/>
        <w:rPr>
          <w:bCs/>
          <w:iCs/>
        </w:rPr>
      </w:pPr>
      <w:r w:rsidRPr="004A6E27">
        <w:rPr>
          <w:b/>
          <w:i/>
        </w:rPr>
        <w:t xml:space="preserve">RALI </w:t>
      </w:r>
      <w:r w:rsidR="00D04402" w:rsidRPr="004A6E27">
        <w:rPr>
          <w:b/>
          <w:i/>
        </w:rPr>
        <w:t>MS</w:t>
      </w:r>
      <w:r w:rsidRPr="004A6E27">
        <w:rPr>
          <w:b/>
          <w:i/>
        </w:rPr>
        <w:t xml:space="preserve"> 32</w:t>
      </w:r>
      <w:r w:rsidRPr="004A6E27">
        <w:rPr>
          <w:bCs/>
          <w:iCs/>
        </w:rPr>
        <w:t xml:space="preserve"> means the Radiocommunications Assignment and Licensing Instruction </w:t>
      </w:r>
      <w:r w:rsidR="00D04402" w:rsidRPr="004A6E27">
        <w:rPr>
          <w:bCs/>
          <w:iCs/>
        </w:rPr>
        <w:t>MS</w:t>
      </w:r>
      <w:r w:rsidRPr="004A6E27">
        <w:rPr>
          <w:bCs/>
          <w:iCs/>
        </w:rPr>
        <w:t xml:space="preserve"> 32 </w:t>
      </w:r>
      <w:r w:rsidR="00D04402" w:rsidRPr="004A6E27">
        <w:rPr>
          <w:bCs/>
          <w:i/>
        </w:rPr>
        <w:t xml:space="preserve">Coordination of Apparatus Licensed Services Within the </w:t>
      </w:r>
      <w:r w:rsidR="0054432B" w:rsidRPr="004A6E27">
        <w:rPr>
          <w:bCs/>
          <w:i/>
        </w:rPr>
        <w:t>Australian</w:t>
      </w:r>
      <w:r w:rsidR="00D04402" w:rsidRPr="004A6E27">
        <w:rPr>
          <w:bCs/>
          <w:i/>
        </w:rPr>
        <w:t xml:space="preserve"> Radio Quiet Zone</w:t>
      </w:r>
      <w:r w:rsidR="0054432B" w:rsidRPr="004A6E27">
        <w:rPr>
          <w:bCs/>
          <w:i/>
        </w:rPr>
        <w:t xml:space="preserve"> Western Australia</w:t>
      </w:r>
      <w:r w:rsidRPr="004A6E27">
        <w:rPr>
          <w:bCs/>
          <w:iCs/>
        </w:rPr>
        <w:t>, published by the ACMA.</w:t>
      </w:r>
    </w:p>
    <w:p w14:paraId="4A0E910F" w14:textId="6DD9D236" w:rsidR="008152D7" w:rsidRPr="0019555A" w:rsidRDefault="008152D7" w:rsidP="008152D7">
      <w:pPr>
        <w:pStyle w:val="notetext"/>
        <w:rPr>
          <w:bCs/>
          <w:iCs/>
        </w:rPr>
      </w:pPr>
      <w:r w:rsidRPr="004A6E27">
        <w:rPr>
          <w:bCs/>
          <w:iCs/>
        </w:rPr>
        <w:t>Note:</w:t>
      </w:r>
      <w:r w:rsidRPr="004A6E27">
        <w:rPr>
          <w:bCs/>
          <w:iCs/>
        </w:rPr>
        <w:tab/>
        <w:t xml:space="preserve">RALI </w:t>
      </w:r>
      <w:r w:rsidR="00D04402" w:rsidRPr="004A6E27">
        <w:rPr>
          <w:bCs/>
          <w:iCs/>
        </w:rPr>
        <w:t>MS 32</w:t>
      </w:r>
      <w:r w:rsidRPr="004A6E27">
        <w:rPr>
          <w:bCs/>
          <w:iCs/>
        </w:rPr>
        <w:t xml:space="preserve"> is available, free of charge, from the ACMA’s website at </w:t>
      </w:r>
      <w:hyperlink r:id="rId17" w:history="1">
        <w:r w:rsidRPr="004A6E27">
          <w:rPr>
            <w:rStyle w:val="Hyperlink"/>
            <w:bCs/>
            <w:iCs/>
          </w:rPr>
          <w:t>www.acma.gov.au</w:t>
        </w:r>
      </w:hyperlink>
      <w:r w:rsidRPr="004A6E27">
        <w:rPr>
          <w:bCs/>
          <w:iCs/>
        </w:rPr>
        <w:t>.</w:t>
      </w:r>
      <w:r w:rsidRPr="0019555A">
        <w:rPr>
          <w:bCs/>
          <w:iCs/>
        </w:rPr>
        <w:t xml:space="preserve"> </w:t>
      </w:r>
    </w:p>
    <w:p w14:paraId="13308D2F" w14:textId="7C7C5AB6" w:rsidR="003F1639" w:rsidRPr="0019555A" w:rsidRDefault="003F1639" w:rsidP="003F1639">
      <w:pPr>
        <w:pStyle w:val="Definition"/>
        <w:rPr>
          <w:bCs/>
          <w:iCs/>
        </w:rPr>
      </w:pPr>
      <w:r w:rsidRPr="0019555A">
        <w:rPr>
          <w:b/>
          <w:i/>
        </w:rPr>
        <w:lastRenderedPageBreak/>
        <w:t>RALI MS 3</w:t>
      </w:r>
      <w:r>
        <w:rPr>
          <w:b/>
          <w:i/>
        </w:rPr>
        <w:t>7</w:t>
      </w:r>
      <w:r w:rsidRPr="0019555A">
        <w:rPr>
          <w:bCs/>
          <w:iCs/>
        </w:rPr>
        <w:t xml:space="preserve"> means the Radiocommunications Assignment and Licensing Instruction MS 3</w:t>
      </w:r>
      <w:r w:rsidR="007E7F9D">
        <w:rPr>
          <w:bCs/>
          <w:iCs/>
        </w:rPr>
        <w:t>7</w:t>
      </w:r>
      <w:r w:rsidRPr="0019555A">
        <w:rPr>
          <w:bCs/>
          <w:iCs/>
        </w:rPr>
        <w:t xml:space="preserve"> </w:t>
      </w:r>
      <w:r w:rsidRPr="0019555A">
        <w:rPr>
          <w:bCs/>
          <w:i/>
        </w:rPr>
        <w:t xml:space="preserve">Coordination of </w:t>
      </w:r>
      <w:r>
        <w:rPr>
          <w:bCs/>
          <w:i/>
        </w:rPr>
        <w:t>spectrum-licensed devices operating in the 2.3 GHz band with SRS earth stations in the 2290-2300 MHz band</w:t>
      </w:r>
      <w:r w:rsidRPr="0019555A">
        <w:rPr>
          <w:bCs/>
          <w:iCs/>
        </w:rPr>
        <w:t>, published by the ACMA.</w:t>
      </w:r>
    </w:p>
    <w:p w14:paraId="48A4F8AC" w14:textId="3F40B88F" w:rsidR="003F1639" w:rsidRPr="0019555A" w:rsidRDefault="003F1639" w:rsidP="003F1639">
      <w:pPr>
        <w:pStyle w:val="notetext"/>
        <w:rPr>
          <w:bCs/>
          <w:iCs/>
        </w:rPr>
      </w:pPr>
      <w:r w:rsidRPr="0019555A">
        <w:rPr>
          <w:bCs/>
          <w:iCs/>
        </w:rPr>
        <w:t>Note:</w:t>
      </w:r>
      <w:r w:rsidRPr="0019555A">
        <w:rPr>
          <w:bCs/>
          <w:iCs/>
        </w:rPr>
        <w:tab/>
        <w:t>RALI MS 3</w:t>
      </w:r>
      <w:r>
        <w:rPr>
          <w:bCs/>
          <w:iCs/>
        </w:rPr>
        <w:t>7</w:t>
      </w:r>
      <w:r w:rsidRPr="0019555A">
        <w:rPr>
          <w:bCs/>
          <w:iCs/>
        </w:rPr>
        <w:t xml:space="preserve"> is available, free of charge, from the ACMA’s website at </w:t>
      </w:r>
      <w:hyperlink r:id="rId18" w:history="1">
        <w:r w:rsidRPr="0019555A">
          <w:rPr>
            <w:rStyle w:val="Hyperlink"/>
            <w:bCs/>
            <w:iCs/>
          </w:rPr>
          <w:t>www.acma.gov.au</w:t>
        </w:r>
      </w:hyperlink>
      <w:r w:rsidRPr="0019555A">
        <w:rPr>
          <w:bCs/>
          <w:iCs/>
        </w:rPr>
        <w:t xml:space="preserve">. </w:t>
      </w:r>
    </w:p>
    <w:p w14:paraId="7CB234D6" w14:textId="06D52755" w:rsidR="003F1639" w:rsidRPr="004A6E27" w:rsidRDefault="003F1639" w:rsidP="003F1639">
      <w:pPr>
        <w:pStyle w:val="Definition"/>
        <w:rPr>
          <w:bCs/>
          <w:iCs/>
        </w:rPr>
      </w:pPr>
      <w:r w:rsidRPr="004A6E27">
        <w:rPr>
          <w:b/>
          <w:i/>
        </w:rPr>
        <w:t>subsection 145(4) determination</w:t>
      </w:r>
      <w:r w:rsidRPr="004A6E27">
        <w:rPr>
          <w:bCs/>
          <w:iCs/>
        </w:rPr>
        <w:t xml:space="preserve"> means the </w:t>
      </w:r>
      <w:r w:rsidRPr="004A6E27">
        <w:rPr>
          <w:bCs/>
          <w:i/>
        </w:rPr>
        <w:t>Radiocommunications (Unacceptable Levels of Interference – 2.3 GHz Band) Determination 2023</w:t>
      </w:r>
      <w:r w:rsidRPr="004A6E27">
        <w:rPr>
          <w:bCs/>
          <w:iCs/>
        </w:rPr>
        <w:t>.</w:t>
      </w:r>
    </w:p>
    <w:p w14:paraId="5BA1F5DE" w14:textId="609331E9" w:rsidR="003F1639" w:rsidRPr="0019555A" w:rsidRDefault="003F1639" w:rsidP="003F1639">
      <w:pPr>
        <w:pStyle w:val="notetext"/>
        <w:rPr>
          <w:bCs/>
          <w:iCs/>
        </w:rPr>
      </w:pPr>
      <w:r w:rsidRPr="004A6E27">
        <w:rPr>
          <w:bCs/>
          <w:iCs/>
        </w:rPr>
        <w:t>Note:</w:t>
      </w:r>
      <w:r w:rsidRPr="004A6E27">
        <w:rPr>
          <w:bCs/>
          <w:iCs/>
        </w:rPr>
        <w:tab/>
        <w:t xml:space="preserve">The </w:t>
      </w:r>
      <w:r w:rsidRPr="004A6E27">
        <w:rPr>
          <w:bCs/>
          <w:i/>
        </w:rPr>
        <w:t xml:space="preserve">Radiocommunications (Unacceptable Levels of Interference – 2.3 GHz Band) </w:t>
      </w:r>
      <w:r w:rsidR="002F27FC">
        <w:rPr>
          <w:bCs/>
          <w:i/>
        </w:rPr>
        <w:t>D</w:t>
      </w:r>
      <w:r w:rsidRPr="004A6E27">
        <w:rPr>
          <w:bCs/>
          <w:i/>
        </w:rPr>
        <w:t xml:space="preserve">etermination </w:t>
      </w:r>
      <w:r w:rsidR="00EE2CAA" w:rsidRPr="004A6E27">
        <w:rPr>
          <w:bCs/>
          <w:i/>
        </w:rPr>
        <w:t xml:space="preserve">2023 </w:t>
      </w:r>
      <w:r w:rsidR="00EE2CAA" w:rsidRPr="004A6E27">
        <w:rPr>
          <w:bCs/>
          <w:iCs/>
        </w:rPr>
        <w:t>is available</w:t>
      </w:r>
      <w:r w:rsidRPr="004A6E27">
        <w:rPr>
          <w:bCs/>
          <w:iCs/>
        </w:rPr>
        <w:t xml:space="preserve">, free of charge, </w:t>
      </w:r>
      <w:r w:rsidR="00EE2CAA" w:rsidRPr="004A6E27">
        <w:rPr>
          <w:bCs/>
          <w:iCs/>
        </w:rPr>
        <w:t>from the Federal Register of Legislation at</w:t>
      </w:r>
      <w:r w:rsidRPr="004A6E27">
        <w:rPr>
          <w:bCs/>
          <w:iCs/>
        </w:rPr>
        <w:t xml:space="preserve"> </w:t>
      </w:r>
      <w:hyperlink r:id="rId19" w:history="1">
        <w:r w:rsidR="00EE2CAA" w:rsidRPr="004A6E27">
          <w:rPr>
            <w:rStyle w:val="Hyperlink"/>
            <w:bCs/>
            <w:iCs/>
          </w:rPr>
          <w:t>www.legislation.gov.au</w:t>
        </w:r>
      </w:hyperlink>
      <w:r w:rsidRPr="004A6E27">
        <w:rPr>
          <w:bCs/>
          <w:iCs/>
        </w:rPr>
        <w:t>.</w:t>
      </w:r>
      <w:r w:rsidRPr="0019555A">
        <w:rPr>
          <w:bCs/>
          <w:iCs/>
        </w:rPr>
        <w:t xml:space="preserve"> </w:t>
      </w:r>
    </w:p>
    <w:p w14:paraId="3AA7FA86" w14:textId="19D4D4D0" w:rsidR="00FA441A" w:rsidRDefault="00FA441A" w:rsidP="00503A01">
      <w:pPr>
        <w:pStyle w:val="Definition"/>
        <w:keepNext/>
        <w:rPr>
          <w:bCs/>
          <w:iCs/>
        </w:rPr>
      </w:pPr>
      <w:r w:rsidRPr="00FA441A">
        <w:rPr>
          <w:b/>
          <w:i/>
        </w:rPr>
        <w:t>TOB</w:t>
      </w:r>
      <w:r w:rsidR="00886F2A">
        <w:rPr>
          <w:b/>
          <w:i/>
        </w:rPr>
        <w:t xml:space="preserve"> service</w:t>
      </w:r>
      <w:r w:rsidRPr="00FA441A">
        <w:rPr>
          <w:b/>
          <w:i/>
        </w:rPr>
        <w:t xml:space="preserve"> </w:t>
      </w:r>
      <w:r w:rsidR="00FF5D6F">
        <w:rPr>
          <w:bCs/>
          <w:iCs/>
        </w:rPr>
        <w:t xml:space="preserve">(short for television outside broadcast service) </w:t>
      </w:r>
      <w:r>
        <w:rPr>
          <w:bCs/>
          <w:iCs/>
        </w:rPr>
        <w:t>means</w:t>
      </w:r>
      <w:r w:rsidR="00886F2A">
        <w:rPr>
          <w:bCs/>
          <w:iCs/>
        </w:rPr>
        <w:t xml:space="preserve"> radiocommunications made by the operation of a television outside broadcast station.</w:t>
      </w:r>
    </w:p>
    <w:p w14:paraId="2FB8C79D" w14:textId="372B5675" w:rsidR="00CF05C2" w:rsidRPr="00FD417C" w:rsidRDefault="00CF05C2" w:rsidP="006E14E0">
      <w:pPr>
        <w:pStyle w:val="notetext"/>
        <w:keepNext/>
      </w:pPr>
      <w:r w:rsidRPr="00FD417C">
        <w:t>Note</w:t>
      </w:r>
      <w:r w:rsidR="00722883">
        <w:t xml:space="preserve"> 1</w:t>
      </w:r>
      <w:r w:rsidRPr="00FD417C">
        <w:t>:</w:t>
      </w:r>
      <w:r w:rsidRPr="00FD417C">
        <w:tab/>
        <w:t>A number of other expressions used in this instrument are defined in the Act, including the following:</w:t>
      </w:r>
    </w:p>
    <w:p w14:paraId="5ECE9817" w14:textId="1D2D676C" w:rsidR="00CF05C2" w:rsidRPr="00FD417C" w:rsidRDefault="00CF05C2" w:rsidP="00CF05C2">
      <w:pPr>
        <w:pStyle w:val="notepara"/>
      </w:pPr>
      <w:r w:rsidRPr="00FD417C">
        <w:t>(a)</w:t>
      </w:r>
      <w:r w:rsidRPr="00FD417C">
        <w:tab/>
        <w:t>ACMA;</w:t>
      </w:r>
    </w:p>
    <w:p w14:paraId="71E55068" w14:textId="119A1ED9" w:rsidR="008C17BD" w:rsidRPr="00FD417C" w:rsidRDefault="008C17BD" w:rsidP="00CF05C2">
      <w:pPr>
        <w:pStyle w:val="notepara"/>
      </w:pPr>
      <w:r w:rsidRPr="00FD417C">
        <w:t>(b)</w:t>
      </w:r>
      <w:r w:rsidRPr="00FD417C">
        <w:tab/>
        <w:t>apparatus licence;</w:t>
      </w:r>
    </w:p>
    <w:p w14:paraId="1878378A" w14:textId="6D66089B" w:rsidR="00B0709A" w:rsidRPr="00FD417C" w:rsidRDefault="00B0709A" w:rsidP="00CF05C2">
      <w:pPr>
        <w:pStyle w:val="notepara"/>
      </w:pPr>
      <w:r w:rsidRPr="00FD417C">
        <w:t>(c)</w:t>
      </w:r>
      <w:r w:rsidRPr="00FD417C">
        <w:tab/>
        <w:t>class licence;</w:t>
      </w:r>
    </w:p>
    <w:p w14:paraId="3E80AC9D" w14:textId="1A6EFF9B" w:rsidR="00CF05C2" w:rsidRPr="00FD417C" w:rsidRDefault="00CF05C2" w:rsidP="00CF05C2">
      <w:pPr>
        <w:pStyle w:val="notepara"/>
      </w:pPr>
      <w:r w:rsidRPr="00FD417C">
        <w:t>(</w:t>
      </w:r>
      <w:r w:rsidR="00AC06D7" w:rsidRPr="00FD417C">
        <w:t>d</w:t>
      </w:r>
      <w:r w:rsidRPr="00FD417C">
        <w:t>)</w:t>
      </w:r>
      <w:r w:rsidRPr="00FD417C">
        <w:tab/>
        <w:t>frequency band;</w:t>
      </w:r>
    </w:p>
    <w:p w14:paraId="696AE171" w14:textId="726BF651" w:rsidR="00CF05C2" w:rsidRDefault="00CF05C2" w:rsidP="00CF05C2">
      <w:pPr>
        <w:pStyle w:val="notepara"/>
      </w:pPr>
      <w:r w:rsidRPr="00FD417C">
        <w:t>(</w:t>
      </w:r>
      <w:r w:rsidR="00AC06D7" w:rsidRPr="00FD417C">
        <w:t>e</w:t>
      </w:r>
      <w:r w:rsidRPr="00FD417C">
        <w:t>)</w:t>
      </w:r>
      <w:r w:rsidRPr="00FD417C">
        <w:tab/>
        <w:t>interference;</w:t>
      </w:r>
    </w:p>
    <w:p w14:paraId="6EF1D250" w14:textId="4C7F5F1A" w:rsidR="00D95749" w:rsidRPr="00FD417C" w:rsidRDefault="00D95749" w:rsidP="00CF05C2">
      <w:pPr>
        <w:pStyle w:val="notepara"/>
      </w:pPr>
      <w:r>
        <w:t>(f)</w:t>
      </w:r>
      <w:r>
        <w:tab/>
        <w:t>radiocommunication;</w:t>
      </w:r>
    </w:p>
    <w:p w14:paraId="4457A728" w14:textId="1B41BFA1" w:rsidR="00CF05C2" w:rsidRPr="00FD417C" w:rsidRDefault="00CF05C2" w:rsidP="00CF05C2">
      <w:pPr>
        <w:pStyle w:val="notepara"/>
      </w:pPr>
      <w:r w:rsidRPr="00FD417C">
        <w:t>(</w:t>
      </w:r>
      <w:r w:rsidR="00D95749">
        <w:t>g</w:t>
      </w:r>
      <w:r w:rsidRPr="00FD417C">
        <w:t>)</w:t>
      </w:r>
      <w:r w:rsidRPr="00FD417C">
        <w:tab/>
        <w:t>radiocommunications device;</w:t>
      </w:r>
    </w:p>
    <w:p w14:paraId="71B49414" w14:textId="4A7854DB" w:rsidR="00CF05C2" w:rsidRPr="00FD417C" w:rsidRDefault="00CF05C2" w:rsidP="00CF05C2">
      <w:pPr>
        <w:pStyle w:val="notepara"/>
      </w:pPr>
      <w:r w:rsidRPr="00FD417C">
        <w:t>(</w:t>
      </w:r>
      <w:r w:rsidR="00D95749">
        <w:t>h</w:t>
      </w:r>
      <w:r w:rsidRPr="00FD417C">
        <w:t>)</w:t>
      </w:r>
      <w:r w:rsidRPr="00FD417C">
        <w:tab/>
        <w:t>radiocommunications receiver;</w:t>
      </w:r>
    </w:p>
    <w:p w14:paraId="37A1A858" w14:textId="0EF6C96E" w:rsidR="00CF05C2" w:rsidRPr="00FD417C" w:rsidRDefault="00CF05C2" w:rsidP="00CF05C2">
      <w:pPr>
        <w:pStyle w:val="notepara"/>
      </w:pPr>
      <w:r w:rsidRPr="00FD417C">
        <w:t>(</w:t>
      </w:r>
      <w:proofErr w:type="spellStart"/>
      <w:r w:rsidR="00D95749">
        <w:t>i</w:t>
      </w:r>
      <w:proofErr w:type="spellEnd"/>
      <w:r w:rsidRPr="00FD417C">
        <w:t>)</w:t>
      </w:r>
      <w:r w:rsidRPr="00FD417C">
        <w:tab/>
        <w:t>radiocommunications transmitter;</w:t>
      </w:r>
    </w:p>
    <w:p w14:paraId="3F7A0521" w14:textId="487CAD91" w:rsidR="00C36D5F" w:rsidRPr="00FD417C" w:rsidRDefault="00C36D5F" w:rsidP="00CF05C2">
      <w:pPr>
        <w:pStyle w:val="notepara"/>
      </w:pPr>
      <w:r w:rsidRPr="00FD417C">
        <w:t>(</w:t>
      </w:r>
      <w:r w:rsidR="00D95749">
        <w:t>j</w:t>
      </w:r>
      <w:r w:rsidRPr="00FD417C">
        <w:t>)</w:t>
      </w:r>
      <w:r w:rsidRPr="00FD417C">
        <w:tab/>
        <w:t>Register;</w:t>
      </w:r>
    </w:p>
    <w:p w14:paraId="35D1D041" w14:textId="30D35836" w:rsidR="00181F97" w:rsidRPr="00FD417C" w:rsidRDefault="00CF05C2" w:rsidP="00CF05C2">
      <w:pPr>
        <w:pStyle w:val="notepara"/>
      </w:pPr>
      <w:r w:rsidRPr="00FD417C">
        <w:t>(</w:t>
      </w:r>
      <w:r w:rsidR="00D95749">
        <w:t>k</w:t>
      </w:r>
      <w:r w:rsidRPr="00FD417C">
        <w:t>)</w:t>
      </w:r>
      <w:r w:rsidRPr="00FD417C">
        <w:tab/>
        <w:t>spectrum licence</w:t>
      </w:r>
      <w:r w:rsidR="00181F97" w:rsidRPr="00FD417C">
        <w:t>;</w:t>
      </w:r>
    </w:p>
    <w:p w14:paraId="25CDC5FA" w14:textId="527AD3A7" w:rsidR="00D539F2" w:rsidRDefault="00181F97" w:rsidP="00AC06D7">
      <w:pPr>
        <w:pStyle w:val="notepara"/>
      </w:pPr>
      <w:r w:rsidRPr="00FD417C">
        <w:t>(</w:t>
      </w:r>
      <w:r w:rsidR="00D95749">
        <w:t>l</w:t>
      </w:r>
      <w:r w:rsidRPr="00FD417C">
        <w:t>)</w:t>
      </w:r>
      <w:r w:rsidRPr="00FD417C">
        <w:tab/>
        <w:t>spectrum plan</w:t>
      </w:r>
      <w:r w:rsidR="00AC06D7" w:rsidRPr="00FD417C">
        <w:t>.</w:t>
      </w:r>
    </w:p>
    <w:p w14:paraId="637E6ECE" w14:textId="5646BCAE" w:rsidR="00722883" w:rsidRDefault="00722883" w:rsidP="00722883">
      <w:pPr>
        <w:pStyle w:val="notetext"/>
      </w:pPr>
      <w:r>
        <w:t>Note 2:</w:t>
      </w:r>
      <w:r>
        <w:tab/>
        <w:t xml:space="preserve">A number of other expressions used in this instrument may be defined in an instrument made under subsection 64(1) of the </w:t>
      </w:r>
      <w:r>
        <w:rPr>
          <w:i/>
          <w:iCs/>
        </w:rPr>
        <w:t>Australian Communications and Media Authority Act 2005</w:t>
      </w:r>
      <w:r>
        <w:t>, including:</w:t>
      </w:r>
    </w:p>
    <w:p w14:paraId="0284A9FA" w14:textId="6A4E500D" w:rsidR="00722883" w:rsidRDefault="00722883" w:rsidP="00722883">
      <w:pPr>
        <w:pStyle w:val="notepara"/>
      </w:pPr>
      <w:r>
        <w:t>(a)</w:t>
      </w:r>
      <w:r>
        <w:tab/>
        <w:t>Act;</w:t>
      </w:r>
    </w:p>
    <w:p w14:paraId="367981BC" w14:textId="0B75CF45" w:rsidR="00722883" w:rsidRDefault="00722883" w:rsidP="00722883">
      <w:pPr>
        <w:pStyle w:val="notepara"/>
      </w:pPr>
      <w:r>
        <w:t>(b)</w:t>
      </w:r>
      <w:r>
        <w:tab/>
        <w:t>ARQZWA;</w:t>
      </w:r>
    </w:p>
    <w:p w14:paraId="6E72DFB0" w14:textId="7F1E0151" w:rsidR="00722883" w:rsidRDefault="00722883" w:rsidP="00722883">
      <w:pPr>
        <w:pStyle w:val="notepara"/>
      </w:pPr>
      <w:r>
        <w:t>(c)</w:t>
      </w:r>
      <w:r>
        <w:tab/>
        <w:t>fixed receiver;</w:t>
      </w:r>
    </w:p>
    <w:p w14:paraId="47FC6457" w14:textId="3A05AAC5" w:rsidR="00722883" w:rsidRDefault="00722883" w:rsidP="00722883">
      <w:pPr>
        <w:pStyle w:val="notepara"/>
      </w:pPr>
      <w:r>
        <w:t>(d)</w:t>
      </w:r>
      <w:r>
        <w:tab/>
        <w:t>fixed transmitter;</w:t>
      </w:r>
    </w:p>
    <w:p w14:paraId="38A22BC2" w14:textId="6FBB676E" w:rsidR="00722883" w:rsidRDefault="00722883" w:rsidP="00722883">
      <w:pPr>
        <w:pStyle w:val="notepara"/>
      </w:pPr>
      <w:r>
        <w:t>(e)</w:t>
      </w:r>
      <w:r>
        <w:tab/>
      </w:r>
      <w:r w:rsidR="00C1770B">
        <w:t>harmful interference;</w:t>
      </w:r>
    </w:p>
    <w:p w14:paraId="40757643" w14:textId="781A3B8A" w:rsidR="00722883" w:rsidRDefault="00722883" w:rsidP="00722883">
      <w:pPr>
        <w:pStyle w:val="notepara"/>
      </w:pPr>
      <w:r>
        <w:t>(f)</w:t>
      </w:r>
      <w:r>
        <w:tab/>
      </w:r>
      <w:r w:rsidR="00C1770B">
        <w:t>in-band</w:t>
      </w:r>
      <w:r>
        <w:t>;</w:t>
      </w:r>
    </w:p>
    <w:p w14:paraId="351E8132" w14:textId="61C6E0A3" w:rsidR="00722883" w:rsidRDefault="00722883" w:rsidP="00722883">
      <w:pPr>
        <w:pStyle w:val="notepara"/>
      </w:pPr>
      <w:r>
        <w:t>(</w:t>
      </w:r>
      <w:r w:rsidR="00C1770B">
        <w:t>g</w:t>
      </w:r>
      <w:r>
        <w:t>)</w:t>
      </w:r>
      <w:r>
        <w:tab/>
        <w:t>ITU-R Recommendation;</w:t>
      </w:r>
    </w:p>
    <w:p w14:paraId="25A4BBA9" w14:textId="755CA61F" w:rsidR="00C1770B" w:rsidRDefault="00C1770B" w:rsidP="00722883">
      <w:pPr>
        <w:pStyle w:val="notepara"/>
      </w:pPr>
      <w:r>
        <w:t>(h)</w:t>
      </w:r>
      <w:r>
        <w:tab/>
        <w:t>LIPD class licence;</w:t>
      </w:r>
    </w:p>
    <w:p w14:paraId="7E5DF09D" w14:textId="596B7B07" w:rsidR="00C1770B" w:rsidRDefault="00C1770B" w:rsidP="00722883">
      <w:pPr>
        <w:pStyle w:val="notepara"/>
      </w:pPr>
      <w:r>
        <w:t>(</w:t>
      </w:r>
      <w:proofErr w:type="spellStart"/>
      <w:r>
        <w:t>i</w:t>
      </w:r>
      <w:proofErr w:type="spellEnd"/>
      <w:r>
        <w:t>)</w:t>
      </w:r>
      <w:r>
        <w:tab/>
        <w:t>out-of-band;</w:t>
      </w:r>
    </w:p>
    <w:p w14:paraId="26563661" w14:textId="3A95D552" w:rsidR="00722883" w:rsidRDefault="00722883" w:rsidP="00C1770B">
      <w:pPr>
        <w:pStyle w:val="notepara"/>
      </w:pPr>
      <w:r>
        <w:t>(</w:t>
      </w:r>
      <w:r w:rsidR="00C1770B">
        <w:t>j</w:t>
      </w:r>
      <w:r>
        <w:t>)</w:t>
      </w:r>
      <w:r>
        <w:tab/>
        <w:t>Radio Regulations.</w:t>
      </w:r>
    </w:p>
    <w:p w14:paraId="3A4C72B8" w14:textId="371B1DE2" w:rsidR="002E4659" w:rsidRDefault="002E4659" w:rsidP="00CF05C2">
      <w:pPr>
        <w:pStyle w:val="subsection"/>
      </w:pPr>
      <w:r>
        <w:tab/>
        <w:t>(2)</w:t>
      </w:r>
      <w:r>
        <w:tab/>
        <w:t xml:space="preserve">In this instrument, unless the contrary intention appears, </w:t>
      </w:r>
      <w:r w:rsidR="002639B5">
        <w:t>each of the terms listed in subsection (3) has the meaning given by:</w:t>
      </w:r>
    </w:p>
    <w:p w14:paraId="2E071568" w14:textId="77777777" w:rsidR="002639B5" w:rsidRPr="008521A9" w:rsidRDefault="002639B5" w:rsidP="002639B5">
      <w:pPr>
        <w:pStyle w:val="paragraph"/>
        <w:tabs>
          <w:tab w:val="left" w:pos="2160"/>
          <w:tab w:val="left" w:pos="2880"/>
          <w:tab w:val="left" w:pos="3600"/>
          <w:tab w:val="center" w:pos="4513"/>
        </w:tabs>
        <w:rPr>
          <w:bCs/>
          <w:iCs/>
        </w:rPr>
      </w:pPr>
      <w:r w:rsidRPr="008521A9">
        <w:rPr>
          <w:bCs/>
          <w:iCs/>
        </w:rPr>
        <w:tab/>
        <w:t>(a)</w:t>
      </w:r>
      <w:r w:rsidRPr="008521A9">
        <w:rPr>
          <w:bCs/>
          <w:iCs/>
        </w:rPr>
        <w:tab/>
      </w:r>
      <w:r w:rsidRPr="008521A9">
        <w:t>the</w:t>
      </w:r>
      <w:r w:rsidRPr="008521A9">
        <w:rPr>
          <w:bCs/>
          <w:iCs/>
        </w:rPr>
        <w:t xml:space="preserve"> </w:t>
      </w:r>
      <w:r w:rsidRPr="008521A9">
        <w:rPr>
          <w:bCs/>
          <w:i/>
        </w:rPr>
        <w:t>Radiocommunications (Interpretation) Determination 2015</w:t>
      </w:r>
      <w:r w:rsidRPr="008521A9">
        <w:rPr>
          <w:bCs/>
          <w:iCs/>
        </w:rPr>
        <w:t>; or</w:t>
      </w:r>
    </w:p>
    <w:p w14:paraId="60CD01A2" w14:textId="77777777" w:rsidR="002639B5" w:rsidRPr="008521A9" w:rsidRDefault="002639B5" w:rsidP="002639B5">
      <w:pPr>
        <w:pStyle w:val="paragraph"/>
        <w:tabs>
          <w:tab w:val="left" w:pos="2160"/>
          <w:tab w:val="left" w:pos="2880"/>
          <w:tab w:val="left" w:pos="3600"/>
          <w:tab w:val="center" w:pos="4513"/>
        </w:tabs>
        <w:rPr>
          <w:bCs/>
          <w:iCs/>
        </w:rPr>
      </w:pPr>
      <w:r w:rsidRPr="008521A9">
        <w:rPr>
          <w:bCs/>
          <w:iCs/>
        </w:rPr>
        <w:tab/>
        <w:t>(b)</w:t>
      </w:r>
      <w:r w:rsidRPr="008521A9">
        <w:rPr>
          <w:bCs/>
          <w:iCs/>
        </w:rPr>
        <w:tab/>
        <w:t xml:space="preserve">if </w:t>
      </w:r>
      <w:r w:rsidRPr="008521A9">
        <w:t>another</w:t>
      </w:r>
      <w:r w:rsidRPr="008521A9">
        <w:rPr>
          <w:bCs/>
          <w:iCs/>
        </w:rPr>
        <w:t xml:space="preserve"> instrument replaces that determination and defines the term – the other instrument.</w:t>
      </w:r>
    </w:p>
    <w:p w14:paraId="24CEECFA" w14:textId="59684D07" w:rsidR="002639B5" w:rsidRDefault="002639B5" w:rsidP="00CF05C2">
      <w:pPr>
        <w:pStyle w:val="subsection"/>
      </w:pPr>
      <w:r>
        <w:tab/>
        <w:t>(3)</w:t>
      </w:r>
      <w:r>
        <w:tab/>
        <w:t>For the purposes of subsection (2), the terms are:</w:t>
      </w:r>
    </w:p>
    <w:p w14:paraId="009BA662" w14:textId="7DF71011" w:rsidR="002639B5" w:rsidRDefault="002639B5" w:rsidP="002639B5">
      <w:pPr>
        <w:pStyle w:val="paragraph"/>
        <w:tabs>
          <w:tab w:val="left" w:pos="2160"/>
          <w:tab w:val="left" w:pos="2880"/>
          <w:tab w:val="left" w:pos="3600"/>
          <w:tab w:val="center" w:pos="4513"/>
        </w:tabs>
      </w:pPr>
      <w:r>
        <w:tab/>
        <w:t>(a)</w:t>
      </w:r>
      <w:r>
        <w:tab/>
      </w:r>
      <w:r>
        <w:rPr>
          <w:b/>
          <w:bCs/>
          <w:i/>
          <w:iCs/>
        </w:rPr>
        <w:t>earth receive station</w:t>
      </w:r>
      <w:r>
        <w:t>;</w:t>
      </w:r>
    </w:p>
    <w:p w14:paraId="18071FB9" w14:textId="625C2B92" w:rsidR="002639B5" w:rsidRDefault="002639B5" w:rsidP="002639B5">
      <w:pPr>
        <w:pStyle w:val="paragraph"/>
        <w:tabs>
          <w:tab w:val="left" w:pos="2160"/>
          <w:tab w:val="left" w:pos="2880"/>
          <w:tab w:val="left" w:pos="3600"/>
          <w:tab w:val="center" w:pos="4513"/>
        </w:tabs>
      </w:pPr>
      <w:r>
        <w:tab/>
        <w:t>(b)</w:t>
      </w:r>
      <w:r>
        <w:tab/>
      </w:r>
      <w:r>
        <w:rPr>
          <w:b/>
          <w:bCs/>
          <w:i/>
          <w:iCs/>
        </w:rPr>
        <w:t>earth station</w:t>
      </w:r>
      <w:r>
        <w:t>;</w:t>
      </w:r>
    </w:p>
    <w:p w14:paraId="659BE701" w14:textId="1C307AC5" w:rsidR="002639B5" w:rsidRDefault="002639B5" w:rsidP="002639B5">
      <w:pPr>
        <w:pStyle w:val="paragraph"/>
        <w:tabs>
          <w:tab w:val="left" w:pos="2160"/>
          <w:tab w:val="left" w:pos="2880"/>
          <w:tab w:val="left" w:pos="3600"/>
          <w:tab w:val="center" w:pos="4513"/>
        </w:tabs>
      </w:pPr>
      <w:r>
        <w:tab/>
        <w:t>(c)</w:t>
      </w:r>
      <w:r>
        <w:tab/>
      </w:r>
      <w:r>
        <w:rPr>
          <w:b/>
          <w:bCs/>
          <w:i/>
          <w:iCs/>
        </w:rPr>
        <w:t>fixed receive station</w:t>
      </w:r>
      <w:r>
        <w:t>;</w:t>
      </w:r>
    </w:p>
    <w:p w14:paraId="612FDB95" w14:textId="444978EF" w:rsidR="007C5AC2" w:rsidRPr="007C5AC2" w:rsidRDefault="007C5AC2" w:rsidP="002639B5">
      <w:pPr>
        <w:pStyle w:val="paragraph"/>
        <w:tabs>
          <w:tab w:val="left" w:pos="2160"/>
          <w:tab w:val="left" w:pos="2880"/>
          <w:tab w:val="left" w:pos="3600"/>
          <w:tab w:val="center" w:pos="4513"/>
        </w:tabs>
      </w:pPr>
      <w:r>
        <w:tab/>
        <w:t>(d)</w:t>
      </w:r>
      <w:r>
        <w:tab/>
      </w:r>
      <w:r w:rsidRPr="007C5AC2">
        <w:rPr>
          <w:b/>
          <w:bCs/>
          <w:i/>
          <w:iCs/>
        </w:rPr>
        <w:t>television outside broadcast station</w:t>
      </w:r>
      <w:r>
        <w:t>.</w:t>
      </w:r>
    </w:p>
    <w:p w14:paraId="6570D1D9" w14:textId="277012B8" w:rsidR="00E433F5" w:rsidRDefault="00E433F5" w:rsidP="00E433F5">
      <w:pPr>
        <w:pStyle w:val="subsection"/>
      </w:pPr>
      <w:r>
        <w:tab/>
        <w:t>(4)</w:t>
      </w:r>
      <w:r>
        <w:tab/>
        <w:t>In this instrument, unless the contrary intention appears, each of the terms listed in subsection (5) has the meaning given by the spectrum plan.</w:t>
      </w:r>
    </w:p>
    <w:p w14:paraId="245EFC2E" w14:textId="24C02357" w:rsidR="00E433F5" w:rsidRDefault="00E433F5" w:rsidP="00E433F5">
      <w:pPr>
        <w:pStyle w:val="subsection"/>
      </w:pPr>
      <w:r>
        <w:lastRenderedPageBreak/>
        <w:tab/>
        <w:t>(5)</w:t>
      </w:r>
      <w:r>
        <w:tab/>
        <w:t>For the purposes of subsection (4), the terms are:</w:t>
      </w:r>
    </w:p>
    <w:p w14:paraId="6AFD4022" w14:textId="6D34702F" w:rsidR="00E433F5" w:rsidRDefault="00E433F5" w:rsidP="00E433F5">
      <w:pPr>
        <w:pStyle w:val="paragraph"/>
        <w:tabs>
          <w:tab w:val="left" w:pos="2160"/>
          <w:tab w:val="left" w:pos="2880"/>
          <w:tab w:val="left" w:pos="3600"/>
          <w:tab w:val="center" w:pos="4513"/>
        </w:tabs>
      </w:pPr>
      <w:r>
        <w:tab/>
        <w:t>(a)</w:t>
      </w:r>
      <w:r>
        <w:tab/>
      </w:r>
      <w:r>
        <w:rPr>
          <w:b/>
          <w:bCs/>
          <w:i/>
          <w:iCs/>
        </w:rPr>
        <w:t>earth exploration-satellite service</w:t>
      </w:r>
      <w:r>
        <w:t>;</w:t>
      </w:r>
    </w:p>
    <w:p w14:paraId="2061D333" w14:textId="30F126EA" w:rsidR="00AC2259" w:rsidRDefault="00AC2259" w:rsidP="00E433F5">
      <w:pPr>
        <w:pStyle w:val="paragraph"/>
        <w:tabs>
          <w:tab w:val="left" w:pos="2160"/>
          <w:tab w:val="left" w:pos="2880"/>
          <w:tab w:val="left" w:pos="3600"/>
          <w:tab w:val="center" w:pos="4513"/>
        </w:tabs>
      </w:pPr>
      <w:r>
        <w:tab/>
        <w:t>(</w:t>
      </w:r>
      <w:r w:rsidR="008D2CDD">
        <w:t>b</w:t>
      </w:r>
      <w:r>
        <w:t>)</w:t>
      </w:r>
      <w:r>
        <w:tab/>
      </w:r>
      <w:r>
        <w:rPr>
          <w:b/>
          <w:bCs/>
          <w:i/>
          <w:iCs/>
        </w:rPr>
        <w:t>fixed service</w:t>
      </w:r>
      <w:r>
        <w:t>;</w:t>
      </w:r>
    </w:p>
    <w:p w14:paraId="56935A15" w14:textId="6EFCA2F3" w:rsidR="0002149B" w:rsidRDefault="0002149B" w:rsidP="00E433F5">
      <w:pPr>
        <w:pStyle w:val="paragraph"/>
        <w:tabs>
          <w:tab w:val="left" w:pos="2160"/>
          <w:tab w:val="left" w:pos="2880"/>
          <w:tab w:val="left" w:pos="3600"/>
          <w:tab w:val="center" w:pos="4513"/>
        </w:tabs>
      </w:pPr>
      <w:r>
        <w:tab/>
        <w:t>(</w:t>
      </w:r>
      <w:r w:rsidR="008D2CDD">
        <w:t>c</w:t>
      </w:r>
      <w:r>
        <w:t>)</w:t>
      </w:r>
      <w:r>
        <w:tab/>
      </w:r>
      <w:r w:rsidRPr="0002149B">
        <w:rPr>
          <w:b/>
          <w:bCs/>
          <w:i/>
          <w:iCs/>
        </w:rPr>
        <w:t>mobile service</w:t>
      </w:r>
      <w:r>
        <w:t>;</w:t>
      </w:r>
    </w:p>
    <w:p w14:paraId="7347F1DC" w14:textId="2A708C97" w:rsidR="006F0339" w:rsidRPr="00AC2259" w:rsidRDefault="006F0339" w:rsidP="00E433F5">
      <w:pPr>
        <w:pStyle w:val="paragraph"/>
        <w:tabs>
          <w:tab w:val="left" w:pos="2160"/>
          <w:tab w:val="left" w:pos="2880"/>
          <w:tab w:val="left" w:pos="3600"/>
          <w:tab w:val="center" w:pos="4513"/>
        </w:tabs>
      </w:pPr>
      <w:r>
        <w:tab/>
        <w:t>(</w:t>
      </w:r>
      <w:r w:rsidR="008D2CDD">
        <w:t>d</w:t>
      </w:r>
      <w:r>
        <w:t>)</w:t>
      </w:r>
      <w:r>
        <w:tab/>
      </w:r>
      <w:r w:rsidRPr="006F0339">
        <w:rPr>
          <w:b/>
          <w:bCs/>
          <w:i/>
          <w:iCs/>
        </w:rPr>
        <w:t>radio astronomy service</w:t>
      </w:r>
      <w:r>
        <w:t>;</w:t>
      </w:r>
    </w:p>
    <w:p w14:paraId="109246E0" w14:textId="6E26D413" w:rsidR="00E433F5" w:rsidRPr="002D24A1" w:rsidRDefault="00E433F5" w:rsidP="00E433F5">
      <w:pPr>
        <w:pStyle w:val="paragraph"/>
        <w:tabs>
          <w:tab w:val="left" w:pos="2160"/>
          <w:tab w:val="left" w:pos="2880"/>
          <w:tab w:val="left" w:pos="3600"/>
          <w:tab w:val="center" w:pos="4513"/>
        </w:tabs>
      </w:pPr>
      <w:r>
        <w:tab/>
        <w:t>(</w:t>
      </w:r>
      <w:r w:rsidR="008D2CDD">
        <w:t>e</w:t>
      </w:r>
      <w:r>
        <w:t>)</w:t>
      </w:r>
      <w:r>
        <w:tab/>
      </w:r>
      <w:r w:rsidR="002D24A1">
        <w:rPr>
          <w:b/>
          <w:bCs/>
          <w:i/>
          <w:iCs/>
        </w:rPr>
        <w:t>space operation service</w:t>
      </w:r>
      <w:r w:rsidR="002D24A1" w:rsidRPr="002D24A1">
        <w:t>;</w:t>
      </w:r>
    </w:p>
    <w:p w14:paraId="36AEE0FA" w14:textId="77777777" w:rsidR="001F1EA8" w:rsidRDefault="00E433F5" w:rsidP="00E433F5">
      <w:pPr>
        <w:pStyle w:val="paragraph"/>
        <w:tabs>
          <w:tab w:val="left" w:pos="2160"/>
          <w:tab w:val="left" w:pos="2880"/>
          <w:tab w:val="left" w:pos="3600"/>
          <w:tab w:val="center" w:pos="4513"/>
        </w:tabs>
      </w:pPr>
      <w:r>
        <w:tab/>
        <w:t>(</w:t>
      </w:r>
      <w:r w:rsidR="008D2CDD">
        <w:t>f</w:t>
      </w:r>
      <w:r>
        <w:t>)</w:t>
      </w:r>
      <w:r>
        <w:tab/>
      </w:r>
      <w:r w:rsidR="002D24A1">
        <w:rPr>
          <w:b/>
          <w:bCs/>
          <w:i/>
          <w:iCs/>
        </w:rPr>
        <w:t>space research service</w:t>
      </w:r>
      <w:r w:rsidR="001F1EA8">
        <w:t>;</w:t>
      </w:r>
    </w:p>
    <w:p w14:paraId="13282C0B" w14:textId="43601069" w:rsidR="00E433F5" w:rsidRPr="007C5AC2" w:rsidRDefault="001F1EA8" w:rsidP="00E433F5">
      <w:pPr>
        <w:pStyle w:val="paragraph"/>
        <w:tabs>
          <w:tab w:val="left" w:pos="2160"/>
          <w:tab w:val="left" w:pos="2880"/>
          <w:tab w:val="left" w:pos="3600"/>
          <w:tab w:val="center" w:pos="4513"/>
        </w:tabs>
      </w:pPr>
      <w:r>
        <w:tab/>
        <w:t>(g)</w:t>
      </w:r>
      <w:r>
        <w:tab/>
      </w:r>
      <w:r w:rsidRPr="0099054B">
        <w:rPr>
          <w:b/>
          <w:bCs/>
          <w:i/>
          <w:iCs/>
        </w:rPr>
        <w:t>space station</w:t>
      </w:r>
      <w:r>
        <w:t>.</w:t>
      </w:r>
    </w:p>
    <w:p w14:paraId="73D729F4" w14:textId="0E8E4EC3" w:rsidR="00CF05C2" w:rsidRPr="00837E5B" w:rsidRDefault="00CF05C2" w:rsidP="00CF05C2">
      <w:pPr>
        <w:pStyle w:val="subsection"/>
      </w:pPr>
      <w:r>
        <w:tab/>
        <w:t>(</w:t>
      </w:r>
      <w:r w:rsidR="006F0339">
        <w:t>6</w:t>
      </w:r>
      <w:r>
        <w:t>)</w:t>
      </w:r>
      <w:r>
        <w:tab/>
        <w:t xml:space="preserve">In this instrument, unless otherwise specified, a reference to a </w:t>
      </w:r>
      <w:r w:rsidR="00B57BD6">
        <w:t xml:space="preserve">part of the spectrum or a </w:t>
      </w:r>
      <w:r>
        <w:t>frequency band includes all frequencies that are greater than but not including the lower frequency, up to and including the higher frequency.</w:t>
      </w:r>
    </w:p>
    <w:p w14:paraId="2071783E" w14:textId="53AA650D" w:rsidR="00CF05C2" w:rsidRDefault="00CF05C2" w:rsidP="00CF05C2">
      <w:pPr>
        <w:pStyle w:val="notetext"/>
      </w:pPr>
      <w:r>
        <w:t>Note:</w:t>
      </w:r>
      <w:r>
        <w:tab/>
        <w:t xml:space="preserve">This subsection means the lower number in a </w:t>
      </w:r>
      <w:r w:rsidR="00B57BD6">
        <w:t xml:space="preserve">part of the </w:t>
      </w:r>
      <w:proofErr w:type="gramStart"/>
      <w:r w:rsidR="00B57BD6">
        <w:t>spectrum</w:t>
      </w:r>
      <w:proofErr w:type="gramEnd"/>
      <w:r w:rsidR="00B57BD6">
        <w:t xml:space="preserve"> or a </w:t>
      </w:r>
      <w:r>
        <w:t xml:space="preserve">frequency band is not included in the </w:t>
      </w:r>
      <w:r w:rsidR="00B57BD6">
        <w:t xml:space="preserve">part of the spectrum or the </w:t>
      </w:r>
      <w:r>
        <w:t>frequency band.</w:t>
      </w:r>
    </w:p>
    <w:p w14:paraId="3C1EAD14" w14:textId="77777777" w:rsidR="00CF05C2" w:rsidRDefault="00CF05C2" w:rsidP="00CF05C2">
      <w:pPr>
        <w:pStyle w:val="ActHead5"/>
      </w:pPr>
      <w:r>
        <w:rPr>
          <w:rStyle w:val="CharSectno"/>
        </w:rPr>
        <w:t>6</w:t>
      </w:r>
      <w:r w:rsidRPr="004F1E24">
        <w:rPr>
          <w:rStyle w:val="CharSectno"/>
        </w:rPr>
        <w:t xml:space="preserve"> </w:t>
      </w:r>
      <w:r>
        <w:t xml:space="preserve"> References to other instruments</w:t>
      </w:r>
    </w:p>
    <w:p w14:paraId="7FE2A7D6" w14:textId="77777777" w:rsidR="00CF05C2" w:rsidRDefault="00CF05C2" w:rsidP="00CF05C2">
      <w:pPr>
        <w:pStyle w:val="subsection"/>
      </w:pPr>
      <w:r>
        <w:tab/>
      </w:r>
      <w:r>
        <w:tab/>
        <w:t>In this instrument, unless the contrary intention appears:</w:t>
      </w:r>
    </w:p>
    <w:p w14:paraId="354DB933" w14:textId="77777777" w:rsidR="00CF05C2" w:rsidRDefault="00CF05C2" w:rsidP="00CF05C2">
      <w:pPr>
        <w:pStyle w:val="paragraph"/>
      </w:pPr>
      <w:r>
        <w:tab/>
        <w:t>(a)</w:t>
      </w:r>
      <w:r>
        <w:tab/>
        <w:t>a reference to any other legislative instrument is a reference to that other legislative instrument as in force from time to time; and</w:t>
      </w:r>
    </w:p>
    <w:p w14:paraId="01C6A822" w14:textId="2B2E767A" w:rsidR="00CF05C2" w:rsidRDefault="00CF05C2" w:rsidP="00CF05C2">
      <w:pPr>
        <w:pStyle w:val="paragraph"/>
        <w:tabs>
          <w:tab w:val="left" w:pos="2160"/>
          <w:tab w:val="left" w:pos="2880"/>
          <w:tab w:val="left" w:pos="3600"/>
          <w:tab w:val="center" w:pos="4513"/>
        </w:tabs>
      </w:pPr>
      <w:r>
        <w:tab/>
        <w:t>(b)</w:t>
      </w:r>
      <w:r>
        <w:tab/>
        <w:t>a reference to any other kind of instrument or writing is a reference to that other instrument or writing as in force or existence from time to time.</w:t>
      </w:r>
    </w:p>
    <w:p w14:paraId="3D2CC238" w14:textId="77777777" w:rsidR="00CF05C2" w:rsidRDefault="00CF05C2" w:rsidP="00CF05C2">
      <w:pPr>
        <w:pStyle w:val="notetext"/>
      </w:pPr>
      <w:r>
        <w:t>Note 1:</w:t>
      </w:r>
      <w:r>
        <w:tab/>
        <w:t xml:space="preserve">For references to Commonwealth Acts, see section 10 of the </w:t>
      </w:r>
      <w:r>
        <w:rPr>
          <w:i/>
        </w:rPr>
        <w:t>Acts Interpretation Act 1901</w:t>
      </w:r>
      <w:r>
        <w:t xml:space="preserve">; and see also subsection 13(1) of the </w:t>
      </w:r>
      <w:r>
        <w:rPr>
          <w:i/>
        </w:rPr>
        <w:t>Legislation Act 2003</w:t>
      </w:r>
      <w:r>
        <w:t xml:space="preserve"> for the application of the </w:t>
      </w:r>
      <w:r>
        <w:rPr>
          <w:i/>
        </w:rPr>
        <w:t>Acts Interpretation Act 1901</w:t>
      </w:r>
      <w:r>
        <w:t xml:space="preserve"> to legislative instruments.</w:t>
      </w:r>
    </w:p>
    <w:p w14:paraId="7923BC14" w14:textId="77777777" w:rsidR="00CF05C2" w:rsidRDefault="00CF05C2" w:rsidP="00CF05C2">
      <w:pPr>
        <w:pStyle w:val="notetext"/>
      </w:pPr>
      <w:r>
        <w:t>Note 2:</w:t>
      </w:r>
      <w:r>
        <w:tab/>
        <w:t xml:space="preserve">All Commonwealth Acts and legislative instruments are registered on the Federal Register of Legislation. </w:t>
      </w:r>
    </w:p>
    <w:p w14:paraId="6AF34506" w14:textId="77777777" w:rsidR="00CF05C2" w:rsidRDefault="00CF05C2" w:rsidP="00CF05C2">
      <w:pPr>
        <w:pStyle w:val="notetext"/>
      </w:pPr>
      <w:r>
        <w:t>Note 3:</w:t>
      </w:r>
      <w:r>
        <w:tab/>
        <w:t>See section 314A of the Act.</w:t>
      </w:r>
    </w:p>
    <w:p w14:paraId="15DA955F" w14:textId="77777777" w:rsidR="00CF05C2" w:rsidRDefault="00CF05C2">
      <w:pPr>
        <w:sectPr w:rsidR="00CF05C2" w:rsidSect="001A4582">
          <w:headerReference w:type="even" r:id="rId20"/>
          <w:headerReference w:type="default" r:id="rId21"/>
          <w:footerReference w:type="default" r:id="rId22"/>
          <w:headerReference w:type="first" r:id="rId23"/>
          <w:pgSz w:w="11906" w:h="16838"/>
          <w:pgMar w:top="1440" w:right="1440" w:bottom="1440" w:left="1440" w:header="708" w:footer="708" w:gutter="0"/>
          <w:cols w:space="708"/>
          <w:docGrid w:linePitch="360"/>
        </w:sectPr>
      </w:pPr>
    </w:p>
    <w:p w14:paraId="2894D241" w14:textId="77777777" w:rsidR="00CF05C2" w:rsidRPr="004F1E24" w:rsidRDefault="00CF05C2" w:rsidP="00CF05C2">
      <w:pPr>
        <w:rPr>
          <w:rFonts w:ascii="Times New Roman" w:hAnsi="Times New Roman" w:cs="Times New Roman"/>
          <w:b/>
          <w:bCs/>
          <w:sz w:val="32"/>
          <w:szCs w:val="32"/>
        </w:rPr>
      </w:pPr>
      <w:r w:rsidRPr="004F1E24">
        <w:rPr>
          <w:rFonts w:ascii="Times New Roman" w:hAnsi="Times New Roman" w:cs="Times New Roman"/>
          <w:b/>
          <w:bCs/>
          <w:sz w:val="32"/>
          <w:szCs w:val="32"/>
        </w:rPr>
        <w:lastRenderedPageBreak/>
        <w:t>Part 2—</w:t>
      </w:r>
      <w:r>
        <w:rPr>
          <w:rFonts w:ascii="Times New Roman" w:hAnsi="Times New Roman" w:cs="Times New Roman"/>
          <w:b/>
          <w:bCs/>
          <w:sz w:val="32"/>
          <w:szCs w:val="32"/>
        </w:rPr>
        <w:t>Overview</w:t>
      </w:r>
    </w:p>
    <w:p w14:paraId="7052E113" w14:textId="77777777" w:rsidR="00CF05C2" w:rsidRPr="004F1E24" w:rsidRDefault="00CF05C2" w:rsidP="00CF05C2">
      <w:pPr>
        <w:pStyle w:val="ActHead5"/>
      </w:pPr>
      <w:bookmarkStart w:id="5" w:name="_Toc444596036"/>
      <w:r>
        <w:rPr>
          <w:rStyle w:val="CharSectno"/>
        </w:rPr>
        <w:t>7</w:t>
      </w:r>
      <w:r w:rsidRPr="004F1E24">
        <w:t xml:space="preserve">  </w:t>
      </w:r>
      <w:bookmarkEnd w:id="5"/>
      <w:r>
        <w:t>Background</w:t>
      </w:r>
    </w:p>
    <w:p w14:paraId="43EB17C8" w14:textId="533C12A9" w:rsidR="0025477D" w:rsidRDefault="0025477D" w:rsidP="00DB2968">
      <w:pPr>
        <w:pStyle w:val="subsection"/>
      </w:pPr>
      <w:r>
        <w:tab/>
        <w:t>(1)</w:t>
      </w:r>
      <w:r>
        <w:tab/>
      </w:r>
      <w:r w:rsidR="004D43FC">
        <w:t>The 2</w:t>
      </w:r>
      <w:r w:rsidR="009E6425">
        <w:t>.</w:t>
      </w:r>
      <w:r w:rsidR="000E44C6">
        <w:t>3</w:t>
      </w:r>
      <w:r w:rsidR="004D43FC">
        <w:t xml:space="preserve"> GHz</w:t>
      </w:r>
      <w:r w:rsidR="00674801">
        <w:t xml:space="preserve"> </w:t>
      </w:r>
      <w:r w:rsidR="004D43FC">
        <w:t>band has been allocated for spectrum licensing</w:t>
      </w:r>
      <w:r w:rsidR="00DB2968">
        <w:t xml:space="preserve">. </w:t>
      </w:r>
      <w:r w:rsidR="00775BFC">
        <w:t>Spectrum licensed, a</w:t>
      </w:r>
      <w:r>
        <w:t xml:space="preserve">pparatus licensed and class licensed radiocommunications transmitters </w:t>
      </w:r>
      <w:r w:rsidR="00133728">
        <w:t xml:space="preserve">communicate with radiocommunications receivers in and adjacent to the </w:t>
      </w:r>
      <w:r w:rsidR="00AD4BA7">
        <w:t>2</w:t>
      </w:r>
      <w:r w:rsidR="006D2A9E">
        <w:t>.</w:t>
      </w:r>
      <w:r w:rsidR="00B011A9">
        <w:t>3</w:t>
      </w:r>
      <w:r w:rsidR="00AD4BA7">
        <w:t xml:space="preserve"> G</w:t>
      </w:r>
      <w:r w:rsidR="00133728">
        <w:t>Hz band.</w:t>
      </w:r>
      <w:r w:rsidR="00867C70">
        <w:t xml:space="preserve"> These receivers may suffer interference from </w:t>
      </w:r>
      <w:r w:rsidR="00AD4BA7">
        <w:t xml:space="preserve">unwanted emissions, blocking and intermodulation caused by a radiocommunications transmitter operated under </w:t>
      </w:r>
      <w:r w:rsidR="00DB4877">
        <w:t>a 2</w:t>
      </w:r>
      <w:r w:rsidR="00FB3D42">
        <w:t>.</w:t>
      </w:r>
      <w:r w:rsidR="00B011A9">
        <w:t>3</w:t>
      </w:r>
      <w:r w:rsidR="00DB4877">
        <w:t xml:space="preserve"> GHz</w:t>
      </w:r>
      <w:r w:rsidR="00656761">
        <w:t xml:space="preserve"> </w:t>
      </w:r>
      <w:r w:rsidR="00DB4877">
        <w:t>spectrum licence.</w:t>
      </w:r>
    </w:p>
    <w:p w14:paraId="5BA339EA" w14:textId="75E60F64" w:rsidR="0017406A" w:rsidRDefault="00035A3D" w:rsidP="00035A3D">
      <w:pPr>
        <w:pStyle w:val="subsection"/>
      </w:pPr>
      <w:r>
        <w:tab/>
        <w:t>(</w:t>
      </w:r>
      <w:r w:rsidR="006E62B5">
        <w:t>2</w:t>
      </w:r>
      <w:r>
        <w:t>)</w:t>
      </w:r>
      <w:r>
        <w:tab/>
        <w:t xml:space="preserve">This instrument </w:t>
      </w:r>
      <w:r w:rsidR="0017406A">
        <w:t xml:space="preserve">has been made </w:t>
      </w:r>
      <w:r w:rsidR="00DB6FD2">
        <w:t>to provide guidance on</w:t>
      </w:r>
      <w:r w:rsidR="0017406A">
        <w:t xml:space="preserve"> the management of interference </w:t>
      </w:r>
      <w:r w:rsidR="00DB6FD2">
        <w:t xml:space="preserve">from radiocommunications transmitters operated under a </w:t>
      </w:r>
      <w:r w:rsidR="008417A8">
        <w:t>2</w:t>
      </w:r>
      <w:r w:rsidR="009F4FAD">
        <w:t>.</w:t>
      </w:r>
      <w:r w:rsidR="007224AA">
        <w:t>3</w:t>
      </w:r>
      <w:r w:rsidR="008417A8">
        <w:t xml:space="preserve"> G</w:t>
      </w:r>
      <w:r w:rsidR="00DB6FD2">
        <w:t>Hz</w:t>
      </w:r>
      <w:r w:rsidR="00656761">
        <w:t xml:space="preserve"> </w:t>
      </w:r>
      <w:r w:rsidR="00DB6FD2">
        <w:t xml:space="preserve">spectrum licence </w:t>
      </w:r>
      <w:r w:rsidR="0017406A">
        <w:t>to</w:t>
      </w:r>
      <w:r w:rsidR="00F844C0">
        <w:t xml:space="preserve"> radiocommunications receivers </w:t>
      </w:r>
      <w:r w:rsidR="00854F50">
        <w:t>operating in the following circumstances:</w:t>
      </w:r>
    </w:p>
    <w:p w14:paraId="2531DD38" w14:textId="7B68DAFD" w:rsidR="00854F50" w:rsidRDefault="00CC166F" w:rsidP="00854F50">
      <w:pPr>
        <w:pStyle w:val="paragraph"/>
      </w:pPr>
      <w:r>
        <w:tab/>
        <w:t>(a)</w:t>
      </w:r>
      <w:r>
        <w:tab/>
      </w:r>
      <w:r w:rsidR="00A66687">
        <w:t>point to point fixed services operating on frequencies below the 2.3 GHz band (Part 3);</w:t>
      </w:r>
    </w:p>
    <w:p w14:paraId="2AE4A8BB" w14:textId="72EDF234" w:rsidR="00A66687" w:rsidRDefault="00A66687" w:rsidP="00854F50">
      <w:pPr>
        <w:pStyle w:val="paragraph"/>
      </w:pPr>
      <w:r>
        <w:tab/>
        <w:t>(b)</w:t>
      </w:r>
      <w:r>
        <w:tab/>
        <w:t>space research</w:t>
      </w:r>
      <w:r w:rsidR="002D24A1">
        <w:t xml:space="preserve"> service</w:t>
      </w:r>
      <w:r>
        <w:t>, space operations</w:t>
      </w:r>
      <w:r w:rsidR="002D24A1">
        <w:t xml:space="preserve"> service</w:t>
      </w:r>
      <w:r>
        <w:t xml:space="preserve"> and earth exploration</w:t>
      </w:r>
      <w:r w:rsidR="00E433F5">
        <w:t>-</w:t>
      </w:r>
      <w:r>
        <w:t xml:space="preserve">satellite service receivers operating in the </w:t>
      </w:r>
      <w:r w:rsidR="00F509E0">
        <w:t>2200 MHz to 2300 MHz band (Part 4);</w:t>
      </w:r>
    </w:p>
    <w:p w14:paraId="41A1552E" w14:textId="464C1225" w:rsidR="00F509E0" w:rsidRDefault="00F509E0" w:rsidP="00854F50">
      <w:pPr>
        <w:pStyle w:val="paragraph"/>
      </w:pPr>
      <w:r>
        <w:tab/>
        <w:t>(c)</w:t>
      </w:r>
      <w:r>
        <w:tab/>
        <w:t>mobile services operating on frequencies below the 2.3 GHz band (Part 5);</w:t>
      </w:r>
    </w:p>
    <w:p w14:paraId="317CFEDB" w14:textId="5547D009" w:rsidR="00F509E0" w:rsidRDefault="00F509E0" w:rsidP="00854F50">
      <w:pPr>
        <w:pStyle w:val="paragraph"/>
      </w:pPr>
      <w:r>
        <w:tab/>
        <w:t>(d)</w:t>
      </w:r>
      <w:r>
        <w:tab/>
        <w:t xml:space="preserve">television outside broadcast services </w:t>
      </w:r>
      <w:r w:rsidR="00795C2B">
        <w:t xml:space="preserve">operated in accordance with </w:t>
      </w:r>
      <w:r w:rsidR="008E2DEE">
        <w:t xml:space="preserve">the </w:t>
      </w:r>
      <w:r w:rsidR="008E2DEE">
        <w:rPr>
          <w:i/>
          <w:iCs/>
        </w:rPr>
        <w:t>Radiocommunications (Television Outside Broadcasting) (2010-2110 MHz and 2200-2300 MHz) Frequency Band Plan 2022</w:t>
      </w:r>
      <w:r w:rsidR="008E2DEE">
        <w:t xml:space="preserve"> </w:t>
      </w:r>
      <w:r w:rsidR="009213E9">
        <w:t xml:space="preserve">and the </w:t>
      </w:r>
      <w:r w:rsidR="009213E9">
        <w:rPr>
          <w:i/>
          <w:iCs/>
        </w:rPr>
        <w:t>Radiocommunications (</w:t>
      </w:r>
      <w:r w:rsidR="00772DCE">
        <w:rPr>
          <w:i/>
          <w:iCs/>
        </w:rPr>
        <w:t>Mobile-Satellite Service</w:t>
      </w:r>
      <w:r w:rsidR="009213E9">
        <w:rPr>
          <w:i/>
          <w:iCs/>
        </w:rPr>
        <w:t>) (</w:t>
      </w:r>
      <w:r w:rsidR="00772DCE">
        <w:rPr>
          <w:i/>
          <w:iCs/>
        </w:rPr>
        <w:t>1980</w:t>
      </w:r>
      <w:r w:rsidR="009213E9">
        <w:rPr>
          <w:i/>
          <w:iCs/>
        </w:rPr>
        <w:t>–2</w:t>
      </w:r>
      <w:r w:rsidR="00772DCE">
        <w:rPr>
          <w:i/>
          <w:iCs/>
        </w:rPr>
        <w:t>0</w:t>
      </w:r>
      <w:r w:rsidR="009213E9">
        <w:rPr>
          <w:i/>
          <w:iCs/>
        </w:rPr>
        <w:t>10 MHz and 2</w:t>
      </w:r>
      <w:r w:rsidR="00772DCE">
        <w:rPr>
          <w:i/>
          <w:iCs/>
        </w:rPr>
        <w:t>170</w:t>
      </w:r>
      <w:r w:rsidR="009213E9">
        <w:rPr>
          <w:i/>
          <w:iCs/>
        </w:rPr>
        <w:t>–2</w:t>
      </w:r>
      <w:r w:rsidR="00772DCE">
        <w:rPr>
          <w:i/>
          <w:iCs/>
        </w:rPr>
        <w:t>2</w:t>
      </w:r>
      <w:r w:rsidR="009213E9">
        <w:rPr>
          <w:i/>
          <w:iCs/>
        </w:rPr>
        <w:t xml:space="preserve">00 MHz) Frequency Band Plan 2022 </w:t>
      </w:r>
      <w:r w:rsidR="008E2DEE">
        <w:t>(Part 6);</w:t>
      </w:r>
    </w:p>
    <w:p w14:paraId="46D16485" w14:textId="214A371A" w:rsidR="008E2DEE" w:rsidRDefault="0033567D" w:rsidP="00854F50">
      <w:pPr>
        <w:pStyle w:val="paragraph"/>
      </w:pPr>
      <w:r>
        <w:tab/>
        <w:t>(e)</w:t>
      </w:r>
      <w:r>
        <w:tab/>
        <w:t>radiocommunications devices operating under the LIPD class licence in the 2300 MHz to 2483.5 MHz frequency band (Part 7).</w:t>
      </w:r>
    </w:p>
    <w:p w14:paraId="51754066" w14:textId="77777777" w:rsidR="0033567D" w:rsidRDefault="009E4956" w:rsidP="006D33B1">
      <w:pPr>
        <w:pStyle w:val="subsection"/>
      </w:pPr>
      <w:r>
        <w:tab/>
        <w:t>(3)</w:t>
      </w:r>
      <w:r>
        <w:tab/>
        <w:t>This instrument also provides advice regarding</w:t>
      </w:r>
      <w:r w:rsidR="0033567D">
        <w:t>:</w:t>
      </w:r>
    </w:p>
    <w:p w14:paraId="7EDC3D71" w14:textId="761A90E6" w:rsidR="00326228" w:rsidRDefault="0033567D" w:rsidP="0033567D">
      <w:pPr>
        <w:pStyle w:val="paragraph"/>
      </w:pPr>
      <w:r>
        <w:tab/>
        <w:t>(a)</w:t>
      </w:r>
      <w:r>
        <w:tab/>
        <w:t>protection of radio</w:t>
      </w:r>
      <w:r w:rsidR="00CB3FEC">
        <w:t xml:space="preserve"> </w:t>
      </w:r>
      <w:r>
        <w:t>astronomy services operatin</w:t>
      </w:r>
      <w:r w:rsidR="00C75FDD">
        <w:t>g</w:t>
      </w:r>
      <w:r w:rsidR="006F1BA2">
        <w:t xml:space="preserve"> on a fortuitous basis (Part 8); and</w:t>
      </w:r>
    </w:p>
    <w:p w14:paraId="481D518B" w14:textId="0533A013" w:rsidR="006F1BA2" w:rsidRDefault="006F1BA2" w:rsidP="0033567D">
      <w:pPr>
        <w:pStyle w:val="paragraph"/>
      </w:pPr>
      <w:r>
        <w:tab/>
        <w:t>(b)</w:t>
      </w:r>
      <w:r>
        <w:tab/>
        <w:t>managing interference across the geographic boundaries of 2.3 GHz spectrum licences (Part 9).</w:t>
      </w:r>
    </w:p>
    <w:p w14:paraId="4A950407" w14:textId="4C220219" w:rsidR="00B7325E" w:rsidRDefault="000448D2" w:rsidP="00035A3D">
      <w:pPr>
        <w:pStyle w:val="subsection"/>
      </w:pPr>
      <w:r>
        <w:tab/>
        <w:t>(</w:t>
      </w:r>
      <w:r w:rsidR="00745EA2">
        <w:t>4</w:t>
      </w:r>
      <w:r>
        <w:t>)</w:t>
      </w:r>
      <w:r>
        <w:tab/>
      </w:r>
      <w:r w:rsidR="00BF3B94">
        <w:t>As radio waves propagate in different ways because of factors such as frequency, terrain, atmospheric conditions and topography, there are a number of ways to predict path loss. The ITU</w:t>
      </w:r>
      <w:r w:rsidR="00DB2878">
        <w:t>-R Recommendation P.</w:t>
      </w:r>
      <w:r w:rsidR="00D516A5">
        <w:t>1</w:t>
      </w:r>
      <w:r w:rsidR="00DB2878">
        <w:t>1</w:t>
      </w:r>
      <w:r w:rsidR="00A2307E">
        <w:t>4</w:t>
      </w:r>
      <w:r w:rsidR="00DB2878">
        <w:t xml:space="preserve">4 “Guide to the application of the propagation methods of Radiocommunication Study Group 3” provides a guide on the application of various propagation methods developed by the </w:t>
      </w:r>
      <w:r w:rsidR="001A7642" w:rsidRPr="00935096">
        <w:t>Radiocommunication Sector of the International Telecommunication Union</w:t>
      </w:r>
      <w:r w:rsidR="00DB2878">
        <w:t>.</w:t>
      </w:r>
      <w:r w:rsidR="006737CB">
        <w:t xml:space="preserve"> It advises on the most appropriate methods for particular applications, as well as the limits, required input information and output for each of these methods. </w:t>
      </w:r>
      <w:r w:rsidR="005B10BF">
        <w:t xml:space="preserve">The most recent version of propagation models developed by the </w:t>
      </w:r>
      <w:r w:rsidR="001A7642" w:rsidRPr="00935096">
        <w:t>Radiocommunication Sector of the International Telecommunication Union</w:t>
      </w:r>
      <w:r w:rsidR="005B10BF">
        <w:t xml:space="preserve"> should be considered when modelling propagation in the </w:t>
      </w:r>
      <w:r w:rsidR="008A3171">
        <w:t>2</w:t>
      </w:r>
      <w:r w:rsidR="009E4956">
        <w:t>.</w:t>
      </w:r>
      <w:r w:rsidR="00E06E3F">
        <w:t>3</w:t>
      </w:r>
      <w:r w:rsidR="005B10BF">
        <w:t> </w:t>
      </w:r>
      <w:r w:rsidR="008A3171">
        <w:t>G</w:t>
      </w:r>
      <w:r w:rsidR="005B10BF">
        <w:t>Hz band.</w:t>
      </w:r>
    </w:p>
    <w:p w14:paraId="28A6B001" w14:textId="3FF89F88" w:rsidR="005B10BF" w:rsidRDefault="005B10BF" w:rsidP="005B10BF">
      <w:pPr>
        <w:pStyle w:val="notetext"/>
      </w:pPr>
      <w:r>
        <w:t>Note 1:</w:t>
      </w:r>
      <w:r>
        <w:tab/>
        <w:t>ITU-R Recommendation P.1</w:t>
      </w:r>
      <w:r w:rsidR="00885F06">
        <w:t>1</w:t>
      </w:r>
      <w:r w:rsidR="00A2307E">
        <w:t>4</w:t>
      </w:r>
      <w:r>
        <w:t xml:space="preserve">4 is available, free of charge, from the International Telecommunication Union’s website at </w:t>
      </w:r>
      <w:hyperlink r:id="rId24" w:history="1">
        <w:r w:rsidRPr="00D057AC">
          <w:rPr>
            <w:rStyle w:val="Hyperlink"/>
          </w:rPr>
          <w:t>www.itu.int</w:t>
        </w:r>
      </w:hyperlink>
      <w:r>
        <w:t>.</w:t>
      </w:r>
    </w:p>
    <w:p w14:paraId="205DD233" w14:textId="2B5F783A" w:rsidR="000448D2" w:rsidRDefault="005B10BF" w:rsidP="005B10BF">
      <w:pPr>
        <w:pStyle w:val="notetext"/>
      </w:pPr>
      <w:r>
        <w:t>Note 2:</w:t>
      </w:r>
      <w:r>
        <w:tab/>
        <w:t xml:space="preserve">The use of other published propagation models applicable to the </w:t>
      </w:r>
      <w:r w:rsidR="008A3171">
        <w:t>2</w:t>
      </w:r>
      <w:r w:rsidR="009E4956">
        <w:t>.</w:t>
      </w:r>
      <w:r w:rsidR="00E06E3F">
        <w:t>3</w:t>
      </w:r>
      <w:r w:rsidR="008A3171">
        <w:t xml:space="preserve"> G</w:t>
      </w:r>
      <w:r>
        <w:t>Hz</w:t>
      </w:r>
      <w:r w:rsidR="00DD44D6">
        <w:t xml:space="preserve"> </w:t>
      </w:r>
      <w:r>
        <w:t xml:space="preserve">band may also be suitable. </w:t>
      </w:r>
    </w:p>
    <w:p w14:paraId="392F97E5" w14:textId="3B5AF5A8" w:rsidR="00035A3D" w:rsidRDefault="005B10BF" w:rsidP="00035A3D">
      <w:pPr>
        <w:pStyle w:val="subsection"/>
      </w:pPr>
      <w:r>
        <w:tab/>
        <w:t>(</w:t>
      </w:r>
      <w:r w:rsidR="00745EA2">
        <w:t>5</w:t>
      </w:r>
      <w:r>
        <w:t>)</w:t>
      </w:r>
      <w:r>
        <w:tab/>
        <w:t xml:space="preserve">The ACMA </w:t>
      </w:r>
      <w:r w:rsidR="00081CC3">
        <w:t>may</w:t>
      </w:r>
      <w:r>
        <w:t xml:space="preserve"> take this instrument into account</w:t>
      </w:r>
      <w:r w:rsidR="00380770">
        <w:t xml:space="preserve"> in determining whether </w:t>
      </w:r>
      <w:r w:rsidR="006D1EEF">
        <w:t xml:space="preserve">a radiocommunications transmitter operated under </w:t>
      </w:r>
      <w:r w:rsidR="00380770">
        <w:t xml:space="preserve">a </w:t>
      </w:r>
      <w:r w:rsidR="00C76FAA">
        <w:t>2</w:t>
      </w:r>
      <w:r w:rsidR="009E4956">
        <w:t>.</w:t>
      </w:r>
      <w:r w:rsidR="00C551D7">
        <w:t>3</w:t>
      </w:r>
      <w:r w:rsidR="00C76FAA">
        <w:t xml:space="preserve"> G</w:t>
      </w:r>
      <w:r w:rsidR="00380770">
        <w:t xml:space="preserve">Hz </w:t>
      </w:r>
      <w:r w:rsidR="006D1EEF">
        <w:t>spectrum licence</w:t>
      </w:r>
      <w:r w:rsidR="00380770">
        <w:t xml:space="preserve"> is causing interference to a</w:t>
      </w:r>
      <w:r w:rsidR="001329C4">
        <w:t>n apparatus</w:t>
      </w:r>
      <w:r w:rsidR="00380770">
        <w:t xml:space="preserve"> licensed </w:t>
      </w:r>
      <w:r w:rsidR="001329C4">
        <w:t xml:space="preserve">or class licensed </w:t>
      </w:r>
      <w:r w:rsidR="00380770">
        <w:t xml:space="preserve">radiocommunications receiver operating in circumstances set out in this instrument. </w:t>
      </w:r>
    </w:p>
    <w:p w14:paraId="2CB3CC6B" w14:textId="37A95718" w:rsidR="00292304" w:rsidRDefault="00292304" w:rsidP="00292304">
      <w:pPr>
        <w:pStyle w:val="subsection"/>
      </w:pPr>
      <w:r>
        <w:lastRenderedPageBreak/>
        <w:tab/>
        <w:t>(</w:t>
      </w:r>
      <w:r w:rsidR="00745EA2">
        <w:t>6</w:t>
      </w:r>
      <w:r>
        <w:t>)</w:t>
      </w:r>
      <w:r>
        <w:tab/>
        <w:t>This instrument does not prevent a person negotiating and implementing other protection requirements with other persons.</w:t>
      </w:r>
    </w:p>
    <w:p w14:paraId="6BCE0602" w14:textId="77777777" w:rsidR="000B121C" w:rsidRPr="004F1E24" w:rsidRDefault="000B121C" w:rsidP="000B121C">
      <w:pPr>
        <w:pStyle w:val="paragraph"/>
      </w:pPr>
    </w:p>
    <w:p w14:paraId="724918BF" w14:textId="77777777" w:rsidR="00CF05C2" w:rsidRDefault="00CF05C2" w:rsidP="00CF05C2">
      <w:pPr>
        <w:pStyle w:val="subsection"/>
        <w:sectPr w:rsidR="00CF05C2">
          <w:headerReference w:type="even" r:id="rId25"/>
          <w:headerReference w:type="default" r:id="rId26"/>
          <w:headerReference w:type="first" r:id="rId27"/>
          <w:pgSz w:w="11906" w:h="16838"/>
          <w:pgMar w:top="1440" w:right="1440" w:bottom="1440" w:left="1440" w:header="708" w:footer="708" w:gutter="0"/>
          <w:cols w:space="720"/>
        </w:sectPr>
      </w:pPr>
    </w:p>
    <w:p w14:paraId="3EB647AC" w14:textId="1D18EE26" w:rsidR="00CF05C2" w:rsidRPr="004F1E24" w:rsidRDefault="00CF05C2" w:rsidP="00CF05C2">
      <w:pPr>
        <w:rPr>
          <w:rFonts w:ascii="Times New Roman" w:hAnsi="Times New Roman" w:cs="Times New Roman"/>
          <w:b/>
          <w:bCs/>
          <w:sz w:val="32"/>
          <w:szCs w:val="32"/>
        </w:rPr>
      </w:pPr>
      <w:r w:rsidRPr="004F1E24">
        <w:rPr>
          <w:rFonts w:ascii="Times New Roman" w:hAnsi="Times New Roman" w:cs="Times New Roman"/>
          <w:b/>
          <w:bCs/>
          <w:sz w:val="32"/>
          <w:szCs w:val="32"/>
        </w:rPr>
        <w:lastRenderedPageBreak/>
        <w:t xml:space="preserve">Part </w:t>
      </w:r>
      <w:r>
        <w:rPr>
          <w:rFonts w:ascii="Times New Roman" w:hAnsi="Times New Roman" w:cs="Times New Roman"/>
          <w:b/>
          <w:bCs/>
          <w:sz w:val="32"/>
          <w:szCs w:val="32"/>
        </w:rPr>
        <w:t>3</w:t>
      </w:r>
      <w:r w:rsidRPr="004F1E24">
        <w:rPr>
          <w:rFonts w:ascii="Times New Roman" w:hAnsi="Times New Roman" w:cs="Times New Roman"/>
          <w:b/>
          <w:bCs/>
          <w:sz w:val="32"/>
          <w:szCs w:val="32"/>
        </w:rPr>
        <w:t>—</w:t>
      </w:r>
      <w:r w:rsidR="00E06E3F">
        <w:rPr>
          <w:rFonts w:ascii="Times New Roman" w:hAnsi="Times New Roman" w:cs="Times New Roman"/>
          <w:b/>
          <w:bCs/>
          <w:sz w:val="32"/>
          <w:szCs w:val="32"/>
        </w:rPr>
        <w:t>Point to point fixed service</w:t>
      </w:r>
      <w:r w:rsidR="009107DB">
        <w:rPr>
          <w:rFonts w:ascii="Times New Roman" w:hAnsi="Times New Roman" w:cs="Times New Roman"/>
          <w:b/>
          <w:bCs/>
          <w:sz w:val="32"/>
          <w:szCs w:val="32"/>
        </w:rPr>
        <w:t xml:space="preserve"> </w:t>
      </w:r>
      <w:proofErr w:type="gramStart"/>
      <w:r w:rsidR="009107DB">
        <w:rPr>
          <w:rFonts w:ascii="Times New Roman" w:hAnsi="Times New Roman" w:cs="Times New Roman"/>
          <w:b/>
          <w:bCs/>
          <w:sz w:val="32"/>
          <w:szCs w:val="32"/>
        </w:rPr>
        <w:t>receivers</w:t>
      </w:r>
      <w:proofErr w:type="gramEnd"/>
    </w:p>
    <w:p w14:paraId="71E86939" w14:textId="66842967" w:rsidR="00CF05C2" w:rsidRPr="004F1E24" w:rsidRDefault="00CF05C2" w:rsidP="00CF05C2">
      <w:pPr>
        <w:pStyle w:val="ActHead5"/>
      </w:pPr>
      <w:r>
        <w:rPr>
          <w:rStyle w:val="CharSectno"/>
        </w:rPr>
        <w:t>8</w:t>
      </w:r>
      <w:r w:rsidRPr="004F1E24">
        <w:t xml:space="preserve">  </w:t>
      </w:r>
      <w:r w:rsidR="005B3E7E">
        <w:t>Background</w:t>
      </w:r>
    </w:p>
    <w:p w14:paraId="46183631" w14:textId="6ED54372" w:rsidR="00371966" w:rsidRDefault="00371966" w:rsidP="00371966">
      <w:pPr>
        <w:pStyle w:val="subsection"/>
      </w:pPr>
      <w:r w:rsidRPr="004F1E24">
        <w:tab/>
        <w:t>(1)</w:t>
      </w:r>
      <w:r w:rsidRPr="004F1E24">
        <w:tab/>
      </w:r>
      <w:r>
        <w:t xml:space="preserve">Point to point fixed services </w:t>
      </w:r>
      <w:r w:rsidR="00F5519B">
        <w:t>operating on frequencies below the 2.3 GHz b</w:t>
      </w:r>
      <w:r>
        <w:t>and are generally licensed in accordance with the frequency assignment criteria set out in RALI</w:t>
      </w:r>
      <w:r w:rsidR="003839CD">
        <w:t> </w:t>
      </w:r>
      <w:r>
        <w:t>FX 3. RALI FX 3 provides details about channel plans for individual microwave bands, and guidance on interference criteria and frequency coordination between microwave links to achieve certain performance objectives. It provides assignment criteria for each frequency band and specifies protection ratios. The criteria are usually based on accepted ITU-R Recommendations.</w:t>
      </w:r>
    </w:p>
    <w:p w14:paraId="29E3C4ED" w14:textId="77777777" w:rsidR="00371966" w:rsidRDefault="00371966" w:rsidP="00371966">
      <w:pPr>
        <w:pStyle w:val="subsection"/>
      </w:pPr>
      <w:r>
        <w:tab/>
        <w:t>(2)</w:t>
      </w:r>
      <w:r>
        <w:tab/>
        <w:t>RALI FX 3 is subject to continuing review in consultation with industry, to incorporate improved assignment techniques and changing technology requirements. Particular account is taken of changes in ITU-R Recommendations, and standards made by other bodies. As revisions seek to improve spectrum access opportunities, without causing undue detriment to existing licences, users of RALI FX 3 should consult the current version when planning systems, to increase spectrum productivity.</w:t>
      </w:r>
    </w:p>
    <w:p w14:paraId="461B2015" w14:textId="56724ADF" w:rsidR="00371966" w:rsidRDefault="008438C0" w:rsidP="00371966">
      <w:pPr>
        <w:pStyle w:val="ActHead5"/>
      </w:pPr>
      <w:r>
        <w:t>9</w:t>
      </w:r>
      <w:r w:rsidR="00371966">
        <w:t xml:space="preserve">  Point to point receiver protection requirements</w:t>
      </w:r>
    </w:p>
    <w:p w14:paraId="19AAA311" w14:textId="5B0BB62F" w:rsidR="00371966" w:rsidRDefault="00371966" w:rsidP="00371966">
      <w:pPr>
        <w:pStyle w:val="subsection"/>
      </w:pPr>
      <w:r>
        <w:tab/>
      </w:r>
      <w:r>
        <w:tab/>
        <w:t xml:space="preserve">The protection requirements for </w:t>
      </w:r>
      <w:r w:rsidR="008829D0">
        <w:t>fixed services</w:t>
      </w:r>
      <w:r w:rsidR="0074285E">
        <w:t xml:space="preserve"> operating on frequencies below the 2.3</w:t>
      </w:r>
      <w:r w:rsidR="00E025A3">
        <w:t> </w:t>
      </w:r>
      <w:r w:rsidR="0074285E">
        <w:t>GHz band</w:t>
      </w:r>
      <w:r>
        <w:t xml:space="preserve"> are specified in RALI FX 3. In planning for the operation of radiocommunications transmitters under a spectrum licence, spectrum licensees are to provide a level of in-band and out-of-band protection from those transmitters as would be provided for apparatus licensed radiocommunications transmitters used for fixed services, the frequencies of which are assigned in accordance with RALI FX 3.</w:t>
      </w:r>
    </w:p>
    <w:p w14:paraId="0F74DDA2" w14:textId="77777777" w:rsidR="00CF05C2" w:rsidRDefault="00CF05C2" w:rsidP="003F5C10">
      <w:pPr>
        <w:pStyle w:val="subsection"/>
        <w:ind w:left="0" w:firstLine="0"/>
        <w:sectPr w:rsidR="00CF05C2">
          <w:pgSz w:w="11906" w:h="16838"/>
          <w:pgMar w:top="1440" w:right="1440" w:bottom="1440" w:left="1440" w:header="708" w:footer="708" w:gutter="0"/>
          <w:cols w:space="720"/>
        </w:sectPr>
      </w:pPr>
    </w:p>
    <w:p w14:paraId="47749396" w14:textId="2A44D0C9" w:rsidR="00014436" w:rsidRDefault="00014436" w:rsidP="00014436">
      <w:pPr>
        <w:rPr>
          <w:rFonts w:ascii="Times New Roman" w:hAnsi="Times New Roman" w:cs="Times New Roman"/>
          <w:b/>
          <w:bCs/>
          <w:sz w:val="32"/>
          <w:szCs w:val="32"/>
        </w:rPr>
      </w:pPr>
      <w:r w:rsidRPr="004F1E24">
        <w:rPr>
          <w:rFonts w:ascii="Times New Roman" w:hAnsi="Times New Roman" w:cs="Times New Roman"/>
          <w:b/>
          <w:bCs/>
          <w:sz w:val="32"/>
          <w:szCs w:val="32"/>
        </w:rPr>
        <w:lastRenderedPageBreak/>
        <w:t xml:space="preserve">Part </w:t>
      </w:r>
      <w:r>
        <w:rPr>
          <w:rFonts w:ascii="Times New Roman" w:hAnsi="Times New Roman" w:cs="Times New Roman"/>
          <w:b/>
          <w:bCs/>
          <w:sz w:val="32"/>
          <w:szCs w:val="32"/>
        </w:rPr>
        <w:t>4</w:t>
      </w:r>
      <w:r w:rsidRPr="004F1E24">
        <w:rPr>
          <w:rFonts w:ascii="Times New Roman" w:hAnsi="Times New Roman" w:cs="Times New Roman"/>
          <w:b/>
          <w:bCs/>
          <w:sz w:val="32"/>
          <w:szCs w:val="32"/>
        </w:rPr>
        <w:t>—</w:t>
      </w:r>
      <w:r>
        <w:rPr>
          <w:rFonts w:ascii="Times New Roman" w:hAnsi="Times New Roman" w:cs="Times New Roman"/>
          <w:b/>
          <w:bCs/>
          <w:sz w:val="32"/>
          <w:szCs w:val="32"/>
        </w:rPr>
        <w:t>Space services</w:t>
      </w:r>
    </w:p>
    <w:p w14:paraId="5E4EB88F" w14:textId="38B82EA6" w:rsidR="00014436" w:rsidRPr="004F1E24" w:rsidRDefault="00014436" w:rsidP="00014436">
      <w:pPr>
        <w:pStyle w:val="ActHead5"/>
      </w:pPr>
      <w:r>
        <w:rPr>
          <w:rStyle w:val="CharSectno"/>
        </w:rPr>
        <w:t>10</w:t>
      </w:r>
      <w:r w:rsidRPr="004F1E24">
        <w:t xml:space="preserve">  </w:t>
      </w:r>
      <w:r>
        <w:t>Background</w:t>
      </w:r>
    </w:p>
    <w:p w14:paraId="0D0B2257" w14:textId="69CB7C52" w:rsidR="00014436" w:rsidRDefault="00014436" w:rsidP="00014436">
      <w:pPr>
        <w:pStyle w:val="subsection"/>
      </w:pPr>
      <w:r>
        <w:tab/>
        <w:t>(1)</w:t>
      </w:r>
      <w:r>
        <w:tab/>
        <w:t>The spectrum plan allocates the 2200 MHz to 2290 MHz frequency band for the following services as primary services:</w:t>
      </w:r>
    </w:p>
    <w:p w14:paraId="7F3115A7" w14:textId="2AC6CCD5" w:rsidR="00014436" w:rsidRDefault="00014436" w:rsidP="00014436">
      <w:pPr>
        <w:pStyle w:val="paragraph"/>
        <w:tabs>
          <w:tab w:val="clear" w:pos="1531"/>
        </w:tabs>
        <w:ind w:hanging="510"/>
      </w:pPr>
      <w:r>
        <w:t>(a)</w:t>
      </w:r>
      <w:r>
        <w:tab/>
        <w:t>space research services (space-to-Earth, space-to-space);</w:t>
      </w:r>
    </w:p>
    <w:p w14:paraId="1918B4C3" w14:textId="1B730647" w:rsidR="00014436" w:rsidRDefault="00014436" w:rsidP="00014436">
      <w:pPr>
        <w:pStyle w:val="paragraph"/>
        <w:tabs>
          <w:tab w:val="clear" w:pos="1531"/>
        </w:tabs>
        <w:ind w:hanging="510"/>
      </w:pPr>
      <w:r>
        <w:t>(b)</w:t>
      </w:r>
      <w:r>
        <w:tab/>
        <w:t>space operation services (space-to-Earth, space-to-space);</w:t>
      </w:r>
    </w:p>
    <w:p w14:paraId="63DB5183" w14:textId="02899D1B" w:rsidR="00014436" w:rsidRDefault="00014436" w:rsidP="00014436">
      <w:pPr>
        <w:pStyle w:val="paragraph"/>
        <w:tabs>
          <w:tab w:val="clear" w:pos="1531"/>
        </w:tabs>
        <w:ind w:hanging="510"/>
      </w:pPr>
      <w:r>
        <w:t>(c)</w:t>
      </w:r>
      <w:r>
        <w:tab/>
      </w:r>
      <w:r w:rsidR="00E341BF">
        <w:t>earth exploration-satellite</w:t>
      </w:r>
      <w:r>
        <w:t xml:space="preserve"> services (</w:t>
      </w:r>
      <w:r w:rsidR="00E341BF">
        <w:t>space-to-Earth</w:t>
      </w:r>
      <w:r>
        <w:t>, space-to-space).</w:t>
      </w:r>
    </w:p>
    <w:p w14:paraId="6FD30307" w14:textId="665D492A" w:rsidR="00014436" w:rsidRDefault="00014436" w:rsidP="00014436">
      <w:pPr>
        <w:pStyle w:val="subsection"/>
      </w:pPr>
      <w:r>
        <w:tab/>
        <w:t>(2)</w:t>
      </w:r>
      <w:r>
        <w:tab/>
        <w:t>The spectrum plan allocates the 2</w:t>
      </w:r>
      <w:r w:rsidR="00E341BF">
        <w:t>290</w:t>
      </w:r>
      <w:r>
        <w:t xml:space="preserve"> MHz to 2</w:t>
      </w:r>
      <w:r w:rsidR="00E341BF">
        <w:t>300</w:t>
      </w:r>
      <w:r>
        <w:t xml:space="preserve"> MHz frequency band for the space research service (deep space, </w:t>
      </w:r>
      <w:r w:rsidR="00E341BF">
        <w:t>space-to-Earth</w:t>
      </w:r>
      <w:r>
        <w:t>) as a primary service.</w:t>
      </w:r>
    </w:p>
    <w:p w14:paraId="11D26958" w14:textId="0F6A975A" w:rsidR="00014436" w:rsidRDefault="00014436" w:rsidP="00014436">
      <w:pPr>
        <w:pStyle w:val="subsection"/>
      </w:pPr>
      <w:r>
        <w:tab/>
        <w:t>(</w:t>
      </w:r>
      <w:r w:rsidR="00A347AA">
        <w:t>3</w:t>
      </w:r>
      <w:r>
        <w:t>)</w:t>
      </w:r>
      <w:r>
        <w:tab/>
        <w:t xml:space="preserve">Earth stations </w:t>
      </w:r>
      <w:r w:rsidR="005F4680">
        <w:t xml:space="preserve">and earth receive stations </w:t>
      </w:r>
      <w:r>
        <w:t xml:space="preserve">in the 2200 MHz to 2290 MHz and 2290 MHz to 2300 MHz frequency bands operate in various locations throughout Australia, as recorded in the Register. </w:t>
      </w:r>
    </w:p>
    <w:p w14:paraId="501FFEC7" w14:textId="40B1D9A5" w:rsidR="00014436" w:rsidRDefault="00014436" w:rsidP="00014436">
      <w:pPr>
        <w:pStyle w:val="subsection"/>
      </w:pPr>
      <w:r>
        <w:tab/>
        <w:t>(</w:t>
      </w:r>
      <w:r w:rsidR="005F4680">
        <w:t>4</w:t>
      </w:r>
      <w:r>
        <w:t>)</w:t>
      </w:r>
      <w:r>
        <w:tab/>
        <w:t xml:space="preserve">The ACMA encourages direct liaison between spectrum licensees and </w:t>
      </w:r>
      <w:r w:rsidR="00E31127">
        <w:t xml:space="preserve">both </w:t>
      </w:r>
      <w:r>
        <w:t>space station operators</w:t>
      </w:r>
      <w:r w:rsidR="00E31127">
        <w:t xml:space="preserve"> and earth station operators</w:t>
      </w:r>
      <w:r>
        <w:t xml:space="preserve"> during the system planning phases of new services when they are nearby each other.</w:t>
      </w:r>
    </w:p>
    <w:p w14:paraId="767DFFC4" w14:textId="77777777" w:rsidR="00014436" w:rsidRPr="00B71085" w:rsidRDefault="00014436" w:rsidP="00014436">
      <w:pPr>
        <w:pStyle w:val="notetext"/>
        <w:rPr>
          <w:strike/>
        </w:rPr>
      </w:pPr>
      <w:r>
        <w:t>Note:</w:t>
      </w:r>
      <w:r>
        <w:tab/>
        <w:t xml:space="preserve">For more about primary services, see sections 6, 7 and 12 of the spectrum </w:t>
      </w:r>
      <w:proofErr w:type="gramStart"/>
      <w:r>
        <w:t>plan</w:t>
      </w:r>
      <w:proofErr w:type="gramEnd"/>
      <w:r>
        <w:t>.</w:t>
      </w:r>
    </w:p>
    <w:p w14:paraId="5AC9FC7C" w14:textId="6CA2B7F4" w:rsidR="00014436" w:rsidRPr="004F1E24" w:rsidRDefault="00014436" w:rsidP="00014436">
      <w:pPr>
        <w:pStyle w:val="ActHead5"/>
      </w:pPr>
      <w:r>
        <w:rPr>
          <w:rStyle w:val="CharSectno"/>
        </w:rPr>
        <w:t>1</w:t>
      </w:r>
      <w:r w:rsidR="005F4680">
        <w:rPr>
          <w:rStyle w:val="CharSectno"/>
        </w:rPr>
        <w:t>1</w:t>
      </w:r>
      <w:r w:rsidRPr="004F1E24">
        <w:t xml:space="preserve">  </w:t>
      </w:r>
      <w:r>
        <w:t>Protection requirements</w:t>
      </w:r>
    </w:p>
    <w:p w14:paraId="4C780D7D" w14:textId="71365E46" w:rsidR="001C7611" w:rsidRDefault="001C7611" w:rsidP="001C7611">
      <w:pPr>
        <w:pStyle w:val="subsection"/>
      </w:pPr>
      <w:r>
        <w:tab/>
        <w:t>(1)</w:t>
      </w:r>
      <w:r>
        <w:tab/>
        <w:t>The protection requirements for an earth receive station are set out in Annex 7 to Appendix 7 of the Radio Regulations.</w:t>
      </w:r>
    </w:p>
    <w:p w14:paraId="443B9256" w14:textId="37334030" w:rsidR="00627F61" w:rsidRDefault="00014436" w:rsidP="00014436">
      <w:pPr>
        <w:pStyle w:val="subsection"/>
      </w:pPr>
      <w:r>
        <w:tab/>
      </w:r>
      <w:r w:rsidR="00627F61">
        <w:t>(</w:t>
      </w:r>
      <w:r w:rsidR="00D91A76">
        <w:t>2</w:t>
      </w:r>
      <w:r w:rsidR="00627F61">
        <w:t>)</w:t>
      </w:r>
      <w:r w:rsidR="00627F61">
        <w:tab/>
      </w:r>
      <w:r w:rsidR="00702738">
        <w:t>Additional i</w:t>
      </w:r>
      <w:r w:rsidR="000730D2">
        <w:t xml:space="preserve">n-band </w:t>
      </w:r>
      <w:r w:rsidR="00627F61">
        <w:t xml:space="preserve">protection requirements for </w:t>
      </w:r>
      <w:r w:rsidR="000730D2">
        <w:t xml:space="preserve">earth </w:t>
      </w:r>
      <w:r w:rsidR="00B07011">
        <w:t xml:space="preserve">receive </w:t>
      </w:r>
      <w:r w:rsidR="000730D2">
        <w:t>stations in the 2.3 GHz band are those set out in ITU-R Recommendation SF.100</w:t>
      </w:r>
      <w:r w:rsidR="006244BD">
        <w:t>6 “Determination of the interference potential between earth stations of the fixed-satellite service and stations in the fixed service</w:t>
      </w:r>
      <w:r w:rsidR="006C5ADD">
        <w:t>”</w:t>
      </w:r>
      <w:r w:rsidR="006244BD">
        <w:t>.</w:t>
      </w:r>
    </w:p>
    <w:p w14:paraId="3685F46D" w14:textId="23115833" w:rsidR="006244BD" w:rsidRDefault="006244BD" w:rsidP="006244BD">
      <w:pPr>
        <w:pStyle w:val="notetext"/>
      </w:pPr>
      <w:r>
        <w:t>Note 1:</w:t>
      </w:r>
      <w:r>
        <w:tab/>
        <w:t>Some 2.3 GHz spectrum licences may have a licence condition requiring compliance with ITU-R Recommendation SF.1006.</w:t>
      </w:r>
    </w:p>
    <w:p w14:paraId="32BEA76B" w14:textId="0937C5FF" w:rsidR="006244BD" w:rsidRDefault="006244BD" w:rsidP="006244BD">
      <w:pPr>
        <w:pStyle w:val="notetext"/>
      </w:pPr>
      <w:r>
        <w:t>Note 2:</w:t>
      </w:r>
      <w:r>
        <w:tab/>
        <w:t>ITU-R Recommendation S</w:t>
      </w:r>
      <w:r w:rsidR="004561D4">
        <w:t>F</w:t>
      </w:r>
      <w:r>
        <w:t xml:space="preserve">.1006 is available, free of charge, from the International Telecommunication Union’s website at </w:t>
      </w:r>
      <w:hyperlink r:id="rId28" w:history="1">
        <w:r w:rsidRPr="002C226C">
          <w:rPr>
            <w:rStyle w:val="Hyperlink"/>
          </w:rPr>
          <w:t>www.itu.int</w:t>
        </w:r>
      </w:hyperlink>
      <w:r>
        <w:t>.</w:t>
      </w:r>
    </w:p>
    <w:p w14:paraId="235BD4DA" w14:textId="57CCC580" w:rsidR="007F52A2" w:rsidRDefault="007F52A2" w:rsidP="00014436">
      <w:pPr>
        <w:pStyle w:val="subsection"/>
      </w:pPr>
      <w:r>
        <w:tab/>
        <w:t>(3)</w:t>
      </w:r>
      <w:r>
        <w:tab/>
        <w:t xml:space="preserve">In addition, </w:t>
      </w:r>
      <w:r w:rsidR="00632D4D">
        <w:t xml:space="preserve">protection requirements for </w:t>
      </w:r>
      <w:r w:rsidR="0029330B">
        <w:t xml:space="preserve">radiocommunications receivers used for the purpose of the space research service in the 2290 MHz to 2300 MHz frequency band </w:t>
      </w:r>
      <w:r w:rsidR="00D6412F">
        <w:t>are set out in RALI MS 37.</w:t>
      </w:r>
    </w:p>
    <w:p w14:paraId="4E7E857D" w14:textId="2A895493" w:rsidR="0029330B" w:rsidRDefault="0029330B" w:rsidP="0029330B">
      <w:pPr>
        <w:pStyle w:val="notetext"/>
      </w:pPr>
      <w:r>
        <w:t>Note 1:</w:t>
      </w:r>
      <w:r>
        <w:tab/>
        <w:t>Some 2.3 GHz spectrum licences may have a licence condition requiring compliance with RALI MS 37</w:t>
      </w:r>
      <w:r w:rsidR="00852A90">
        <w:t xml:space="preserve"> in certain circumstances</w:t>
      </w:r>
      <w:r>
        <w:t>.</w:t>
      </w:r>
    </w:p>
    <w:p w14:paraId="6B63EC21" w14:textId="1215DF9D" w:rsidR="0029330B" w:rsidRDefault="0029330B" w:rsidP="0029330B">
      <w:pPr>
        <w:pStyle w:val="notetext"/>
      </w:pPr>
      <w:r>
        <w:t>Note 2:</w:t>
      </w:r>
      <w:r>
        <w:tab/>
        <w:t>The protection requirements in RALI MS 37 apply in relation to blocking of receivers that is not specifically considered by Ann</w:t>
      </w:r>
      <w:r w:rsidR="00B07011">
        <w:t>ex 7 to Appendix 7 of the Radio Regulations.</w:t>
      </w:r>
    </w:p>
    <w:p w14:paraId="37882D73" w14:textId="5B4BB033" w:rsidR="00D6412F" w:rsidRDefault="00D6412F" w:rsidP="00014436">
      <w:pPr>
        <w:pStyle w:val="subsection"/>
      </w:pPr>
      <w:r>
        <w:tab/>
        <w:t>(4)</w:t>
      </w:r>
      <w:r>
        <w:tab/>
      </w:r>
      <w:r w:rsidR="00AB7F2B">
        <w:t>In planning for the operation of radiocommunications transmitters under a 2.3 GHz spectrum licence, licensees should consider RALI MS 37.</w:t>
      </w:r>
    </w:p>
    <w:p w14:paraId="11E80BAC" w14:textId="4CCFE8C9" w:rsidR="00014436" w:rsidRDefault="00AB7F2B" w:rsidP="00014436">
      <w:pPr>
        <w:pStyle w:val="subsection"/>
      </w:pPr>
      <w:r>
        <w:tab/>
        <w:t>(5)</w:t>
      </w:r>
      <w:r>
        <w:tab/>
        <w:t xml:space="preserve">Additional information </w:t>
      </w:r>
      <w:r w:rsidR="00042B1D">
        <w:t xml:space="preserve">on the protection and coordination requirements for radiocommunications receivers used for the purpose of the space </w:t>
      </w:r>
      <w:r w:rsidR="006D3779">
        <w:t xml:space="preserve">research </w:t>
      </w:r>
      <w:r w:rsidR="00042B1D">
        <w:t xml:space="preserve">service </w:t>
      </w:r>
      <w:r w:rsidR="006D3779">
        <w:t>are set out in the following:</w:t>
      </w:r>
    </w:p>
    <w:p w14:paraId="0E148B2C" w14:textId="58FE6985" w:rsidR="00014436" w:rsidRDefault="00014436" w:rsidP="00014436">
      <w:pPr>
        <w:pStyle w:val="paragraph"/>
        <w:tabs>
          <w:tab w:val="clear" w:pos="1531"/>
        </w:tabs>
        <w:ind w:hanging="510"/>
      </w:pPr>
      <w:r>
        <w:t>(</w:t>
      </w:r>
      <w:r w:rsidR="006D3779">
        <w:t>a</w:t>
      </w:r>
      <w:r>
        <w:t>)</w:t>
      </w:r>
      <w:r>
        <w:tab/>
        <w:t>ITU-R Recommendation SA.363 “Space operation systems”;</w:t>
      </w:r>
    </w:p>
    <w:p w14:paraId="5DED5E24" w14:textId="32DF661C" w:rsidR="00A32A40" w:rsidRDefault="00A32A40" w:rsidP="00014436">
      <w:pPr>
        <w:pStyle w:val="paragraph"/>
        <w:tabs>
          <w:tab w:val="clear" w:pos="1531"/>
        </w:tabs>
        <w:ind w:hanging="510"/>
      </w:pPr>
      <w:r>
        <w:t>(b)</w:t>
      </w:r>
      <w:r>
        <w:tab/>
        <w:t>ITU-R SA.509 “Space research earth station and radio astronomy reference antenna radiation pattern for use in interference calculations, including coordination procedures”;</w:t>
      </w:r>
    </w:p>
    <w:p w14:paraId="6E2A74B0" w14:textId="74B2505E" w:rsidR="006D3779" w:rsidRDefault="006D3779" w:rsidP="00014436">
      <w:pPr>
        <w:pStyle w:val="paragraph"/>
        <w:tabs>
          <w:tab w:val="clear" w:pos="1531"/>
        </w:tabs>
        <w:ind w:hanging="510"/>
      </w:pPr>
      <w:r>
        <w:lastRenderedPageBreak/>
        <w:t>(</w:t>
      </w:r>
      <w:r w:rsidR="0099054B">
        <w:t>c</w:t>
      </w:r>
      <w:r>
        <w:t>)</w:t>
      </w:r>
      <w:r>
        <w:tab/>
        <w:t>IT</w:t>
      </w:r>
      <w:r w:rsidR="005148DF">
        <w:t>U-R Recommendation SA.609 “Protection Criteria for radiocommunications links for manned and unmanned near-Earth research satellites”;</w:t>
      </w:r>
    </w:p>
    <w:p w14:paraId="77C1ED02" w14:textId="31EEBCEA" w:rsidR="003759AC" w:rsidRDefault="003759AC" w:rsidP="00014436">
      <w:pPr>
        <w:pStyle w:val="paragraph"/>
        <w:tabs>
          <w:tab w:val="clear" w:pos="1531"/>
        </w:tabs>
        <w:ind w:hanging="510"/>
      </w:pPr>
      <w:r>
        <w:t>(</w:t>
      </w:r>
      <w:r w:rsidR="0099054B">
        <w:t>d</w:t>
      </w:r>
      <w:r>
        <w:t>)</w:t>
      </w:r>
      <w:r>
        <w:tab/>
        <w:t>ITU-R Recommendation SA.1014 “Telecommunications requirements for manned and unmanned deep-space research”;</w:t>
      </w:r>
    </w:p>
    <w:p w14:paraId="11437766" w14:textId="20EE6B4A" w:rsidR="003759AC" w:rsidRDefault="003E1A44" w:rsidP="00014436">
      <w:pPr>
        <w:pStyle w:val="paragraph"/>
        <w:tabs>
          <w:tab w:val="clear" w:pos="1531"/>
        </w:tabs>
        <w:ind w:hanging="510"/>
      </w:pPr>
      <w:r>
        <w:t>(</w:t>
      </w:r>
      <w:r w:rsidR="0099054B">
        <w:t>e</w:t>
      </w:r>
      <w:r>
        <w:t>)</w:t>
      </w:r>
      <w:r>
        <w:tab/>
        <w:t>ITU-R Recommendation SA.1016 “Sharing considerations relating to Deep-Space research”;</w:t>
      </w:r>
    </w:p>
    <w:p w14:paraId="452BC79D" w14:textId="228846B8" w:rsidR="00014436" w:rsidRDefault="00014436" w:rsidP="00014436">
      <w:pPr>
        <w:pStyle w:val="paragraph"/>
        <w:tabs>
          <w:tab w:val="clear" w:pos="1531"/>
        </w:tabs>
        <w:ind w:hanging="510"/>
      </w:pPr>
      <w:r>
        <w:t>(</w:t>
      </w:r>
      <w:r w:rsidR="0099054B">
        <w:t>f</w:t>
      </w:r>
      <w:r>
        <w:t>)</w:t>
      </w:r>
      <w:r>
        <w:tab/>
        <w:t>ITU-R Recommendation SA.1154 “Provisions to protect the space research (SR), space operations (SO) and Earth exploration satellite services (EES) and to facilitate sharing with the mobile service in the 2 025-2 110 MHz and 2 200-2 290 MHz bands”;</w:t>
      </w:r>
    </w:p>
    <w:p w14:paraId="3B95A774" w14:textId="773E2E5D" w:rsidR="00014436" w:rsidRDefault="00014436" w:rsidP="00014436">
      <w:pPr>
        <w:pStyle w:val="paragraph"/>
        <w:tabs>
          <w:tab w:val="clear" w:pos="1531"/>
        </w:tabs>
        <w:ind w:hanging="510"/>
      </w:pPr>
      <w:r>
        <w:t>(</w:t>
      </w:r>
      <w:r w:rsidR="0099054B">
        <w:t>g</w:t>
      </w:r>
      <w:r>
        <w:t>)</w:t>
      </w:r>
      <w:r>
        <w:tab/>
        <w:t>ITU-R Recommendation SA.1157 “Protection criteria for deep-space research”</w:t>
      </w:r>
      <w:r w:rsidR="003E1A44">
        <w:t>;</w:t>
      </w:r>
    </w:p>
    <w:p w14:paraId="7349B06E" w14:textId="373F3A9D" w:rsidR="003E1A44" w:rsidRDefault="003E1A44" w:rsidP="00014436">
      <w:pPr>
        <w:pStyle w:val="paragraph"/>
        <w:tabs>
          <w:tab w:val="clear" w:pos="1531"/>
        </w:tabs>
        <w:ind w:hanging="510"/>
      </w:pPr>
      <w:r>
        <w:t>(</w:t>
      </w:r>
      <w:r w:rsidR="0099054B">
        <w:t>h</w:t>
      </w:r>
      <w:r>
        <w:t>)</w:t>
      </w:r>
      <w:r>
        <w:tab/>
        <w:t xml:space="preserve">ITU-R Recommendation SA.1743 “Maximum allowable degradation </w:t>
      </w:r>
      <w:r w:rsidR="00096689">
        <w:t>to radiocommunication links of the space research and space operation services arising from interference from emissions and radiations from other radio sources”.</w:t>
      </w:r>
    </w:p>
    <w:p w14:paraId="7745E9AD" w14:textId="77777777" w:rsidR="00014436" w:rsidRDefault="00014436" w:rsidP="00014436">
      <w:pPr>
        <w:pStyle w:val="notetext"/>
      </w:pPr>
      <w:r>
        <w:t>Note:</w:t>
      </w:r>
      <w:r>
        <w:tab/>
        <w:t xml:space="preserve">The ITU-R Recommendations are available, free of charge, from the International Telecommunication Union’s website at </w:t>
      </w:r>
      <w:hyperlink r:id="rId29" w:history="1">
        <w:r w:rsidRPr="002C226C">
          <w:rPr>
            <w:rStyle w:val="Hyperlink"/>
          </w:rPr>
          <w:t>www.itu.int</w:t>
        </w:r>
      </w:hyperlink>
      <w:r>
        <w:t>.</w:t>
      </w:r>
    </w:p>
    <w:p w14:paraId="50227833" w14:textId="77777777" w:rsidR="00014436" w:rsidRDefault="00014436" w:rsidP="00014436">
      <w:pPr>
        <w:pStyle w:val="subsection"/>
        <w:spacing w:before="60"/>
      </w:pPr>
    </w:p>
    <w:p w14:paraId="4B096ACC" w14:textId="77777777" w:rsidR="00096689" w:rsidRDefault="00096689" w:rsidP="00CF05C2">
      <w:pPr>
        <w:rPr>
          <w:rFonts w:ascii="Times New Roman" w:hAnsi="Times New Roman" w:cs="Times New Roman"/>
          <w:b/>
          <w:bCs/>
          <w:sz w:val="32"/>
          <w:szCs w:val="32"/>
        </w:rPr>
        <w:sectPr w:rsidR="00096689">
          <w:pgSz w:w="11906" w:h="16838"/>
          <w:pgMar w:top="1440" w:right="1440" w:bottom="1440" w:left="1440" w:header="708" w:footer="708" w:gutter="0"/>
          <w:cols w:space="720"/>
        </w:sectPr>
      </w:pPr>
    </w:p>
    <w:p w14:paraId="44A25BC1" w14:textId="2D5CF27D" w:rsidR="00CF05C2" w:rsidRDefault="00CF05C2" w:rsidP="00CF05C2">
      <w:pPr>
        <w:rPr>
          <w:rFonts w:ascii="Times New Roman" w:hAnsi="Times New Roman" w:cs="Times New Roman"/>
          <w:b/>
          <w:bCs/>
          <w:sz w:val="32"/>
          <w:szCs w:val="32"/>
        </w:rPr>
      </w:pPr>
      <w:r w:rsidRPr="004F1E24">
        <w:rPr>
          <w:rFonts w:ascii="Times New Roman" w:hAnsi="Times New Roman" w:cs="Times New Roman"/>
          <w:b/>
          <w:bCs/>
          <w:sz w:val="32"/>
          <w:szCs w:val="32"/>
        </w:rPr>
        <w:lastRenderedPageBreak/>
        <w:t xml:space="preserve">Part </w:t>
      </w:r>
      <w:r w:rsidR="00A12011">
        <w:rPr>
          <w:rFonts w:ascii="Times New Roman" w:hAnsi="Times New Roman" w:cs="Times New Roman"/>
          <w:b/>
          <w:bCs/>
          <w:sz w:val="32"/>
          <w:szCs w:val="32"/>
        </w:rPr>
        <w:t>5</w:t>
      </w:r>
      <w:r w:rsidRPr="004F1E24">
        <w:rPr>
          <w:rFonts w:ascii="Times New Roman" w:hAnsi="Times New Roman" w:cs="Times New Roman"/>
          <w:b/>
          <w:bCs/>
          <w:sz w:val="32"/>
          <w:szCs w:val="32"/>
        </w:rPr>
        <w:t>—</w:t>
      </w:r>
      <w:r w:rsidR="00952829">
        <w:rPr>
          <w:rFonts w:ascii="Times New Roman" w:hAnsi="Times New Roman" w:cs="Times New Roman"/>
          <w:b/>
          <w:bCs/>
          <w:sz w:val="32"/>
          <w:szCs w:val="32"/>
        </w:rPr>
        <w:t>Mobile</w:t>
      </w:r>
      <w:r w:rsidR="00DC3B73">
        <w:rPr>
          <w:rFonts w:ascii="Times New Roman" w:hAnsi="Times New Roman" w:cs="Times New Roman"/>
          <w:b/>
          <w:bCs/>
          <w:sz w:val="32"/>
          <w:szCs w:val="32"/>
        </w:rPr>
        <w:t xml:space="preserve"> service</w:t>
      </w:r>
      <w:r w:rsidR="003E3D4A">
        <w:rPr>
          <w:rFonts w:ascii="Times New Roman" w:hAnsi="Times New Roman" w:cs="Times New Roman"/>
          <w:b/>
          <w:bCs/>
          <w:sz w:val="32"/>
          <w:szCs w:val="32"/>
        </w:rPr>
        <w:t>s</w:t>
      </w:r>
    </w:p>
    <w:p w14:paraId="23A6C3DF" w14:textId="09CF06FC" w:rsidR="00CF05C2" w:rsidRPr="004F1E24" w:rsidRDefault="00577108" w:rsidP="00CF05C2">
      <w:pPr>
        <w:pStyle w:val="ActHead5"/>
      </w:pPr>
      <w:r>
        <w:rPr>
          <w:rStyle w:val="CharSectno"/>
        </w:rPr>
        <w:t>1</w:t>
      </w:r>
      <w:r w:rsidR="00E27990">
        <w:rPr>
          <w:rStyle w:val="CharSectno"/>
        </w:rPr>
        <w:t>2</w:t>
      </w:r>
      <w:r w:rsidR="00CF05C2" w:rsidRPr="004F1E24">
        <w:t xml:space="preserve">  </w:t>
      </w:r>
      <w:r w:rsidR="001946EE">
        <w:t>Background</w:t>
      </w:r>
    </w:p>
    <w:p w14:paraId="3D874473" w14:textId="1C7CFB95" w:rsidR="001F31CA" w:rsidRDefault="005B26B9" w:rsidP="007B60C7">
      <w:pPr>
        <w:pStyle w:val="subsection"/>
      </w:pPr>
      <w:r>
        <w:tab/>
        <w:t>(1)</w:t>
      </w:r>
      <w:r>
        <w:tab/>
      </w:r>
      <w:r w:rsidR="00A07147">
        <w:t>The spectrum plan allocates the 2200</w:t>
      </w:r>
      <w:r w:rsidR="00A12011">
        <w:t xml:space="preserve"> MHz to 2300 MHz </w:t>
      </w:r>
      <w:r w:rsidR="00663274">
        <w:t xml:space="preserve">frequency </w:t>
      </w:r>
      <w:r w:rsidR="00A12011">
        <w:t xml:space="preserve">band </w:t>
      </w:r>
      <w:r w:rsidR="00663274">
        <w:t>for mobile services as a primary service. This band is adjacent to the 2.3 GHz band.</w:t>
      </w:r>
    </w:p>
    <w:p w14:paraId="74DDC4C0" w14:textId="1C281DD1" w:rsidR="007E23F9" w:rsidRPr="000C4758" w:rsidRDefault="007E23F9" w:rsidP="007B60C7">
      <w:pPr>
        <w:pStyle w:val="subsection"/>
      </w:pPr>
      <w:r>
        <w:tab/>
        <w:t>(2)</w:t>
      </w:r>
      <w:r>
        <w:tab/>
      </w:r>
      <w:r w:rsidR="00663274">
        <w:t xml:space="preserve">The 2200 MHz to 2900 MHz frequency band is primarily used for </w:t>
      </w:r>
      <w:r w:rsidR="000C4758">
        <w:t xml:space="preserve">AMT services at locations specified in the ACMA’s Spectrum Planning Paper 10/01 </w:t>
      </w:r>
      <w:r w:rsidR="000C4758">
        <w:rPr>
          <w:i/>
          <w:iCs/>
        </w:rPr>
        <w:t>Coordination Information for Defence Aeronautical Mobile Telemetry Systems Operating in the 2200 to 2300 MHz Frequency Range</w:t>
      </w:r>
      <w:r w:rsidR="000C4758">
        <w:t>.</w:t>
      </w:r>
    </w:p>
    <w:p w14:paraId="052F2FA8" w14:textId="06DCE0A6" w:rsidR="00E20469" w:rsidRPr="0019555A" w:rsidRDefault="00E20469" w:rsidP="00E20469">
      <w:pPr>
        <w:pStyle w:val="notetext"/>
        <w:rPr>
          <w:bCs/>
          <w:iCs/>
        </w:rPr>
      </w:pPr>
      <w:r w:rsidRPr="0019555A">
        <w:rPr>
          <w:bCs/>
          <w:iCs/>
        </w:rPr>
        <w:t>Note:</w:t>
      </w:r>
      <w:r w:rsidRPr="0019555A">
        <w:rPr>
          <w:bCs/>
          <w:iCs/>
        </w:rPr>
        <w:tab/>
      </w:r>
      <w:r>
        <w:rPr>
          <w:bCs/>
          <w:iCs/>
        </w:rPr>
        <w:t>Spectrum Planning Paper 10/01</w:t>
      </w:r>
      <w:r w:rsidRPr="0019555A">
        <w:rPr>
          <w:bCs/>
          <w:iCs/>
        </w:rPr>
        <w:t xml:space="preserve"> is available, free of charge, from the ACMA’s website at </w:t>
      </w:r>
      <w:hyperlink r:id="rId30" w:history="1">
        <w:r w:rsidRPr="0019555A">
          <w:rPr>
            <w:rStyle w:val="Hyperlink"/>
            <w:bCs/>
            <w:iCs/>
          </w:rPr>
          <w:t>www.acma.gov.au</w:t>
        </w:r>
      </w:hyperlink>
      <w:r w:rsidRPr="0019555A">
        <w:rPr>
          <w:bCs/>
          <w:iCs/>
        </w:rPr>
        <w:t xml:space="preserve">. </w:t>
      </w:r>
    </w:p>
    <w:p w14:paraId="3ED3767D" w14:textId="138C4F4F" w:rsidR="005F757A" w:rsidRDefault="008131FC" w:rsidP="008131FC">
      <w:pPr>
        <w:pStyle w:val="subsection"/>
      </w:pPr>
      <w:r>
        <w:tab/>
        <w:t>(</w:t>
      </w:r>
      <w:r w:rsidR="004E590E">
        <w:t>3</w:t>
      </w:r>
      <w:r>
        <w:t>)</w:t>
      </w:r>
      <w:r>
        <w:tab/>
      </w:r>
      <w:r w:rsidR="005F757A">
        <w:t xml:space="preserve">Apparatus licensed </w:t>
      </w:r>
      <w:r w:rsidR="004E590E">
        <w:t>fixed receive stations used for AMT services</w:t>
      </w:r>
      <w:r w:rsidR="00AD5C16">
        <w:t xml:space="preserve"> are afforded protection from 2.3 GHz </w:t>
      </w:r>
      <w:r w:rsidR="00E20469">
        <w:t>spectrum licensed radiocommunications transmitters</w:t>
      </w:r>
      <w:r w:rsidR="00C57728">
        <w:t>.</w:t>
      </w:r>
    </w:p>
    <w:p w14:paraId="034A7FD2" w14:textId="71EF10E4" w:rsidR="00411184" w:rsidRPr="004F1E24" w:rsidRDefault="00411184" w:rsidP="00411184">
      <w:pPr>
        <w:pStyle w:val="ActHead5"/>
      </w:pPr>
      <w:r>
        <w:rPr>
          <w:rStyle w:val="CharSectno"/>
        </w:rPr>
        <w:t>1</w:t>
      </w:r>
      <w:r w:rsidR="00E27990">
        <w:rPr>
          <w:rStyle w:val="CharSectno"/>
        </w:rPr>
        <w:t>3</w:t>
      </w:r>
      <w:r w:rsidRPr="004F1E24">
        <w:t xml:space="preserve">  </w:t>
      </w:r>
      <w:r>
        <w:t>Protection requirements</w:t>
      </w:r>
    </w:p>
    <w:p w14:paraId="070A3667" w14:textId="5A0919FE" w:rsidR="00B75910" w:rsidRDefault="00130526" w:rsidP="001A4582">
      <w:pPr>
        <w:pStyle w:val="subsection"/>
      </w:pPr>
      <w:r>
        <w:tab/>
      </w:r>
      <w:r>
        <w:tab/>
      </w:r>
      <w:r w:rsidR="006C3F45">
        <w:t>If a</w:t>
      </w:r>
      <w:r w:rsidR="003747A0">
        <w:t xml:space="preserve"> radiocommunications transmitter </w:t>
      </w:r>
      <w:r w:rsidR="006C3F45">
        <w:t xml:space="preserve">is </w:t>
      </w:r>
      <w:r w:rsidR="003747A0">
        <w:t>operat</w:t>
      </w:r>
      <w:r w:rsidR="006C3F45">
        <w:t>ed</w:t>
      </w:r>
      <w:r w:rsidR="003747A0">
        <w:t xml:space="preserve"> under a 2.3 GHz spectrum licence</w:t>
      </w:r>
      <w:r w:rsidR="006C3F45">
        <w:t xml:space="preserve"> in accordance with the conditions of the licence</w:t>
      </w:r>
      <w:r w:rsidR="00B75910">
        <w:t>:</w:t>
      </w:r>
    </w:p>
    <w:p w14:paraId="00C59C22" w14:textId="410B5EF7" w:rsidR="00E36564" w:rsidRDefault="00B75910" w:rsidP="00B75910">
      <w:pPr>
        <w:pStyle w:val="paragraph"/>
        <w:tabs>
          <w:tab w:val="clear" w:pos="1531"/>
        </w:tabs>
        <w:ind w:hanging="510"/>
      </w:pPr>
      <w:r>
        <w:t>(a)</w:t>
      </w:r>
      <w:r>
        <w:tab/>
        <w:t>the transmitter</w:t>
      </w:r>
      <w:r w:rsidR="006C3F45">
        <w:t xml:space="preserve"> is not taken to cause unacceptable interference to a</w:t>
      </w:r>
      <w:r w:rsidR="00114088">
        <w:t>n apparatus licensed fixed receive station used for AMT services in the 2200 MHz to 2900</w:t>
      </w:r>
      <w:r w:rsidR="00C73412">
        <w:t> </w:t>
      </w:r>
      <w:r w:rsidR="00114088">
        <w:t>MHz frequency band</w:t>
      </w:r>
      <w:r>
        <w:t>; and</w:t>
      </w:r>
    </w:p>
    <w:p w14:paraId="50B5822B" w14:textId="75830CA2" w:rsidR="00B75910" w:rsidRDefault="00B75910" w:rsidP="00B75910">
      <w:pPr>
        <w:pStyle w:val="paragraph"/>
        <w:tabs>
          <w:tab w:val="clear" w:pos="1531"/>
        </w:tabs>
        <w:ind w:hanging="510"/>
      </w:pPr>
      <w:r>
        <w:t>(b)</w:t>
      </w:r>
      <w:r>
        <w:tab/>
        <w:t xml:space="preserve">the 2.3 GHz spectrum licensee </w:t>
      </w:r>
      <w:r w:rsidR="00761EDF">
        <w:t>does not need to afford additional protection to such a fixed receive station.</w:t>
      </w:r>
    </w:p>
    <w:p w14:paraId="6B83DF48" w14:textId="3B4D14D6" w:rsidR="00114088" w:rsidRDefault="00761EDF" w:rsidP="00761EDF">
      <w:pPr>
        <w:pStyle w:val="notetext"/>
      </w:pPr>
      <w:r w:rsidRPr="0019555A">
        <w:rPr>
          <w:bCs/>
          <w:iCs/>
        </w:rPr>
        <w:t>Note:</w:t>
      </w:r>
      <w:r w:rsidRPr="0019555A">
        <w:rPr>
          <w:bCs/>
          <w:iCs/>
        </w:rPr>
        <w:tab/>
      </w:r>
      <w:r>
        <w:rPr>
          <w:bCs/>
          <w:iCs/>
        </w:rPr>
        <w:t>At the time this instrument was made, there were no mobile services operating in the 2290 MHz to 2300 MHz frequency band.</w:t>
      </w:r>
    </w:p>
    <w:p w14:paraId="2FCBD88F" w14:textId="20014F38" w:rsidR="00685940" w:rsidRDefault="00685940" w:rsidP="00685940">
      <w:pPr>
        <w:pStyle w:val="notetext"/>
      </w:pPr>
    </w:p>
    <w:p w14:paraId="463969F2" w14:textId="76EE51FA" w:rsidR="00C959D0" w:rsidRDefault="00C959D0" w:rsidP="00685940">
      <w:pPr>
        <w:pStyle w:val="notetext"/>
        <w:sectPr w:rsidR="00C959D0">
          <w:pgSz w:w="11906" w:h="16838"/>
          <w:pgMar w:top="1440" w:right="1440" w:bottom="1440" w:left="1440" w:header="708" w:footer="708" w:gutter="0"/>
          <w:cols w:space="720"/>
        </w:sectPr>
      </w:pPr>
    </w:p>
    <w:p w14:paraId="3F986A9C" w14:textId="77777777" w:rsidR="00AB378C" w:rsidRDefault="00AB378C" w:rsidP="00AB378C">
      <w:pPr>
        <w:rPr>
          <w:rFonts w:ascii="Times New Roman" w:hAnsi="Times New Roman" w:cs="Times New Roman"/>
          <w:b/>
          <w:bCs/>
          <w:sz w:val="32"/>
          <w:szCs w:val="32"/>
        </w:rPr>
      </w:pPr>
      <w:r w:rsidRPr="004F1E24">
        <w:rPr>
          <w:rFonts w:ascii="Times New Roman" w:hAnsi="Times New Roman" w:cs="Times New Roman"/>
          <w:b/>
          <w:bCs/>
          <w:sz w:val="32"/>
          <w:szCs w:val="32"/>
        </w:rPr>
        <w:lastRenderedPageBreak/>
        <w:t xml:space="preserve">Part </w:t>
      </w:r>
      <w:r>
        <w:rPr>
          <w:rFonts w:ascii="Times New Roman" w:hAnsi="Times New Roman" w:cs="Times New Roman"/>
          <w:b/>
          <w:bCs/>
          <w:sz w:val="32"/>
          <w:szCs w:val="32"/>
        </w:rPr>
        <w:t>6</w:t>
      </w:r>
      <w:r w:rsidRPr="004F1E24">
        <w:rPr>
          <w:rFonts w:ascii="Times New Roman" w:hAnsi="Times New Roman" w:cs="Times New Roman"/>
          <w:b/>
          <w:bCs/>
          <w:sz w:val="32"/>
          <w:szCs w:val="32"/>
        </w:rPr>
        <w:t>—</w:t>
      </w:r>
      <w:r>
        <w:rPr>
          <w:rFonts w:ascii="Times New Roman" w:hAnsi="Times New Roman" w:cs="Times New Roman"/>
          <w:b/>
          <w:bCs/>
          <w:sz w:val="32"/>
          <w:szCs w:val="32"/>
        </w:rPr>
        <w:t>TOB services</w:t>
      </w:r>
    </w:p>
    <w:p w14:paraId="553EC799" w14:textId="6A3FECCB" w:rsidR="00AB378C" w:rsidRPr="004F1E24" w:rsidRDefault="00AB378C" w:rsidP="00AB378C">
      <w:pPr>
        <w:pStyle w:val="ActHead5"/>
      </w:pPr>
      <w:r>
        <w:rPr>
          <w:rStyle w:val="CharSectno"/>
        </w:rPr>
        <w:t>1</w:t>
      </w:r>
      <w:r w:rsidR="00E27990">
        <w:rPr>
          <w:rStyle w:val="CharSectno"/>
        </w:rPr>
        <w:t>4</w:t>
      </w:r>
      <w:r w:rsidRPr="004F1E24">
        <w:t xml:space="preserve">  </w:t>
      </w:r>
      <w:r>
        <w:t>Background</w:t>
      </w:r>
    </w:p>
    <w:p w14:paraId="44668403" w14:textId="77777777" w:rsidR="00D241A7" w:rsidRDefault="00AB378C" w:rsidP="00AB378C">
      <w:pPr>
        <w:pStyle w:val="subsection"/>
      </w:pPr>
      <w:r>
        <w:tab/>
      </w:r>
      <w:r w:rsidR="00D241A7">
        <w:t>(1)</w:t>
      </w:r>
      <w:r>
        <w:tab/>
        <w:t xml:space="preserve">TOB services are generally licensed in accordance with the frequency assignment criteria set out in RALI FX 21. RALI FX 21 provides </w:t>
      </w:r>
      <w:r w:rsidRPr="005F1185">
        <w:t xml:space="preserve">information on frequency coordination and licensing arrangements for </w:t>
      </w:r>
      <w:r>
        <w:t xml:space="preserve">TOB </w:t>
      </w:r>
      <w:r w:rsidRPr="005F1185">
        <w:t>services in the 1980</w:t>
      </w:r>
      <w:r>
        <w:t xml:space="preserve"> MHz to </w:t>
      </w:r>
      <w:r w:rsidRPr="005F1185">
        <w:t>2110</w:t>
      </w:r>
      <w:r>
        <w:t> </w:t>
      </w:r>
      <w:r w:rsidRPr="005F1185">
        <w:t>MHz and 2170</w:t>
      </w:r>
      <w:r>
        <w:t xml:space="preserve"> MHz to </w:t>
      </w:r>
      <w:r w:rsidRPr="005F1185">
        <w:t>2300 MHz</w:t>
      </w:r>
      <w:r>
        <w:t xml:space="preserve"> frequency bands</w:t>
      </w:r>
      <w:r w:rsidRPr="005F1185">
        <w:t>.</w:t>
      </w:r>
    </w:p>
    <w:p w14:paraId="647C2C1F" w14:textId="02A92B8B" w:rsidR="00AB378C" w:rsidRDefault="0081316E" w:rsidP="00AB378C">
      <w:pPr>
        <w:pStyle w:val="subsection"/>
      </w:pPr>
      <w:r>
        <w:tab/>
        <w:t>(2)</w:t>
      </w:r>
      <w:r>
        <w:tab/>
      </w:r>
      <w:r w:rsidR="00AB378C">
        <w:t xml:space="preserve">Under the </w:t>
      </w:r>
      <w:r w:rsidR="00AB378C">
        <w:rPr>
          <w:i/>
          <w:iCs/>
        </w:rPr>
        <w:t>Radiocommunications (Mobile-Satellite Service) (1980-2010 MHz and 2170-2200 MHz) Frequency Band Plan</w:t>
      </w:r>
      <w:r w:rsidR="00AB378C" w:rsidRPr="00057C55">
        <w:rPr>
          <w:i/>
          <w:iCs/>
        </w:rPr>
        <w:t xml:space="preserve"> </w:t>
      </w:r>
      <w:r w:rsidR="00AB378C" w:rsidRPr="00636F71">
        <w:rPr>
          <w:i/>
          <w:iCs/>
        </w:rPr>
        <w:t>202</w:t>
      </w:r>
      <w:r w:rsidR="00AB378C" w:rsidRPr="006B7357">
        <w:rPr>
          <w:i/>
          <w:iCs/>
        </w:rPr>
        <w:t>2</w:t>
      </w:r>
      <w:r w:rsidR="00AB378C">
        <w:t xml:space="preserve">, </w:t>
      </w:r>
      <w:r w:rsidR="00AB378C" w:rsidRPr="00057C55">
        <w:t>existing</w:t>
      </w:r>
      <w:r w:rsidR="00AB378C">
        <w:t xml:space="preserve"> TOB services in certain circumstances are required to cease operation in the 1980 MHz to 2010 MHz and 2170 MHz to 2200</w:t>
      </w:r>
      <w:r w:rsidR="00FD6AC7">
        <w:t> </w:t>
      </w:r>
      <w:r w:rsidR="00AB378C">
        <w:t>MHz frequency bands by 1 March 2026 in metropolitan areas and other designated areas, and by 1 March 2024 elsewhere.</w:t>
      </w:r>
    </w:p>
    <w:p w14:paraId="3A33BC80" w14:textId="713D942F" w:rsidR="0081316E" w:rsidRPr="00FA441A" w:rsidRDefault="0081316E" w:rsidP="00AB378C">
      <w:pPr>
        <w:pStyle w:val="subsection"/>
      </w:pPr>
      <w:r>
        <w:tab/>
        <w:t>(3)</w:t>
      </w:r>
      <w:r>
        <w:tab/>
      </w:r>
      <w:r w:rsidR="00FA441A">
        <w:t xml:space="preserve">The </w:t>
      </w:r>
      <w:r w:rsidR="00FA441A">
        <w:rPr>
          <w:i/>
          <w:iCs/>
        </w:rPr>
        <w:t>Radiocommunications (Television Outside Broadcasting) (2010–2110 MH</w:t>
      </w:r>
      <w:r w:rsidR="009213E9">
        <w:rPr>
          <w:i/>
          <w:iCs/>
        </w:rPr>
        <w:t>z</w:t>
      </w:r>
      <w:r w:rsidR="00FA441A">
        <w:rPr>
          <w:i/>
          <w:iCs/>
        </w:rPr>
        <w:t xml:space="preserve"> and 2200–2300 MH</w:t>
      </w:r>
      <w:r w:rsidR="009213E9">
        <w:rPr>
          <w:i/>
          <w:iCs/>
        </w:rPr>
        <w:t>z</w:t>
      </w:r>
      <w:r w:rsidR="00FA441A">
        <w:rPr>
          <w:i/>
          <w:iCs/>
        </w:rPr>
        <w:t xml:space="preserve">) Frequency Band Plan 2022 </w:t>
      </w:r>
      <w:r w:rsidR="00FA441A" w:rsidRPr="00FA441A">
        <w:t>provides that the 2010</w:t>
      </w:r>
      <w:r w:rsidR="00FA441A">
        <w:t xml:space="preserve"> MHz to 21</w:t>
      </w:r>
      <w:r w:rsidR="007835C4">
        <w:t>1</w:t>
      </w:r>
      <w:r w:rsidR="00FA441A">
        <w:t xml:space="preserve">0 MHz </w:t>
      </w:r>
      <w:r w:rsidR="00480E23">
        <w:t>and 2200 MHz to 2300 MHz frequency bands may be used for the purposes of TOB services.</w:t>
      </w:r>
    </w:p>
    <w:p w14:paraId="0AB57E8D" w14:textId="6B8A9182" w:rsidR="00AB378C" w:rsidRPr="004F1E24" w:rsidRDefault="00AB378C" w:rsidP="00AB378C">
      <w:pPr>
        <w:pStyle w:val="ActHead5"/>
      </w:pPr>
      <w:r>
        <w:rPr>
          <w:rStyle w:val="CharSectno"/>
        </w:rPr>
        <w:t>1</w:t>
      </w:r>
      <w:r w:rsidR="00E27990">
        <w:rPr>
          <w:rStyle w:val="CharSectno"/>
        </w:rPr>
        <w:t>5</w:t>
      </w:r>
      <w:r w:rsidRPr="004F1E24">
        <w:t xml:space="preserve">  </w:t>
      </w:r>
      <w:r>
        <w:t>Protection requirements</w:t>
      </w:r>
    </w:p>
    <w:p w14:paraId="6FC4A02A" w14:textId="1C809B51" w:rsidR="00AB378C" w:rsidRDefault="00AB378C" w:rsidP="00AB378C">
      <w:pPr>
        <w:pStyle w:val="subsection"/>
      </w:pPr>
      <w:r>
        <w:tab/>
        <w:t>(1)</w:t>
      </w:r>
      <w:r>
        <w:tab/>
        <w:t xml:space="preserve">The protection requirements for TOB services operating in the </w:t>
      </w:r>
      <w:r w:rsidR="00E427FF">
        <w:t>2170</w:t>
      </w:r>
      <w:r>
        <w:t xml:space="preserve"> MHz to 2</w:t>
      </w:r>
      <w:r w:rsidR="00E427FF">
        <w:t>300</w:t>
      </w:r>
      <w:r>
        <w:t xml:space="preserve"> MHz frequency band are set out in RALI FX 21. These requirements apply to radiocommunications transmitters operated under 2</w:t>
      </w:r>
      <w:r w:rsidR="00E427FF">
        <w:t>.3</w:t>
      </w:r>
      <w:r>
        <w:t xml:space="preserve"> GHz spectrum licences that are included in the Register after the apparatus licence that authorises operation of a TOB radiocommunications device was first issued under section 100 of the Act. Only TOB radiocommunications receivers with site details included in the Register are afforded protection.</w:t>
      </w:r>
    </w:p>
    <w:p w14:paraId="65416D42" w14:textId="0E6041C4" w:rsidR="00AB378C" w:rsidRDefault="00AB378C" w:rsidP="00AB378C">
      <w:pPr>
        <w:pStyle w:val="subsection"/>
      </w:pPr>
      <w:r>
        <w:tab/>
        <w:t>(2)</w:t>
      </w:r>
      <w:r>
        <w:tab/>
        <w:t>In planning for the operation of radiocommunications transmitters under a 2</w:t>
      </w:r>
      <w:r w:rsidR="008413F3">
        <w:t>.3</w:t>
      </w:r>
      <w:r>
        <w:t xml:space="preserve"> GHz spectrum licence, spectrum licensees should consult the procedures set out in RALI</w:t>
      </w:r>
      <w:r w:rsidR="004D4684">
        <w:t> </w:t>
      </w:r>
      <w:r>
        <w:t>FX</w:t>
      </w:r>
      <w:r w:rsidR="004D4684">
        <w:t> </w:t>
      </w:r>
      <w:r>
        <w:t>21.</w:t>
      </w:r>
    </w:p>
    <w:p w14:paraId="3ED6DD83" w14:textId="77777777" w:rsidR="00761EDF" w:rsidRDefault="00761EDF" w:rsidP="00B70F23">
      <w:pPr>
        <w:rPr>
          <w:rFonts w:ascii="Times New Roman" w:hAnsi="Times New Roman" w:cs="Times New Roman"/>
          <w:b/>
          <w:bCs/>
          <w:sz w:val="32"/>
          <w:szCs w:val="32"/>
        </w:rPr>
        <w:sectPr w:rsidR="00761EDF" w:rsidSect="00957210">
          <w:headerReference w:type="even" r:id="rId31"/>
          <w:headerReference w:type="default" r:id="rId32"/>
          <w:headerReference w:type="first" r:id="rId33"/>
          <w:pgSz w:w="11906" w:h="16838"/>
          <w:pgMar w:top="1440" w:right="1440" w:bottom="1440" w:left="1440" w:header="708" w:footer="708" w:gutter="0"/>
          <w:cols w:space="708"/>
          <w:docGrid w:linePitch="360"/>
        </w:sectPr>
      </w:pPr>
    </w:p>
    <w:p w14:paraId="074E160A" w14:textId="7161ABAF" w:rsidR="008C6100" w:rsidRPr="001B535D" w:rsidRDefault="008C6100" w:rsidP="008C6100">
      <w:r w:rsidRPr="004F1E24">
        <w:rPr>
          <w:rFonts w:ascii="Times New Roman" w:hAnsi="Times New Roman" w:cs="Times New Roman"/>
          <w:b/>
          <w:bCs/>
          <w:sz w:val="32"/>
          <w:szCs w:val="32"/>
        </w:rPr>
        <w:lastRenderedPageBreak/>
        <w:t xml:space="preserve">Part </w:t>
      </w:r>
      <w:r>
        <w:rPr>
          <w:rFonts w:ascii="Times New Roman" w:hAnsi="Times New Roman" w:cs="Times New Roman"/>
          <w:b/>
          <w:bCs/>
          <w:sz w:val="32"/>
          <w:szCs w:val="32"/>
        </w:rPr>
        <w:t>7</w:t>
      </w:r>
      <w:r w:rsidRPr="004F1E24">
        <w:rPr>
          <w:rFonts w:ascii="Times New Roman" w:hAnsi="Times New Roman" w:cs="Times New Roman"/>
          <w:b/>
          <w:bCs/>
          <w:sz w:val="32"/>
          <w:szCs w:val="32"/>
        </w:rPr>
        <w:t>—</w:t>
      </w:r>
      <w:r>
        <w:rPr>
          <w:rFonts w:ascii="Times New Roman" w:hAnsi="Times New Roman" w:cs="Times New Roman"/>
          <w:b/>
          <w:bCs/>
          <w:sz w:val="32"/>
          <w:szCs w:val="32"/>
        </w:rPr>
        <w:t xml:space="preserve">Class licensed </w:t>
      </w:r>
      <w:proofErr w:type="gramStart"/>
      <w:r>
        <w:rPr>
          <w:rFonts w:ascii="Times New Roman" w:hAnsi="Times New Roman" w:cs="Times New Roman"/>
          <w:b/>
          <w:bCs/>
          <w:sz w:val="32"/>
          <w:szCs w:val="32"/>
        </w:rPr>
        <w:t>services</w:t>
      </w:r>
      <w:proofErr w:type="gramEnd"/>
    </w:p>
    <w:p w14:paraId="59B0293D" w14:textId="72FAD5F0" w:rsidR="008C6100" w:rsidRPr="00BA3B53" w:rsidRDefault="008C6100" w:rsidP="008C6100">
      <w:pPr>
        <w:pStyle w:val="ActHead5"/>
      </w:pPr>
      <w:r>
        <w:rPr>
          <w:rStyle w:val="CharSectno"/>
        </w:rPr>
        <w:t>1</w:t>
      </w:r>
      <w:r w:rsidR="00E27990">
        <w:rPr>
          <w:rStyle w:val="CharSectno"/>
        </w:rPr>
        <w:t>6</w:t>
      </w:r>
      <w:r w:rsidRPr="004F1E24">
        <w:t xml:space="preserve">  </w:t>
      </w:r>
      <w:r>
        <w:t>Background</w:t>
      </w:r>
    </w:p>
    <w:p w14:paraId="562AFE6C" w14:textId="7876827E" w:rsidR="008C6100" w:rsidRPr="00BA3B53" w:rsidRDefault="008C6100" w:rsidP="008C6100">
      <w:pPr>
        <w:pStyle w:val="subsection"/>
      </w:pPr>
      <w:r>
        <w:tab/>
        <w:t>(1)</w:t>
      </w:r>
      <w:r>
        <w:tab/>
      </w:r>
      <w:r w:rsidR="00392112">
        <w:t>The LIPD class licence authorises the operation of a number of different kinds of radiocommunications transmitters in the 2400 MHz to 2483.5 MHz frequency band.</w:t>
      </w:r>
    </w:p>
    <w:p w14:paraId="4A6F5957" w14:textId="54F329C0" w:rsidR="008C6100" w:rsidRDefault="008C6100" w:rsidP="008C6100">
      <w:pPr>
        <w:pStyle w:val="subsection"/>
      </w:pPr>
      <w:r>
        <w:tab/>
        <w:t>(2)</w:t>
      </w:r>
      <w:r>
        <w:tab/>
        <w:t xml:space="preserve">The operation of radiocommunications transmitters under </w:t>
      </w:r>
      <w:r w:rsidR="008A67FE">
        <w:t xml:space="preserve">a </w:t>
      </w:r>
      <w:r>
        <w:t>class licence is generally on a ‘no-interference’ and ‘no-protection’ basis.</w:t>
      </w:r>
    </w:p>
    <w:p w14:paraId="2CC32BDC" w14:textId="361D7563" w:rsidR="008C6100" w:rsidRPr="004F1E24" w:rsidRDefault="009D4F99" w:rsidP="008C6100">
      <w:pPr>
        <w:pStyle w:val="ActHead5"/>
      </w:pPr>
      <w:r>
        <w:rPr>
          <w:rStyle w:val="CharSectno"/>
        </w:rPr>
        <w:t>1</w:t>
      </w:r>
      <w:r w:rsidR="00E27990">
        <w:rPr>
          <w:rStyle w:val="CharSectno"/>
        </w:rPr>
        <w:t>7</w:t>
      </w:r>
      <w:r w:rsidR="008C6100" w:rsidRPr="004F1E24">
        <w:t xml:space="preserve">  </w:t>
      </w:r>
      <w:r w:rsidR="008C6100">
        <w:t>Protection requirements</w:t>
      </w:r>
    </w:p>
    <w:p w14:paraId="567654D0" w14:textId="2A82C687" w:rsidR="008C6100" w:rsidRDefault="008C6100" w:rsidP="008C6100">
      <w:pPr>
        <w:pStyle w:val="subsection"/>
      </w:pPr>
      <w:r>
        <w:tab/>
      </w:r>
      <w:r>
        <w:tab/>
        <w:t>Radiocommunications transmitters operated under a 2</w:t>
      </w:r>
      <w:r w:rsidR="008A67FE">
        <w:t>.3</w:t>
      </w:r>
      <w:r>
        <w:t xml:space="preserve"> GHz spectrum licence, in accordance with the conditions of the licence, are generally taken not to cause unacceptable interference to radiocommunications transmitted under </w:t>
      </w:r>
      <w:r w:rsidR="008A67FE">
        <w:t>the LIPD</w:t>
      </w:r>
      <w:r>
        <w:t xml:space="preserve"> class licence.</w:t>
      </w:r>
    </w:p>
    <w:p w14:paraId="3CF9F482" w14:textId="77777777" w:rsidR="008C6100" w:rsidRDefault="008C6100" w:rsidP="00B70F23">
      <w:pPr>
        <w:rPr>
          <w:rFonts w:ascii="Times New Roman" w:hAnsi="Times New Roman" w:cs="Times New Roman"/>
          <w:b/>
          <w:bCs/>
          <w:sz w:val="32"/>
          <w:szCs w:val="32"/>
        </w:rPr>
        <w:sectPr w:rsidR="008C6100" w:rsidSect="00957210">
          <w:pgSz w:w="11906" w:h="16838"/>
          <w:pgMar w:top="1440" w:right="1440" w:bottom="1440" w:left="1440" w:header="708" w:footer="708" w:gutter="0"/>
          <w:cols w:space="708"/>
          <w:docGrid w:linePitch="360"/>
        </w:sectPr>
      </w:pPr>
    </w:p>
    <w:p w14:paraId="23649F48" w14:textId="1738923A" w:rsidR="00B70F23" w:rsidRDefault="00B70F23" w:rsidP="00B70F23">
      <w:pPr>
        <w:rPr>
          <w:rFonts w:ascii="Times New Roman" w:hAnsi="Times New Roman" w:cs="Times New Roman"/>
          <w:b/>
          <w:bCs/>
          <w:sz w:val="32"/>
          <w:szCs w:val="32"/>
        </w:rPr>
      </w:pPr>
      <w:r w:rsidRPr="004F1E24">
        <w:rPr>
          <w:rFonts w:ascii="Times New Roman" w:hAnsi="Times New Roman" w:cs="Times New Roman"/>
          <w:b/>
          <w:bCs/>
          <w:sz w:val="32"/>
          <w:szCs w:val="32"/>
        </w:rPr>
        <w:lastRenderedPageBreak/>
        <w:t xml:space="preserve">Part </w:t>
      </w:r>
      <w:r w:rsidR="009D4F99">
        <w:rPr>
          <w:rFonts w:ascii="Times New Roman" w:hAnsi="Times New Roman" w:cs="Times New Roman"/>
          <w:b/>
          <w:bCs/>
          <w:sz w:val="32"/>
          <w:szCs w:val="32"/>
        </w:rPr>
        <w:t>8</w:t>
      </w:r>
      <w:r w:rsidRPr="004F1E24">
        <w:rPr>
          <w:rFonts w:ascii="Times New Roman" w:hAnsi="Times New Roman" w:cs="Times New Roman"/>
          <w:b/>
          <w:bCs/>
          <w:sz w:val="32"/>
          <w:szCs w:val="32"/>
        </w:rPr>
        <w:t>—</w:t>
      </w:r>
      <w:r w:rsidR="00633B4A">
        <w:rPr>
          <w:rFonts w:ascii="Times New Roman" w:hAnsi="Times New Roman" w:cs="Times New Roman"/>
          <w:b/>
          <w:bCs/>
          <w:sz w:val="32"/>
          <w:szCs w:val="32"/>
        </w:rPr>
        <w:t>R</w:t>
      </w:r>
      <w:r w:rsidR="00BA322A">
        <w:rPr>
          <w:rFonts w:ascii="Times New Roman" w:hAnsi="Times New Roman" w:cs="Times New Roman"/>
          <w:b/>
          <w:bCs/>
          <w:sz w:val="32"/>
          <w:szCs w:val="32"/>
        </w:rPr>
        <w:t xml:space="preserve">adio </w:t>
      </w:r>
      <w:r w:rsidR="00633B4A">
        <w:rPr>
          <w:rFonts w:ascii="Times New Roman" w:hAnsi="Times New Roman" w:cs="Times New Roman"/>
          <w:b/>
          <w:bCs/>
          <w:sz w:val="32"/>
          <w:szCs w:val="32"/>
        </w:rPr>
        <w:t>A</w:t>
      </w:r>
      <w:r w:rsidR="00BA322A">
        <w:rPr>
          <w:rFonts w:ascii="Times New Roman" w:hAnsi="Times New Roman" w:cs="Times New Roman"/>
          <w:b/>
          <w:bCs/>
          <w:sz w:val="32"/>
          <w:szCs w:val="32"/>
        </w:rPr>
        <w:t xml:space="preserve">stronomy </w:t>
      </w:r>
      <w:r w:rsidR="00633B4A">
        <w:rPr>
          <w:rFonts w:ascii="Times New Roman" w:hAnsi="Times New Roman" w:cs="Times New Roman"/>
          <w:b/>
          <w:bCs/>
          <w:sz w:val="32"/>
          <w:szCs w:val="32"/>
        </w:rPr>
        <w:t>S</w:t>
      </w:r>
      <w:r w:rsidR="00BA322A">
        <w:rPr>
          <w:rFonts w:ascii="Times New Roman" w:hAnsi="Times New Roman" w:cs="Times New Roman"/>
          <w:b/>
          <w:bCs/>
          <w:sz w:val="32"/>
          <w:szCs w:val="32"/>
        </w:rPr>
        <w:t>ervices</w:t>
      </w:r>
    </w:p>
    <w:p w14:paraId="663F3FF5" w14:textId="38CA4F88" w:rsidR="00B70F23" w:rsidRPr="004F1E24" w:rsidRDefault="00B70F23" w:rsidP="00B70F23">
      <w:pPr>
        <w:pStyle w:val="ActHead5"/>
      </w:pPr>
      <w:r>
        <w:rPr>
          <w:rStyle w:val="CharSectno"/>
        </w:rPr>
        <w:t>1</w:t>
      </w:r>
      <w:r w:rsidR="00E27990">
        <w:rPr>
          <w:rStyle w:val="CharSectno"/>
        </w:rPr>
        <w:t>8</w:t>
      </w:r>
      <w:r w:rsidRPr="004F1E24">
        <w:t xml:space="preserve">  </w:t>
      </w:r>
      <w:r>
        <w:t>Background</w:t>
      </w:r>
    </w:p>
    <w:p w14:paraId="13DA0E24" w14:textId="2EED71D5" w:rsidR="00F1484D" w:rsidRDefault="00F1484D" w:rsidP="005C357F">
      <w:pPr>
        <w:pStyle w:val="subsection"/>
      </w:pPr>
      <w:r>
        <w:tab/>
        <w:t>(1</w:t>
      </w:r>
      <w:r w:rsidR="00633B4A">
        <w:t>)</w:t>
      </w:r>
      <w:r w:rsidR="00633B4A">
        <w:tab/>
      </w:r>
      <w:r w:rsidR="00E6777D">
        <w:t>The spectrum plan recognises that certain radiocommunicatio</w:t>
      </w:r>
      <w:r w:rsidR="00633B4A">
        <w:t xml:space="preserve">ns receivers used for </w:t>
      </w:r>
      <w:r w:rsidR="00BA322A">
        <w:t>radio astronomy services</w:t>
      </w:r>
      <w:r w:rsidR="00633B4A">
        <w:t xml:space="preserve"> operate in, and adjacent to, the 2.</w:t>
      </w:r>
      <w:r w:rsidR="009D4F99">
        <w:t>3</w:t>
      </w:r>
      <w:r w:rsidR="00633B4A">
        <w:t xml:space="preserve"> GHz band</w:t>
      </w:r>
      <w:r w:rsidR="00115266">
        <w:t xml:space="preserve"> (see Australian footnote reference AUS87</w:t>
      </w:r>
      <w:r w:rsidR="007835C4">
        <w:t xml:space="preserve"> in the spectrum plan</w:t>
      </w:r>
      <w:r w:rsidR="00115266">
        <w:t>)</w:t>
      </w:r>
      <w:r w:rsidR="00633B4A">
        <w:t>.</w:t>
      </w:r>
    </w:p>
    <w:p w14:paraId="16E139E3" w14:textId="702BE1DB" w:rsidR="00675A9E" w:rsidRDefault="002D6751" w:rsidP="00675A9E">
      <w:pPr>
        <w:pStyle w:val="subsection"/>
      </w:pPr>
      <w:r>
        <w:tab/>
        <w:t>(2)</w:t>
      </w:r>
      <w:r>
        <w:tab/>
      </w:r>
      <w:r w:rsidR="00675A9E" w:rsidRPr="0097725D">
        <w:t>The site located in remote central Western Australia</w:t>
      </w:r>
      <w:r w:rsidR="00BE198F">
        <w:t xml:space="preserve">, near </w:t>
      </w:r>
      <w:proofErr w:type="spellStart"/>
      <w:r w:rsidR="00BE198F">
        <w:t>Boolardy</w:t>
      </w:r>
      <w:proofErr w:type="spellEnd"/>
      <w:r w:rsidR="00BE198F">
        <w:t>,</w:t>
      </w:r>
      <w:r w:rsidR="00675A9E" w:rsidRPr="0097725D">
        <w:t xml:space="preserve"> identified for radio astronomy use has been protected by the establishment of the </w:t>
      </w:r>
      <w:r w:rsidR="00675A9E">
        <w:t>ARQZWA</w:t>
      </w:r>
      <w:r w:rsidR="00675A9E" w:rsidRPr="0097725D">
        <w:t xml:space="preserve"> across the radio</w:t>
      </w:r>
      <w:r w:rsidR="00675A9E">
        <w:t>frequency</w:t>
      </w:r>
      <w:r w:rsidR="00675A9E" w:rsidRPr="0097725D">
        <w:t xml:space="preserve"> spectrum from </w:t>
      </w:r>
      <w:r w:rsidR="002C37A4">
        <w:t>7</w:t>
      </w:r>
      <w:r w:rsidR="002C37A4" w:rsidRPr="0097725D">
        <w:t xml:space="preserve">0 </w:t>
      </w:r>
      <w:r w:rsidR="00675A9E" w:rsidRPr="0097725D">
        <w:t>MHz through to 25</w:t>
      </w:r>
      <w:r w:rsidR="002C37A4">
        <w:t>.25</w:t>
      </w:r>
      <w:r w:rsidR="00675A9E" w:rsidRPr="0097725D">
        <w:t xml:space="preserve"> GHz. The location of the site, and the definition of the </w:t>
      </w:r>
      <w:r w:rsidR="00675A9E">
        <w:t>AR</w:t>
      </w:r>
      <w:r w:rsidR="00F85ABF">
        <w:t>Q</w:t>
      </w:r>
      <w:r w:rsidR="00675A9E">
        <w:t>ZWA</w:t>
      </w:r>
      <w:r w:rsidR="00675A9E" w:rsidRPr="0097725D">
        <w:t xml:space="preserve">, can be found in the </w:t>
      </w:r>
      <w:r w:rsidR="00675A9E" w:rsidRPr="0097725D">
        <w:rPr>
          <w:i/>
          <w:iCs/>
        </w:rPr>
        <w:t>Radiocommunications (</w:t>
      </w:r>
      <w:r w:rsidR="00675A9E">
        <w:rPr>
          <w:i/>
          <w:iCs/>
        </w:rPr>
        <w:t>Australian</w:t>
      </w:r>
      <w:r w:rsidR="00675A9E" w:rsidRPr="0097725D">
        <w:rPr>
          <w:i/>
          <w:iCs/>
        </w:rPr>
        <w:t xml:space="preserve"> Radio Quiet Zone</w:t>
      </w:r>
      <w:r w:rsidR="00675A9E">
        <w:rPr>
          <w:i/>
          <w:iCs/>
        </w:rPr>
        <w:t xml:space="preserve"> Western Australia</w:t>
      </w:r>
      <w:r w:rsidR="00675A9E" w:rsidRPr="0097725D">
        <w:rPr>
          <w:i/>
          <w:iCs/>
        </w:rPr>
        <w:t>) Frequency Band Plan 20</w:t>
      </w:r>
      <w:r w:rsidR="00675A9E">
        <w:rPr>
          <w:i/>
          <w:iCs/>
        </w:rPr>
        <w:t>2</w:t>
      </w:r>
      <w:r w:rsidR="00FB3D42">
        <w:rPr>
          <w:i/>
          <w:iCs/>
        </w:rPr>
        <w:t>3</w:t>
      </w:r>
      <w:r w:rsidR="00675A9E" w:rsidRPr="0097725D">
        <w:t xml:space="preserve">. An area within 70 km of the site has been excluded from the geographic area of </w:t>
      </w:r>
      <w:r w:rsidR="00675A9E">
        <w:t>2.</w:t>
      </w:r>
      <w:r w:rsidR="003F3AD7">
        <w:t>3</w:t>
      </w:r>
      <w:r w:rsidR="00675A9E">
        <w:t xml:space="preserve"> G</w:t>
      </w:r>
      <w:r w:rsidR="00675A9E" w:rsidRPr="0097725D">
        <w:t>Hz spectrum licences</w:t>
      </w:r>
      <w:r w:rsidR="00675A9E">
        <w:t xml:space="preserve">. </w:t>
      </w:r>
    </w:p>
    <w:p w14:paraId="5FB3BF34" w14:textId="6A94122E" w:rsidR="003255E8" w:rsidRPr="004F1E24" w:rsidRDefault="003255E8" w:rsidP="003255E8">
      <w:pPr>
        <w:pStyle w:val="ActHead5"/>
      </w:pPr>
      <w:r>
        <w:rPr>
          <w:rStyle w:val="CharSectno"/>
        </w:rPr>
        <w:t>1</w:t>
      </w:r>
      <w:r w:rsidR="00E27990">
        <w:rPr>
          <w:rStyle w:val="CharSectno"/>
        </w:rPr>
        <w:t>9</w:t>
      </w:r>
      <w:r w:rsidRPr="004F1E24">
        <w:t xml:space="preserve">  </w:t>
      </w:r>
      <w:r>
        <w:t>Protection requirements</w:t>
      </w:r>
    </w:p>
    <w:p w14:paraId="545EFA96" w14:textId="681C302D" w:rsidR="00F85ABF" w:rsidRDefault="00F85ABF" w:rsidP="003D7373">
      <w:pPr>
        <w:pStyle w:val="subsection"/>
      </w:pPr>
      <w:r>
        <w:tab/>
      </w:r>
      <w:r w:rsidR="00681687">
        <w:t>(1)</w:t>
      </w:r>
      <w:r w:rsidR="00681687">
        <w:tab/>
      </w:r>
      <w:r w:rsidR="00C95B86">
        <w:t xml:space="preserve">Licensees of 2.3 GHz spectrum licences should have regard to radiocommunications receivers used for radio astronomy that are specified in Australian footnote reference AUS87 </w:t>
      </w:r>
      <w:r w:rsidR="009D64B1">
        <w:t>in the spectrum plan</w:t>
      </w:r>
      <w:r w:rsidR="00872A79">
        <w:t xml:space="preserve"> </w:t>
      </w:r>
      <w:r w:rsidR="00C95B86">
        <w:t>(</w:t>
      </w:r>
      <w:r w:rsidR="00C95B86">
        <w:rPr>
          <w:b/>
          <w:bCs/>
          <w:i/>
          <w:iCs/>
        </w:rPr>
        <w:t>AUS87 receivers</w:t>
      </w:r>
      <w:r w:rsidR="00C95B86">
        <w:t>).</w:t>
      </w:r>
    </w:p>
    <w:p w14:paraId="10F49545" w14:textId="2A4EAE45" w:rsidR="00C95B86" w:rsidRPr="00C95B86" w:rsidRDefault="00C95B86" w:rsidP="003D7373">
      <w:pPr>
        <w:pStyle w:val="subsection"/>
      </w:pPr>
      <w:r>
        <w:tab/>
        <w:t>(2)</w:t>
      </w:r>
      <w:r>
        <w:tab/>
        <w:t>Although AUS87 receivers operate on a fortuitous basis, the ACMA encourages</w:t>
      </w:r>
      <w:r w:rsidR="005D6B10">
        <w:t xml:space="preserve"> direct liaison between licensees of 2.3 GHz spectrum licences with operators of AUS87 receivers, particularly during the system planning phase for new fixed transmitters to be registered under 2.3 GHz s</w:t>
      </w:r>
      <w:r w:rsidR="00A64EAE">
        <w:t>p</w:t>
      </w:r>
      <w:r w:rsidR="005D6B10">
        <w:t>ectrum licences</w:t>
      </w:r>
      <w:r w:rsidR="00603B0D">
        <w:t>, to minimise potential interference to AUS87 receivers. Licensees of 2.3 GHz spectrum licences should follow the notification arrangements specified for apparatus licensed radiocomm</w:t>
      </w:r>
      <w:r w:rsidR="00A914B1">
        <w:t>u</w:t>
      </w:r>
      <w:r w:rsidR="00603B0D">
        <w:t>nications devices set out in RALI MS 31</w:t>
      </w:r>
      <w:r w:rsidR="00792CAF">
        <w:t>.</w:t>
      </w:r>
    </w:p>
    <w:p w14:paraId="3A69FEF7" w14:textId="77777777" w:rsidR="00792CAF" w:rsidRDefault="004D7706" w:rsidP="003D7373">
      <w:pPr>
        <w:pStyle w:val="subsection"/>
        <w:sectPr w:rsidR="00792CAF" w:rsidSect="00957210">
          <w:pgSz w:w="11906" w:h="16838"/>
          <w:pgMar w:top="1440" w:right="1440" w:bottom="1440" w:left="1440" w:header="708" w:footer="708" w:gutter="0"/>
          <w:cols w:space="708"/>
          <w:docGrid w:linePitch="360"/>
        </w:sectPr>
      </w:pPr>
      <w:r>
        <w:tab/>
      </w:r>
      <w:r w:rsidR="00F85ABF">
        <w:t>(3)</w:t>
      </w:r>
      <w:r>
        <w:tab/>
      </w:r>
      <w:r w:rsidR="00675A9E" w:rsidRPr="00C068D2">
        <w:t>Licensees</w:t>
      </w:r>
      <w:r w:rsidR="003D5FA5">
        <w:t xml:space="preserve"> of 2.</w:t>
      </w:r>
      <w:r w:rsidR="003F3AD7">
        <w:t>3</w:t>
      </w:r>
      <w:r w:rsidR="003D5FA5">
        <w:t xml:space="preserve"> GHz spectrum licences</w:t>
      </w:r>
      <w:r w:rsidR="00675A9E" w:rsidRPr="00C068D2">
        <w:t xml:space="preserve"> in areas adjacent to the </w:t>
      </w:r>
      <w:r w:rsidR="00675A9E">
        <w:t>ARQZWA</w:t>
      </w:r>
      <w:r w:rsidR="00675A9E" w:rsidRPr="00C068D2" w:rsidDel="00DD327C">
        <w:t xml:space="preserve"> </w:t>
      </w:r>
      <w:r w:rsidR="00675A9E">
        <w:t>should</w:t>
      </w:r>
      <w:r w:rsidR="00675A9E" w:rsidRPr="00C068D2">
        <w:t xml:space="preserve"> coordinate proposed stations using the methods and limits set out for apparatus licensees in RALI MS</w:t>
      </w:r>
      <w:r w:rsidR="00AF35C6">
        <w:t xml:space="preserve"> </w:t>
      </w:r>
      <w:r w:rsidR="00675A9E" w:rsidRPr="00C068D2">
        <w:t>32</w:t>
      </w:r>
      <w:r w:rsidR="00675A9E">
        <w:t>.</w:t>
      </w:r>
      <w:r w:rsidR="00675A9E" w:rsidDel="00675A9E">
        <w:t xml:space="preserve"> </w:t>
      </w:r>
    </w:p>
    <w:p w14:paraId="2A84161F" w14:textId="7D62E470" w:rsidR="00804E5C" w:rsidRPr="004F1E24" w:rsidRDefault="00804E5C" w:rsidP="00804E5C">
      <w:pPr>
        <w:rPr>
          <w:rFonts w:ascii="Times New Roman" w:hAnsi="Times New Roman" w:cs="Times New Roman"/>
          <w:b/>
          <w:bCs/>
          <w:sz w:val="32"/>
          <w:szCs w:val="32"/>
        </w:rPr>
      </w:pPr>
      <w:r w:rsidRPr="004F1E24">
        <w:rPr>
          <w:rFonts w:ascii="Times New Roman" w:hAnsi="Times New Roman" w:cs="Times New Roman"/>
          <w:b/>
          <w:bCs/>
          <w:sz w:val="32"/>
          <w:szCs w:val="32"/>
        </w:rPr>
        <w:lastRenderedPageBreak/>
        <w:t xml:space="preserve">Part </w:t>
      </w:r>
      <w:r>
        <w:rPr>
          <w:rFonts w:ascii="Times New Roman" w:hAnsi="Times New Roman" w:cs="Times New Roman"/>
          <w:b/>
          <w:bCs/>
          <w:sz w:val="32"/>
          <w:szCs w:val="32"/>
        </w:rPr>
        <w:t>9</w:t>
      </w:r>
      <w:r w:rsidRPr="004F1E24">
        <w:rPr>
          <w:rFonts w:ascii="Times New Roman" w:hAnsi="Times New Roman" w:cs="Times New Roman"/>
          <w:b/>
          <w:bCs/>
          <w:sz w:val="32"/>
          <w:szCs w:val="32"/>
        </w:rPr>
        <w:t>—</w:t>
      </w:r>
      <w:r>
        <w:rPr>
          <w:rFonts w:ascii="Times New Roman" w:hAnsi="Times New Roman" w:cs="Times New Roman"/>
          <w:b/>
          <w:bCs/>
          <w:sz w:val="32"/>
          <w:szCs w:val="32"/>
        </w:rPr>
        <w:t>Spectrum licensed receivers</w:t>
      </w:r>
    </w:p>
    <w:p w14:paraId="28516F77" w14:textId="1FE42A3A" w:rsidR="00804E5C" w:rsidRPr="004F1E24" w:rsidRDefault="00E27990" w:rsidP="00804E5C">
      <w:pPr>
        <w:pStyle w:val="ActHead5"/>
      </w:pPr>
      <w:r>
        <w:rPr>
          <w:rStyle w:val="CharSectno"/>
        </w:rPr>
        <w:t>20</w:t>
      </w:r>
      <w:r w:rsidR="00804E5C" w:rsidRPr="004F1E24">
        <w:t xml:space="preserve">  </w:t>
      </w:r>
      <w:r w:rsidR="00804E5C">
        <w:t>Background</w:t>
      </w:r>
    </w:p>
    <w:p w14:paraId="307D096E" w14:textId="6AB83B5E" w:rsidR="005E3DE0" w:rsidRDefault="00804E5C" w:rsidP="00804E5C">
      <w:pPr>
        <w:pStyle w:val="subsection"/>
      </w:pPr>
      <w:r w:rsidRPr="004F1E24">
        <w:tab/>
        <w:t>(1)</w:t>
      </w:r>
      <w:r w:rsidRPr="004F1E24">
        <w:tab/>
      </w:r>
      <w:r>
        <w:t xml:space="preserve">Fixed receivers operate under </w:t>
      </w:r>
      <w:r w:rsidR="00872A79">
        <w:t xml:space="preserve">various </w:t>
      </w:r>
      <w:r w:rsidR="000956E7">
        <w:t xml:space="preserve">2.3 GHz </w:t>
      </w:r>
      <w:r>
        <w:t xml:space="preserve">spectrum licences </w:t>
      </w:r>
      <w:r w:rsidR="005E3DE0">
        <w:t xml:space="preserve">in adjacent geographic areas. The device boundary criterion in the subsection 145(4) determination is the primary </w:t>
      </w:r>
      <w:r w:rsidR="0076454C">
        <w:t xml:space="preserve">method for managing interference between </w:t>
      </w:r>
      <w:proofErr w:type="gramStart"/>
      <w:r w:rsidR="0076454C">
        <w:t>geographically-adjacent</w:t>
      </w:r>
      <w:proofErr w:type="gramEnd"/>
      <w:r w:rsidR="0076454C">
        <w:t xml:space="preserve"> 2.3 GHz spectrum licences</w:t>
      </w:r>
      <w:r w:rsidR="00780CF9">
        <w:t>.</w:t>
      </w:r>
    </w:p>
    <w:p w14:paraId="06FDA0A7" w14:textId="571E433B" w:rsidR="00780CF9" w:rsidRDefault="00780CF9" w:rsidP="00804E5C">
      <w:pPr>
        <w:pStyle w:val="subsection"/>
      </w:pPr>
      <w:r>
        <w:tab/>
        <w:t>(2)</w:t>
      </w:r>
      <w:r>
        <w:tab/>
        <w:t xml:space="preserve">However, it may be necessary for licensees of 2.3 GHz spectrum licences to negotiate with each other </w:t>
      </w:r>
      <w:r w:rsidR="00A70C47">
        <w:t>to avoid harmful interference.</w:t>
      </w:r>
    </w:p>
    <w:p w14:paraId="072EC3AD" w14:textId="53293089" w:rsidR="00804E5C" w:rsidRDefault="00E27990" w:rsidP="00804E5C">
      <w:pPr>
        <w:pStyle w:val="ActHead5"/>
      </w:pPr>
      <w:r>
        <w:rPr>
          <w:rStyle w:val="CharSectno"/>
        </w:rPr>
        <w:t>21</w:t>
      </w:r>
      <w:r w:rsidR="00804E5C">
        <w:t xml:space="preserve">  </w:t>
      </w:r>
      <w:r w:rsidR="00A70C47">
        <w:t>Recommended preliminary coordination procedures</w:t>
      </w:r>
    </w:p>
    <w:p w14:paraId="2ADD6DB0" w14:textId="23810F8B" w:rsidR="00EC17A4" w:rsidRDefault="00804E5C" w:rsidP="00804E5C">
      <w:pPr>
        <w:pStyle w:val="subsection"/>
      </w:pPr>
      <w:r>
        <w:tab/>
        <w:t>(1)</w:t>
      </w:r>
      <w:r>
        <w:tab/>
      </w:r>
      <w:r w:rsidR="00EC17A4">
        <w:t xml:space="preserve">Before a </w:t>
      </w:r>
      <w:r w:rsidR="00D3582F">
        <w:t xml:space="preserve">radiocommunications transmitter is included in the Register for a 2.3 GHz spectrum licence, the licensee should have regard to radiocommunications receivers included in the Register </w:t>
      </w:r>
      <w:r w:rsidR="00330235">
        <w:t>for other 2.3 GHz spectrum licences.</w:t>
      </w:r>
    </w:p>
    <w:p w14:paraId="6DF0CA75" w14:textId="6864FAE9" w:rsidR="00330235" w:rsidRDefault="00330235" w:rsidP="00804E5C">
      <w:pPr>
        <w:pStyle w:val="subsection"/>
      </w:pPr>
      <w:r>
        <w:tab/>
        <w:t>(2)</w:t>
      </w:r>
      <w:r>
        <w:tab/>
        <w:t xml:space="preserve">When planning to operate a fixed transmitter under a 2.3 GHz spectrum licence, the licensee should coordinate with any </w:t>
      </w:r>
      <w:r w:rsidR="00113FA5">
        <w:t>radiocommunications receivers included in the Register for other 2.3 GHz spectrum licences. The coordination should:</w:t>
      </w:r>
    </w:p>
    <w:p w14:paraId="62847969" w14:textId="5DDBB1A3" w:rsidR="00113FA5" w:rsidRDefault="00113FA5" w:rsidP="00113FA5">
      <w:pPr>
        <w:pStyle w:val="paragraph"/>
      </w:pPr>
      <w:r>
        <w:tab/>
        <w:t>(a)</w:t>
      </w:r>
      <w:r>
        <w:tab/>
        <w:t xml:space="preserve">use the </w:t>
      </w:r>
      <w:r w:rsidR="00E73D0A">
        <w:t>details of each receiver, as included in the Register;</w:t>
      </w:r>
      <w:r w:rsidR="00ED1FAA">
        <w:t xml:space="preserve"> and</w:t>
      </w:r>
    </w:p>
    <w:p w14:paraId="11A7837D" w14:textId="5483C575" w:rsidR="00E73D0A" w:rsidRDefault="00E73D0A" w:rsidP="00113FA5">
      <w:pPr>
        <w:pStyle w:val="paragraph"/>
      </w:pPr>
      <w:r>
        <w:tab/>
        <w:t>(b)</w:t>
      </w:r>
      <w:r>
        <w:tab/>
        <w:t>use the level of protection set out in the subsection 145(4) determination;</w:t>
      </w:r>
      <w:r w:rsidR="00ED1FAA">
        <w:t xml:space="preserve"> and</w:t>
      </w:r>
    </w:p>
    <w:p w14:paraId="073D2A3E" w14:textId="49F44977" w:rsidR="00E73D0A" w:rsidRDefault="00E73D0A" w:rsidP="00113FA5">
      <w:pPr>
        <w:pStyle w:val="paragraph"/>
      </w:pPr>
      <w:r>
        <w:tab/>
        <w:t>(c)</w:t>
      </w:r>
      <w:r>
        <w:tab/>
      </w:r>
      <w:r w:rsidR="00BF1AE2">
        <w:t>use a suitable propagation model to model path loss between the fixed transmitter and each receiver; and</w:t>
      </w:r>
    </w:p>
    <w:p w14:paraId="24A93AC5" w14:textId="079204A0" w:rsidR="00BF1AE2" w:rsidRDefault="00BF1AE2" w:rsidP="00113FA5">
      <w:pPr>
        <w:pStyle w:val="paragraph"/>
      </w:pPr>
      <w:r>
        <w:tab/>
        <w:t>(d)</w:t>
      </w:r>
      <w:r>
        <w:tab/>
      </w:r>
      <w:proofErr w:type="gramStart"/>
      <w:r>
        <w:t>take into account</w:t>
      </w:r>
      <w:proofErr w:type="gramEnd"/>
      <w:r>
        <w:t xml:space="preserve"> the terrain and any other relevant factors.</w:t>
      </w:r>
    </w:p>
    <w:p w14:paraId="1477046C" w14:textId="26778EA9" w:rsidR="00BF1AE2" w:rsidRPr="00C05B79" w:rsidRDefault="00C05B79" w:rsidP="00ED1FAA">
      <w:pPr>
        <w:pStyle w:val="notetext"/>
        <w:tabs>
          <w:tab w:val="left" w:pos="3261"/>
        </w:tabs>
        <w:rPr>
          <w:bCs/>
          <w:i/>
        </w:rPr>
      </w:pPr>
      <w:r>
        <w:rPr>
          <w:bCs/>
          <w:iCs/>
        </w:rPr>
        <w:t>Example for paragraph (c)</w:t>
      </w:r>
      <w:r w:rsidR="00BF1AE2" w:rsidRPr="0019555A">
        <w:rPr>
          <w:bCs/>
          <w:iCs/>
        </w:rPr>
        <w:t>:</w:t>
      </w:r>
      <w:r w:rsidR="00BF1AE2" w:rsidRPr="0019555A">
        <w:rPr>
          <w:bCs/>
          <w:iCs/>
        </w:rPr>
        <w:tab/>
      </w:r>
      <w:r>
        <w:rPr>
          <w:bCs/>
          <w:iCs/>
        </w:rPr>
        <w:t>The propagation model in section 4.5.2 of ITU-R Recommendation P.526-12</w:t>
      </w:r>
      <w:r w:rsidR="002F56ED">
        <w:rPr>
          <w:bCs/>
          <w:iCs/>
        </w:rPr>
        <w:t xml:space="preserve"> “Propagation by diffraction” is a suitable propagation model.</w:t>
      </w:r>
    </w:p>
    <w:p w14:paraId="619F422D" w14:textId="3B3808E0" w:rsidR="00BF1AE2" w:rsidRDefault="002F56ED" w:rsidP="002F56ED">
      <w:pPr>
        <w:pStyle w:val="subsection"/>
      </w:pPr>
      <w:r>
        <w:tab/>
        <w:t>(3)</w:t>
      </w:r>
      <w:r>
        <w:tab/>
        <w:t xml:space="preserve">If such coordination </w:t>
      </w:r>
      <w:r w:rsidR="00E63F39">
        <w:t>indicates that harmful interference may occur to a radiocommunications receiver as a result of operating the fixed transmitter, the licensee should consider:</w:t>
      </w:r>
    </w:p>
    <w:p w14:paraId="3F8A7BD9" w14:textId="3B4B2C09" w:rsidR="00804E5C" w:rsidRDefault="00804E5C" w:rsidP="00804E5C">
      <w:pPr>
        <w:pStyle w:val="paragraph"/>
      </w:pPr>
      <w:r>
        <w:tab/>
        <w:t>(a)</w:t>
      </w:r>
      <w:r>
        <w:tab/>
      </w:r>
      <w:r w:rsidR="00E63F39">
        <w:t>replanning the fixed transmitter to avoid the harmful interference; or</w:t>
      </w:r>
    </w:p>
    <w:p w14:paraId="3EBE0162" w14:textId="01190B16" w:rsidR="00804E5C" w:rsidRDefault="00804E5C" w:rsidP="00804E5C">
      <w:pPr>
        <w:pStyle w:val="paragraph"/>
      </w:pPr>
      <w:r>
        <w:tab/>
        <w:t>(b)</w:t>
      </w:r>
      <w:r>
        <w:tab/>
      </w:r>
      <w:r w:rsidR="00E63F39">
        <w:t>negotiating with the licensee of the affected 2.3 GHz spectrum licence to find a resolution.</w:t>
      </w:r>
    </w:p>
    <w:sectPr w:rsidR="00804E5C" w:rsidSect="009572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91FB4" w14:textId="77777777" w:rsidR="00A411CB" w:rsidRDefault="00A411CB" w:rsidP="00CF05C2">
      <w:pPr>
        <w:spacing w:after="0" w:line="240" w:lineRule="auto"/>
      </w:pPr>
      <w:r>
        <w:separator/>
      </w:r>
    </w:p>
  </w:endnote>
  <w:endnote w:type="continuationSeparator" w:id="0">
    <w:p w14:paraId="6F33E10A" w14:textId="77777777" w:rsidR="00A411CB" w:rsidRDefault="00A411CB" w:rsidP="00CF0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392BE" w14:textId="48928CB9" w:rsidR="00BC27E7" w:rsidRPr="00B81DF6" w:rsidRDefault="00BC27E7" w:rsidP="00CF05C2">
    <w:pPr>
      <w:pStyle w:val="Footer"/>
      <w:pBdr>
        <w:top w:val="single" w:sz="4" w:space="1" w:color="auto"/>
      </w:pBdr>
      <w:jc w:val="center"/>
      <w:rPr>
        <w:rFonts w:ascii="Times New Roman" w:hAnsi="Times New Roman" w:cs="Times New Roman"/>
        <w:i/>
        <w:iCs/>
      </w:rPr>
    </w:pPr>
    <w:r>
      <w:rPr>
        <w:rFonts w:ascii="Times New Roman" w:hAnsi="Times New Roman" w:cs="Times New Roman"/>
        <w:i/>
        <w:iCs/>
      </w:rPr>
      <w:t xml:space="preserve">Radiocommunications Advisory Guidelines (Managing Interference </w:t>
    </w:r>
    <w:r w:rsidR="00171E9A">
      <w:rPr>
        <w:rFonts w:ascii="Times New Roman" w:hAnsi="Times New Roman" w:cs="Times New Roman"/>
        <w:i/>
        <w:iCs/>
      </w:rPr>
      <w:t>from</w:t>
    </w:r>
    <w:r>
      <w:rPr>
        <w:rFonts w:ascii="Times New Roman" w:hAnsi="Times New Roman" w:cs="Times New Roman"/>
        <w:i/>
        <w:iCs/>
      </w:rPr>
      <w:t xml:space="preserve"> Spectrum Licensed </w:t>
    </w:r>
    <w:r w:rsidR="00171E9A">
      <w:rPr>
        <w:rFonts w:ascii="Times New Roman" w:hAnsi="Times New Roman" w:cs="Times New Roman"/>
        <w:i/>
        <w:iCs/>
      </w:rPr>
      <w:t>Transmitters</w:t>
    </w:r>
    <w:r>
      <w:rPr>
        <w:rFonts w:ascii="Times New Roman" w:hAnsi="Times New Roman" w:cs="Times New Roman"/>
        <w:i/>
        <w:iCs/>
      </w:rPr>
      <w:t xml:space="preserve"> – </w:t>
    </w:r>
    <w:r w:rsidR="00AC6540">
      <w:rPr>
        <w:rFonts w:ascii="Times New Roman" w:hAnsi="Times New Roman" w:cs="Times New Roman"/>
        <w:i/>
        <w:iCs/>
      </w:rPr>
      <w:t>2</w:t>
    </w:r>
    <w:r w:rsidR="003956AA">
      <w:rPr>
        <w:rFonts w:ascii="Times New Roman" w:hAnsi="Times New Roman" w:cs="Times New Roman"/>
        <w:i/>
        <w:iCs/>
      </w:rPr>
      <w:t>.</w:t>
    </w:r>
    <w:r w:rsidR="00947463">
      <w:rPr>
        <w:rFonts w:ascii="Times New Roman" w:hAnsi="Times New Roman" w:cs="Times New Roman"/>
        <w:i/>
        <w:iCs/>
      </w:rPr>
      <w:t>3</w:t>
    </w:r>
    <w:r w:rsidR="00AC6540">
      <w:rPr>
        <w:rFonts w:ascii="Times New Roman" w:hAnsi="Times New Roman" w:cs="Times New Roman"/>
        <w:i/>
        <w:iCs/>
      </w:rPr>
      <w:t xml:space="preserve"> G</w:t>
    </w:r>
    <w:r>
      <w:rPr>
        <w:rFonts w:ascii="Times New Roman" w:hAnsi="Times New Roman" w:cs="Times New Roman"/>
        <w:i/>
        <w:iCs/>
      </w:rPr>
      <w:t>Hz Band) 202</w:t>
    </w:r>
    <w:r w:rsidR="005E5F4A">
      <w:rPr>
        <w:rFonts w:ascii="Times New Roman" w:hAnsi="Times New Roman" w:cs="Times New Roman"/>
        <w:i/>
        <w:iCs/>
      </w:rPr>
      <w:t>3</w:t>
    </w:r>
  </w:p>
  <w:p w14:paraId="5AB13CFA" w14:textId="77777777" w:rsidR="00BC27E7" w:rsidRDefault="00BC27E7" w:rsidP="00CF05C2">
    <w:pPr>
      <w:pStyle w:val="Footer"/>
      <w:pBdr>
        <w:top w:val="single" w:sz="4" w:space="1" w:color="auto"/>
      </w:pBdr>
      <w:jc w:val="right"/>
      <w:rPr>
        <w:rFonts w:ascii="Times New Roman" w:hAnsi="Times New Roman" w:cs="Times New Roman"/>
      </w:rPr>
    </w:pPr>
    <w:r w:rsidRPr="00B81DF6">
      <w:rPr>
        <w:rFonts w:ascii="Times New Roman" w:hAnsi="Times New Roman" w:cs="Times New Roman"/>
      </w:rPr>
      <w:fldChar w:fldCharType="begin"/>
    </w:r>
    <w:r w:rsidRPr="00B81DF6">
      <w:rPr>
        <w:rFonts w:ascii="Times New Roman" w:hAnsi="Times New Roman" w:cs="Times New Roman"/>
      </w:rPr>
      <w:instrText xml:space="preserve"> PAGE  \* Arabic  \* MERGEFORMAT </w:instrText>
    </w:r>
    <w:r w:rsidRPr="00B81DF6">
      <w:rPr>
        <w:rFonts w:ascii="Times New Roman" w:hAnsi="Times New Roman" w:cs="Times New Roman"/>
      </w:rPr>
      <w:fldChar w:fldCharType="separate"/>
    </w:r>
    <w:r>
      <w:rPr>
        <w:rFonts w:ascii="Times New Roman" w:hAnsi="Times New Roman" w:cs="Times New Roman"/>
      </w:rPr>
      <w:t>4</w:t>
    </w:r>
    <w:r w:rsidRPr="00B81DF6">
      <w:rPr>
        <w:rFonts w:ascii="Times New Roman" w:hAnsi="Times New Roman" w:cs="Times New Roman"/>
      </w:rPr>
      <w:fldChar w:fldCharType="end"/>
    </w:r>
  </w:p>
  <w:p w14:paraId="5D70F976" w14:textId="46D1B113" w:rsidR="00947463" w:rsidRPr="00947463" w:rsidRDefault="00947463" w:rsidP="00947463">
    <w:pPr>
      <w:pStyle w:val="Footer"/>
      <w:pBdr>
        <w:top w:val="single" w:sz="4" w:space="1" w:color="auto"/>
      </w:pBdr>
      <w:jc w:val="center"/>
      <w:rPr>
        <w:rFonts w:ascii="Times New Roman" w:hAnsi="Times New Roman" w:cs="Times New Roman"/>
        <w:b/>
        <w:bCs/>
      </w:rPr>
    </w:pPr>
    <w:r>
      <w:rPr>
        <w:rFonts w:ascii="Times New Roman" w:hAnsi="Times New Roman" w:cs="Times New Roman"/>
        <w:b/>
        <w:bCs/>
      </w:rPr>
      <w:t>DRAFT FOR CONSULTATION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A1AAB" w14:textId="77777777" w:rsidR="00A411CB" w:rsidRDefault="00A411CB" w:rsidP="00CF05C2">
      <w:pPr>
        <w:spacing w:after="0" w:line="240" w:lineRule="auto"/>
      </w:pPr>
      <w:r>
        <w:separator/>
      </w:r>
    </w:p>
  </w:footnote>
  <w:footnote w:type="continuationSeparator" w:id="0">
    <w:p w14:paraId="3254D2F4" w14:textId="77777777" w:rsidR="00A411CB" w:rsidRDefault="00A411CB" w:rsidP="00CF0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E758D" w14:textId="49EF3CFD" w:rsidR="00EF2C4C" w:rsidRDefault="00EF2C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0A4B" w14:textId="05A1DFC3" w:rsidR="00944F77" w:rsidRPr="000B0AAB" w:rsidRDefault="00944F77" w:rsidP="00CF05C2">
    <w:pPr>
      <w:pStyle w:val="Header"/>
      <w:pBdr>
        <w:bottom w:val="single" w:sz="4" w:space="1" w:color="auto"/>
      </w:pBdr>
      <w:rPr>
        <w:rFonts w:ascii="Times New Roman" w:hAnsi="Times New Roman" w:cs="Times New Roman"/>
      </w:rPr>
    </w:pPr>
    <w:r w:rsidRPr="000B0AAB">
      <w:rPr>
        <w:rFonts w:ascii="Times New Roman" w:hAnsi="Times New Roman" w:cs="Times New Roman"/>
      </w:rPr>
      <w:t xml:space="preserve">Section </w:t>
    </w:r>
    <w:r w:rsidRPr="000B0AAB">
      <w:rPr>
        <w:rFonts w:ascii="Times New Roman" w:hAnsi="Times New Roman" w:cs="Times New Roman"/>
      </w:rPr>
      <w:fldChar w:fldCharType="begin"/>
    </w:r>
    <w:r w:rsidRPr="000B0AAB">
      <w:rPr>
        <w:rFonts w:ascii="Times New Roman" w:hAnsi="Times New Roman" w:cs="Times New Roman"/>
      </w:rPr>
      <w:instrText xml:space="preserve"> STYLEREF  CharSectno  \* MERGEFORMAT </w:instrText>
    </w:r>
    <w:r w:rsidRPr="000B0AAB">
      <w:rPr>
        <w:rFonts w:ascii="Times New Roman" w:hAnsi="Times New Roman" w:cs="Times New Roman"/>
      </w:rPr>
      <w:fldChar w:fldCharType="separate"/>
    </w:r>
    <w:r w:rsidR="007859AB">
      <w:rPr>
        <w:rFonts w:ascii="Times New Roman" w:hAnsi="Times New Roman" w:cs="Times New Roman"/>
        <w:noProof/>
      </w:rPr>
      <w:t>6</w:t>
    </w:r>
    <w:r w:rsidRPr="000B0AAB">
      <w:rPr>
        <w:rFonts w:ascii="Times New Roman" w:hAnsi="Times New Roman" w:cs="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02C5" w14:textId="14EC57C1" w:rsidR="00EF2C4C" w:rsidRDefault="00EF2C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D9BEA" w14:textId="759E5F1C" w:rsidR="00EF2C4C" w:rsidRDefault="00EF2C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4F506" w14:textId="517C6F38" w:rsidR="00CF05C2" w:rsidRPr="000B0AAB" w:rsidRDefault="007859AB" w:rsidP="00CF05C2">
    <w:pPr>
      <w:pStyle w:val="Header"/>
      <w:pBdr>
        <w:bottom w:val="single" w:sz="4" w:space="1" w:color="auto"/>
      </w:pBdr>
      <w:rPr>
        <w:rFonts w:ascii="Times New Roman" w:hAnsi="Times New Roman" w:cs="Times New Roman"/>
      </w:rPr>
    </w:pPr>
    <w:sdt>
      <w:sdtPr>
        <w:rPr>
          <w:rFonts w:ascii="Times New Roman" w:hAnsi="Times New Roman" w:cs="Times New Roman"/>
        </w:rPr>
        <w:id w:val="-942837961"/>
        <w:docPartObj>
          <w:docPartGallery w:val="Watermarks"/>
          <w:docPartUnique/>
        </w:docPartObj>
      </w:sdtPr>
      <w:sdtEndPr/>
      <w:sdtContent>
        <w:r>
          <w:rPr>
            <w:rFonts w:ascii="Times New Roman" w:hAnsi="Times New Roman" w:cs="Times New Roman"/>
            <w:noProof/>
          </w:rPr>
          <w:pict w14:anchorId="0CBD37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F05C2" w:rsidRPr="000B0AAB">
      <w:rPr>
        <w:rFonts w:ascii="Times New Roman" w:hAnsi="Times New Roman" w:cs="Times New Roman"/>
      </w:rPr>
      <w:t xml:space="preserve">Section </w:t>
    </w:r>
    <w:r w:rsidR="00CF05C2" w:rsidRPr="000B0AAB">
      <w:rPr>
        <w:rFonts w:ascii="Times New Roman" w:hAnsi="Times New Roman" w:cs="Times New Roman"/>
      </w:rPr>
      <w:fldChar w:fldCharType="begin"/>
    </w:r>
    <w:r w:rsidR="00CF05C2" w:rsidRPr="000B0AAB">
      <w:rPr>
        <w:rFonts w:ascii="Times New Roman" w:hAnsi="Times New Roman" w:cs="Times New Roman"/>
      </w:rPr>
      <w:instrText xml:space="preserve"> STYLEREF  CharSectno  \* MERGEFORMAT </w:instrText>
    </w:r>
    <w:r w:rsidR="00CF05C2" w:rsidRPr="000B0AAB">
      <w:rPr>
        <w:rFonts w:ascii="Times New Roman" w:hAnsi="Times New Roman" w:cs="Times New Roman"/>
      </w:rPr>
      <w:fldChar w:fldCharType="separate"/>
    </w:r>
    <w:r>
      <w:rPr>
        <w:rFonts w:ascii="Times New Roman" w:hAnsi="Times New Roman" w:cs="Times New Roman"/>
        <w:noProof/>
      </w:rPr>
      <w:t>12</w:t>
    </w:r>
    <w:r w:rsidR="00CF05C2" w:rsidRPr="000B0AAB">
      <w:rPr>
        <w:rFonts w:ascii="Times New Roman" w:hAnsi="Times New Roman" w:cs="Times New Roman"/>
      </w:rPr>
      <w:fldChar w:fldCharType="end"/>
    </w:r>
  </w:p>
  <w:p w14:paraId="0A312F32" w14:textId="56E02915" w:rsidR="00CF05C2" w:rsidRPr="00CF05C2" w:rsidRDefault="00CF05C2" w:rsidP="00CF05C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0C458" w14:textId="736144EE" w:rsidR="00EF2C4C" w:rsidRDefault="00EF2C4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D1060" w14:textId="5C6B0FE6" w:rsidR="00EF2C4C" w:rsidRDefault="00EF2C4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7D60D" w14:textId="4B4B8313" w:rsidR="00BA3B53" w:rsidRPr="000B0AAB" w:rsidRDefault="00BA3B53" w:rsidP="00CF05C2">
    <w:pPr>
      <w:pStyle w:val="Header"/>
      <w:pBdr>
        <w:bottom w:val="single" w:sz="4" w:space="1" w:color="auto"/>
      </w:pBdr>
      <w:rPr>
        <w:rFonts w:ascii="Times New Roman" w:hAnsi="Times New Roman" w:cs="Times New Roman"/>
      </w:rPr>
    </w:pPr>
    <w:r w:rsidRPr="000B0AAB">
      <w:rPr>
        <w:rFonts w:ascii="Times New Roman" w:hAnsi="Times New Roman" w:cs="Times New Roman"/>
      </w:rPr>
      <w:t xml:space="preserve">Section </w:t>
    </w:r>
    <w:r w:rsidRPr="000B0AAB">
      <w:rPr>
        <w:rFonts w:ascii="Times New Roman" w:hAnsi="Times New Roman" w:cs="Times New Roman"/>
      </w:rPr>
      <w:fldChar w:fldCharType="begin"/>
    </w:r>
    <w:r w:rsidRPr="000B0AAB">
      <w:rPr>
        <w:rFonts w:ascii="Times New Roman" w:hAnsi="Times New Roman" w:cs="Times New Roman"/>
      </w:rPr>
      <w:instrText xml:space="preserve"> STYLEREF  CharSectno  \* MERGEFORMAT </w:instrText>
    </w:r>
    <w:r w:rsidRPr="000B0AAB">
      <w:rPr>
        <w:rFonts w:ascii="Times New Roman" w:hAnsi="Times New Roman" w:cs="Times New Roman"/>
      </w:rPr>
      <w:fldChar w:fldCharType="separate"/>
    </w:r>
    <w:r w:rsidR="007859AB">
      <w:rPr>
        <w:rFonts w:ascii="Times New Roman" w:hAnsi="Times New Roman" w:cs="Times New Roman"/>
        <w:noProof/>
      </w:rPr>
      <w:t>20</w:t>
    </w:r>
    <w:r w:rsidRPr="000B0AAB">
      <w:rPr>
        <w:rFonts w:ascii="Times New Roman" w:hAnsi="Times New Roman" w:cs="Times New Roman"/>
      </w:rPr>
      <w:fldChar w:fldCharType="end"/>
    </w:r>
  </w:p>
  <w:p w14:paraId="2B6B6E9D" w14:textId="77777777" w:rsidR="00BA3B53" w:rsidRPr="00CF05C2" w:rsidRDefault="00BA3B53" w:rsidP="00CF05C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8440A" w14:textId="238FBDA4" w:rsidR="00EF2C4C" w:rsidRDefault="00EF2C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7092F"/>
    <w:multiLevelType w:val="hybridMultilevel"/>
    <w:tmpl w:val="96386C1E"/>
    <w:lvl w:ilvl="0" w:tplc="9CB8B0DC">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 w15:restartNumberingAfterBreak="0">
    <w:nsid w:val="1CBE5C2F"/>
    <w:multiLevelType w:val="hybridMultilevel"/>
    <w:tmpl w:val="580418E0"/>
    <w:lvl w:ilvl="0" w:tplc="FD6E2574">
      <w:start w:val="1"/>
      <w:numFmt w:val="decimal"/>
      <w:lvlText w:val="(%1)"/>
      <w:lvlJc w:val="left"/>
      <w:pPr>
        <w:ind w:left="1305" w:hanging="360"/>
      </w:pPr>
      <w:rPr>
        <w:rFonts w:hint="default"/>
      </w:rPr>
    </w:lvl>
    <w:lvl w:ilvl="1" w:tplc="0C090019" w:tentative="1">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abstractNum w:abstractNumId="2" w15:restartNumberingAfterBreak="0">
    <w:nsid w:val="40443289"/>
    <w:multiLevelType w:val="hybridMultilevel"/>
    <w:tmpl w:val="59707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2990489">
    <w:abstractNumId w:val="2"/>
  </w:num>
  <w:num w:numId="2" w16cid:durableId="91048940">
    <w:abstractNumId w:val="0"/>
  </w:num>
  <w:num w:numId="3" w16cid:durableId="1384519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5C2"/>
    <w:rsid w:val="0000211D"/>
    <w:rsid w:val="00002145"/>
    <w:rsid w:val="0000262C"/>
    <w:rsid w:val="00003B5A"/>
    <w:rsid w:val="00004327"/>
    <w:rsid w:val="0000443B"/>
    <w:rsid w:val="00004C49"/>
    <w:rsid w:val="00005A30"/>
    <w:rsid w:val="00006287"/>
    <w:rsid w:val="00007763"/>
    <w:rsid w:val="00013432"/>
    <w:rsid w:val="000137B4"/>
    <w:rsid w:val="00013BB0"/>
    <w:rsid w:val="00014436"/>
    <w:rsid w:val="000210E0"/>
    <w:rsid w:val="0002149B"/>
    <w:rsid w:val="00021660"/>
    <w:rsid w:val="0002236F"/>
    <w:rsid w:val="00023CCC"/>
    <w:rsid w:val="00024953"/>
    <w:rsid w:val="00024B4C"/>
    <w:rsid w:val="00025B89"/>
    <w:rsid w:val="0003000C"/>
    <w:rsid w:val="00030B8B"/>
    <w:rsid w:val="00032A7F"/>
    <w:rsid w:val="00035A3D"/>
    <w:rsid w:val="00037C9D"/>
    <w:rsid w:val="00037EBB"/>
    <w:rsid w:val="000406F7"/>
    <w:rsid w:val="00041A94"/>
    <w:rsid w:val="00042B1D"/>
    <w:rsid w:val="000436AA"/>
    <w:rsid w:val="000448D2"/>
    <w:rsid w:val="00045AFF"/>
    <w:rsid w:val="000461C9"/>
    <w:rsid w:val="000471C7"/>
    <w:rsid w:val="00047FB1"/>
    <w:rsid w:val="0005192E"/>
    <w:rsid w:val="00055A94"/>
    <w:rsid w:val="00055C6F"/>
    <w:rsid w:val="0005672E"/>
    <w:rsid w:val="00057861"/>
    <w:rsid w:val="00060324"/>
    <w:rsid w:val="00062D42"/>
    <w:rsid w:val="000639FE"/>
    <w:rsid w:val="00063E18"/>
    <w:rsid w:val="00065A30"/>
    <w:rsid w:val="00065A75"/>
    <w:rsid w:val="00066D27"/>
    <w:rsid w:val="00070DC0"/>
    <w:rsid w:val="000726DA"/>
    <w:rsid w:val="000730D2"/>
    <w:rsid w:val="00074328"/>
    <w:rsid w:val="00080419"/>
    <w:rsid w:val="0008120F"/>
    <w:rsid w:val="0008165D"/>
    <w:rsid w:val="00081CC3"/>
    <w:rsid w:val="000877D0"/>
    <w:rsid w:val="00093CB5"/>
    <w:rsid w:val="000945B3"/>
    <w:rsid w:val="000956E7"/>
    <w:rsid w:val="00096689"/>
    <w:rsid w:val="000A0FAF"/>
    <w:rsid w:val="000A1100"/>
    <w:rsid w:val="000A1E56"/>
    <w:rsid w:val="000A2BC1"/>
    <w:rsid w:val="000A4356"/>
    <w:rsid w:val="000A534D"/>
    <w:rsid w:val="000B1016"/>
    <w:rsid w:val="000B121C"/>
    <w:rsid w:val="000B1FF5"/>
    <w:rsid w:val="000B31E1"/>
    <w:rsid w:val="000B4365"/>
    <w:rsid w:val="000B5591"/>
    <w:rsid w:val="000B5FFE"/>
    <w:rsid w:val="000B62C8"/>
    <w:rsid w:val="000B635E"/>
    <w:rsid w:val="000B7AA3"/>
    <w:rsid w:val="000B7BC2"/>
    <w:rsid w:val="000C0EFD"/>
    <w:rsid w:val="000C149C"/>
    <w:rsid w:val="000C1B8E"/>
    <w:rsid w:val="000C1CC9"/>
    <w:rsid w:val="000C21EB"/>
    <w:rsid w:val="000C2885"/>
    <w:rsid w:val="000C2B0C"/>
    <w:rsid w:val="000C37F7"/>
    <w:rsid w:val="000C3BD3"/>
    <w:rsid w:val="000C4758"/>
    <w:rsid w:val="000D16B6"/>
    <w:rsid w:val="000D18A1"/>
    <w:rsid w:val="000D2BAE"/>
    <w:rsid w:val="000D33D0"/>
    <w:rsid w:val="000D3A1D"/>
    <w:rsid w:val="000D5121"/>
    <w:rsid w:val="000E0088"/>
    <w:rsid w:val="000E1618"/>
    <w:rsid w:val="000E44C6"/>
    <w:rsid w:val="000E4EA2"/>
    <w:rsid w:val="000E652F"/>
    <w:rsid w:val="000E73DC"/>
    <w:rsid w:val="000F118B"/>
    <w:rsid w:val="000F181E"/>
    <w:rsid w:val="000F6AE1"/>
    <w:rsid w:val="000F7529"/>
    <w:rsid w:val="001021C6"/>
    <w:rsid w:val="00106723"/>
    <w:rsid w:val="001114B2"/>
    <w:rsid w:val="001127BF"/>
    <w:rsid w:val="00113AE9"/>
    <w:rsid w:val="00113D57"/>
    <w:rsid w:val="00113FA5"/>
    <w:rsid w:val="00114088"/>
    <w:rsid w:val="001141DD"/>
    <w:rsid w:val="00115266"/>
    <w:rsid w:val="001158F0"/>
    <w:rsid w:val="0011666A"/>
    <w:rsid w:val="001178EC"/>
    <w:rsid w:val="001209FA"/>
    <w:rsid w:val="001221B3"/>
    <w:rsid w:val="00123EF1"/>
    <w:rsid w:val="001302C7"/>
    <w:rsid w:val="00130526"/>
    <w:rsid w:val="001329C4"/>
    <w:rsid w:val="00133728"/>
    <w:rsid w:val="0013470B"/>
    <w:rsid w:val="00134B7B"/>
    <w:rsid w:val="00136751"/>
    <w:rsid w:val="0013793F"/>
    <w:rsid w:val="00140D91"/>
    <w:rsid w:val="00143793"/>
    <w:rsid w:val="001438E9"/>
    <w:rsid w:val="00144BDE"/>
    <w:rsid w:val="00146794"/>
    <w:rsid w:val="00146EFB"/>
    <w:rsid w:val="00147956"/>
    <w:rsid w:val="00147EFE"/>
    <w:rsid w:val="001501DB"/>
    <w:rsid w:val="001510CB"/>
    <w:rsid w:val="00151396"/>
    <w:rsid w:val="001516C2"/>
    <w:rsid w:val="00151905"/>
    <w:rsid w:val="00152C90"/>
    <w:rsid w:val="001530F2"/>
    <w:rsid w:val="001537BD"/>
    <w:rsid w:val="00155269"/>
    <w:rsid w:val="00156238"/>
    <w:rsid w:val="00156A7A"/>
    <w:rsid w:val="0015768F"/>
    <w:rsid w:val="00163FFA"/>
    <w:rsid w:val="00167AAB"/>
    <w:rsid w:val="00171428"/>
    <w:rsid w:val="00171E9A"/>
    <w:rsid w:val="0017406A"/>
    <w:rsid w:val="00175F08"/>
    <w:rsid w:val="0017728E"/>
    <w:rsid w:val="001773B4"/>
    <w:rsid w:val="001773F0"/>
    <w:rsid w:val="00177C45"/>
    <w:rsid w:val="001802AD"/>
    <w:rsid w:val="00181B93"/>
    <w:rsid w:val="00181F96"/>
    <w:rsid w:val="00181F97"/>
    <w:rsid w:val="00183030"/>
    <w:rsid w:val="001844DF"/>
    <w:rsid w:val="0019009A"/>
    <w:rsid w:val="00193952"/>
    <w:rsid w:val="001946EE"/>
    <w:rsid w:val="0019555A"/>
    <w:rsid w:val="00195DED"/>
    <w:rsid w:val="001A0B1A"/>
    <w:rsid w:val="001A1808"/>
    <w:rsid w:val="001A1C7E"/>
    <w:rsid w:val="001A2D17"/>
    <w:rsid w:val="001A4002"/>
    <w:rsid w:val="001A4582"/>
    <w:rsid w:val="001A47B9"/>
    <w:rsid w:val="001A4E73"/>
    <w:rsid w:val="001A54FB"/>
    <w:rsid w:val="001A5AD1"/>
    <w:rsid w:val="001A7642"/>
    <w:rsid w:val="001B06E3"/>
    <w:rsid w:val="001B2F0D"/>
    <w:rsid w:val="001B535D"/>
    <w:rsid w:val="001B54FB"/>
    <w:rsid w:val="001B5A2A"/>
    <w:rsid w:val="001C1831"/>
    <w:rsid w:val="001C2CE6"/>
    <w:rsid w:val="001C3A2C"/>
    <w:rsid w:val="001C5923"/>
    <w:rsid w:val="001C7611"/>
    <w:rsid w:val="001D0DBF"/>
    <w:rsid w:val="001D0E94"/>
    <w:rsid w:val="001D1F07"/>
    <w:rsid w:val="001D4A2C"/>
    <w:rsid w:val="001D4F25"/>
    <w:rsid w:val="001E0040"/>
    <w:rsid w:val="001E151E"/>
    <w:rsid w:val="001E1B1F"/>
    <w:rsid w:val="001E51FC"/>
    <w:rsid w:val="001E5FE2"/>
    <w:rsid w:val="001E65C9"/>
    <w:rsid w:val="001F0D11"/>
    <w:rsid w:val="001F1EA8"/>
    <w:rsid w:val="001F2053"/>
    <w:rsid w:val="001F31CA"/>
    <w:rsid w:val="001F4E18"/>
    <w:rsid w:val="001F6AB8"/>
    <w:rsid w:val="001F79A5"/>
    <w:rsid w:val="00202451"/>
    <w:rsid w:val="002024CB"/>
    <w:rsid w:val="00203950"/>
    <w:rsid w:val="0020539D"/>
    <w:rsid w:val="002065AF"/>
    <w:rsid w:val="002117F7"/>
    <w:rsid w:val="00212B17"/>
    <w:rsid w:val="00214095"/>
    <w:rsid w:val="00214464"/>
    <w:rsid w:val="00223E97"/>
    <w:rsid w:val="00224C5E"/>
    <w:rsid w:val="002253FC"/>
    <w:rsid w:val="00231281"/>
    <w:rsid w:val="0023343D"/>
    <w:rsid w:val="002355FF"/>
    <w:rsid w:val="00240269"/>
    <w:rsid w:val="00245CB3"/>
    <w:rsid w:val="002471DC"/>
    <w:rsid w:val="00247EAB"/>
    <w:rsid w:val="00252DB2"/>
    <w:rsid w:val="0025477D"/>
    <w:rsid w:val="002570EA"/>
    <w:rsid w:val="00261C0A"/>
    <w:rsid w:val="00262EF8"/>
    <w:rsid w:val="00263450"/>
    <w:rsid w:val="002639B5"/>
    <w:rsid w:val="0027070C"/>
    <w:rsid w:val="002713BF"/>
    <w:rsid w:val="002733AC"/>
    <w:rsid w:val="002766DC"/>
    <w:rsid w:val="00276D7C"/>
    <w:rsid w:val="00280C45"/>
    <w:rsid w:val="002813B9"/>
    <w:rsid w:val="00284A6F"/>
    <w:rsid w:val="0028595D"/>
    <w:rsid w:val="00286335"/>
    <w:rsid w:val="00290F56"/>
    <w:rsid w:val="00291B54"/>
    <w:rsid w:val="00292304"/>
    <w:rsid w:val="0029293D"/>
    <w:rsid w:val="00292ABB"/>
    <w:rsid w:val="0029330B"/>
    <w:rsid w:val="0029343E"/>
    <w:rsid w:val="00294504"/>
    <w:rsid w:val="00294E1C"/>
    <w:rsid w:val="00294F3D"/>
    <w:rsid w:val="002951CE"/>
    <w:rsid w:val="002A0CBB"/>
    <w:rsid w:val="002A2EFE"/>
    <w:rsid w:val="002A53D6"/>
    <w:rsid w:val="002A6130"/>
    <w:rsid w:val="002A66F2"/>
    <w:rsid w:val="002B04F7"/>
    <w:rsid w:val="002B0663"/>
    <w:rsid w:val="002B087A"/>
    <w:rsid w:val="002B2190"/>
    <w:rsid w:val="002B2E1E"/>
    <w:rsid w:val="002B40E9"/>
    <w:rsid w:val="002B4267"/>
    <w:rsid w:val="002C1732"/>
    <w:rsid w:val="002C1BDF"/>
    <w:rsid w:val="002C2D23"/>
    <w:rsid w:val="002C3306"/>
    <w:rsid w:val="002C37A4"/>
    <w:rsid w:val="002C3DC2"/>
    <w:rsid w:val="002C57EB"/>
    <w:rsid w:val="002C7B0A"/>
    <w:rsid w:val="002D0C3C"/>
    <w:rsid w:val="002D1371"/>
    <w:rsid w:val="002D20F4"/>
    <w:rsid w:val="002D24A1"/>
    <w:rsid w:val="002D6751"/>
    <w:rsid w:val="002E05CE"/>
    <w:rsid w:val="002E2500"/>
    <w:rsid w:val="002E4659"/>
    <w:rsid w:val="002E489A"/>
    <w:rsid w:val="002E5376"/>
    <w:rsid w:val="002E674C"/>
    <w:rsid w:val="002E708A"/>
    <w:rsid w:val="002E72F5"/>
    <w:rsid w:val="002E7A0A"/>
    <w:rsid w:val="002F119D"/>
    <w:rsid w:val="002F16E5"/>
    <w:rsid w:val="002F1F9C"/>
    <w:rsid w:val="002F27FC"/>
    <w:rsid w:val="002F56ED"/>
    <w:rsid w:val="002F6D9B"/>
    <w:rsid w:val="0030115F"/>
    <w:rsid w:val="00301C88"/>
    <w:rsid w:val="0030465F"/>
    <w:rsid w:val="003051BE"/>
    <w:rsid w:val="00305A69"/>
    <w:rsid w:val="00307000"/>
    <w:rsid w:val="00310B36"/>
    <w:rsid w:val="00310E13"/>
    <w:rsid w:val="003122BF"/>
    <w:rsid w:val="00313558"/>
    <w:rsid w:val="003138AF"/>
    <w:rsid w:val="00317B5C"/>
    <w:rsid w:val="00324071"/>
    <w:rsid w:val="003255E8"/>
    <w:rsid w:val="00326140"/>
    <w:rsid w:val="00326228"/>
    <w:rsid w:val="00327A45"/>
    <w:rsid w:val="00330235"/>
    <w:rsid w:val="003319B3"/>
    <w:rsid w:val="00332A4D"/>
    <w:rsid w:val="00333400"/>
    <w:rsid w:val="003336BB"/>
    <w:rsid w:val="0033567D"/>
    <w:rsid w:val="0033625B"/>
    <w:rsid w:val="00341CF7"/>
    <w:rsid w:val="00343694"/>
    <w:rsid w:val="00343F97"/>
    <w:rsid w:val="0034591A"/>
    <w:rsid w:val="00345F5D"/>
    <w:rsid w:val="00345F90"/>
    <w:rsid w:val="00350977"/>
    <w:rsid w:val="00351821"/>
    <w:rsid w:val="003550F0"/>
    <w:rsid w:val="00355FC7"/>
    <w:rsid w:val="00356047"/>
    <w:rsid w:val="00356BA3"/>
    <w:rsid w:val="0036066E"/>
    <w:rsid w:val="0036158E"/>
    <w:rsid w:val="00364843"/>
    <w:rsid w:val="00367F7E"/>
    <w:rsid w:val="00371966"/>
    <w:rsid w:val="003746A0"/>
    <w:rsid w:val="003747A0"/>
    <w:rsid w:val="003759AC"/>
    <w:rsid w:val="00376922"/>
    <w:rsid w:val="00377E5E"/>
    <w:rsid w:val="00380770"/>
    <w:rsid w:val="00380844"/>
    <w:rsid w:val="003839CD"/>
    <w:rsid w:val="0038446F"/>
    <w:rsid w:val="00385537"/>
    <w:rsid w:val="0038633D"/>
    <w:rsid w:val="00390B7F"/>
    <w:rsid w:val="00391254"/>
    <w:rsid w:val="00392112"/>
    <w:rsid w:val="00392C25"/>
    <w:rsid w:val="00393194"/>
    <w:rsid w:val="00394153"/>
    <w:rsid w:val="00394802"/>
    <w:rsid w:val="00395344"/>
    <w:rsid w:val="003956AA"/>
    <w:rsid w:val="003956C1"/>
    <w:rsid w:val="00396183"/>
    <w:rsid w:val="003A0091"/>
    <w:rsid w:val="003A2707"/>
    <w:rsid w:val="003A4004"/>
    <w:rsid w:val="003A40E3"/>
    <w:rsid w:val="003A4566"/>
    <w:rsid w:val="003A4E02"/>
    <w:rsid w:val="003A5BD6"/>
    <w:rsid w:val="003B18FF"/>
    <w:rsid w:val="003B2209"/>
    <w:rsid w:val="003B50E2"/>
    <w:rsid w:val="003B69C2"/>
    <w:rsid w:val="003C0A15"/>
    <w:rsid w:val="003C128F"/>
    <w:rsid w:val="003C3F6D"/>
    <w:rsid w:val="003C4636"/>
    <w:rsid w:val="003C528D"/>
    <w:rsid w:val="003C5ADE"/>
    <w:rsid w:val="003C69CA"/>
    <w:rsid w:val="003D2EF4"/>
    <w:rsid w:val="003D2FCF"/>
    <w:rsid w:val="003D4BBB"/>
    <w:rsid w:val="003D5E86"/>
    <w:rsid w:val="003D5FA5"/>
    <w:rsid w:val="003D6B9D"/>
    <w:rsid w:val="003D7373"/>
    <w:rsid w:val="003D7E58"/>
    <w:rsid w:val="003E1A44"/>
    <w:rsid w:val="003E3D4A"/>
    <w:rsid w:val="003E3F64"/>
    <w:rsid w:val="003E431A"/>
    <w:rsid w:val="003E6914"/>
    <w:rsid w:val="003E6BF2"/>
    <w:rsid w:val="003F0150"/>
    <w:rsid w:val="003F01CE"/>
    <w:rsid w:val="003F04A5"/>
    <w:rsid w:val="003F0DBB"/>
    <w:rsid w:val="003F1639"/>
    <w:rsid w:val="003F2930"/>
    <w:rsid w:val="003F3AD7"/>
    <w:rsid w:val="003F402B"/>
    <w:rsid w:val="003F4110"/>
    <w:rsid w:val="003F5BB2"/>
    <w:rsid w:val="003F5C10"/>
    <w:rsid w:val="003F6F39"/>
    <w:rsid w:val="003F7448"/>
    <w:rsid w:val="00401B44"/>
    <w:rsid w:val="00401C51"/>
    <w:rsid w:val="004037A8"/>
    <w:rsid w:val="0040397C"/>
    <w:rsid w:val="004039C2"/>
    <w:rsid w:val="0040526F"/>
    <w:rsid w:val="00405781"/>
    <w:rsid w:val="00405B2C"/>
    <w:rsid w:val="00406A5B"/>
    <w:rsid w:val="004071BE"/>
    <w:rsid w:val="00410252"/>
    <w:rsid w:val="00411184"/>
    <w:rsid w:val="00411742"/>
    <w:rsid w:val="00411DA8"/>
    <w:rsid w:val="0041320F"/>
    <w:rsid w:val="0041624B"/>
    <w:rsid w:val="004163F3"/>
    <w:rsid w:val="00420A6F"/>
    <w:rsid w:val="004228EC"/>
    <w:rsid w:val="0042546B"/>
    <w:rsid w:val="00427719"/>
    <w:rsid w:val="0042780F"/>
    <w:rsid w:val="00432755"/>
    <w:rsid w:val="004341DD"/>
    <w:rsid w:val="00434653"/>
    <w:rsid w:val="00440F4A"/>
    <w:rsid w:val="0044116F"/>
    <w:rsid w:val="004412E1"/>
    <w:rsid w:val="0044141E"/>
    <w:rsid w:val="00442227"/>
    <w:rsid w:val="00443875"/>
    <w:rsid w:val="004442DA"/>
    <w:rsid w:val="0044456D"/>
    <w:rsid w:val="00446B85"/>
    <w:rsid w:val="00447362"/>
    <w:rsid w:val="00450C92"/>
    <w:rsid w:val="00450F76"/>
    <w:rsid w:val="00454022"/>
    <w:rsid w:val="00454B60"/>
    <w:rsid w:val="00454BE0"/>
    <w:rsid w:val="0045582F"/>
    <w:rsid w:val="004561D4"/>
    <w:rsid w:val="004563D7"/>
    <w:rsid w:val="00464683"/>
    <w:rsid w:val="0046470E"/>
    <w:rsid w:val="00464C9D"/>
    <w:rsid w:val="004661F6"/>
    <w:rsid w:val="0046721E"/>
    <w:rsid w:val="00467E61"/>
    <w:rsid w:val="004702A8"/>
    <w:rsid w:val="004714E6"/>
    <w:rsid w:val="004733F1"/>
    <w:rsid w:val="00474B24"/>
    <w:rsid w:val="00476008"/>
    <w:rsid w:val="00476CDC"/>
    <w:rsid w:val="00480E23"/>
    <w:rsid w:val="00483880"/>
    <w:rsid w:val="0048403B"/>
    <w:rsid w:val="00484768"/>
    <w:rsid w:val="00484FA1"/>
    <w:rsid w:val="004874CE"/>
    <w:rsid w:val="0049167A"/>
    <w:rsid w:val="004922BC"/>
    <w:rsid w:val="004946DD"/>
    <w:rsid w:val="00494EFD"/>
    <w:rsid w:val="00495DB6"/>
    <w:rsid w:val="0049713F"/>
    <w:rsid w:val="00497DE9"/>
    <w:rsid w:val="004A1496"/>
    <w:rsid w:val="004A2627"/>
    <w:rsid w:val="004A4712"/>
    <w:rsid w:val="004A5C38"/>
    <w:rsid w:val="004A6E27"/>
    <w:rsid w:val="004B0A99"/>
    <w:rsid w:val="004B1D3D"/>
    <w:rsid w:val="004B203B"/>
    <w:rsid w:val="004B3676"/>
    <w:rsid w:val="004B4000"/>
    <w:rsid w:val="004B413C"/>
    <w:rsid w:val="004B7312"/>
    <w:rsid w:val="004C071D"/>
    <w:rsid w:val="004C28FE"/>
    <w:rsid w:val="004C296D"/>
    <w:rsid w:val="004C5644"/>
    <w:rsid w:val="004D1F01"/>
    <w:rsid w:val="004D43FC"/>
    <w:rsid w:val="004D4684"/>
    <w:rsid w:val="004D5D79"/>
    <w:rsid w:val="004D5F0E"/>
    <w:rsid w:val="004D6711"/>
    <w:rsid w:val="004D7706"/>
    <w:rsid w:val="004E2728"/>
    <w:rsid w:val="004E3AA0"/>
    <w:rsid w:val="004E4205"/>
    <w:rsid w:val="004E4A78"/>
    <w:rsid w:val="004E590E"/>
    <w:rsid w:val="004E69D5"/>
    <w:rsid w:val="004E6E13"/>
    <w:rsid w:val="004E7F1E"/>
    <w:rsid w:val="004F0D4D"/>
    <w:rsid w:val="004F22CA"/>
    <w:rsid w:val="004F2F1D"/>
    <w:rsid w:val="004F3BB3"/>
    <w:rsid w:val="004F3BD0"/>
    <w:rsid w:val="004F47C5"/>
    <w:rsid w:val="004F7273"/>
    <w:rsid w:val="004F77E0"/>
    <w:rsid w:val="004F7F09"/>
    <w:rsid w:val="00503A01"/>
    <w:rsid w:val="00503CD9"/>
    <w:rsid w:val="00506243"/>
    <w:rsid w:val="00506BE1"/>
    <w:rsid w:val="00507317"/>
    <w:rsid w:val="005078EA"/>
    <w:rsid w:val="005102F4"/>
    <w:rsid w:val="0051073F"/>
    <w:rsid w:val="00510789"/>
    <w:rsid w:val="0051275F"/>
    <w:rsid w:val="005128C0"/>
    <w:rsid w:val="005138F7"/>
    <w:rsid w:val="00513C0A"/>
    <w:rsid w:val="005148DF"/>
    <w:rsid w:val="005149CC"/>
    <w:rsid w:val="00515278"/>
    <w:rsid w:val="005157F1"/>
    <w:rsid w:val="00515B75"/>
    <w:rsid w:val="00515E4D"/>
    <w:rsid w:val="00516642"/>
    <w:rsid w:val="005172E2"/>
    <w:rsid w:val="00517C8B"/>
    <w:rsid w:val="005201C5"/>
    <w:rsid w:val="005232D8"/>
    <w:rsid w:val="00524FEC"/>
    <w:rsid w:val="00526A11"/>
    <w:rsid w:val="00527E0C"/>
    <w:rsid w:val="00530147"/>
    <w:rsid w:val="005318E4"/>
    <w:rsid w:val="00532393"/>
    <w:rsid w:val="00534F43"/>
    <w:rsid w:val="00535959"/>
    <w:rsid w:val="00537B06"/>
    <w:rsid w:val="00537F1F"/>
    <w:rsid w:val="00540887"/>
    <w:rsid w:val="00540DF4"/>
    <w:rsid w:val="0054432B"/>
    <w:rsid w:val="005448B2"/>
    <w:rsid w:val="00544B69"/>
    <w:rsid w:val="005452A7"/>
    <w:rsid w:val="00545872"/>
    <w:rsid w:val="00552DCC"/>
    <w:rsid w:val="00554C03"/>
    <w:rsid w:val="00555A10"/>
    <w:rsid w:val="00556EE4"/>
    <w:rsid w:val="00556EEC"/>
    <w:rsid w:val="00557F44"/>
    <w:rsid w:val="00560CB2"/>
    <w:rsid w:val="00562897"/>
    <w:rsid w:val="00563FF5"/>
    <w:rsid w:val="00564701"/>
    <w:rsid w:val="0056671E"/>
    <w:rsid w:val="00567BBD"/>
    <w:rsid w:val="00574A36"/>
    <w:rsid w:val="00577108"/>
    <w:rsid w:val="00577DA4"/>
    <w:rsid w:val="00577EEB"/>
    <w:rsid w:val="00580482"/>
    <w:rsid w:val="005806A5"/>
    <w:rsid w:val="00584687"/>
    <w:rsid w:val="005877F2"/>
    <w:rsid w:val="00587A26"/>
    <w:rsid w:val="00590B96"/>
    <w:rsid w:val="00590FC6"/>
    <w:rsid w:val="00594E24"/>
    <w:rsid w:val="005956FD"/>
    <w:rsid w:val="005A0083"/>
    <w:rsid w:val="005A028C"/>
    <w:rsid w:val="005A0C93"/>
    <w:rsid w:val="005A535E"/>
    <w:rsid w:val="005A7B07"/>
    <w:rsid w:val="005B0DD1"/>
    <w:rsid w:val="005B10BF"/>
    <w:rsid w:val="005B26B9"/>
    <w:rsid w:val="005B3E7E"/>
    <w:rsid w:val="005B3F33"/>
    <w:rsid w:val="005B6485"/>
    <w:rsid w:val="005C0A5F"/>
    <w:rsid w:val="005C2925"/>
    <w:rsid w:val="005C3357"/>
    <w:rsid w:val="005C357F"/>
    <w:rsid w:val="005C378F"/>
    <w:rsid w:val="005C5B98"/>
    <w:rsid w:val="005C638D"/>
    <w:rsid w:val="005C7DC2"/>
    <w:rsid w:val="005D02C9"/>
    <w:rsid w:val="005D0C67"/>
    <w:rsid w:val="005D0E78"/>
    <w:rsid w:val="005D1485"/>
    <w:rsid w:val="005D2A26"/>
    <w:rsid w:val="005D2C27"/>
    <w:rsid w:val="005D5EE0"/>
    <w:rsid w:val="005D6194"/>
    <w:rsid w:val="005D6B10"/>
    <w:rsid w:val="005D715E"/>
    <w:rsid w:val="005E1674"/>
    <w:rsid w:val="005E2A37"/>
    <w:rsid w:val="005E3879"/>
    <w:rsid w:val="005E3A12"/>
    <w:rsid w:val="005E3DE0"/>
    <w:rsid w:val="005E4846"/>
    <w:rsid w:val="005E4CC5"/>
    <w:rsid w:val="005E4D8E"/>
    <w:rsid w:val="005E5F4A"/>
    <w:rsid w:val="005E7650"/>
    <w:rsid w:val="005F148A"/>
    <w:rsid w:val="005F2E4F"/>
    <w:rsid w:val="005F4680"/>
    <w:rsid w:val="005F58CD"/>
    <w:rsid w:val="005F757A"/>
    <w:rsid w:val="00603B0D"/>
    <w:rsid w:val="00604A36"/>
    <w:rsid w:val="00604C48"/>
    <w:rsid w:val="00605694"/>
    <w:rsid w:val="00605F34"/>
    <w:rsid w:val="00613BBE"/>
    <w:rsid w:val="00620266"/>
    <w:rsid w:val="00621FD5"/>
    <w:rsid w:val="006230DC"/>
    <w:rsid w:val="006244BD"/>
    <w:rsid w:val="0062452D"/>
    <w:rsid w:val="006246FF"/>
    <w:rsid w:val="00625B2D"/>
    <w:rsid w:val="006270E7"/>
    <w:rsid w:val="00627A2C"/>
    <w:rsid w:val="00627C4C"/>
    <w:rsid w:val="00627F61"/>
    <w:rsid w:val="006322EC"/>
    <w:rsid w:val="00632D4D"/>
    <w:rsid w:val="00633303"/>
    <w:rsid w:val="0063331C"/>
    <w:rsid w:val="00633B4A"/>
    <w:rsid w:val="00634C17"/>
    <w:rsid w:val="006350B6"/>
    <w:rsid w:val="00636EDD"/>
    <w:rsid w:val="0064112B"/>
    <w:rsid w:val="006424F7"/>
    <w:rsid w:val="00644E8E"/>
    <w:rsid w:val="0064670B"/>
    <w:rsid w:val="00646B7E"/>
    <w:rsid w:val="00647490"/>
    <w:rsid w:val="00647634"/>
    <w:rsid w:val="00647C55"/>
    <w:rsid w:val="00651125"/>
    <w:rsid w:val="006512DC"/>
    <w:rsid w:val="00651DA6"/>
    <w:rsid w:val="00652370"/>
    <w:rsid w:val="00656761"/>
    <w:rsid w:val="00662655"/>
    <w:rsid w:val="00663274"/>
    <w:rsid w:val="00663B9D"/>
    <w:rsid w:val="00670BF2"/>
    <w:rsid w:val="006713D6"/>
    <w:rsid w:val="0067354B"/>
    <w:rsid w:val="006737AC"/>
    <w:rsid w:val="006737CB"/>
    <w:rsid w:val="00673BF6"/>
    <w:rsid w:val="00674801"/>
    <w:rsid w:val="00674DA2"/>
    <w:rsid w:val="00675A9E"/>
    <w:rsid w:val="00681687"/>
    <w:rsid w:val="00683C54"/>
    <w:rsid w:val="0068429D"/>
    <w:rsid w:val="00685940"/>
    <w:rsid w:val="006863A2"/>
    <w:rsid w:val="006863D6"/>
    <w:rsid w:val="006869A8"/>
    <w:rsid w:val="00691EAA"/>
    <w:rsid w:val="006936BA"/>
    <w:rsid w:val="00696278"/>
    <w:rsid w:val="00696969"/>
    <w:rsid w:val="00696F95"/>
    <w:rsid w:val="006A07BB"/>
    <w:rsid w:val="006A0880"/>
    <w:rsid w:val="006A0A32"/>
    <w:rsid w:val="006A1035"/>
    <w:rsid w:val="006A4340"/>
    <w:rsid w:val="006A79E0"/>
    <w:rsid w:val="006A7C65"/>
    <w:rsid w:val="006B13B6"/>
    <w:rsid w:val="006B623C"/>
    <w:rsid w:val="006B6E55"/>
    <w:rsid w:val="006C0671"/>
    <w:rsid w:val="006C3F45"/>
    <w:rsid w:val="006C5ADD"/>
    <w:rsid w:val="006C69FD"/>
    <w:rsid w:val="006D07F5"/>
    <w:rsid w:val="006D1EEF"/>
    <w:rsid w:val="006D2A9E"/>
    <w:rsid w:val="006D2EAF"/>
    <w:rsid w:val="006D33B1"/>
    <w:rsid w:val="006D3779"/>
    <w:rsid w:val="006D6AB1"/>
    <w:rsid w:val="006D74F4"/>
    <w:rsid w:val="006E14E0"/>
    <w:rsid w:val="006E2922"/>
    <w:rsid w:val="006E34B8"/>
    <w:rsid w:val="006E5B6A"/>
    <w:rsid w:val="006E62B5"/>
    <w:rsid w:val="006E7127"/>
    <w:rsid w:val="006F0339"/>
    <w:rsid w:val="006F096E"/>
    <w:rsid w:val="006F0E0E"/>
    <w:rsid w:val="006F1BA2"/>
    <w:rsid w:val="006F24C9"/>
    <w:rsid w:val="006F3EA4"/>
    <w:rsid w:val="006F483F"/>
    <w:rsid w:val="006F51A1"/>
    <w:rsid w:val="006F6391"/>
    <w:rsid w:val="007006AB"/>
    <w:rsid w:val="00702217"/>
    <w:rsid w:val="00702738"/>
    <w:rsid w:val="00702E91"/>
    <w:rsid w:val="007039FB"/>
    <w:rsid w:val="007053A2"/>
    <w:rsid w:val="00710FB2"/>
    <w:rsid w:val="00711491"/>
    <w:rsid w:val="007136D0"/>
    <w:rsid w:val="0071415B"/>
    <w:rsid w:val="0071428B"/>
    <w:rsid w:val="007163EA"/>
    <w:rsid w:val="00717496"/>
    <w:rsid w:val="00720093"/>
    <w:rsid w:val="00720D79"/>
    <w:rsid w:val="007219D0"/>
    <w:rsid w:val="007224AA"/>
    <w:rsid w:val="00722883"/>
    <w:rsid w:val="007238E1"/>
    <w:rsid w:val="00725CC6"/>
    <w:rsid w:val="00727B52"/>
    <w:rsid w:val="00730C05"/>
    <w:rsid w:val="0073179B"/>
    <w:rsid w:val="00733E3E"/>
    <w:rsid w:val="007341D0"/>
    <w:rsid w:val="00734C93"/>
    <w:rsid w:val="00736B41"/>
    <w:rsid w:val="00740ACD"/>
    <w:rsid w:val="0074285E"/>
    <w:rsid w:val="007434D6"/>
    <w:rsid w:val="007435A9"/>
    <w:rsid w:val="00743EFA"/>
    <w:rsid w:val="00745EA2"/>
    <w:rsid w:val="00745EB1"/>
    <w:rsid w:val="00746F69"/>
    <w:rsid w:val="007500AB"/>
    <w:rsid w:val="00750BE4"/>
    <w:rsid w:val="00750D2D"/>
    <w:rsid w:val="00751045"/>
    <w:rsid w:val="0075121C"/>
    <w:rsid w:val="00751B40"/>
    <w:rsid w:val="007523CC"/>
    <w:rsid w:val="007529D9"/>
    <w:rsid w:val="00757CEA"/>
    <w:rsid w:val="00757E58"/>
    <w:rsid w:val="00760636"/>
    <w:rsid w:val="00761358"/>
    <w:rsid w:val="00761EDF"/>
    <w:rsid w:val="007628D0"/>
    <w:rsid w:val="0076392F"/>
    <w:rsid w:val="00763B3F"/>
    <w:rsid w:val="0076454C"/>
    <w:rsid w:val="007654F9"/>
    <w:rsid w:val="00766D82"/>
    <w:rsid w:val="00770375"/>
    <w:rsid w:val="00772DCE"/>
    <w:rsid w:val="00774096"/>
    <w:rsid w:val="0077431F"/>
    <w:rsid w:val="00775BFC"/>
    <w:rsid w:val="00776124"/>
    <w:rsid w:val="00776D8E"/>
    <w:rsid w:val="00780CF9"/>
    <w:rsid w:val="00780F84"/>
    <w:rsid w:val="007835C4"/>
    <w:rsid w:val="007839BD"/>
    <w:rsid w:val="0078495F"/>
    <w:rsid w:val="007859AB"/>
    <w:rsid w:val="007874EE"/>
    <w:rsid w:val="00787C78"/>
    <w:rsid w:val="00792CAF"/>
    <w:rsid w:val="0079497C"/>
    <w:rsid w:val="00795C2B"/>
    <w:rsid w:val="007960E3"/>
    <w:rsid w:val="00796414"/>
    <w:rsid w:val="007964B5"/>
    <w:rsid w:val="00797002"/>
    <w:rsid w:val="007971C8"/>
    <w:rsid w:val="0079747D"/>
    <w:rsid w:val="00797BFF"/>
    <w:rsid w:val="007A1022"/>
    <w:rsid w:val="007A1D38"/>
    <w:rsid w:val="007A4E84"/>
    <w:rsid w:val="007A55F0"/>
    <w:rsid w:val="007B01B8"/>
    <w:rsid w:val="007B38D9"/>
    <w:rsid w:val="007B4D8F"/>
    <w:rsid w:val="007B60C7"/>
    <w:rsid w:val="007B76C4"/>
    <w:rsid w:val="007C1893"/>
    <w:rsid w:val="007C2AD1"/>
    <w:rsid w:val="007C2DC3"/>
    <w:rsid w:val="007C4334"/>
    <w:rsid w:val="007C4646"/>
    <w:rsid w:val="007C5AC2"/>
    <w:rsid w:val="007D0037"/>
    <w:rsid w:val="007D032F"/>
    <w:rsid w:val="007D18B4"/>
    <w:rsid w:val="007D1F34"/>
    <w:rsid w:val="007D3E9B"/>
    <w:rsid w:val="007D4F55"/>
    <w:rsid w:val="007D6833"/>
    <w:rsid w:val="007D7250"/>
    <w:rsid w:val="007D7690"/>
    <w:rsid w:val="007D7E86"/>
    <w:rsid w:val="007E0B50"/>
    <w:rsid w:val="007E0C25"/>
    <w:rsid w:val="007E217B"/>
    <w:rsid w:val="007E23F9"/>
    <w:rsid w:val="007E256B"/>
    <w:rsid w:val="007E2E63"/>
    <w:rsid w:val="007E39B3"/>
    <w:rsid w:val="007E6605"/>
    <w:rsid w:val="007E7033"/>
    <w:rsid w:val="007E7D85"/>
    <w:rsid w:val="007E7ED7"/>
    <w:rsid w:val="007E7F9D"/>
    <w:rsid w:val="007F10DD"/>
    <w:rsid w:val="007F24F3"/>
    <w:rsid w:val="007F52A2"/>
    <w:rsid w:val="007F619A"/>
    <w:rsid w:val="007F652F"/>
    <w:rsid w:val="007F6BE2"/>
    <w:rsid w:val="007F762A"/>
    <w:rsid w:val="008005D4"/>
    <w:rsid w:val="00804E5C"/>
    <w:rsid w:val="0080576F"/>
    <w:rsid w:val="00806AA8"/>
    <w:rsid w:val="00810473"/>
    <w:rsid w:val="0081316E"/>
    <w:rsid w:val="008131FC"/>
    <w:rsid w:val="008137C8"/>
    <w:rsid w:val="008152D7"/>
    <w:rsid w:val="00815CC5"/>
    <w:rsid w:val="00816E27"/>
    <w:rsid w:val="00817408"/>
    <w:rsid w:val="008254EA"/>
    <w:rsid w:val="00825615"/>
    <w:rsid w:val="00826B43"/>
    <w:rsid w:val="00826F44"/>
    <w:rsid w:val="0082723B"/>
    <w:rsid w:val="00827F3D"/>
    <w:rsid w:val="008306E8"/>
    <w:rsid w:val="0083123D"/>
    <w:rsid w:val="0083242F"/>
    <w:rsid w:val="00833FE7"/>
    <w:rsid w:val="00834692"/>
    <w:rsid w:val="00835505"/>
    <w:rsid w:val="0083674E"/>
    <w:rsid w:val="0084099D"/>
    <w:rsid w:val="008413F3"/>
    <w:rsid w:val="00841541"/>
    <w:rsid w:val="008417A8"/>
    <w:rsid w:val="008438C0"/>
    <w:rsid w:val="008515B5"/>
    <w:rsid w:val="008521A9"/>
    <w:rsid w:val="00852A90"/>
    <w:rsid w:val="00852C99"/>
    <w:rsid w:val="00854390"/>
    <w:rsid w:val="008545F2"/>
    <w:rsid w:val="00854879"/>
    <w:rsid w:val="00854F50"/>
    <w:rsid w:val="008554F6"/>
    <w:rsid w:val="00855D13"/>
    <w:rsid w:val="00860EB1"/>
    <w:rsid w:val="008617CC"/>
    <w:rsid w:val="00861F4A"/>
    <w:rsid w:val="00862CE6"/>
    <w:rsid w:val="0086494B"/>
    <w:rsid w:val="00866B31"/>
    <w:rsid w:val="00866E04"/>
    <w:rsid w:val="0086722C"/>
    <w:rsid w:val="00867C70"/>
    <w:rsid w:val="0087053F"/>
    <w:rsid w:val="00870CE2"/>
    <w:rsid w:val="00872A79"/>
    <w:rsid w:val="00874895"/>
    <w:rsid w:val="0087595E"/>
    <w:rsid w:val="00876E68"/>
    <w:rsid w:val="00880816"/>
    <w:rsid w:val="0088111C"/>
    <w:rsid w:val="00881833"/>
    <w:rsid w:val="00882850"/>
    <w:rsid w:val="008829D0"/>
    <w:rsid w:val="00883310"/>
    <w:rsid w:val="00885F06"/>
    <w:rsid w:val="00886F2A"/>
    <w:rsid w:val="0088700A"/>
    <w:rsid w:val="00890AD6"/>
    <w:rsid w:val="00892AD8"/>
    <w:rsid w:val="00897751"/>
    <w:rsid w:val="00897C6F"/>
    <w:rsid w:val="008A0D99"/>
    <w:rsid w:val="008A126F"/>
    <w:rsid w:val="008A291D"/>
    <w:rsid w:val="008A3171"/>
    <w:rsid w:val="008A67FE"/>
    <w:rsid w:val="008A7863"/>
    <w:rsid w:val="008B1F73"/>
    <w:rsid w:val="008B27E0"/>
    <w:rsid w:val="008C0B1C"/>
    <w:rsid w:val="008C17BD"/>
    <w:rsid w:val="008C17C4"/>
    <w:rsid w:val="008C17E0"/>
    <w:rsid w:val="008C6100"/>
    <w:rsid w:val="008C6D69"/>
    <w:rsid w:val="008C703A"/>
    <w:rsid w:val="008C7A05"/>
    <w:rsid w:val="008D0135"/>
    <w:rsid w:val="008D12B4"/>
    <w:rsid w:val="008D1EA4"/>
    <w:rsid w:val="008D2CDD"/>
    <w:rsid w:val="008D2E66"/>
    <w:rsid w:val="008D56B2"/>
    <w:rsid w:val="008E144B"/>
    <w:rsid w:val="008E2DEE"/>
    <w:rsid w:val="008E3C88"/>
    <w:rsid w:val="008E4B1A"/>
    <w:rsid w:val="008E64FD"/>
    <w:rsid w:val="008F6836"/>
    <w:rsid w:val="00902E28"/>
    <w:rsid w:val="00903F1F"/>
    <w:rsid w:val="00904475"/>
    <w:rsid w:val="009065DB"/>
    <w:rsid w:val="00906B65"/>
    <w:rsid w:val="009107DB"/>
    <w:rsid w:val="0091156B"/>
    <w:rsid w:val="0091158A"/>
    <w:rsid w:val="0091201F"/>
    <w:rsid w:val="009125EE"/>
    <w:rsid w:val="00915CA5"/>
    <w:rsid w:val="0091662C"/>
    <w:rsid w:val="009207A3"/>
    <w:rsid w:val="009213E9"/>
    <w:rsid w:val="00921DC4"/>
    <w:rsid w:val="009229FF"/>
    <w:rsid w:val="00923BEE"/>
    <w:rsid w:val="009275A2"/>
    <w:rsid w:val="00933D21"/>
    <w:rsid w:val="00935096"/>
    <w:rsid w:val="00935DE0"/>
    <w:rsid w:val="00937034"/>
    <w:rsid w:val="009371CC"/>
    <w:rsid w:val="009372B5"/>
    <w:rsid w:val="009375C6"/>
    <w:rsid w:val="00940342"/>
    <w:rsid w:val="009414A0"/>
    <w:rsid w:val="00941534"/>
    <w:rsid w:val="0094383E"/>
    <w:rsid w:val="00943AFF"/>
    <w:rsid w:val="00943F80"/>
    <w:rsid w:val="00944F77"/>
    <w:rsid w:val="0094543A"/>
    <w:rsid w:val="00947463"/>
    <w:rsid w:val="00947705"/>
    <w:rsid w:val="00951947"/>
    <w:rsid w:val="00952829"/>
    <w:rsid w:val="00953E59"/>
    <w:rsid w:val="00955628"/>
    <w:rsid w:val="009567D7"/>
    <w:rsid w:val="00960559"/>
    <w:rsid w:val="009619E5"/>
    <w:rsid w:val="00961D6D"/>
    <w:rsid w:val="00963185"/>
    <w:rsid w:val="009633D8"/>
    <w:rsid w:val="00964BF9"/>
    <w:rsid w:val="009650F2"/>
    <w:rsid w:val="009676CC"/>
    <w:rsid w:val="00967B5B"/>
    <w:rsid w:val="009738EE"/>
    <w:rsid w:val="0097459A"/>
    <w:rsid w:val="00975219"/>
    <w:rsid w:val="00976B4A"/>
    <w:rsid w:val="00976D82"/>
    <w:rsid w:val="00980557"/>
    <w:rsid w:val="009814E4"/>
    <w:rsid w:val="009821EE"/>
    <w:rsid w:val="0098302B"/>
    <w:rsid w:val="0098340C"/>
    <w:rsid w:val="009835FD"/>
    <w:rsid w:val="009852F7"/>
    <w:rsid w:val="0099054B"/>
    <w:rsid w:val="00994363"/>
    <w:rsid w:val="009954EE"/>
    <w:rsid w:val="0099625A"/>
    <w:rsid w:val="00997770"/>
    <w:rsid w:val="009979F7"/>
    <w:rsid w:val="009A056F"/>
    <w:rsid w:val="009A0FCD"/>
    <w:rsid w:val="009A2111"/>
    <w:rsid w:val="009A3D4A"/>
    <w:rsid w:val="009A3E57"/>
    <w:rsid w:val="009A462C"/>
    <w:rsid w:val="009A5279"/>
    <w:rsid w:val="009A5D53"/>
    <w:rsid w:val="009B3811"/>
    <w:rsid w:val="009B550C"/>
    <w:rsid w:val="009B6123"/>
    <w:rsid w:val="009B65D6"/>
    <w:rsid w:val="009C20E2"/>
    <w:rsid w:val="009C274B"/>
    <w:rsid w:val="009C4893"/>
    <w:rsid w:val="009C495B"/>
    <w:rsid w:val="009C5AD5"/>
    <w:rsid w:val="009C684C"/>
    <w:rsid w:val="009C6B9C"/>
    <w:rsid w:val="009D0083"/>
    <w:rsid w:val="009D0573"/>
    <w:rsid w:val="009D1C81"/>
    <w:rsid w:val="009D4F99"/>
    <w:rsid w:val="009D61B1"/>
    <w:rsid w:val="009D64B1"/>
    <w:rsid w:val="009D6BB0"/>
    <w:rsid w:val="009D6E52"/>
    <w:rsid w:val="009E216F"/>
    <w:rsid w:val="009E2566"/>
    <w:rsid w:val="009E2AB8"/>
    <w:rsid w:val="009E4956"/>
    <w:rsid w:val="009E5331"/>
    <w:rsid w:val="009E6425"/>
    <w:rsid w:val="009F4FAD"/>
    <w:rsid w:val="009F70C2"/>
    <w:rsid w:val="00A006AF"/>
    <w:rsid w:val="00A010D9"/>
    <w:rsid w:val="00A0393C"/>
    <w:rsid w:val="00A03BD0"/>
    <w:rsid w:val="00A0429D"/>
    <w:rsid w:val="00A06486"/>
    <w:rsid w:val="00A06D1F"/>
    <w:rsid w:val="00A07147"/>
    <w:rsid w:val="00A104E0"/>
    <w:rsid w:val="00A12011"/>
    <w:rsid w:val="00A12815"/>
    <w:rsid w:val="00A13255"/>
    <w:rsid w:val="00A133EB"/>
    <w:rsid w:val="00A14192"/>
    <w:rsid w:val="00A14BE1"/>
    <w:rsid w:val="00A1714B"/>
    <w:rsid w:val="00A1756A"/>
    <w:rsid w:val="00A17FD7"/>
    <w:rsid w:val="00A20160"/>
    <w:rsid w:val="00A2307E"/>
    <w:rsid w:val="00A238BB"/>
    <w:rsid w:val="00A30023"/>
    <w:rsid w:val="00A3011F"/>
    <w:rsid w:val="00A32507"/>
    <w:rsid w:val="00A32A40"/>
    <w:rsid w:val="00A347AA"/>
    <w:rsid w:val="00A34F86"/>
    <w:rsid w:val="00A3599E"/>
    <w:rsid w:val="00A411CB"/>
    <w:rsid w:val="00A41C60"/>
    <w:rsid w:val="00A430B6"/>
    <w:rsid w:val="00A43FD5"/>
    <w:rsid w:val="00A44914"/>
    <w:rsid w:val="00A4518E"/>
    <w:rsid w:val="00A45CCB"/>
    <w:rsid w:val="00A47B5B"/>
    <w:rsid w:val="00A516D1"/>
    <w:rsid w:val="00A541B5"/>
    <w:rsid w:val="00A55D1C"/>
    <w:rsid w:val="00A570B7"/>
    <w:rsid w:val="00A57152"/>
    <w:rsid w:val="00A60283"/>
    <w:rsid w:val="00A621BD"/>
    <w:rsid w:val="00A64EAE"/>
    <w:rsid w:val="00A663CC"/>
    <w:rsid w:val="00A66687"/>
    <w:rsid w:val="00A666DC"/>
    <w:rsid w:val="00A66E4F"/>
    <w:rsid w:val="00A67D4F"/>
    <w:rsid w:val="00A70C47"/>
    <w:rsid w:val="00A71807"/>
    <w:rsid w:val="00A736BA"/>
    <w:rsid w:val="00A742CC"/>
    <w:rsid w:val="00A801F6"/>
    <w:rsid w:val="00A81A63"/>
    <w:rsid w:val="00A823D2"/>
    <w:rsid w:val="00A83D22"/>
    <w:rsid w:val="00A86D7C"/>
    <w:rsid w:val="00A870A0"/>
    <w:rsid w:val="00A901AD"/>
    <w:rsid w:val="00A90213"/>
    <w:rsid w:val="00A914B1"/>
    <w:rsid w:val="00A92C99"/>
    <w:rsid w:val="00A96890"/>
    <w:rsid w:val="00AA215D"/>
    <w:rsid w:val="00AA33A4"/>
    <w:rsid w:val="00AA4012"/>
    <w:rsid w:val="00AA7968"/>
    <w:rsid w:val="00AA7BF1"/>
    <w:rsid w:val="00AB11C4"/>
    <w:rsid w:val="00AB1C07"/>
    <w:rsid w:val="00AB378C"/>
    <w:rsid w:val="00AB492B"/>
    <w:rsid w:val="00AB4E46"/>
    <w:rsid w:val="00AB5225"/>
    <w:rsid w:val="00AB5778"/>
    <w:rsid w:val="00AB6E34"/>
    <w:rsid w:val="00AB7F2B"/>
    <w:rsid w:val="00AC0001"/>
    <w:rsid w:val="00AC06D7"/>
    <w:rsid w:val="00AC137F"/>
    <w:rsid w:val="00AC2259"/>
    <w:rsid w:val="00AC2CA7"/>
    <w:rsid w:val="00AC3437"/>
    <w:rsid w:val="00AC6540"/>
    <w:rsid w:val="00AC791B"/>
    <w:rsid w:val="00AD075D"/>
    <w:rsid w:val="00AD0B29"/>
    <w:rsid w:val="00AD2265"/>
    <w:rsid w:val="00AD2872"/>
    <w:rsid w:val="00AD29F7"/>
    <w:rsid w:val="00AD4BA7"/>
    <w:rsid w:val="00AD4D4C"/>
    <w:rsid w:val="00AD5C16"/>
    <w:rsid w:val="00AD5F5B"/>
    <w:rsid w:val="00AD63A2"/>
    <w:rsid w:val="00AD67E7"/>
    <w:rsid w:val="00AD7111"/>
    <w:rsid w:val="00AD7E1F"/>
    <w:rsid w:val="00AE4A4A"/>
    <w:rsid w:val="00AE5D6F"/>
    <w:rsid w:val="00AF122E"/>
    <w:rsid w:val="00AF2FA3"/>
    <w:rsid w:val="00AF3529"/>
    <w:rsid w:val="00AF35C6"/>
    <w:rsid w:val="00AF612B"/>
    <w:rsid w:val="00AF72AC"/>
    <w:rsid w:val="00AF750B"/>
    <w:rsid w:val="00AF7790"/>
    <w:rsid w:val="00B0102B"/>
    <w:rsid w:val="00B011A9"/>
    <w:rsid w:val="00B03EBB"/>
    <w:rsid w:val="00B0532E"/>
    <w:rsid w:val="00B07011"/>
    <w:rsid w:val="00B0709A"/>
    <w:rsid w:val="00B107CC"/>
    <w:rsid w:val="00B1171B"/>
    <w:rsid w:val="00B121CD"/>
    <w:rsid w:val="00B12EE5"/>
    <w:rsid w:val="00B132AE"/>
    <w:rsid w:val="00B13871"/>
    <w:rsid w:val="00B16429"/>
    <w:rsid w:val="00B16F8C"/>
    <w:rsid w:val="00B170BF"/>
    <w:rsid w:val="00B20714"/>
    <w:rsid w:val="00B20780"/>
    <w:rsid w:val="00B27374"/>
    <w:rsid w:val="00B3017B"/>
    <w:rsid w:val="00B32A3E"/>
    <w:rsid w:val="00B32E74"/>
    <w:rsid w:val="00B33B89"/>
    <w:rsid w:val="00B356CA"/>
    <w:rsid w:val="00B36610"/>
    <w:rsid w:val="00B37D96"/>
    <w:rsid w:val="00B4265D"/>
    <w:rsid w:val="00B44313"/>
    <w:rsid w:val="00B44B52"/>
    <w:rsid w:val="00B44C60"/>
    <w:rsid w:val="00B45852"/>
    <w:rsid w:val="00B45DAF"/>
    <w:rsid w:val="00B46481"/>
    <w:rsid w:val="00B46DB2"/>
    <w:rsid w:val="00B47C75"/>
    <w:rsid w:val="00B50599"/>
    <w:rsid w:val="00B518A0"/>
    <w:rsid w:val="00B52641"/>
    <w:rsid w:val="00B528C0"/>
    <w:rsid w:val="00B52B30"/>
    <w:rsid w:val="00B52D09"/>
    <w:rsid w:val="00B52EE5"/>
    <w:rsid w:val="00B55E47"/>
    <w:rsid w:val="00B57BD6"/>
    <w:rsid w:val="00B60019"/>
    <w:rsid w:val="00B60C1B"/>
    <w:rsid w:val="00B61A75"/>
    <w:rsid w:val="00B6420C"/>
    <w:rsid w:val="00B656B0"/>
    <w:rsid w:val="00B66DA1"/>
    <w:rsid w:val="00B67375"/>
    <w:rsid w:val="00B70F23"/>
    <w:rsid w:val="00B71415"/>
    <w:rsid w:val="00B72B65"/>
    <w:rsid w:val="00B7325E"/>
    <w:rsid w:val="00B75910"/>
    <w:rsid w:val="00B7795F"/>
    <w:rsid w:val="00B77BE9"/>
    <w:rsid w:val="00B80D77"/>
    <w:rsid w:val="00B82772"/>
    <w:rsid w:val="00B84473"/>
    <w:rsid w:val="00B8468D"/>
    <w:rsid w:val="00B86B60"/>
    <w:rsid w:val="00B87E48"/>
    <w:rsid w:val="00B93BFB"/>
    <w:rsid w:val="00B9536C"/>
    <w:rsid w:val="00B95375"/>
    <w:rsid w:val="00B957F8"/>
    <w:rsid w:val="00B95DF5"/>
    <w:rsid w:val="00B95EC2"/>
    <w:rsid w:val="00B96D4A"/>
    <w:rsid w:val="00BA02A4"/>
    <w:rsid w:val="00BA322A"/>
    <w:rsid w:val="00BA3B53"/>
    <w:rsid w:val="00BA51F6"/>
    <w:rsid w:val="00BA6EEA"/>
    <w:rsid w:val="00BA7F9B"/>
    <w:rsid w:val="00BB4167"/>
    <w:rsid w:val="00BB4BF6"/>
    <w:rsid w:val="00BB5245"/>
    <w:rsid w:val="00BB5806"/>
    <w:rsid w:val="00BB658D"/>
    <w:rsid w:val="00BB7307"/>
    <w:rsid w:val="00BB78BD"/>
    <w:rsid w:val="00BB7B6E"/>
    <w:rsid w:val="00BC10D2"/>
    <w:rsid w:val="00BC27E7"/>
    <w:rsid w:val="00BC2B23"/>
    <w:rsid w:val="00BC6AEC"/>
    <w:rsid w:val="00BC74E7"/>
    <w:rsid w:val="00BC7691"/>
    <w:rsid w:val="00BD1461"/>
    <w:rsid w:val="00BD27CD"/>
    <w:rsid w:val="00BD3925"/>
    <w:rsid w:val="00BD3EDD"/>
    <w:rsid w:val="00BD68D3"/>
    <w:rsid w:val="00BD6A4E"/>
    <w:rsid w:val="00BD7E25"/>
    <w:rsid w:val="00BE198F"/>
    <w:rsid w:val="00BE1D61"/>
    <w:rsid w:val="00BE27A5"/>
    <w:rsid w:val="00BE31CB"/>
    <w:rsid w:val="00BE715F"/>
    <w:rsid w:val="00BF1AE2"/>
    <w:rsid w:val="00BF2D72"/>
    <w:rsid w:val="00BF2EC8"/>
    <w:rsid w:val="00BF2F01"/>
    <w:rsid w:val="00BF3194"/>
    <w:rsid w:val="00BF3B94"/>
    <w:rsid w:val="00BF48CC"/>
    <w:rsid w:val="00BF5859"/>
    <w:rsid w:val="00BF6E15"/>
    <w:rsid w:val="00BF6E9F"/>
    <w:rsid w:val="00C00FDF"/>
    <w:rsid w:val="00C022F5"/>
    <w:rsid w:val="00C02FC9"/>
    <w:rsid w:val="00C05B79"/>
    <w:rsid w:val="00C061F0"/>
    <w:rsid w:val="00C11502"/>
    <w:rsid w:val="00C11830"/>
    <w:rsid w:val="00C126D3"/>
    <w:rsid w:val="00C12D10"/>
    <w:rsid w:val="00C13157"/>
    <w:rsid w:val="00C14B30"/>
    <w:rsid w:val="00C1770B"/>
    <w:rsid w:val="00C20B1D"/>
    <w:rsid w:val="00C2182A"/>
    <w:rsid w:val="00C25D2D"/>
    <w:rsid w:val="00C25E94"/>
    <w:rsid w:val="00C31FA0"/>
    <w:rsid w:val="00C32F1E"/>
    <w:rsid w:val="00C335C0"/>
    <w:rsid w:val="00C33748"/>
    <w:rsid w:val="00C3375B"/>
    <w:rsid w:val="00C36D5F"/>
    <w:rsid w:val="00C40EAE"/>
    <w:rsid w:val="00C426EF"/>
    <w:rsid w:val="00C43A9D"/>
    <w:rsid w:val="00C471FD"/>
    <w:rsid w:val="00C53C65"/>
    <w:rsid w:val="00C54313"/>
    <w:rsid w:val="00C551D7"/>
    <w:rsid w:val="00C5576F"/>
    <w:rsid w:val="00C56E27"/>
    <w:rsid w:val="00C57728"/>
    <w:rsid w:val="00C57A94"/>
    <w:rsid w:val="00C61064"/>
    <w:rsid w:val="00C63388"/>
    <w:rsid w:val="00C7008D"/>
    <w:rsid w:val="00C70D05"/>
    <w:rsid w:val="00C72C43"/>
    <w:rsid w:val="00C73412"/>
    <w:rsid w:val="00C738F3"/>
    <w:rsid w:val="00C7447B"/>
    <w:rsid w:val="00C75FDD"/>
    <w:rsid w:val="00C76FAA"/>
    <w:rsid w:val="00C80BC7"/>
    <w:rsid w:val="00C8147D"/>
    <w:rsid w:val="00C81AC9"/>
    <w:rsid w:val="00C81B98"/>
    <w:rsid w:val="00C82C3F"/>
    <w:rsid w:val="00C85083"/>
    <w:rsid w:val="00C86933"/>
    <w:rsid w:val="00C9163C"/>
    <w:rsid w:val="00C9519A"/>
    <w:rsid w:val="00C959D0"/>
    <w:rsid w:val="00C95B86"/>
    <w:rsid w:val="00C96592"/>
    <w:rsid w:val="00C96EFF"/>
    <w:rsid w:val="00C97E55"/>
    <w:rsid w:val="00CA2640"/>
    <w:rsid w:val="00CA4797"/>
    <w:rsid w:val="00CA5407"/>
    <w:rsid w:val="00CA56E1"/>
    <w:rsid w:val="00CA685C"/>
    <w:rsid w:val="00CA71FD"/>
    <w:rsid w:val="00CB2D6A"/>
    <w:rsid w:val="00CB3FEC"/>
    <w:rsid w:val="00CB4222"/>
    <w:rsid w:val="00CB447C"/>
    <w:rsid w:val="00CB4A16"/>
    <w:rsid w:val="00CB50CF"/>
    <w:rsid w:val="00CB79D9"/>
    <w:rsid w:val="00CB7B60"/>
    <w:rsid w:val="00CB7DD3"/>
    <w:rsid w:val="00CC166F"/>
    <w:rsid w:val="00CC4242"/>
    <w:rsid w:val="00CC5D50"/>
    <w:rsid w:val="00CC78A8"/>
    <w:rsid w:val="00CD3E74"/>
    <w:rsid w:val="00CD585D"/>
    <w:rsid w:val="00CD5BDE"/>
    <w:rsid w:val="00CD5D39"/>
    <w:rsid w:val="00CD6516"/>
    <w:rsid w:val="00CD77DF"/>
    <w:rsid w:val="00CE0C01"/>
    <w:rsid w:val="00CE34C4"/>
    <w:rsid w:val="00CE3E25"/>
    <w:rsid w:val="00CE4E0A"/>
    <w:rsid w:val="00CE6D3B"/>
    <w:rsid w:val="00CE7670"/>
    <w:rsid w:val="00CF05C2"/>
    <w:rsid w:val="00CF1FBA"/>
    <w:rsid w:val="00CF2480"/>
    <w:rsid w:val="00CF4A9B"/>
    <w:rsid w:val="00CF5288"/>
    <w:rsid w:val="00CF629D"/>
    <w:rsid w:val="00D01BA0"/>
    <w:rsid w:val="00D03A4F"/>
    <w:rsid w:val="00D04402"/>
    <w:rsid w:val="00D044A3"/>
    <w:rsid w:val="00D04BB1"/>
    <w:rsid w:val="00D0558D"/>
    <w:rsid w:val="00D05BC2"/>
    <w:rsid w:val="00D0603A"/>
    <w:rsid w:val="00D0653A"/>
    <w:rsid w:val="00D06625"/>
    <w:rsid w:val="00D077A3"/>
    <w:rsid w:val="00D101B1"/>
    <w:rsid w:val="00D10AAA"/>
    <w:rsid w:val="00D13F5C"/>
    <w:rsid w:val="00D154A8"/>
    <w:rsid w:val="00D218EB"/>
    <w:rsid w:val="00D23C14"/>
    <w:rsid w:val="00D23EB3"/>
    <w:rsid w:val="00D241A7"/>
    <w:rsid w:val="00D253A2"/>
    <w:rsid w:val="00D25AFB"/>
    <w:rsid w:val="00D338F7"/>
    <w:rsid w:val="00D3582F"/>
    <w:rsid w:val="00D40F6C"/>
    <w:rsid w:val="00D42635"/>
    <w:rsid w:val="00D428FE"/>
    <w:rsid w:val="00D431DF"/>
    <w:rsid w:val="00D4360A"/>
    <w:rsid w:val="00D45356"/>
    <w:rsid w:val="00D466B3"/>
    <w:rsid w:val="00D516A5"/>
    <w:rsid w:val="00D5340E"/>
    <w:rsid w:val="00D539F2"/>
    <w:rsid w:val="00D615C6"/>
    <w:rsid w:val="00D639D8"/>
    <w:rsid w:val="00D6412F"/>
    <w:rsid w:val="00D654B6"/>
    <w:rsid w:val="00D66778"/>
    <w:rsid w:val="00D67B9E"/>
    <w:rsid w:val="00D72048"/>
    <w:rsid w:val="00D72AB2"/>
    <w:rsid w:val="00D802BA"/>
    <w:rsid w:val="00D822D2"/>
    <w:rsid w:val="00D83362"/>
    <w:rsid w:val="00D85589"/>
    <w:rsid w:val="00D85BF8"/>
    <w:rsid w:val="00D863FC"/>
    <w:rsid w:val="00D86CC4"/>
    <w:rsid w:val="00D86FA0"/>
    <w:rsid w:val="00D91A76"/>
    <w:rsid w:val="00D921CD"/>
    <w:rsid w:val="00D9278B"/>
    <w:rsid w:val="00D95749"/>
    <w:rsid w:val="00D96762"/>
    <w:rsid w:val="00D976E7"/>
    <w:rsid w:val="00D97929"/>
    <w:rsid w:val="00D97B28"/>
    <w:rsid w:val="00DA3828"/>
    <w:rsid w:val="00DA7F21"/>
    <w:rsid w:val="00DB0087"/>
    <w:rsid w:val="00DB040C"/>
    <w:rsid w:val="00DB089B"/>
    <w:rsid w:val="00DB0F25"/>
    <w:rsid w:val="00DB2012"/>
    <w:rsid w:val="00DB2878"/>
    <w:rsid w:val="00DB2968"/>
    <w:rsid w:val="00DB2F8E"/>
    <w:rsid w:val="00DB3849"/>
    <w:rsid w:val="00DB434B"/>
    <w:rsid w:val="00DB4877"/>
    <w:rsid w:val="00DB4FCC"/>
    <w:rsid w:val="00DB6AF6"/>
    <w:rsid w:val="00DB6FD2"/>
    <w:rsid w:val="00DC13F1"/>
    <w:rsid w:val="00DC3B73"/>
    <w:rsid w:val="00DC53F0"/>
    <w:rsid w:val="00DC60B1"/>
    <w:rsid w:val="00DC6258"/>
    <w:rsid w:val="00DC748E"/>
    <w:rsid w:val="00DD1C29"/>
    <w:rsid w:val="00DD2EF4"/>
    <w:rsid w:val="00DD3A25"/>
    <w:rsid w:val="00DD44D6"/>
    <w:rsid w:val="00DE0445"/>
    <w:rsid w:val="00DE0835"/>
    <w:rsid w:val="00DE1805"/>
    <w:rsid w:val="00DE252F"/>
    <w:rsid w:val="00DE6B36"/>
    <w:rsid w:val="00DF1166"/>
    <w:rsid w:val="00DF1376"/>
    <w:rsid w:val="00DF5F2F"/>
    <w:rsid w:val="00DF72F1"/>
    <w:rsid w:val="00DF74D8"/>
    <w:rsid w:val="00E01D74"/>
    <w:rsid w:val="00E025A3"/>
    <w:rsid w:val="00E02E5B"/>
    <w:rsid w:val="00E06234"/>
    <w:rsid w:val="00E068F3"/>
    <w:rsid w:val="00E06E3F"/>
    <w:rsid w:val="00E07E09"/>
    <w:rsid w:val="00E10B3C"/>
    <w:rsid w:val="00E12A14"/>
    <w:rsid w:val="00E13D74"/>
    <w:rsid w:val="00E20469"/>
    <w:rsid w:val="00E209C8"/>
    <w:rsid w:val="00E2179A"/>
    <w:rsid w:val="00E21D57"/>
    <w:rsid w:val="00E261DA"/>
    <w:rsid w:val="00E26388"/>
    <w:rsid w:val="00E2664C"/>
    <w:rsid w:val="00E26CD8"/>
    <w:rsid w:val="00E27990"/>
    <w:rsid w:val="00E31127"/>
    <w:rsid w:val="00E3178F"/>
    <w:rsid w:val="00E31CC0"/>
    <w:rsid w:val="00E332A8"/>
    <w:rsid w:val="00E341BF"/>
    <w:rsid w:val="00E35F1C"/>
    <w:rsid w:val="00E36564"/>
    <w:rsid w:val="00E36594"/>
    <w:rsid w:val="00E412F6"/>
    <w:rsid w:val="00E41850"/>
    <w:rsid w:val="00E42248"/>
    <w:rsid w:val="00E427FF"/>
    <w:rsid w:val="00E42E4D"/>
    <w:rsid w:val="00E433F5"/>
    <w:rsid w:val="00E43A63"/>
    <w:rsid w:val="00E45D14"/>
    <w:rsid w:val="00E461F6"/>
    <w:rsid w:val="00E46879"/>
    <w:rsid w:val="00E47351"/>
    <w:rsid w:val="00E5150D"/>
    <w:rsid w:val="00E5177E"/>
    <w:rsid w:val="00E53864"/>
    <w:rsid w:val="00E54A3A"/>
    <w:rsid w:val="00E54E6A"/>
    <w:rsid w:val="00E5509E"/>
    <w:rsid w:val="00E61539"/>
    <w:rsid w:val="00E632E1"/>
    <w:rsid w:val="00E633A8"/>
    <w:rsid w:val="00E63F39"/>
    <w:rsid w:val="00E6746C"/>
    <w:rsid w:val="00E6777D"/>
    <w:rsid w:val="00E72F18"/>
    <w:rsid w:val="00E73D0A"/>
    <w:rsid w:val="00E74C18"/>
    <w:rsid w:val="00E75125"/>
    <w:rsid w:val="00E76303"/>
    <w:rsid w:val="00E764D7"/>
    <w:rsid w:val="00E7650F"/>
    <w:rsid w:val="00E76B8C"/>
    <w:rsid w:val="00E76FDB"/>
    <w:rsid w:val="00E7767D"/>
    <w:rsid w:val="00E81FE6"/>
    <w:rsid w:val="00E82D49"/>
    <w:rsid w:val="00E84550"/>
    <w:rsid w:val="00E85563"/>
    <w:rsid w:val="00E90349"/>
    <w:rsid w:val="00E9198A"/>
    <w:rsid w:val="00E92829"/>
    <w:rsid w:val="00E93525"/>
    <w:rsid w:val="00E93934"/>
    <w:rsid w:val="00E94DA8"/>
    <w:rsid w:val="00E94E7B"/>
    <w:rsid w:val="00E96D46"/>
    <w:rsid w:val="00E976B7"/>
    <w:rsid w:val="00EA166E"/>
    <w:rsid w:val="00EA2B24"/>
    <w:rsid w:val="00EA306A"/>
    <w:rsid w:val="00EA56A4"/>
    <w:rsid w:val="00EB0845"/>
    <w:rsid w:val="00EB0C98"/>
    <w:rsid w:val="00EB0E11"/>
    <w:rsid w:val="00EB2652"/>
    <w:rsid w:val="00EB2E14"/>
    <w:rsid w:val="00EB414C"/>
    <w:rsid w:val="00EB41E9"/>
    <w:rsid w:val="00EB43E8"/>
    <w:rsid w:val="00EB444D"/>
    <w:rsid w:val="00EB4EFA"/>
    <w:rsid w:val="00EB56AC"/>
    <w:rsid w:val="00EB581A"/>
    <w:rsid w:val="00EC030D"/>
    <w:rsid w:val="00EC05D4"/>
    <w:rsid w:val="00EC150B"/>
    <w:rsid w:val="00EC1726"/>
    <w:rsid w:val="00EC17A4"/>
    <w:rsid w:val="00EC34E6"/>
    <w:rsid w:val="00EC69B1"/>
    <w:rsid w:val="00EC6DAE"/>
    <w:rsid w:val="00EC7AC6"/>
    <w:rsid w:val="00ED14A4"/>
    <w:rsid w:val="00ED1FAA"/>
    <w:rsid w:val="00ED5CF0"/>
    <w:rsid w:val="00ED6431"/>
    <w:rsid w:val="00EE00ED"/>
    <w:rsid w:val="00EE2CAA"/>
    <w:rsid w:val="00EE3B21"/>
    <w:rsid w:val="00EE6A8A"/>
    <w:rsid w:val="00EF0DE1"/>
    <w:rsid w:val="00EF2C4C"/>
    <w:rsid w:val="00EF75CF"/>
    <w:rsid w:val="00EF7CEE"/>
    <w:rsid w:val="00F01868"/>
    <w:rsid w:val="00F020B5"/>
    <w:rsid w:val="00F02BF6"/>
    <w:rsid w:val="00F04420"/>
    <w:rsid w:val="00F070B8"/>
    <w:rsid w:val="00F1484D"/>
    <w:rsid w:val="00F15A4E"/>
    <w:rsid w:val="00F17D8C"/>
    <w:rsid w:val="00F21076"/>
    <w:rsid w:val="00F23991"/>
    <w:rsid w:val="00F23DEC"/>
    <w:rsid w:val="00F23F83"/>
    <w:rsid w:val="00F243F8"/>
    <w:rsid w:val="00F24560"/>
    <w:rsid w:val="00F27E3E"/>
    <w:rsid w:val="00F30B7F"/>
    <w:rsid w:val="00F32D34"/>
    <w:rsid w:val="00F354F0"/>
    <w:rsid w:val="00F358C9"/>
    <w:rsid w:val="00F36D81"/>
    <w:rsid w:val="00F42DBE"/>
    <w:rsid w:val="00F43314"/>
    <w:rsid w:val="00F44361"/>
    <w:rsid w:val="00F4513C"/>
    <w:rsid w:val="00F501A9"/>
    <w:rsid w:val="00F501EB"/>
    <w:rsid w:val="00F509E0"/>
    <w:rsid w:val="00F50ABE"/>
    <w:rsid w:val="00F50F0E"/>
    <w:rsid w:val="00F5184D"/>
    <w:rsid w:val="00F51CDA"/>
    <w:rsid w:val="00F51D40"/>
    <w:rsid w:val="00F52344"/>
    <w:rsid w:val="00F52EB1"/>
    <w:rsid w:val="00F53302"/>
    <w:rsid w:val="00F54C9D"/>
    <w:rsid w:val="00F54F48"/>
    <w:rsid w:val="00F5519B"/>
    <w:rsid w:val="00F5682F"/>
    <w:rsid w:val="00F63509"/>
    <w:rsid w:val="00F63801"/>
    <w:rsid w:val="00F63F7D"/>
    <w:rsid w:val="00F66379"/>
    <w:rsid w:val="00F72C74"/>
    <w:rsid w:val="00F7342D"/>
    <w:rsid w:val="00F753A0"/>
    <w:rsid w:val="00F76548"/>
    <w:rsid w:val="00F77BEF"/>
    <w:rsid w:val="00F81A1A"/>
    <w:rsid w:val="00F83EB4"/>
    <w:rsid w:val="00F83F9F"/>
    <w:rsid w:val="00F844C0"/>
    <w:rsid w:val="00F85ABF"/>
    <w:rsid w:val="00F86725"/>
    <w:rsid w:val="00F91114"/>
    <w:rsid w:val="00F91628"/>
    <w:rsid w:val="00F94094"/>
    <w:rsid w:val="00F945F0"/>
    <w:rsid w:val="00F94B47"/>
    <w:rsid w:val="00F959AD"/>
    <w:rsid w:val="00F96513"/>
    <w:rsid w:val="00FA02FE"/>
    <w:rsid w:val="00FA1A94"/>
    <w:rsid w:val="00FA1AC5"/>
    <w:rsid w:val="00FA21DE"/>
    <w:rsid w:val="00FA24B5"/>
    <w:rsid w:val="00FA2FB6"/>
    <w:rsid w:val="00FA3D85"/>
    <w:rsid w:val="00FA441A"/>
    <w:rsid w:val="00FA5191"/>
    <w:rsid w:val="00FB099B"/>
    <w:rsid w:val="00FB0E25"/>
    <w:rsid w:val="00FB1422"/>
    <w:rsid w:val="00FB1C52"/>
    <w:rsid w:val="00FB2077"/>
    <w:rsid w:val="00FB27B9"/>
    <w:rsid w:val="00FB2F5B"/>
    <w:rsid w:val="00FB30C0"/>
    <w:rsid w:val="00FB347D"/>
    <w:rsid w:val="00FB34B7"/>
    <w:rsid w:val="00FB3D42"/>
    <w:rsid w:val="00FB50CD"/>
    <w:rsid w:val="00FB60B5"/>
    <w:rsid w:val="00FB73FB"/>
    <w:rsid w:val="00FC2042"/>
    <w:rsid w:val="00FC2EAC"/>
    <w:rsid w:val="00FC3C6A"/>
    <w:rsid w:val="00FC5120"/>
    <w:rsid w:val="00FD1271"/>
    <w:rsid w:val="00FD1AEE"/>
    <w:rsid w:val="00FD1D1F"/>
    <w:rsid w:val="00FD2B78"/>
    <w:rsid w:val="00FD417C"/>
    <w:rsid w:val="00FD6AC7"/>
    <w:rsid w:val="00FD7515"/>
    <w:rsid w:val="00FE53E0"/>
    <w:rsid w:val="00FF215C"/>
    <w:rsid w:val="00FF4D39"/>
    <w:rsid w:val="00FF5D6F"/>
    <w:rsid w:val="00FF5F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7F15E"/>
  <w15:chartTrackingRefBased/>
  <w15:docId w15:val="{465DE7B1-F85D-4813-A5D0-21180545A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5C2"/>
    <w:pPr>
      <w:spacing w:line="256" w:lineRule="auto"/>
    </w:pPr>
  </w:style>
  <w:style w:type="paragraph" w:styleId="Heading1">
    <w:name w:val="heading 1"/>
    <w:basedOn w:val="ActHead5"/>
    <w:next w:val="Normal"/>
    <w:link w:val="Heading1Char"/>
    <w:uiPriority w:val="9"/>
    <w:qFormat/>
    <w:rsid w:val="005877F2"/>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T">
    <w:name w:val="ShortT"/>
    <w:basedOn w:val="Normal"/>
    <w:next w:val="Normal"/>
    <w:qFormat/>
    <w:rsid w:val="00CF05C2"/>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CF05C2"/>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CF05C2"/>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customStyle="1" w:styleId="ActHead5">
    <w:name w:val="ActHead 5"/>
    <w:aliases w:val="s"/>
    <w:basedOn w:val="Normal"/>
    <w:next w:val="subsection"/>
    <w:qFormat/>
    <w:rsid w:val="00CF05C2"/>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CF05C2"/>
  </w:style>
  <w:style w:type="paragraph" w:customStyle="1" w:styleId="subsection">
    <w:name w:val="subsection"/>
    <w:aliases w:val="ss,Subsection"/>
    <w:basedOn w:val="Normal"/>
    <w:link w:val="subsectionChar"/>
    <w:rsid w:val="00CF05C2"/>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CF05C2"/>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CF05C2"/>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CF05C2"/>
    <w:rPr>
      <w:color w:val="0000FF"/>
      <w:u w:val="single"/>
    </w:rPr>
  </w:style>
  <w:style w:type="character" w:customStyle="1" w:styleId="LI-BodyTextNoteChar">
    <w:name w:val="LI - Body Text Note Char"/>
    <w:link w:val="LI-BodyTextNote"/>
    <w:rsid w:val="00CF05C2"/>
    <w:rPr>
      <w:rFonts w:ascii="Times New Roman" w:eastAsia="Times New Roman" w:hAnsi="Times New Roman" w:cs="Times New Roman"/>
      <w:sz w:val="18"/>
      <w:szCs w:val="20"/>
      <w:lang w:eastAsia="en-AU"/>
    </w:rPr>
  </w:style>
  <w:style w:type="paragraph" w:customStyle="1" w:styleId="Definition">
    <w:name w:val="Definition"/>
    <w:aliases w:val="dd"/>
    <w:basedOn w:val="Normal"/>
    <w:link w:val="DefinitionChar"/>
    <w:rsid w:val="00CF05C2"/>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CF05C2"/>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CF05C2"/>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CF05C2"/>
    <w:rPr>
      <w:rFonts w:ascii="Times New Roman" w:eastAsia="Times New Roman" w:hAnsi="Times New Roman" w:cs="Times New Roman"/>
      <w:sz w:val="18"/>
      <w:szCs w:val="20"/>
      <w:lang w:eastAsia="en-AU"/>
    </w:rPr>
  </w:style>
  <w:style w:type="paragraph" w:customStyle="1" w:styleId="paragraph">
    <w:name w:val="paragraph"/>
    <w:aliases w:val="a"/>
    <w:basedOn w:val="Normal"/>
    <w:link w:val="paragraphChar"/>
    <w:rsid w:val="00CF05C2"/>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CF05C2"/>
    <w:rPr>
      <w:rFonts w:ascii="Times New Roman" w:eastAsia="Times New Roman" w:hAnsi="Times New Roman" w:cs="Times New Roman"/>
      <w:szCs w:val="20"/>
      <w:lang w:eastAsia="en-AU"/>
    </w:rPr>
  </w:style>
  <w:style w:type="character" w:customStyle="1" w:styleId="DefinitionChar">
    <w:name w:val="Definition Char"/>
    <w:aliases w:val="dd Char"/>
    <w:link w:val="Definition"/>
    <w:rsid w:val="00CF05C2"/>
    <w:rPr>
      <w:rFonts w:ascii="Times New Roman" w:eastAsia="Times New Roman" w:hAnsi="Times New Roman" w:cs="Times New Roman"/>
      <w:szCs w:val="20"/>
      <w:lang w:eastAsia="en-AU"/>
    </w:rPr>
  </w:style>
  <w:style w:type="paragraph" w:styleId="Header">
    <w:name w:val="header"/>
    <w:basedOn w:val="Normal"/>
    <w:link w:val="HeaderChar"/>
    <w:uiPriority w:val="99"/>
    <w:unhideWhenUsed/>
    <w:rsid w:val="00CF05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5C2"/>
  </w:style>
  <w:style w:type="paragraph" w:styleId="Footer">
    <w:name w:val="footer"/>
    <w:basedOn w:val="Normal"/>
    <w:link w:val="FooterChar"/>
    <w:uiPriority w:val="99"/>
    <w:unhideWhenUsed/>
    <w:rsid w:val="00CF05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5C2"/>
  </w:style>
  <w:style w:type="character" w:styleId="CommentReference">
    <w:name w:val="annotation reference"/>
    <w:basedOn w:val="DefaultParagraphFont"/>
    <w:uiPriority w:val="99"/>
    <w:semiHidden/>
    <w:unhideWhenUsed/>
    <w:rsid w:val="00CF05C2"/>
    <w:rPr>
      <w:sz w:val="16"/>
      <w:szCs w:val="16"/>
    </w:rPr>
  </w:style>
  <w:style w:type="paragraph" w:styleId="CommentText">
    <w:name w:val="annotation text"/>
    <w:basedOn w:val="Normal"/>
    <w:link w:val="CommentTextChar"/>
    <w:uiPriority w:val="99"/>
    <w:unhideWhenUsed/>
    <w:rsid w:val="00CF05C2"/>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CF05C2"/>
    <w:rPr>
      <w:rFonts w:ascii="Times New Roman" w:hAnsi="Times New Roman"/>
      <w:sz w:val="20"/>
      <w:szCs w:val="20"/>
    </w:rPr>
  </w:style>
  <w:style w:type="paragraph" w:customStyle="1" w:styleId="paragraphsub">
    <w:name w:val="paragraph(sub)"/>
    <w:aliases w:val="aa"/>
    <w:basedOn w:val="Normal"/>
    <w:rsid w:val="00CF05C2"/>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character" w:styleId="UnresolvedMention">
    <w:name w:val="Unresolved Mention"/>
    <w:basedOn w:val="DefaultParagraphFont"/>
    <w:uiPriority w:val="99"/>
    <w:semiHidden/>
    <w:unhideWhenUsed/>
    <w:rsid w:val="006424F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C684C"/>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9C684C"/>
    <w:rPr>
      <w:rFonts w:ascii="Times New Roman" w:hAnsi="Times New Roman"/>
      <w:b/>
      <w:bCs/>
      <w:sz w:val="20"/>
      <w:szCs w:val="20"/>
    </w:rPr>
  </w:style>
  <w:style w:type="character" w:customStyle="1" w:styleId="Heading1Char">
    <w:name w:val="Heading 1 Char"/>
    <w:basedOn w:val="DefaultParagraphFont"/>
    <w:link w:val="Heading1"/>
    <w:uiPriority w:val="9"/>
    <w:rsid w:val="005877F2"/>
    <w:rPr>
      <w:rFonts w:ascii="Times New Roman" w:eastAsia="Times New Roman" w:hAnsi="Times New Roman" w:cs="Times New Roman"/>
      <w:b/>
      <w:kern w:val="28"/>
      <w:sz w:val="24"/>
      <w:szCs w:val="20"/>
      <w:lang w:eastAsia="en-AU"/>
    </w:rPr>
  </w:style>
  <w:style w:type="character" w:styleId="PlaceholderText">
    <w:name w:val="Placeholder Text"/>
    <w:basedOn w:val="DefaultParagraphFont"/>
    <w:uiPriority w:val="99"/>
    <w:semiHidden/>
    <w:rsid w:val="00D218EB"/>
    <w:rPr>
      <w:color w:val="808080"/>
    </w:rPr>
  </w:style>
  <w:style w:type="paragraph" w:customStyle="1" w:styleId="hr">
    <w:name w:val="hr"/>
    <w:basedOn w:val="Normal"/>
    <w:rsid w:val="00A9689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A96890"/>
  </w:style>
  <w:style w:type="paragraph" w:customStyle="1" w:styleId="r1">
    <w:name w:val="r1"/>
    <w:basedOn w:val="Normal"/>
    <w:rsid w:val="00A9689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2">
    <w:name w:val="r2"/>
    <w:basedOn w:val="Normal"/>
    <w:rsid w:val="00A9689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F42DBE"/>
    <w:rPr>
      <w:color w:val="954F72" w:themeColor="followedHyperlink"/>
      <w:u w:val="single"/>
    </w:rPr>
  </w:style>
  <w:style w:type="paragraph" w:styleId="Revision">
    <w:name w:val="Revision"/>
    <w:hidden/>
    <w:uiPriority w:val="99"/>
    <w:semiHidden/>
    <w:rsid w:val="0008120F"/>
    <w:pPr>
      <w:spacing w:after="0" w:line="240" w:lineRule="auto"/>
    </w:pPr>
  </w:style>
  <w:style w:type="paragraph" w:customStyle="1" w:styleId="zdefinition">
    <w:name w:val="zdefinition"/>
    <w:basedOn w:val="Normal"/>
    <w:rsid w:val="0058048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definition">
    <w:name w:val="p1definition"/>
    <w:basedOn w:val="Normal"/>
    <w:rsid w:val="0058048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2">
    <w:name w:val="p2"/>
    <w:basedOn w:val="Normal"/>
    <w:rsid w:val="0058048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inition0">
    <w:name w:val="definition"/>
    <w:basedOn w:val="Normal"/>
    <w:rsid w:val="00F070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0">
    <w:name w:val="paragraphsub"/>
    <w:basedOn w:val="Normal"/>
    <w:rsid w:val="00F070B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8829">
      <w:bodyDiv w:val="1"/>
      <w:marLeft w:val="0"/>
      <w:marRight w:val="0"/>
      <w:marTop w:val="0"/>
      <w:marBottom w:val="0"/>
      <w:divBdr>
        <w:top w:val="none" w:sz="0" w:space="0" w:color="auto"/>
        <w:left w:val="none" w:sz="0" w:space="0" w:color="auto"/>
        <w:bottom w:val="none" w:sz="0" w:space="0" w:color="auto"/>
        <w:right w:val="none" w:sz="0" w:space="0" w:color="auto"/>
      </w:divBdr>
    </w:div>
    <w:div w:id="225578363">
      <w:bodyDiv w:val="1"/>
      <w:marLeft w:val="0"/>
      <w:marRight w:val="0"/>
      <w:marTop w:val="0"/>
      <w:marBottom w:val="0"/>
      <w:divBdr>
        <w:top w:val="none" w:sz="0" w:space="0" w:color="auto"/>
        <w:left w:val="none" w:sz="0" w:space="0" w:color="auto"/>
        <w:bottom w:val="none" w:sz="0" w:space="0" w:color="auto"/>
        <w:right w:val="none" w:sz="0" w:space="0" w:color="auto"/>
      </w:divBdr>
    </w:div>
    <w:div w:id="1283460497">
      <w:bodyDiv w:val="1"/>
      <w:marLeft w:val="0"/>
      <w:marRight w:val="0"/>
      <w:marTop w:val="0"/>
      <w:marBottom w:val="0"/>
      <w:divBdr>
        <w:top w:val="none" w:sz="0" w:space="0" w:color="auto"/>
        <w:left w:val="none" w:sz="0" w:space="0" w:color="auto"/>
        <w:bottom w:val="none" w:sz="0" w:space="0" w:color="auto"/>
        <w:right w:val="none" w:sz="0" w:space="0" w:color="auto"/>
      </w:divBdr>
    </w:div>
    <w:div w:id="1409692403">
      <w:bodyDiv w:val="1"/>
      <w:marLeft w:val="0"/>
      <w:marRight w:val="0"/>
      <w:marTop w:val="0"/>
      <w:marBottom w:val="0"/>
      <w:divBdr>
        <w:top w:val="none" w:sz="0" w:space="0" w:color="auto"/>
        <w:left w:val="none" w:sz="0" w:space="0" w:color="auto"/>
        <w:bottom w:val="none" w:sz="0" w:space="0" w:color="auto"/>
        <w:right w:val="none" w:sz="0" w:space="0" w:color="auto"/>
      </w:divBdr>
    </w:div>
    <w:div w:id="174838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au" TargetMode="External"/><Relationship Id="rId18" Type="http://schemas.openxmlformats.org/officeDocument/2006/relationships/hyperlink" Target="http://www.acma.gov.au"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acma.gov.au" TargetMode="External"/><Relationship Id="rId25" Type="http://schemas.openxmlformats.org/officeDocument/2006/relationships/header" Target="header4.xml"/><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http://www.acma.gov.au" TargetMode="External"/><Relationship Id="rId20" Type="http://schemas.openxmlformats.org/officeDocument/2006/relationships/header" Target="header1.xml"/><Relationship Id="rId29" Type="http://schemas.openxmlformats.org/officeDocument/2006/relationships/hyperlink" Target="http://www.itu.i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itu.int" TargetMode="External"/><Relationship Id="rId32"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hyperlink" Target="http://www.acma.gov.au" TargetMode="External"/><Relationship Id="rId23" Type="http://schemas.openxmlformats.org/officeDocument/2006/relationships/header" Target="header3.xml"/><Relationship Id="rId28" Type="http://schemas.openxmlformats.org/officeDocument/2006/relationships/hyperlink" Target="http://www.itu.int" TargetMode="External"/><Relationship Id="rId10" Type="http://schemas.openxmlformats.org/officeDocument/2006/relationships/footnotes" Target="footnotes.xml"/><Relationship Id="rId19" Type="http://schemas.openxmlformats.org/officeDocument/2006/relationships/hyperlink" Target="http://www.legislation.gov.au"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cma.gov.au" TargetMode="External"/><Relationship Id="rId22" Type="http://schemas.openxmlformats.org/officeDocument/2006/relationships/footer" Target="footer1.xml"/><Relationship Id="rId27" Type="http://schemas.openxmlformats.org/officeDocument/2006/relationships/header" Target="header6.xml"/><Relationship Id="rId30" Type="http://schemas.openxmlformats.org/officeDocument/2006/relationships/hyperlink" Target="http://www.acma.gov.au"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22B896673C3B4CAC6395581CF998E6" ma:contentTypeVersion="8" ma:contentTypeDescription="Create a new document." ma:contentTypeScope="" ma:versionID="f23df6dd90b35ef5a7fe3922e93e7337">
  <xsd:schema xmlns:xsd="http://www.w3.org/2001/XMLSchema" xmlns:xs="http://www.w3.org/2001/XMLSchema" xmlns:p="http://schemas.microsoft.com/office/2006/metadata/properties" xmlns:ns2="1d983eb4-33f7-44b0-aea1-cbdcf0c55136" targetNamespace="http://schemas.microsoft.com/office/2006/metadata/properties" ma:root="true" ma:fieldsID="85ca1f7d1e1b38634bae0caaff15e10b" ns2:_="">
    <xsd:import namespace="1d983eb4-33f7-44b0-aea1-cbdcf0c5513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d983eb4-33f7-44b0-aea1-cbdcf0c55136">3NE2HDV7HD6D-128-8255</_dlc_DocId>
    <_dlc_DocIdUrl xmlns="1d983eb4-33f7-44b0-aea1-cbdcf0c55136">
      <Url>http://collaboration/organisation/cid/speb/sp/_layouts/15/DocIdRedir.aspx?ID=3NE2HDV7HD6D-128-8255</Url>
      <Description>3NE2HDV7HD6D-128-8255</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0C7F2C6-AF68-4138-BA7E-8B2B9BDD335F}"/>
</file>

<file path=customXml/itemProps2.xml><?xml version="1.0" encoding="utf-8"?>
<ds:datastoreItem xmlns:ds="http://schemas.openxmlformats.org/officeDocument/2006/customXml" ds:itemID="{071F74D5-FF3D-4A72-A3A9-F4CEA2B9AFFC}">
  <ds:schemaRefs>
    <ds:schemaRef ds:uri="http://schemas.microsoft.com/sharepoint/v3/contenttype/forms"/>
  </ds:schemaRefs>
</ds:datastoreItem>
</file>

<file path=customXml/itemProps3.xml><?xml version="1.0" encoding="utf-8"?>
<ds:datastoreItem xmlns:ds="http://schemas.openxmlformats.org/officeDocument/2006/customXml" ds:itemID="{AFB51051-58DF-4BEB-900C-D53ADE192E55}">
  <ds:schemaRefs>
    <ds:schemaRef ds:uri="http://schemas.microsoft.com/office/2006/metadata/properties"/>
    <ds:schemaRef ds:uri="http://schemas.microsoft.com/office/infopath/2007/PartnerControls"/>
    <ds:schemaRef ds:uri="1d983eb4-33f7-44b0-aea1-cbdcf0c55136"/>
    <ds:schemaRef ds:uri="04b8ec43-391f-4ce4-8841-d6a482add564"/>
    <ds:schemaRef ds:uri="026d8262-4725-4a9c-834e-3f991ab17ffd"/>
  </ds:schemaRefs>
</ds:datastoreItem>
</file>

<file path=customXml/itemProps4.xml><?xml version="1.0" encoding="utf-8"?>
<ds:datastoreItem xmlns:ds="http://schemas.openxmlformats.org/officeDocument/2006/customXml" ds:itemID="{780DE7AA-44ED-4F7C-A832-39311C0DE45C}">
  <ds:schemaRefs>
    <ds:schemaRef ds:uri="http://schemas.openxmlformats.org/officeDocument/2006/bibliography"/>
  </ds:schemaRefs>
</ds:datastoreItem>
</file>

<file path=customXml/itemProps5.xml><?xml version="1.0" encoding="utf-8"?>
<ds:datastoreItem xmlns:ds="http://schemas.openxmlformats.org/officeDocument/2006/customXml" ds:itemID="{CF7F57F9-0FA9-4899-9F7E-EEDAD18A542F}"/>
</file>

<file path=docProps/app.xml><?xml version="1.0" encoding="utf-8"?>
<Properties xmlns="http://schemas.openxmlformats.org/officeDocument/2006/extended-properties" xmlns:vt="http://schemas.openxmlformats.org/officeDocument/2006/docPropsVTypes">
  <Template>Normal.dotm</Template>
  <TotalTime>1</TotalTime>
  <Pages>14</Pages>
  <Words>3227</Words>
  <Characters>18678</Characters>
  <Application>Microsoft Office Word</Application>
  <DocSecurity>0</DocSecurity>
  <Lines>379</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Belton</dc:creator>
  <cp:keywords/>
  <dc:description/>
  <cp:lastModifiedBy>Patrick Belton</cp:lastModifiedBy>
  <cp:revision>3</cp:revision>
  <dcterms:created xsi:type="dcterms:W3CDTF">2023-09-01T05:48:00Z</dcterms:created>
  <dcterms:modified xsi:type="dcterms:W3CDTF">2023-09-01T05:48:00Z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f0846f2f-1a0b-43d5-b733-603ee230058f</vt:lpwstr>
  </property>
  <property fmtid="{D5CDD505-2E9C-101B-9397-08002B2CF9AE}" pid="3" name="ContentTypeId">
    <vt:lpwstr>0x010100D922B896673C3B4CAC6395581CF998E6</vt:lpwstr>
  </property>
  <property fmtid="{D5CDD505-2E9C-101B-9397-08002B2CF9AE}" pid="4" name="_dlc_DocIdItemGuid">
    <vt:lpwstr>1bbdfaa3-5531-400b-b0a4-c4567d4479e7</vt:lpwstr>
  </property>
</Properties>
</file>