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3F8B" w14:textId="77777777" w:rsidR="009A1DAD" w:rsidRPr="00A51D1A" w:rsidRDefault="009A1DAD" w:rsidP="009A1DAD">
      <w:pPr>
        <w:pStyle w:val="ACMAReportTitle"/>
      </w:pPr>
      <w:bookmarkStart w:id="0" w:name="_Hlk12366308"/>
      <w:r>
        <w:t xml:space="preserve">Proposed </w:t>
      </w:r>
      <w:r w:rsidRPr="007A1C71">
        <w:t>An</w:t>
      </w:r>
      <w:r>
        <w:t xml:space="preserve">nual Carrier Licence Charge 2022–23 and </w:t>
      </w:r>
      <w:r w:rsidRPr="00E47202">
        <w:t>Telecommunications (Payment of Annual Carrier Licence Charge) Determination 2023</w:t>
      </w:r>
    </w:p>
    <w:p w14:paraId="2C0F625B" w14:textId="77777777" w:rsidR="009A1DAD" w:rsidRDefault="009A1DAD" w:rsidP="009A1DAD">
      <w:pPr>
        <w:pStyle w:val="ACMAReportSubTitle"/>
      </w:pPr>
      <w:r>
        <w:t>Consultation paper</w:t>
      </w:r>
    </w:p>
    <w:p w14:paraId="653D1300" w14:textId="77777777" w:rsidR="009A1DAD" w:rsidRDefault="009A1DAD" w:rsidP="009A1DAD">
      <w:pPr>
        <w:pStyle w:val="ACMAReportDate"/>
        <w:spacing w:after="720"/>
      </w:pPr>
      <w:r>
        <w:t xml:space="preserve">SEPTEMBER </w:t>
      </w:r>
      <w:r w:rsidRPr="00362405">
        <w:t>202</w:t>
      </w:r>
      <w:r>
        <w:t>3</w:t>
      </w:r>
    </w:p>
    <w:bookmarkEnd w:id="0"/>
    <w:p w14:paraId="1A2835B6" w14:textId="77777777" w:rsidR="009A1DAD" w:rsidRDefault="009A1DAD" w:rsidP="00EC2B68">
      <w:pPr>
        <w:pStyle w:val="Reportdate"/>
        <w:spacing w:after="720"/>
      </w:pPr>
    </w:p>
    <w:p w14:paraId="14E9270A" w14:textId="054744D4" w:rsidR="009A1DAD" w:rsidRPr="00E162C4" w:rsidRDefault="009A1DAD" w:rsidP="00EC2B68">
      <w:pPr>
        <w:pStyle w:val="Reportdate"/>
        <w:spacing w:after="720"/>
        <w:rPr>
          <w:rFonts w:cs="Arial"/>
        </w:rPr>
        <w:sectPr w:rsidR="009A1DAD"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p>
    <w:p w14:paraId="4F8B703E" w14:textId="77777777" w:rsidR="0005011A" w:rsidRPr="00E162C4" w:rsidRDefault="0005011A" w:rsidP="00FC07B9">
      <w:pPr>
        <w:pStyle w:val="ACMACorporateAddressHeader"/>
      </w:pPr>
      <w:r w:rsidRPr="00E162C4">
        <w:lastRenderedPageBreak/>
        <w:t>Canberra</w:t>
      </w:r>
    </w:p>
    <w:p w14:paraId="335DCA8C"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30303666" w14:textId="77777777" w:rsidR="0005011A" w:rsidRPr="00E162C4" w:rsidRDefault="0005011A" w:rsidP="00FC07B9">
      <w:pPr>
        <w:pStyle w:val="ACMACorporateAddresses"/>
      </w:pPr>
      <w:r w:rsidRPr="00E162C4">
        <w:t>PO Box 78</w:t>
      </w:r>
      <w:r w:rsidRPr="00E162C4">
        <w:br/>
        <w:t>Belconnen ACT 2616</w:t>
      </w:r>
    </w:p>
    <w:p w14:paraId="44A3C337"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5984FEDA" w14:textId="77777777" w:rsidR="0005011A" w:rsidRPr="00E162C4" w:rsidRDefault="0005011A" w:rsidP="00FC07B9">
      <w:pPr>
        <w:pStyle w:val="ACMACorporateAddressHeader"/>
      </w:pPr>
      <w:r w:rsidRPr="00E162C4">
        <w:t>Melbourne</w:t>
      </w:r>
    </w:p>
    <w:p w14:paraId="5E31E449"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3B0F9E5C"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613B0118"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2FA5CF1C" w14:textId="77777777" w:rsidR="0005011A" w:rsidRPr="00E162C4" w:rsidRDefault="0005011A" w:rsidP="00FC07B9">
      <w:pPr>
        <w:pStyle w:val="ACMACorporateAddressHeader"/>
      </w:pPr>
      <w:r w:rsidRPr="00E162C4">
        <w:t>Sydney</w:t>
      </w:r>
    </w:p>
    <w:p w14:paraId="07073367"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3A4B9BCF"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01A5202E"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36D03F3B" w14:textId="77777777" w:rsidR="00140318" w:rsidRPr="00E162C4" w:rsidRDefault="00140318" w:rsidP="00FC07B9">
      <w:pPr>
        <w:pStyle w:val="ACMACopyrightHeader"/>
      </w:pPr>
      <w:r w:rsidRPr="00E162C4">
        <w:t>Copyright notice</w:t>
      </w:r>
    </w:p>
    <w:p w14:paraId="6E168EF4" w14:textId="77777777" w:rsidR="00140318" w:rsidRPr="00E162C4" w:rsidRDefault="00623FF9" w:rsidP="00623FF9">
      <w:pPr>
        <w:pStyle w:val="ACMACClogo"/>
      </w:pPr>
      <w:r w:rsidRPr="00E162C4">
        <w:rPr>
          <w:noProof/>
        </w:rPr>
        <w:drawing>
          <wp:inline distT="0" distB="0" distL="0" distR="0" wp14:anchorId="38ECE80A" wp14:editId="738E95EE">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727707BF" w14:textId="77777777" w:rsidR="00AA2DE5" w:rsidRPr="00E162C4" w:rsidRDefault="00E51087" w:rsidP="00AA2DE5">
      <w:pPr>
        <w:pStyle w:val="ACMACorporateAddresses"/>
        <w:rPr>
          <w:rStyle w:val="Hyperlink"/>
        </w:rPr>
      </w:pPr>
      <w:hyperlink r:id="rId13" w:history="1">
        <w:r w:rsidR="00AA2DE5" w:rsidRPr="00E162C4">
          <w:rPr>
            <w:rStyle w:val="Hyperlink"/>
          </w:rPr>
          <w:t>https://creativecommons.org/licenses/by/4.0/</w:t>
        </w:r>
      </w:hyperlink>
    </w:p>
    <w:p w14:paraId="5B7113CF"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1C11DBEB"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8500E5">
        <w:t>3</w:t>
      </w:r>
      <w:r w:rsidRPr="00E162C4">
        <w:t>.</w:t>
      </w:r>
    </w:p>
    <w:p w14:paraId="742E998A" w14:textId="77777777" w:rsidR="00AA2DE5" w:rsidRPr="00E162C4" w:rsidRDefault="00AA2DE5" w:rsidP="00AA2DE5">
      <w:pPr>
        <w:pStyle w:val="ACMACorporateAddresses"/>
      </w:pPr>
      <w:r w:rsidRPr="00E162C4">
        <w:t>All other rights are reserved.</w:t>
      </w:r>
    </w:p>
    <w:p w14:paraId="3AC534CD"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A876514" w14:textId="77777777" w:rsidR="00AA2DE5" w:rsidRPr="00E162C4" w:rsidRDefault="00AA2DE5" w:rsidP="00AA2DE5">
      <w:pPr>
        <w:pStyle w:val="ACMACorporateAddresses"/>
      </w:pPr>
      <w:r w:rsidRPr="00E162C4">
        <w:t>Written enquiries may be sent to:</w:t>
      </w:r>
    </w:p>
    <w:p w14:paraId="773D8A7A"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0EF65ED6" w14:textId="77777777" w:rsidR="00D16FE3" w:rsidRPr="00E162C4" w:rsidRDefault="00D16FE3" w:rsidP="00D16FE3">
      <w:pPr>
        <w:pStyle w:val="ACMACorporateAddresses"/>
        <w:rPr>
          <w:rStyle w:val="Hyperlink"/>
        </w:rPr>
      </w:pPr>
    </w:p>
    <w:p w14:paraId="1CA0FC9B"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315D9957" w14:textId="2E55A49E" w:rsidR="00F16B95"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44822365" w:history="1">
        <w:r w:rsidR="00F16B95" w:rsidRPr="00E87880">
          <w:rPr>
            <w:rStyle w:val="Hyperlink"/>
          </w:rPr>
          <w:t>Issues for comment</w:t>
        </w:r>
        <w:r w:rsidR="00F16B95">
          <w:rPr>
            <w:webHidden/>
          </w:rPr>
          <w:tab/>
        </w:r>
        <w:r w:rsidR="00F16B95">
          <w:rPr>
            <w:webHidden/>
          </w:rPr>
          <w:fldChar w:fldCharType="begin"/>
        </w:r>
        <w:r w:rsidR="00F16B95">
          <w:rPr>
            <w:webHidden/>
          </w:rPr>
          <w:instrText xml:space="preserve"> PAGEREF _Toc144822365 \h </w:instrText>
        </w:r>
        <w:r w:rsidR="00F16B95">
          <w:rPr>
            <w:webHidden/>
          </w:rPr>
        </w:r>
        <w:r w:rsidR="00F16B95">
          <w:rPr>
            <w:webHidden/>
          </w:rPr>
          <w:fldChar w:fldCharType="separate"/>
        </w:r>
        <w:r w:rsidR="00F16B95">
          <w:rPr>
            <w:webHidden/>
          </w:rPr>
          <w:t>3</w:t>
        </w:r>
        <w:r w:rsidR="00F16B95">
          <w:rPr>
            <w:webHidden/>
          </w:rPr>
          <w:fldChar w:fldCharType="end"/>
        </w:r>
      </w:hyperlink>
    </w:p>
    <w:p w14:paraId="6ED07153" w14:textId="2D3987F6" w:rsidR="00F16B95" w:rsidRDefault="00E51087">
      <w:pPr>
        <w:pStyle w:val="TOC1"/>
        <w:rPr>
          <w:rFonts w:asciiTheme="minorHAnsi" w:eastAsiaTheme="minorEastAsia" w:hAnsiTheme="minorHAnsi" w:cstheme="minorBidi"/>
          <w:b w:val="0"/>
          <w:spacing w:val="0"/>
          <w:sz w:val="22"/>
          <w:szCs w:val="22"/>
        </w:rPr>
      </w:pPr>
      <w:hyperlink w:anchor="_Toc144822366" w:history="1">
        <w:r w:rsidR="00F16B95" w:rsidRPr="00E87880">
          <w:rPr>
            <w:rStyle w:val="Hyperlink"/>
          </w:rPr>
          <w:t>Annual Carrier Licence Charge</w:t>
        </w:r>
        <w:r w:rsidR="00F16B95">
          <w:rPr>
            <w:webHidden/>
          </w:rPr>
          <w:tab/>
        </w:r>
        <w:r w:rsidR="00F16B95">
          <w:rPr>
            <w:webHidden/>
          </w:rPr>
          <w:fldChar w:fldCharType="begin"/>
        </w:r>
        <w:r w:rsidR="00F16B95">
          <w:rPr>
            <w:webHidden/>
          </w:rPr>
          <w:instrText xml:space="preserve"> PAGEREF _Toc144822366 \h </w:instrText>
        </w:r>
        <w:r w:rsidR="00F16B95">
          <w:rPr>
            <w:webHidden/>
          </w:rPr>
        </w:r>
        <w:r w:rsidR="00F16B95">
          <w:rPr>
            <w:webHidden/>
          </w:rPr>
          <w:fldChar w:fldCharType="separate"/>
        </w:r>
        <w:r w:rsidR="00F16B95">
          <w:rPr>
            <w:webHidden/>
          </w:rPr>
          <w:t>4</w:t>
        </w:r>
        <w:r w:rsidR="00F16B95">
          <w:rPr>
            <w:webHidden/>
          </w:rPr>
          <w:fldChar w:fldCharType="end"/>
        </w:r>
      </w:hyperlink>
    </w:p>
    <w:p w14:paraId="4D986B5F" w14:textId="06E93076" w:rsidR="00F16B95" w:rsidRDefault="00E51087">
      <w:pPr>
        <w:pStyle w:val="TOC1"/>
        <w:rPr>
          <w:rFonts w:asciiTheme="minorHAnsi" w:eastAsiaTheme="minorEastAsia" w:hAnsiTheme="minorHAnsi" w:cstheme="minorBidi"/>
          <w:b w:val="0"/>
          <w:spacing w:val="0"/>
          <w:sz w:val="22"/>
          <w:szCs w:val="22"/>
        </w:rPr>
      </w:pPr>
      <w:hyperlink w:anchor="_Toc144822367" w:history="1">
        <w:r w:rsidR="00F16B95" w:rsidRPr="00E87880">
          <w:rPr>
            <w:rStyle w:val="Hyperlink"/>
          </w:rPr>
          <w:t>Proposed ACLC</w:t>
        </w:r>
        <w:r w:rsidR="00F16B95">
          <w:rPr>
            <w:webHidden/>
          </w:rPr>
          <w:tab/>
        </w:r>
        <w:r w:rsidR="00F16B95">
          <w:rPr>
            <w:webHidden/>
          </w:rPr>
          <w:fldChar w:fldCharType="begin"/>
        </w:r>
        <w:r w:rsidR="00F16B95">
          <w:rPr>
            <w:webHidden/>
          </w:rPr>
          <w:instrText xml:space="preserve"> PAGEREF _Toc144822367 \h </w:instrText>
        </w:r>
        <w:r w:rsidR="00F16B95">
          <w:rPr>
            <w:webHidden/>
          </w:rPr>
        </w:r>
        <w:r w:rsidR="00F16B95">
          <w:rPr>
            <w:webHidden/>
          </w:rPr>
          <w:fldChar w:fldCharType="separate"/>
        </w:r>
        <w:r w:rsidR="00F16B95">
          <w:rPr>
            <w:webHidden/>
          </w:rPr>
          <w:t>6</w:t>
        </w:r>
        <w:r w:rsidR="00F16B95">
          <w:rPr>
            <w:webHidden/>
          </w:rPr>
          <w:fldChar w:fldCharType="end"/>
        </w:r>
      </w:hyperlink>
    </w:p>
    <w:p w14:paraId="6B5BFCD7" w14:textId="55A1B1C4" w:rsidR="00F16B95" w:rsidRDefault="00E51087">
      <w:pPr>
        <w:pStyle w:val="TOC1"/>
        <w:rPr>
          <w:rFonts w:asciiTheme="minorHAnsi" w:eastAsiaTheme="minorEastAsia" w:hAnsiTheme="minorHAnsi" w:cstheme="minorBidi"/>
          <w:b w:val="0"/>
          <w:spacing w:val="0"/>
          <w:sz w:val="22"/>
          <w:szCs w:val="22"/>
        </w:rPr>
      </w:pPr>
      <w:hyperlink w:anchor="_Toc144822368" w:history="1">
        <w:r w:rsidR="00F16B95" w:rsidRPr="00E87880">
          <w:rPr>
            <w:rStyle w:val="Hyperlink"/>
          </w:rPr>
          <w:t>The proposed 2023 Payment Determination</w:t>
        </w:r>
        <w:r w:rsidR="00F16B95">
          <w:rPr>
            <w:webHidden/>
          </w:rPr>
          <w:tab/>
        </w:r>
        <w:r w:rsidR="00F16B95">
          <w:rPr>
            <w:webHidden/>
          </w:rPr>
          <w:fldChar w:fldCharType="begin"/>
        </w:r>
        <w:r w:rsidR="00F16B95">
          <w:rPr>
            <w:webHidden/>
          </w:rPr>
          <w:instrText xml:space="preserve"> PAGEREF _Toc144822368 \h </w:instrText>
        </w:r>
        <w:r w:rsidR="00F16B95">
          <w:rPr>
            <w:webHidden/>
          </w:rPr>
        </w:r>
        <w:r w:rsidR="00F16B95">
          <w:rPr>
            <w:webHidden/>
          </w:rPr>
          <w:fldChar w:fldCharType="separate"/>
        </w:r>
        <w:r w:rsidR="00F16B95">
          <w:rPr>
            <w:webHidden/>
          </w:rPr>
          <w:t>9</w:t>
        </w:r>
        <w:r w:rsidR="00F16B95">
          <w:rPr>
            <w:webHidden/>
          </w:rPr>
          <w:fldChar w:fldCharType="end"/>
        </w:r>
      </w:hyperlink>
    </w:p>
    <w:p w14:paraId="42FFC26F" w14:textId="4240EA75" w:rsidR="00F16B95" w:rsidRDefault="00E51087">
      <w:pPr>
        <w:pStyle w:val="TOC1"/>
        <w:rPr>
          <w:rFonts w:asciiTheme="minorHAnsi" w:eastAsiaTheme="minorEastAsia" w:hAnsiTheme="minorHAnsi" w:cstheme="minorBidi"/>
          <w:b w:val="0"/>
          <w:spacing w:val="0"/>
          <w:sz w:val="22"/>
          <w:szCs w:val="22"/>
        </w:rPr>
      </w:pPr>
      <w:hyperlink w:anchor="_Toc144822369" w:history="1">
        <w:r w:rsidR="00F16B95" w:rsidRPr="00E87880">
          <w:rPr>
            <w:rStyle w:val="Hyperlink"/>
          </w:rPr>
          <w:t>Invitation to comment</w:t>
        </w:r>
        <w:r w:rsidR="00F16B95">
          <w:rPr>
            <w:webHidden/>
          </w:rPr>
          <w:tab/>
        </w:r>
        <w:r w:rsidR="00F16B95">
          <w:rPr>
            <w:webHidden/>
          </w:rPr>
          <w:fldChar w:fldCharType="begin"/>
        </w:r>
        <w:r w:rsidR="00F16B95">
          <w:rPr>
            <w:webHidden/>
          </w:rPr>
          <w:instrText xml:space="preserve"> PAGEREF _Toc144822369 \h </w:instrText>
        </w:r>
        <w:r w:rsidR="00F16B95">
          <w:rPr>
            <w:webHidden/>
          </w:rPr>
        </w:r>
        <w:r w:rsidR="00F16B95">
          <w:rPr>
            <w:webHidden/>
          </w:rPr>
          <w:fldChar w:fldCharType="separate"/>
        </w:r>
        <w:r w:rsidR="00F16B95">
          <w:rPr>
            <w:webHidden/>
          </w:rPr>
          <w:t>10</w:t>
        </w:r>
        <w:r w:rsidR="00F16B95">
          <w:rPr>
            <w:webHidden/>
          </w:rPr>
          <w:fldChar w:fldCharType="end"/>
        </w:r>
      </w:hyperlink>
    </w:p>
    <w:p w14:paraId="68D2FFC0" w14:textId="6D930A7E" w:rsidR="00F16B95" w:rsidRDefault="00E51087">
      <w:pPr>
        <w:pStyle w:val="TOC2"/>
        <w:rPr>
          <w:rFonts w:asciiTheme="minorHAnsi" w:eastAsiaTheme="minorEastAsia" w:hAnsiTheme="minorHAnsi" w:cstheme="minorBidi"/>
          <w:spacing w:val="0"/>
          <w:sz w:val="22"/>
          <w:szCs w:val="22"/>
        </w:rPr>
      </w:pPr>
      <w:hyperlink w:anchor="_Toc144822370" w:history="1">
        <w:r w:rsidR="00F16B95" w:rsidRPr="00E87880">
          <w:rPr>
            <w:rStyle w:val="Hyperlink"/>
          </w:rPr>
          <w:t>Making a submission</w:t>
        </w:r>
        <w:r w:rsidR="00F16B95">
          <w:rPr>
            <w:webHidden/>
          </w:rPr>
          <w:tab/>
        </w:r>
        <w:r w:rsidR="00F16B95">
          <w:rPr>
            <w:webHidden/>
          </w:rPr>
          <w:fldChar w:fldCharType="begin"/>
        </w:r>
        <w:r w:rsidR="00F16B95">
          <w:rPr>
            <w:webHidden/>
          </w:rPr>
          <w:instrText xml:space="preserve"> PAGEREF _Toc144822370 \h </w:instrText>
        </w:r>
        <w:r w:rsidR="00F16B95">
          <w:rPr>
            <w:webHidden/>
          </w:rPr>
        </w:r>
        <w:r w:rsidR="00F16B95">
          <w:rPr>
            <w:webHidden/>
          </w:rPr>
          <w:fldChar w:fldCharType="separate"/>
        </w:r>
        <w:r w:rsidR="00F16B95">
          <w:rPr>
            <w:webHidden/>
          </w:rPr>
          <w:t>10</w:t>
        </w:r>
        <w:r w:rsidR="00F16B95">
          <w:rPr>
            <w:webHidden/>
          </w:rPr>
          <w:fldChar w:fldCharType="end"/>
        </w:r>
      </w:hyperlink>
    </w:p>
    <w:p w14:paraId="6D202E6A" w14:textId="77777777"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520FBD8E" w14:textId="77777777" w:rsidR="009A1DAD" w:rsidRDefault="009A1DAD" w:rsidP="009A1DAD">
      <w:pPr>
        <w:pStyle w:val="ACMAExecSummaryHeading"/>
      </w:pPr>
      <w:bookmarkStart w:id="1" w:name="_Toc433122125"/>
      <w:r>
        <w:lastRenderedPageBreak/>
        <w:t>Executive summary</w:t>
      </w:r>
    </w:p>
    <w:p w14:paraId="15A13C8B" w14:textId="6285D08E" w:rsidR="009A1DAD" w:rsidRDefault="009A1DAD" w:rsidP="005D09C2">
      <w:pPr>
        <w:pStyle w:val="Paragraph"/>
      </w:pPr>
      <w:r w:rsidRPr="00BC1E0E">
        <w:t xml:space="preserve">The Australian Communications and Media Authority (ACMA) is Australia’s regulator for broadcasting, radiocommunications, telecommunications and some online content. As an Australian Government agency, the ACMA is required to define and implement, where feasible, charges for recovering the costs of its products and services, in accordance with the Australian Government Charging </w:t>
      </w:r>
      <w:r>
        <w:t xml:space="preserve">Policy </w:t>
      </w:r>
      <w:r w:rsidRPr="00BC1E0E">
        <w:t xml:space="preserve">(the Charging </w:t>
      </w:r>
      <w:r>
        <w:t>Policy</w:t>
      </w:r>
      <w:r w:rsidRPr="00BC1E0E">
        <w:t>).</w:t>
      </w:r>
    </w:p>
    <w:p w14:paraId="3945A985" w14:textId="220DD339" w:rsidR="009A1DAD" w:rsidRDefault="009A1DAD" w:rsidP="005D09C2">
      <w:pPr>
        <w:pStyle w:val="Paragraph"/>
      </w:pPr>
      <w:r w:rsidRPr="00BC1E0E">
        <w:t xml:space="preserve">The Charging </w:t>
      </w:r>
      <w:r>
        <w:t xml:space="preserve">Policy </w:t>
      </w:r>
      <w:r w:rsidRPr="00BC1E0E">
        <w:t xml:space="preserve">provides the overarching framework for government entities to plan, implement and review their charging activities. As part of the Charging </w:t>
      </w:r>
      <w:r>
        <w:t>Policy</w:t>
      </w:r>
      <w:r w:rsidRPr="00BC1E0E">
        <w:t xml:space="preserve">, agencies that undertake cost-recovery activities are required to periodically review the charges they impose. </w:t>
      </w:r>
    </w:p>
    <w:p w14:paraId="4C2B76DB" w14:textId="0C399DD4" w:rsidR="009A1DAD" w:rsidRDefault="009A1DAD" w:rsidP="005D09C2">
      <w:pPr>
        <w:pStyle w:val="Paragraph"/>
      </w:pPr>
      <w:r>
        <w:t xml:space="preserve">The </w:t>
      </w:r>
      <w:r w:rsidRPr="259371DD">
        <w:rPr>
          <w:i/>
          <w:iCs/>
        </w:rPr>
        <w:t>Telecommunications (Carrier Licence Charges) Act 1997</w:t>
      </w:r>
      <w:r>
        <w:t xml:space="preserve"> (the Act) imposes an Annual Carrier Licence Charge (ACLC) on each carrier licence that is in force at the beginning of a financial year. In accordance with the Act, the ACLC is calculated annually, in accordance with a written determination made by the ACMA, to recover an amount determined by reference to certain telecommunications costs incurred by the ACMA, the Australian Competition and Consumer Commission (ACCC) and the Department of Infrastructure, </w:t>
      </w:r>
      <w:r w:rsidRPr="00362405">
        <w:rPr>
          <w:rFonts w:eastAsia="Arial"/>
          <w:color w:val="333333"/>
          <w:szCs w:val="20"/>
        </w:rPr>
        <w:t>Transport, Regional Development</w:t>
      </w:r>
      <w:r>
        <w:rPr>
          <w:rFonts w:eastAsia="Arial"/>
          <w:color w:val="333333"/>
          <w:szCs w:val="20"/>
        </w:rPr>
        <w:t>,</w:t>
      </w:r>
      <w:r w:rsidRPr="00362405">
        <w:rPr>
          <w:rFonts w:eastAsia="Arial"/>
          <w:color w:val="333333"/>
          <w:szCs w:val="20"/>
        </w:rPr>
        <w:t xml:space="preserve"> Communications</w:t>
      </w:r>
      <w:r>
        <w:t xml:space="preserve"> and the Arts (</w:t>
      </w:r>
      <w:r w:rsidR="0050287D">
        <w:t>DITRDCA</w:t>
      </w:r>
      <w:r>
        <w:t xml:space="preserve">) from carriers. </w:t>
      </w:r>
    </w:p>
    <w:p w14:paraId="2FCBC5CE" w14:textId="1EAC4CB4" w:rsidR="009A1DAD" w:rsidRDefault="009A1DAD" w:rsidP="005D09C2">
      <w:pPr>
        <w:pStyle w:val="Paragraph"/>
      </w:pPr>
      <w:r w:rsidRPr="00BC1E0E">
        <w:t xml:space="preserve">The ACMA is required to prepare a Cost Recovery Implementation Statement (CRIS) in accordance with the </w:t>
      </w:r>
      <w:hyperlink r:id="rId24" w:history="1">
        <w:r w:rsidRPr="00067014">
          <w:rPr>
            <w:rStyle w:val="Hyperlink"/>
          </w:rPr>
          <w:t>Australian Government Cost Recovery Policy (the Cost Recovery Policy)</w:t>
        </w:r>
      </w:hyperlink>
      <w:r w:rsidRPr="00BC1E0E">
        <w:t xml:space="preserve"> for the implementation of the proposed ACLC</w:t>
      </w:r>
      <w:r>
        <w:t xml:space="preserve"> each year</w:t>
      </w:r>
      <w:r w:rsidRPr="00BC1E0E">
        <w:t xml:space="preserve">. As required by the </w:t>
      </w:r>
      <w:r>
        <w:t>Cost Recovery Policy</w:t>
      </w:r>
      <w:r w:rsidRPr="00BC1E0E">
        <w:t xml:space="preserve">, the ACMA must consult with industry stakeholders on the CRIS before any potential changes are made. </w:t>
      </w:r>
    </w:p>
    <w:p w14:paraId="69FDE10F" w14:textId="252DBC76" w:rsidR="009A1DAD" w:rsidRDefault="009A1DAD" w:rsidP="005D09C2">
      <w:pPr>
        <w:pStyle w:val="Paragraph"/>
      </w:pPr>
      <w:r w:rsidRPr="00903949">
        <w:t>Accordingly, a draft CRIS for the ACMA’s ACLC is available on the ACMA</w:t>
      </w:r>
      <w:r w:rsidRPr="00903949">
        <w:rPr>
          <w:sz w:val="22"/>
          <w:szCs w:val="22"/>
        </w:rPr>
        <w:t xml:space="preserve"> </w:t>
      </w:r>
      <w:r w:rsidRPr="00903949">
        <w:t>website</w:t>
      </w:r>
      <w:r w:rsidR="0050287D">
        <w:t>, alongside this paper</w:t>
      </w:r>
      <w:r w:rsidRPr="003421AA">
        <w:rPr>
          <w:szCs w:val="22"/>
        </w:rPr>
        <w:t>.</w:t>
      </w:r>
      <w:r w:rsidRPr="00BC1E0E">
        <w:t xml:space="preserve"> The draft CRIS incorporates all the relevant details of the proposed charges, describes the methodology used for the calculation of the proposed ACLC and provides explanations for variances from the previous financial year.</w:t>
      </w:r>
    </w:p>
    <w:p w14:paraId="4BAFFAA1" w14:textId="77777777" w:rsidR="009A1DAD" w:rsidRPr="00BC1E0E" w:rsidRDefault="009A1DAD" w:rsidP="005D09C2">
      <w:pPr>
        <w:pStyle w:val="Paragraph"/>
      </w:pPr>
      <w:r w:rsidRPr="00BC1E0E">
        <w:t xml:space="preserve">The draft CRIS includes a separate document, </w:t>
      </w:r>
      <w:r w:rsidRPr="00BC1E0E">
        <w:rPr>
          <w:i/>
        </w:rPr>
        <w:t xml:space="preserve">Cost Recovery Implementation Statement </w:t>
      </w:r>
      <w:r w:rsidRPr="00BC1E0E">
        <w:t xml:space="preserve">(at Attachment B), which </w:t>
      </w:r>
      <w:r>
        <w:t xml:space="preserve">explains the approach the ACMA proposes to </w:t>
      </w:r>
      <w:r w:rsidRPr="00BC1E0E">
        <w:t xml:space="preserve">implement cost-recovery arrangements </w:t>
      </w:r>
      <w:r>
        <w:t>for the Measuring Broadband Australia (MBA) program on behalf of the ACCC</w:t>
      </w:r>
      <w:r w:rsidRPr="00BC1E0E">
        <w:t xml:space="preserve">. The MBA program monitors National Broadband Network (NBN) fixed-line services provided by carriers and carriage service providers with significant market presence. The ACCC is responsible for administering the program, which commenced on 1 July 2017. </w:t>
      </w:r>
    </w:p>
    <w:p w14:paraId="52B50BF2" w14:textId="53CCC244" w:rsidR="009A1DAD" w:rsidRPr="001E36A6" w:rsidRDefault="009A1DAD" w:rsidP="005D09C2">
      <w:pPr>
        <w:pStyle w:val="Paragraph"/>
      </w:pPr>
      <w:bookmarkStart w:id="2" w:name="_Hlk97133391"/>
      <w:r w:rsidRPr="001E36A6">
        <w:t xml:space="preserve">The ACMA </w:t>
      </w:r>
      <w:r>
        <w:t>was</w:t>
      </w:r>
      <w:r w:rsidRPr="001E36A6">
        <w:t xml:space="preserve"> required by the government to recover the costs associated with the </w:t>
      </w:r>
      <w:r>
        <w:t xml:space="preserve">ACMA’s </w:t>
      </w:r>
      <w:r w:rsidRPr="001E36A6">
        <w:t xml:space="preserve">Consumer Safeguards Part A program as part of </w:t>
      </w:r>
      <w:r>
        <w:t xml:space="preserve">the </w:t>
      </w:r>
      <w:r w:rsidRPr="001E36A6">
        <w:t xml:space="preserve">ACLC under paragraph 15(1)(a) of the Act from the </w:t>
      </w:r>
      <w:r>
        <w:t>2019</w:t>
      </w:r>
      <w:r w:rsidR="0050287D">
        <w:t>–</w:t>
      </w:r>
      <w:r>
        <w:t xml:space="preserve">20 </w:t>
      </w:r>
      <w:r w:rsidRPr="001E36A6">
        <w:t>financial year</w:t>
      </w:r>
      <w:r>
        <w:t xml:space="preserve"> onwards,</w:t>
      </w:r>
      <w:r w:rsidRPr="001E36A6">
        <w:t xml:space="preserve"> in arrears. Accordingly, the costs incurred for the Consumer Safeguard</w:t>
      </w:r>
      <w:r>
        <w:t>s</w:t>
      </w:r>
      <w:r w:rsidRPr="001E36A6">
        <w:t xml:space="preserve"> Part A program for the </w:t>
      </w:r>
      <w:r>
        <w:t>2021</w:t>
      </w:r>
      <w:r w:rsidR="0050287D">
        <w:t>–</w:t>
      </w:r>
      <w:r w:rsidRPr="001E36A6">
        <w:t>2</w:t>
      </w:r>
      <w:r>
        <w:t>2</w:t>
      </w:r>
      <w:r w:rsidRPr="001E36A6">
        <w:t xml:space="preserve"> financial year have been incorporated in the draft CRIS (see Table </w:t>
      </w:r>
      <w:r>
        <w:t>9</w:t>
      </w:r>
      <w:r w:rsidRPr="001E36A6">
        <w:t>).</w:t>
      </w:r>
    </w:p>
    <w:p w14:paraId="17120D14" w14:textId="3EDD692F" w:rsidR="009A1DAD" w:rsidRDefault="009A1DAD" w:rsidP="005D09C2">
      <w:pPr>
        <w:pStyle w:val="Paragraph"/>
      </w:pPr>
      <w:r w:rsidRPr="001E36A6">
        <w:t>The program essentially involves communicating systemic issues to carriage service providers and analysing and reporting complaints</w:t>
      </w:r>
      <w:r w:rsidR="0050287D">
        <w:t>-</w:t>
      </w:r>
      <w:r w:rsidRPr="001E36A6">
        <w:t xml:space="preserve">handling data (includes managing the collection, validation, analysis and verification of telecommunications complaints handling data under the </w:t>
      </w:r>
      <w:hyperlink r:id="rId25" w:history="1">
        <w:r w:rsidRPr="000D0A0F">
          <w:rPr>
            <w:rStyle w:val="Hyperlink"/>
          </w:rPr>
          <w:t xml:space="preserve">Telecommunications (Consumer Complaints) Record-Keeping </w:t>
        </w:r>
        <w:r w:rsidRPr="000D0A0F">
          <w:rPr>
            <w:rStyle w:val="Hyperlink"/>
          </w:rPr>
          <w:lastRenderedPageBreak/>
          <w:t>Rules 2018)</w:t>
        </w:r>
      </w:hyperlink>
      <w:r w:rsidRPr="001E36A6">
        <w:t xml:space="preserve"> on a regular basis. Further details about these activities are provided in the </w:t>
      </w:r>
      <w:r>
        <w:t xml:space="preserve">draft </w:t>
      </w:r>
      <w:r w:rsidRPr="001E36A6">
        <w:t>CRIS.</w:t>
      </w:r>
      <w:bookmarkEnd w:id="2"/>
    </w:p>
    <w:p w14:paraId="68DD2062" w14:textId="36B81AC7" w:rsidR="009A1DAD" w:rsidRDefault="009A1DAD" w:rsidP="005D09C2">
      <w:pPr>
        <w:pStyle w:val="Paragraph"/>
      </w:pPr>
      <w:r>
        <w:t xml:space="preserve">To give effect to the proposed ACLC, a number of written determinations have been or are proposed to be made by the ACMA, the ACCC and the Minister for </w:t>
      </w:r>
      <w:r w:rsidRPr="5B53366E">
        <w:rPr>
          <w:rFonts w:eastAsia="Arial"/>
          <w:color w:val="333333"/>
        </w:rPr>
        <w:t>Communications</w:t>
      </w:r>
      <w:r>
        <w:t xml:space="preserve"> under sections 14 and 15 of the Act. These determinations are discussed in this consultation paper and in the draft CRIS.</w:t>
      </w:r>
    </w:p>
    <w:p w14:paraId="0630332F" w14:textId="77777777" w:rsidR="009A1DAD" w:rsidRPr="00BC1E0E" w:rsidRDefault="009A1DAD" w:rsidP="005D09C2">
      <w:pPr>
        <w:pStyle w:val="Paragraph"/>
        <w:rPr>
          <w:sz w:val="22"/>
        </w:rPr>
      </w:pPr>
      <w:r>
        <w:t>T</w:t>
      </w:r>
      <w:r w:rsidRPr="00672B7A">
        <w:t xml:space="preserve">he </w:t>
      </w:r>
      <w:r>
        <w:t xml:space="preserve">draft </w:t>
      </w:r>
      <w:r w:rsidRPr="0050287D">
        <w:t>Telecommunications (Payment of Annual Carrier Licence Charge) Determination 2023</w:t>
      </w:r>
      <w:r w:rsidRPr="00672B7A">
        <w:t xml:space="preserve"> </w:t>
      </w:r>
      <w:r w:rsidRPr="00526634">
        <w:t>(</w:t>
      </w:r>
      <w:r>
        <w:t xml:space="preserve">the 2023 </w:t>
      </w:r>
      <w:r w:rsidRPr="00E823AB">
        <w:t>Payment Determination)</w:t>
      </w:r>
      <w:r>
        <w:t xml:space="preserve">, available on the ACMA website, will </w:t>
      </w:r>
      <w:r w:rsidRPr="00672B7A">
        <w:t xml:space="preserve">replace the existing </w:t>
      </w:r>
      <w:r w:rsidRPr="0050287D">
        <w:t>Telecommunications (Payment of Annual Carrier Licence Charge) Determination 2014</w:t>
      </w:r>
      <w:r w:rsidRPr="00672B7A">
        <w:t>, which is due to sunset on 1 October 2024.</w:t>
      </w:r>
    </w:p>
    <w:p w14:paraId="1DF7C973" w14:textId="77777777" w:rsidR="009A1DAD" w:rsidRDefault="009A1DAD" w:rsidP="005D09C2">
      <w:pPr>
        <w:pStyle w:val="Heading1"/>
      </w:pPr>
      <w:bookmarkStart w:id="3" w:name="_Toc143261388"/>
      <w:bookmarkStart w:id="4" w:name="_Toc144822365"/>
      <w:bookmarkEnd w:id="1"/>
      <w:r>
        <w:lastRenderedPageBreak/>
        <w:t>Issue</w:t>
      </w:r>
      <w:r w:rsidRPr="007A1C71">
        <w:t>s</w:t>
      </w:r>
      <w:r>
        <w:t xml:space="preserve"> for comment</w:t>
      </w:r>
      <w:bookmarkEnd w:id="3"/>
      <w:bookmarkEnd w:id="4"/>
    </w:p>
    <w:p w14:paraId="583C26ED" w14:textId="294F0632" w:rsidR="009A1DAD" w:rsidRPr="00903949" w:rsidRDefault="009A1DAD" w:rsidP="005D09C2">
      <w:pPr>
        <w:pStyle w:val="Paragraph"/>
      </w:pPr>
      <w:r w:rsidRPr="00362405">
        <w:t xml:space="preserve">This consultation paper does not pose specific questions. However, the ACMA welcomes comment from interested stakeholders on the proposed ACLC, the </w:t>
      </w:r>
      <w:r>
        <w:t xml:space="preserve">draft </w:t>
      </w:r>
      <w:r w:rsidRPr="00362405">
        <w:t>CRIS for the ACLC</w:t>
      </w:r>
      <w:r>
        <w:t xml:space="preserve"> </w:t>
      </w:r>
      <w:r w:rsidR="00C13E1C">
        <w:t>(</w:t>
      </w:r>
      <w:r>
        <w:t xml:space="preserve">which includes the </w:t>
      </w:r>
      <w:r w:rsidRPr="00051ADC">
        <w:t xml:space="preserve">Consumer Safeguards </w:t>
      </w:r>
      <w:r>
        <w:t xml:space="preserve">Part A program </w:t>
      </w:r>
      <w:r w:rsidRPr="00051ADC">
        <w:t>cost recovery arrangement</w:t>
      </w:r>
      <w:r>
        <w:t>s</w:t>
      </w:r>
      <w:r w:rsidR="00C13E1C">
        <w:t>)</w:t>
      </w:r>
      <w:r w:rsidRPr="00362405">
        <w:t xml:space="preserve">, the CRIS for the MBA program or any other issues relevant to the </w:t>
      </w:r>
      <w:r w:rsidRPr="00903949">
        <w:t>proposed charges</w:t>
      </w:r>
      <w:r>
        <w:t xml:space="preserve"> and the draft </w:t>
      </w:r>
      <w:r w:rsidRPr="00E823AB">
        <w:t>2023 Payment Determination</w:t>
      </w:r>
      <w:r>
        <w:t xml:space="preserve"> instrument</w:t>
      </w:r>
      <w:r w:rsidRPr="00903949">
        <w:t>.</w:t>
      </w:r>
    </w:p>
    <w:p w14:paraId="33AA3E6B" w14:textId="442ABFD1" w:rsidR="009A1DAD" w:rsidRDefault="009A1DAD" w:rsidP="005D09C2">
      <w:pPr>
        <w:pStyle w:val="Paragraph"/>
      </w:pPr>
      <w:r w:rsidRPr="00903949">
        <w:t xml:space="preserve">This paper initiates the consultation process, which will be open for </w:t>
      </w:r>
      <w:r>
        <w:t xml:space="preserve">4 </w:t>
      </w:r>
      <w:r w:rsidRPr="00903949">
        <w:t xml:space="preserve">weeks commencing </w:t>
      </w:r>
      <w:r>
        <w:t xml:space="preserve">18 September </w:t>
      </w:r>
      <w:r w:rsidRPr="00903949">
        <w:t>and ending</w:t>
      </w:r>
      <w:r w:rsidR="00C13E1C">
        <w:t xml:space="preserve"> </w:t>
      </w:r>
      <w:r>
        <w:t>16 October 2023.</w:t>
      </w:r>
    </w:p>
    <w:p w14:paraId="417A7617" w14:textId="46BCFA15" w:rsidR="009A1DAD" w:rsidRPr="005D09C2" w:rsidRDefault="009A1DAD" w:rsidP="005D09C2">
      <w:pPr>
        <w:pStyle w:val="Paragraph"/>
      </w:pPr>
      <w:r w:rsidRPr="00BC1E0E">
        <w:t xml:space="preserve">Details on </w:t>
      </w:r>
      <w:r>
        <w:t>how to make</w:t>
      </w:r>
      <w:r w:rsidRPr="00BC1E0E">
        <w:t xml:space="preserve"> a submission</w:t>
      </w:r>
      <w:r>
        <w:t xml:space="preserve"> to the ACMA</w:t>
      </w:r>
      <w:r w:rsidRPr="00BC1E0E">
        <w:t xml:space="preserve"> can be found in the </w:t>
      </w:r>
      <w:hyperlink w:anchor="_Invitation_to_comment" w:history="1">
        <w:r w:rsidRPr="004623C4">
          <w:rPr>
            <w:rStyle w:val="Hyperlink"/>
          </w:rPr>
          <w:t>invitation</w:t>
        </w:r>
        <w:r w:rsidRPr="00BC1E0E">
          <w:rPr>
            <w:rStyle w:val="Hyperlink"/>
            <w:sz w:val="22"/>
          </w:rPr>
          <w:t xml:space="preserve"> to </w:t>
        </w:r>
        <w:r w:rsidRPr="004623C4">
          <w:rPr>
            <w:rStyle w:val="Hyperlink"/>
          </w:rPr>
          <w:t>comment</w:t>
        </w:r>
      </w:hyperlink>
      <w:r w:rsidRPr="00BC1E0E">
        <w:t xml:space="preserve"> section at the end of this paper.</w:t>
      </w:r>
    </w:p>
    <w:p w14:paraId="3DD8E27A" w14:textId="77777777" w:rsidR="009A1DAD" w:rsidRPr="006916DC" w:rsidRDefault="009A1DAD" w:rsidP="009A1DAD">
      <w:pPr>
        <w:pStyle w:val="Heading1"/>
      </w:pPr>
      <w:bookmarkStart w:id="5" w:name="_Toc477786801"/>
      <w:bookmarkStart w:id="6" w:name="_Toc143261389"/>
      <w:bookmarkStart w:id="7" w:name="_Toc144822366"/>
      <w:r>
        <w:lastRenderedPageBreak/>
        <w:t xml:space="preserve">Annual Carrier </w:t>
      </w:r>
      <w:r w:rsidRPr="003150DA">
        <w:t>Licence</w:t>
      </w:r>
      <w:r>
        <w:t xml:space="preserve"> Char</w:t>
      </w:r>
      <w:r w:rsidRPr="006916DC">
        <w:t>ge</w:t>
      </w:r>
      <w:bookmarkEnd w:id="5"/>
      <w:bookmarkEnd w:id="6"/>
      <w:bookmarkEnd w:id="7"/>
    </w:p>
    <w:p w14:paraId="447544DA" w14:textId="0EA3B61C" w:rsidR="009A1DAD" w:rsidRPr="00BC1E0E" w:rsidRDefault="009A1DAD" w:rsidP="005D09C2">
      <w:pPr>
        <w:pStyle w:val="Paragraph"/>
        <w:rPr>
          <w:szCs w:val="22"/>
        </w:rPr>
      </w:pPr>
      <w:r w:rsidRPr="00BC1E0E">
        <w:t>Subsection 14(1) of the Act requires the ACMA to make a written</w:t>
      </w:r>
      <w:r>
        <w:t xml:space="preserve"> </w:t>
      </w:r>
      <w:r w:rsidRPr="00BC1E0E">
        <w:t xml:space="preserve">determination setting out how the ACLC </w:t>
      </w:r>
      <w:r>
        <w:t xml:space="preserve">imposed </w:t>
      </w:r>
      <w:r w:rsidRPr="00BC1E0E">
        <w:t xml:space="preserve">on a carrier licence </w:t>
      </w:r>
      <w:r w:rsidR="00CD6A49">
        <w:t xml:space="preserve">for the 2022-23 financial year </w:t>
      </w:r>
      <w:r w:rsidRPr="00BC1E0E">
        <w:t xml:space="preserve">is </w:t>
      </w:r>
      <w:r>
        <w:t xml:space="preserve">to be </w:t>
      </w:r>
      <w:r w:rsidRPr="00BC1E0E">
        <w:t xml:space="preserve">ascertained. </w:t>
      </w:r>
    </w:p>
    <w:p w14:paraId="61DF3390" w14:textId="7EAAB127" w:rsidR="009A1DAD" w:rsidRPr="00017981" w:rsidRDefault="009A1DAD" w:rsidP="005D09C2">
      <w:pPr>
        <w:pStyle w:val="Paragraph"/>
        <w:rPr>
          <w:szCs w:val="20"/>
        </w:rPr>
      </w:pPr>
      <w:r w:rsidRPr="00BC1E0E">
        <w:t xml:space="preserve">The total of the charges that are imposed on carrier licences in force at the beginning of a financial year must not exceed the sum of the following </w:t>
      </w:r>
      <w:r w:rsidR="00C13E1C">
        <w:t>5</w:t>
      </w:r>
      <w:r w:rsidR="00C13E1C" w:rsidRPr="00BC1E0E">
        <w:t xml:space="preserve"> </w:t>
      </w:r>
      <w:r w:rsidRPr="00BC1E0E">
        <w:t xml:space="preserve">cost components </w:t>
      </w:r>
      <w:r>
        <w:t xml:space="preserve">determined under </w:t>
      </w:r>
      <w:r w:rsidRPr="00BC1E0E">
        <w:t xml:space="preserve">paragraphs 15(1)(a) to (d) of the Act. The ACMA proposes to make </w:t>
      </w:r>
      <w:r>
        <w:t xml:space="preserve">a determination under paragraphs 15(1)(a), (c) and (ca) of the Act, </w:t>
      </w:r>
      <w:r w:rsidRPr="00BC1E0E">
        <w:t xml:space="preserve">to determine the cost components under </w:t>
      </w:r>
      <w:r>
        <w:t>those paragraphs</w:t>
      </w:r>
      <w:r w:rsidRPr="00BC1E0E">
        <w:t xml:space="preserve">. The </w:t>
      </w:r>
      <w:r>
        <w:t xml:space="preserve">ACCC intends to make a determination </w:t>
      </w:r>
      <w:r w:rsidRPr="00BC1E0E">
        <w:t>under paragraph 15(1)(b)</w:t>
      </w:r>
      <w:r>
        <w:t xml:space="preserve"> of the Act setting out the costs attributable to its telecommunications functions and powers, and the </w:t>
      </w:r>
      <w:r w:rsidR="00C13E1C">
        <w:t>m</w:t>
      </w:r>
      <w:r w:rsidRPr="00BC1E0E">
        <w:t>inister</w:t>
      </w:r>
      <w:r>
        <w:t xml:space="preserve"> has made a </w:t>
      </w:r>
      <w:r w:rsidRPr="00BC1E0E">
        <w:t xml:space="preserve">written </w:t>
      </w:r>
      <w:hyperlink r:id="rId26" w:history="1">
        <w:r w:rsidRPr="00D7171C">
          <w:rPr>
            <w:rStyle w:val="Hyperlink"/>
          </w:rPr>
          <w:t>determination</w:t>
        </w:r>
      </w:hyperlink>
      <w:r>
        <w:t xml:space="preserve"> under paragraph 15(1)(d) of the Act </w:t>
      </w:r>
      <w:r w:rsidRPr="00017981">
        <w:rPr>
          <w:szCs w:val="20"/>
        </w:rPr>
        <w:t xml:space="preserve">setting out the </w:t>
      </w:r>
      <w:r w:rsidRPr="00903949">
        <w:rPr>
          <w:color w:val="000000"/>
          <w:szCs w:val="20"/>
          <w:shd w:val="clear" w:color="auto" w:fill="FFFFFF"/>
        </w:rPr>
        <w:t>estimated total amount of grants likely to be made during the 202</w:t>
      </w:r>
      <w:r>
        <w:rPr>
          <w:color w:val="000000"/>
          <w:szCs w:val="20"/>
          <w:shd w:val="clear" w:color="auto" w:fill="FFFFFF"/>
        </w:rPr>
        <w:t>2</w:t>
      </w:r>
      <w:r w:rsidR="00C13E1C">
        <w:rPr>
          <w:color w:val="000000"/>
          <w:szCs w:val="20"/>
          <w:shd w:val="clear" w:color="auto" w:fill="FFFFFF"/>
        </w:rPr>
        <w:t>–</w:t>
      </w:r>
      <w:r w:rsidRPr="00903949">
        <w:rPr>
          <w:color w:val="000000"/>
          <w:szCs w:val="20"/>
          <w:shd w:val="clear" w:color="auto" w:fill="FFFFFF"/>
        </w:rPr>
        <w:t>2</w:t>
      </w:r>
      <w:r>
        <w:rPr>
          <w:color w:val="000000"/>
          <w:szCs w:val="20"/>
          <w:shd w:val="clear" w:color="auto" w:fill="FFFFFF"/>
        </w:rPr>
        <w:t>3</w:t>
      </w:r>
      <w:r w:rsidRPr="00903949">
        <w:rPr>
          <w:color w:val="000000"/>
          <w:szCs w:val="20"/>
          <w:shd w:val="clear" w:color="auto" w:fill="FFFFFF"/>
        </w:rPr>
        <w:t xml:space="preserve"> financial year under section 593 of the </w:t>
      </w:r>
      <w:r w:rsidRPr="00903949">
        <w:rPr>
          <w:i/>
          <w:iCs/>
          <w:color w:val="000000"/>
          <w:szCs w:val="20"/>
          <w:shd w:val="clear" w:color="auto" w:fill="FFFFFF"/>
        </w:rPr>
        <w:t>Telecommunications Act 1997</w:t>
      </w:r>
      <w:r w:rsidRPr="00017981">
        <w:rPr>
          <w:szCs w:val="20"/>
        </w:rPr>
        <w:t>.</w:t>
      </w:r>
    </w:p>
    <w:p w14:paraId="4ACA0962" w14:textId="77777777" w:rsidR="009A1DAD" w:rsidRPr="004623C4" w:rsidRDefault="009A1DAD" w:rsidP="009A1DAD">
      <w:pPr>
        <w:pStyle w:val="ListNumber"/>
        <w:spacing w:after="60"/>
        <w:ind w:left="357" w:hanging="357"/>
        <w:rPr>
          <w:b/>
          <w:bCs/>
        </w:rPr>
      </w:pPr>
      <w:r w:rsidRPr="004623C4">
        <w:rPr>
          <w:b/>
          <w:bCs/>
        </w:rPr>
        <w:t>ACMA’s component for 20</w:t>
      </w:r>
      <w:r>
        <w:rPr>
          <w:b/>
          <w:bCs/>
        </w:rPr>
        <w:t>22</w:t>
      </w:r>
      <w:r w:rsidRPr="004623C4">
        <w:rPr>
          <w:b/>
          <w:bCs/>
        </w:rPr>
        <w:t>–</w:t>
      </w:r>
      <w:r>
        <w:rPr>
          <w:b/>
          <w:bCs/>
        </w:rPr>
        <w:t>23</w:t>
      </w:r>
      <w:r w:rsidRPr="004623C4">
        <w:rPr>
          <w:b/>
          <w:bCs/>
        </w:rPr>
        <w:t xml:space="preserve"> ACLC </w:t>
      </w:r>
    </w:p>
    <w:p w14:paraId="43D6C7EC" w14:textId="414E128C" w:rsidR="009A1DAD" w:rsidRDefault="009A1DAD" w:rsidP="009A1DAD">
      <w:pPr>
        <w:pStyle w:val="ListNumber"/>
        <w:numPr>
          <w:ilvl w:val="0"/>
          <w:numId w:val="0"/>
        </w:numPr>
        <w:spacing w:after="240"/>
        <w:ind w:left="360"/>
      </w:pPr>
      <w:r>
        <w:t xml:space="preserve">This amount will be determined by a written instrument proposed to be made by the ACMA under paragraph 15(1)(a) of the Act. It is the amount attributable to the ACMA’s telecommunications functions and powers for the preceding financial year (the 2021–22 financial year). For the purposes of the Act, the ACMA’s telecommunications functions and powers are as defined by section 7 of the </w:t>
      </w:r>
      <w:r w:rsidR="00C13E1C">
        <w:t xml:space="preserve">Telecommunications </w:t>
      </w:r>
      <w:r>
        <w:t xml:space="preserve">Act and in section 8 of the </w:t>
      </w:r>
      <w:r w:rsidRPr="30546906">
        <w:rPr>
          <w:i/>
          <w:iCs/>
        </w:rPr>
        <w:t xml:space="preserve">Australian Communications and Media Authority Act </w:t>
      </w:r>
      <w:r w:rsidRPr="00903949">
        <w:rPr>
          <w:i/>
          <w:iCs/>
        </w:rPr>
        <w:t>2005,</w:t>
      </w:r>
      <w:r w:rsidRPr="00903949">
        <w:t xml:space="preserve"> but do not include the matters excluded by subsection 15(4) of the Act. The proposed amount is set out in Table 1 below. Table 1 contains </w:t>
      </w:r>
      <w:r w:rsidR="00C13E1C">
        <w:t>2</w:t>
      </w:r>
      <w:r w:rsidR="00C13E1C" w:rsidRPr="00903949">
        <w:t xml:space="preserve"> </w:t>
      </w:r>
      <w:r w:rsidRPr="00903949">
        <w:t>figures</w:t>
      </w:r>
      <w:r w:rsidR="00C13E1C">
        <w:t xml:space="preserve"> –</w:t>
      </w:r>
      <w:r w:rsidR="00C13E1C" w:rsidRPr="00903949">
        <w:t xml:space="preserve"> </w:t>
      </w:r>
      <w:r w:rsidRPr="00903949">
        <w:t>the first amount represents the ACMA’s costs attributable to telecommunications functions and powers</w:t>
      </w:r>
      <w:r w:rsidR="00FE29E7">
        <w:t>,</w:t>
      </w:r>
      <w:r w:rsidRPr="00903949">
        <w:t xml:space="preserve"> excluding the cost incurred </w:t>
      </w:r>
      <w:r w:rsidR="00EF20B7">
        <w:t>for</w:t>
      </w:r>
      <w:r w:rsidRPr="00903949">
        <w:t xml:space="preserve"> the Consumer Safeguard</w:t>
      </w:r>
      <w:r>
        <w:t>s</w:t>
      </w:r>
      <w:r w:rsidRPr="00903949">
        <w:t xml:space="preserve"> Part A program. The other amount represents the Consumer Safeguard</w:t>
      </w:r>
      <w:r>
        <w:t>s</w:t>
      </w:r>
      <w:r w:rsidRPr="00903949">
        <w:t xml:space="preserve"> Part A cost.</w:t>
      </w:r>
    </w:p>
    <w:p w14:paraId="21C081FA" w14:textId="77777777" w:rsidR="009A1DAD" w:rsidRPr="004623C4" w:rsidRDefault="009A1DAD" w:rsidP="009A1DAD">
      <w:pPr>
        <w:pStyle w:val="ListNumber"/>
        <w:spacing w:after="60"/>
        <w:ind w:left="357" w:hanging="357"/>
        <w:rPr>
          <w:b/>
          <w:bCs/>
        </w:rPr>
      </w:pPr>
      <w:r w:rsidRPr="004623C4">
        <w:rPr>
          <w:b/>
          <w:bCs/>
        </w:rPr>
        <w:t>ACCC’s component for 20</w:t>
      </w:r>
      <w:r>
        <w:rPr>
          <w:b/>
          <w:bCs/>
        </w:rPr>
        <w:t>22</w:t>
      </w:r>
      <w:r w:rsidRPr="004623C4">
        <w:rPr>
          <w:b/>
          <w:bCs/>
        </w:rPr>
        <w:t>–</w:t>
      </w:r>
      <w:r>
        <w:rPr>
          <w:b/>
          <w:bCs/>
        </w:rPr>
        <w:t>23</w:t>
      </w:r>
      <w:r w:rsidRPr="004623C4">
        <w:rPr>
          <w:b/>
          <w:bCs/>
        </w:rPr>
        <w:t xml:space="preserve"> ACLC </w:t>
      </w:r>
    </w:p>
    <w:p w14:paraId="7147141B" w14:textId="49671EC1" w:rsidR="009A1DAD" w:rsidRPr="004623C4" w:rsidRDefault="009A1DAD" w:rsidP="009A1DAD">
      <w:pPr>
        <w:pStyle w:val="ListNumber"/>
        <w:numPr>
          <w:ilvl w:val="0"/>
          <w:numId w:val="0"/>
        </w:numPr>
        <w:spacing w:after="240"/>
        <w:ind w:left="360"/>
        <w:rPr>
          <w:szCs w:val="20"/>
        </w:rPr>
      </w:pPr>
      <w:r w:rsidRPr="004623C4">
        <w:rPr>
          <w:szCs w:val="20"/>
        </w:rPr>
        <w:t>The ACCC proposes to make a written determination under paragraph 15(1)(b) of the Act setting out the amount determined to be the proportion of its costs attributable to the telecommunications functions and powers of the ACCC in the preceding financial year (the 20</w:t>
      </w:r>
      <w:r>
        <w:rPr>
          <w:szCs w:val="20"/>
        </w:rPr>
        <w:t>21</w:t>
      </w:r>
      <w:r w:rsidRPr="004623C4">
        <w:rPr>
          <w:szCs w:val="20"/>
        </w:rPr>
        <w:t>–</w:t>
      </w:r>
      <w:r>
        <w:rPr>
          <w:szCs w:val="20"/>
        </w:rPr>
        <w:t>22</w:t>
      </w:r>
      <w:r w:rsidRPr="004623C4">
        <w:rPr>
          <w:szCs w:val="20"/>
        </w:rPr>
        <w:t xml:space="preserve"> financial year). The ACCC’s telecommunications functions and powers are defined by subsection 15(4) of the Act and section 7 of the </w:t>
      </w:r>
      <w:r w:rsidR="00C13E1C">
        <w:t>Telecommunications</w:t>
      </w:r>
      <w:r w:rsidR="00C13E1C" w:rsidRPr="004623C4" w:rsidDel="00C13E1C">
        <w:rPr>
          <w:szCs w:val="20"/>
        </w:rPr>
        <w:t xml:space="preserve"> </w:t>
      </w:r>
      <w:r w:rsidRPr="004623C4">
        <w:rPr>
          <w:szCs w:val="20"/>
        </w:rPr>
        <w:t xml:space="preserve">Act </w:t>
      </w:r>
      <w:r>
        <w:rPr>
          <w:szCs w:val="20"/>
        </w:rPr>
        <w:t>as</w:t>
      </w:r>
      <w:r w:rsidRPr="004623C4">
        <w:rPr>
          <w:szCs w:val="20"/>
        </w:rPr>
        <w:t xml:space="preserve"> </w:t>
      </w:r>
      <w:r>
        <w:rPr>
          <w:szCs w:val="20"/>
        </w:rPr>
        <w:t>the functions and powers conferred on the ACCC under</w:t>
      </w:r>
      <w:r w:rsidRPr="004623C4">
        <w:rPr>
          <w:szCs w:val="20"/>
        </w:rPr>
        <w:t xml:space="preserve"> the </w:t>
      </w:r>
      <w:r w:rsidR="00C13E1C">
        <w:t>Telecommunications</w:t>
      </w:r>
      <w:r w:rsidR="00C13E1C" w:rsidRPr="004623C4" w:rsidDel="00C13E1C">
        <w:rPr>
          <w:szCs w:val="20"/>
        </w:rPr>
        <w:t xml:space="preserve"> </w:t>
      </w:r>
      <w:r w:rsidRPr="004623C4">
        <w:rPr>
          <w:szCs w:val="20"/>
        </w:rPr>
        <w:t>Act and other legislation. Costs associated with the MBA program are included under paragraph 15(1)(b) of the Act</w:t>
      </w:r>
      <w:r>
        <w:rPr>
          <w:szCs w:val="20"/>
        </w:rPr>
        <w:t>.</w:t>
      </w:r>
      <w:r w:rsidRPr="004623C4">
        <w:rPr>
          <w:szCs w:val="20"/>
        </w:rPr>
        <w:t xml:space="preserve"> </w:t>
      </w:r>
      <w:r>
        <w:rPr>
          <w:szCs w:val="20"/>
        </w:rPr>
        <w:t>T</w:t>
      </w:r>
      <w:r w:rsidRPr="004623C4">
        <w:rPr>
          <w:szCs w:val="20"/>
        </w:rPr>
        <w:t xml:space="preserve">he </w:t>
      </w:r>
      <w:r>
        <w:rPr>
          <w:szCs w:val="20"/>
        </w:rPr>
        <w:t>MBA program</w:t>
      </w:r>
      <w:r w:rsidRPr="004623C4">
        <w:rPr>
          <w:szCs w:val="20"/>
        </w:rPr>
        <w:t xml:space="preserve"> is part of the ACCC’s functions of monitoring the telecommunications industry and promoting competition and consumer benefits. Accordingly, the ACCC’s costs determined under paragraph 15(1)(b) </w:t>
      </w:r>
      <w:r>
        <w:rPr>
          <w:szCs w:val="20"/>
        </w:rPr>
        <w:t xml:space="preserve">of the Act </w:t>
      </w:r>
      <w:r w:rsidRPr="004623C4">
        <w:rPr>
          <w:szCs w:val="20"/>
        </w:rPr>
        <w:t xml:space="preserve">that are attributable to the MBA program costs </w:t>
      </w:r>
      <w:r>
        <w:rPr>
          <w:szCs w:val="20"/>
        </w:rPr>
        <w:t>are</w:t>
      </w:r>
      <w:r w:rsidRPr="004623C4">
        <w:rPr>
          <w:szCs w:val="20"/>
        </w:rPr>
        <w:t xml:space="preserve"> recovered in arrears (</w:t>
      </w:r>
      <w:r w:rsidR="00FE29E7">
        <w:rPr>
          <w:szCs w:val="20"/>
        </w:rPr>
        <w:t>that is,</w:t>
      </w:r>
      <w:r>
        <w:rPr>
          <w:szCs w:val="20"/>
        </w:rPr>
        <w:t xml:space="preserve"> costs for </w:t>
      </w:r>
      <w:r w:rsidRPr="004623C4">
        <w:rPr>
          <w:szCs w:val="20"/>
        </w:rPr>
        <w:t>the 20</w:t>
      </w:r>
      <w:r>
        <w:rPr>
          <w:szCs w:val="20"/>
        </w:rPr>
        <w:t>21–22</w:t>
      </w:r>
      <w:r w:rsidRPr="004623C4">
        <w:rPr>
          <w:szCs w:val="20"/>
        </w:rPr>
        <w:t xml:space="preserve"> financial year) from monitored carriers via the ACLC.</w:t>
      </w:r>
      <w:r>
        <w:rPr>
          <w:szCs w:val="20"/>
        </w:rPr>
        <w:t xml:space="preserve"> </w:t>
      </w:r>
      <w:r>
        <w:t xml:space="preserve">The proposed amount is set out in Table 1 below. </w:t>
      </w:r>
    </w:p>
    <w:p w14:paraId="4EDB4A2A" w14:textId="77777777" w:rsidR="009A1DAD" w:rsidRPr="00671B3B" w:rsidRDefault="009A1DAD" w:rsidP="009A1DAD">
      <w:pPr>
        <w:pStyle w:val="ListNumber"/>
        <w:spacing w:after="60"/>
        <w:ind w:left="357" w:hanging="357"/>
        <w:rPr>
          <w:b/>
          <w:bCs/>
        </w:rPr>
      </w:pPr>
      <w:r w:rsidRPr="00671B3B">
        <w:rPr>
          <w:b/>
          <w:bCs/>
        </w:rPr>
        <w:t>The Commonwealth’s contribution to the International Telecommunication Union (ITU) component for 202</w:t>
      </w:r>
      <w:r>
        <w:rPr>
          <w:b/>
          <w:bCs/>
        </w:rPr>
        <w:t>2</w:t>
      </w:r>
      <w:r w:rsidRPr="00671B3B">
        <w:rPr>
          <w:b/>
          <w:bCs/>
        </w:rPr>
        <w:t>–2</w:t>
      </w:r>
      <w:r>
        <w:rPr>
          <w:b/>
          <w:bCs/>
        </w:rPr>
        <w:t>3</w:t>
      </w:r>
      <w:r w:rsidRPr="00671B3B">
        <w:rPr>
          <w:b/>
          <w:bCs/>
        </w:rPr>
        <w:t xml:space="preserve"> ACLC</w:t>
      </w:r>
    </w:p>
    <w:p w14:paraId="4DB91EEC" w14:textId="6E576B18" w:rsidR="009A1DAD" w:rsidRPr="004623C4" w:rsidRDefault="009A1DAD" w:rsidP="009A1DAD">
      <w:pPr>
        <w:pStyle w:val="ListNumber"/>
        <w:numPr>
          <w:ilvl w:val="0"/>
          <w:numId w:val="0"/>
        </w:numPr>
        <w:spacing w:after="240"/>
        <w:ind w:left="360"/>
        <w:rPr>
          <w:szCs w:val="20"/>
        </w:rPr>
      </w:pPr>
      <w:r w:rsidRPr="004623C4">
        <w:rPr>
          <w:szCs w:val="20"/>
        </w:rPr>
        <w:t>Paragraph 15(1)(c) of the Act requires the ACMA to determine the proportion of the Commonwealth’s contribution to the budget of the ITU associated with telecommunications in the 20</w:t>
      </w:r>
      <w:r>
        <w:rPr>
          <w:szCs w:val="20"/>
        </w:rPr>
        <w:t xml:space="preserve">22 </w:t>
      </w:r>
      <w:r w:rsidRPr="004623C4">
        <w:rPr>
          <w:szCs w:val="20"/>
        </w:rPr>
        <w:t xml:space="preserve">calendar </w:t>
      </w:r>
      <w:r w:rsidR="004D1ACA" w:rsidRPr="004623C4">
        <w:rPr>
          <w:szCs w:val="20"/>
        </w:rPr>
        <w:t>year</w:t>
      </w:r>
      <w:r w:rsidR="004D1ACA">
        <w:rPr>
          <w:szCs w:val="20"/>
        </w:rPr>
        <w:t>. This</w:t>
      </w:r>
      <w:r w:rsidRPr="004623C4">
        <w:rPr>
          <w:szCs w:val="20"/>
        </w:rPr>
        <w:t xml:space="preserve"> amount is </w:t>
      </w:r>
      <w:r>
        <w:rPr>
          <w:szCs w:val="20"/>
        </w:rPr>
        <w:t xml:space="preserve">proposed to be </w:t>
      </w:r>
      <w:r w:rsidRPr="004623C4">
        <w:rPr>
          <w:szCs w:val="20"/>
        </w:rPr>
        <w:t xml:space="preserve">determined by the ACMA, based on advice provided by </w:t>
      </w:r>
      <w:r>
        <w:rPr>
          <w:szCs w:val="20"/>
        </w:rPr>
        <w:t>DITRDCA</w:t>
      </w:r>
      <w:r w:rsidRPr="004623C4">
        <w:rPr>
          <w:szCs w:val="20"/>
        </w:rPr>
        <w:t xml:space="preserve">, in </w:t>
      </w:r>
      <w:r>
        <w:rPr>
          <w:szCs w:val="20"/>
        </w:rPr>
        <w:t xml:space="preserve">a </w:t>
      </w:r>
      <w:r>
        <w:rPr>
          <w:szCs w:val="20"/>
        </w:rPr>
        <w:lastRenderedPageBreak/>
        <w:t>determination to be made under paragraph 15(1)(c) of the Act</w:t>
      </w:r>
      <w:r w:rsidRPr="004623C4">
        <w:rPr>
          <w:szCs w:val="20"/>
        </w:rPr>
        <w:t>.</w:t>
      </w:r>
      <w:r>
        <w:rPr>
          <w:szCs w:val="20"/>
        </w:rPr>
        <w:t xml:space="preserve"> The proposed amount is set out in Table 1 below.</w:t>
      </w:r>
    </w:p>
    <w:p w14:paraId="51E432A1" w14:textId="77777777" w:rsidR="009A1DAD" w:rsidRPr="004623C4" w:rsidRDefault="009A1DAD" w:rsidP="009A1DAD">
      <w:pPr>
        <w:pStyle w:val="ListNumber"/>
        <w:spacing w:after="60"/>
        <w:ind w:left="357" w:hanging="357"/>
        <w:rPr>
          <w:b/>
          <w:bCs/>
        </w:rPr>
      </w:pPr>
      <w:r w:rsidRPr="004623C4">
        <w:rPr>
          <w:b/>
          <w:bCs/>
        </w:rPr>
        <w:t>ACMA’s payment for the development or variation of industry codes by a telecommunications industry body for 20</w:t>
      </w:r>
      <w:r>
        <w:rPr>
          <w:b/>
          <w:bCs/>
        </w:rPr>
        <w:t>22–23</w:t>
      </w:r>
      <w:r w:rsidRPr="004623C4">
        <w:rPr>
          <w:b/>
          <w:bCs/>
        </w:rPr>
        <w:t xml:space="preserve"> ACLC</w:t>
      </w:r>
    </w:p>
    <w:p w14:paraId="3A771DBC" w14:textId="75BC0466" w:rsidR="009A1DAD" w:rsidRDefault="009A1DAD" w:rsidP="009A1DAD">
      <w:pPr>
        <w:pStyle w:val="ListNumber"/>
        <w:numPr>
          <w:ilvl w:val="0"/>
          <w:numId w:val="0"/>
        </w:numPr>
        <w:spacing w:after="240"/>
        <w:ind w:left="360"/>
        <w:rPr>
          <w:szCs w:val="20"/>
        </w:rPr>
      </w:pPr>
      <w:r w:rsidRPr="004623C4">
        <w:rPr>
          <w:szCs w:val="20"/>
        </w:rPr>
        <w:t xml:space="preserve">Section 136C of the </w:t>
      </w:r>
      <w:r w:rsidR="00C13E1C">
        <w:t>Telecommunications</w:t>
      </w:r>
      <w:r w:rsidR="00C13E1C" w:rsidRPr="004623C4" w:rsidDel="00C13E1C">
        <w:rPr>
          <w:szCs w:val="20"/>
        </w:rPr>
        <w:t xml:space="preserve"> </w:t>
      </w:r>
      <w:r w:rsidRPr="004623C4">
        <w:rPr>
          <w:szCs w:val="20"/>
        </w:rPr>
        <w:t xml:space="preserve">Act requires the ACMA to make payments on behalf of the Commonwealth to reimburse industry bodies </w:t>
      </w:r>
      <w:r>
        <w:rPr>
          <w:szCs w:val="20"/>
        </w:rPr>
        <w:t>that</w:t>
      </w:r>
      <w:r w:rsidRPr="004623C4">
        <w:rPr>
          <w:szCs w:val="20"/>
        </w:rPr>
        <w:t xml:space="preserve"> develop or vary industry codes </w:t>
      </w:r>
      <w:r w:rsidR="00FE29E7">
        <w:rPr>
          <w:szCs w:val="20"/>
        </w:rPr>
        <w:t>that</w:t>
      </w:r>
      <w:r w:rsidR="00FE29E7" w:rsidRPr="004623C4">
        <w:rPr>
          <w:szCs w:val="20"/>
        </w:rPr>
        <w:t xml:space="preserve"> </w:t>
      </w:r>
      <w:r w:rsidRPr="004623C4">
        <w:rPr>
          <w:szCs w:val="20"/>
        </w:rPr>
        <w:t xml:space="preserve">are subsequently registered by the ACMA under Part 6 of the </w:t>
      </w:r>
      <w:r w:rsidR="00C13E1C">
        <w:t>Telecommunications</w:t>
      </w:r>
      <w:r w:rsidR="00C13E1C" w:rsidRPr="004623C4" w:rsidDel="00C13E1C">
        <w:rPr>
          <w:szCs w:val="20"/>
        </w:rPr>
        <w:t xml:space="preserve"> </w:t>
      </w:r>
      <w:r w:rsidRPr="004623C4">
        <w:rPr>
          <w:szCs w:val="20"/>
        </w:rPr>
        <w:t>Act in certain circumstances. Paragraph 15(</w:t>
      </w:r>
      <w:r w:rsidR="004D1ACA" w:rsidRPr="004623C4">
        <w:rPr>
          <w:szCs w:val="20"/>
        </w:rPr>
        <w:t>1) (</w:t>
      </w:r>
      <w:r w:rsidRPr="004623C4">
        <w:rPr>
          <w:szCs w:val="20"/>
        </w:rPr>
        <w:t xml:space="preserve">ca) </w:t>
      </w:r>
      <w:r>
        <w:rPr>
          <w:szCs w:val="20"/>
        </w:rPr>
        <w:t xml:space="preserve">of the Act </w:t>
      </w:r>
      <w:r w:rsidRPr="004623C4">
        <w:rPr>
          <w:szCs w:val="20"/>
        </w:rPr>
        <w:t xml:space="preserve">requires the ACMA to determine the sum of the amounts paid under section 136C of the </w:t>
      </w:r>
      <w:r w:rsidR="00C13E1C">
        <w:t>Telecommunications</w:t>
      </w:r>
      <w:r w:rsidR="00C13E1C" w:rsidRPr="004623C4" w:rsidDel="00C13E1C">
        <w:rPr>
          <w:szCs w:val="20"/>
        </w:rPr>
        <w:t xml:space="preserve"> </w:t>
      </w:r>
      <w:r w:rsidRPr="004623C4">
        <w:rPr>
          <w:szCs w:val="20"/>
        </w:rPr>
        <w:t>Act</w:t>
      </w:r>
      <w:r w:rsidRPr="004623C4">
        <w:rPr>
          <w:i/>
          <w:szCs w:val="20"/>
        </w:rPr>
        <w:t xml:space="preserve"> </w:t>
      </w:r>
      <w:r w:rsidRPr="004623C4">
        <w:rPr>
          <w:szCs w:val="20"/>
        </w:rPr>
        <w:t xml:space="preserve">for the immediately preceding financial year </w:t>
      </w:r>
      <w:r>
        <w:rPr>
          <w:szCs w:val="20"/>
        </w:rPr>
        <w:t xml:space="preserve">to the one in which the ACLC is imposed </w:t>
      </w:r>
      <w:r w:rsidRPr="004623C4">
        <w:rPr>
          <w:szCs w:val="20"/>
        </w:rPr>
        <w:t>(</w:t>
      </w:r>
      <w:r>
        <w:rPr>
          <w:szCs w:val="20"/>
        </w:rPr>
        <w:t xml:space="preserve">in this case, </w:t>
      </w:r>
      <w:r w:rsidRPr="004623C4">
        <w:rPr>
          <w:szCs w:val="20"/>
        </w:rPr>
        <w:t>the 20</w:t>
      </w:r>
      <w:r>
        <w:rPr>
          <w:szCs w:val="20"/>
        </w:rPr>
        <w:t>21</w:t>
      </w:r>
      <w:r w:rsidRPr="004623C4">
        <w:rPr>
          <w:szCs w:val="20"/>
        </w:rPr>
        <w:t>–</w:t>
      </w:r>
      <w:r>
        <w:rPr>
          <w:szCs w:val="20"/>
        </w:rPr>
        <w:t>22</w:t>
      </w:r>
      <w:r w:rsidRPr="004623C4">
        <w:rPr>
          <w:szCs w:val="20"/>
        </w:rPr>
        <w:t xml:space="preserve"> financial year). The ACMA proposes to determine this cost component in </w:t>
      </w:r>
      <w:r>
        <w:rPr>
          <w:szCs w:val="20"/>
        </w:rPr>
        <w:t>a determination to be made</w:t>
      </w:r>
      <w:r w:rsidRPr="004623C4">
        <w:rPr>
          <w:szCs w:val="20"/>
        </w:rPr>
        <w:t xml:space="preserve"> under paragraph 15(1)(ca) of the Act.</w:t>
      </w:r>
      <w:r>
        <w:rPr>
          <w:szCs w:val="20"/>
        </w:rPr>
        <w:t xml:space="preserve"> The proposed amount is set out in Table 1 below.</w:t>
      </w:r>
    </w:p>
    <w:p w14:paraId="06BC8792" w14:textId="5A5E2331" w:rsidR="009A1DAD" w:rsidRPr="004623C4" w:rsidRDefault="009A1DAD" w:rsidP="009A1DAD">
      <w:pPr>
        <w:pStyle w:val="ListNumber"/>
        <w:spacing w:after="60"/>
        <w:ind w:left="357" w:hanging="357"/>
        <w:rPr>
          <w:b/>
          <w:bCs/>
        </w:rPr>
      </w:pPr>
      <w:r w:rsidRPr="004623C4">
        <w:rPr>
          <w:b/>
          <w:bCs/>
        </w:rPr>
        <w:t>Government’s consumer representation and research grant (estimate) for 20</w:t>
      </w:r>
      <w:r>
        <w:rPr>
          <w:b/>
          <w:bCs/>
        </w:rPr>
        <w:t>22</w:t>
      </w:r>
      <w:r w:rsidR="00FE29E7">
        <w:rPr>
          <w:color w:val="000000"/>
          <w:szCs w:val="20"/>
          <w:shd w:val="clear" w:color="auto" w:fill="FFFFFF"/>
        </w:rPr>
        <w:t>–</w:t>
      </w:r>
      <w:r>
        <w:rPr>
          <w:b/>
          <w:bCs/>
        </w:rPr>
        <w:t xml:space="preserve">23 </w:t>
      </w:r>
      <w:r w:rsidRPr="004623C4">
        <w:rPr>
          <w:b/>
          <w:bCs/>
        </w:rPr>
        <w:t>ACLC</w:t>
      </w:r>
    </w:p>
    <w:p w14:paraId="09A9B074" w14:textId="691D2120" w:rsidR="009A1DAD" w:rsidRDefault="009A1DAD" w:rsidP="00E513C4">
      <w:pPr>
        <w:pStyle w:val="ListNumber"/>
        <w:numPr>
          <w:ilvl w:val="0"/>
          <w:numId w:val="0"/>
        </w:numPr>
        <w:ind w:left="357"/>
        <w:rPr>
          <w:szCs w:val="20"/>
        </w:rPr>
      </w:pPr>
      <w:r w:rsidRPr="004623C4">
        <w:rPr>
          <w:szCs w:val="20"/>
        </w:rPr>
        <w:t>Under paragraph 15(1)(d) of the Act, the</w:t>
      </w:r>
      <w:r>
        <w:rPr>
          <w:szCs w:val="20"/>
        </w:rPr>
        <w:t xml:space="preserve"> </w:t>
      </w:r>
      <w:r w:rsidR="00FE29E7">
        <w:rPr>
          <w:szCs w:val="20"/>
        </w:rPr>
        <w:t>m</w:t>
      </w:r>
      <w:r w:rsidRPr="004623C4">
        <w:rPr>
          <w:szCs w:val="20"/>
        </w:rPr>
        <w:t xml:space="preserve">inister has made the </w:t>
      </w:r>
      <w:r w:rsidRPr="00E513C4">
        <w:rPr>
          <w:szCs w:val="20"/>
        </w:rPr>
        <w:t>Telecommunications (Carrier Licence Charges) (Paragraph 15(1)(d)) Determination 2023 (No. 1)</w:t>
      </w:r>
      <w:r w:rsidRPr="004623C4">
        <w:rPr>
          <w:szCs w:val="20"/>
        </w:rPr>
        <w:t xml:space="preserve">, an instrument setting out the estimated total amount of grants likely to be made under section 593 of the </w:t>
      </w:r>
      <w:r w:rsidR="00C13E1C">
        <w:t>Telecommunications</w:t>
      </w:r>
      <w:r w:rsidR="00C13E1C" w:rsidRPr="004623C4" w:rsidDel="00C13E1C">
        <w:rPr>
          <w:szCs w:val="20"/>
        </w:rPr>
        <w:t xml:space="preserve"> </w:t>
      </w:r>
      <w:r w:rsidRPr="004623C4">
        <w:rPr>
          <w:szCs w:val="20"/>
        </w:rPr>
        <w:t>Act</w:t>
      </w:r>
      <w:r w:rsidRPr="004623C4">
        <w:rPr>
          <w:i/>
          <w:szCs w:val="20"/>
        </w:rPr>
        <w:t xml:space="preserve"> </w:t>
      </w:r>
      <w:r w:rsidRPr="004623C4">
        <w:rPr>
          <w:szCs w:val="20"/>
        </w:rPr>
        <w:t>during the 20</w:t>
      </w:r>
      <w:r>
        <w:rPr>
          <w:szCs w:val="20"/>
        </w:rPr>
        <w:t>22–23</w:t>
      </w:r>
      <w:r w:rsidRPr="004623C4">
        <w:rPr>
          <w:szCs w:val="20"/>
        </w:rPr>
        <w:t xml:space="preserve"> financial year. Section 593 of the </w:t>
      </w:r>
      <w:r w:rsidR="00C13E1C">
        <w:t>Telecommunications</w:t>
      </w:r>
      <w:r w:rsidR="00C13E1C" w:rsidRPr="004623C4" w:rsidDel="00C13E1C">
        <w:rPr>
          <w:szCs w:val="20"/>
        </w:rPr>
        <w:t xml:space="preserve"> </w:t>
      </w:r>
      <w:r w:rsidRPr="004623C4">
        <w:rPr>
          <w:szCs w:val="20"/>
        </w:rPr>
        <w:t>Act</w:t>
      </w:r>
      <w:r w:rsidRPr="004623C4">
        <w:rPr>
          <w:i/>
          <w:szCs w:val="20"/>
        </w:rPr>
        <w:t xml:space="preserve"> </w:t>
      </w:r>
      <w:r w:rsidRPr="004623C4">
        <w:rPr>
          <w:szCs w:val="20"/>
        </w:rPr>
        <w:t xml:space="preserve">provides for the </w:t>
      </w:r>
      <w:r w:rsidR="00FE29E7">
        <w:rPr>
          <w:szCs w:val="20"/>
        </w:rPr>
        <w:t>m</w:t>
      </w:r>
      <w:r w:rsidRPr="004623C4">
        <w:rPr>
          <w:szCs w:val="20"/>
        </w:rPr>
        <w:t>inister to make grants of financial assistance</w:t>
      </w:r>
      <w:r>
        <w:rPr>
          <w:szCs w:val="20"/>
        </w:rPr>
        <w:t>:</w:t>
      </w:r>
    </w:p>
    <w:p w14:paraId="4DE2FF66" w14:textId="77777777" w:rsidR="009A1DAD" w:rsidRDefault="009A1DAD" w:rsidP="00E513C4">
      <w:pPr>
        <w:pStyle w:val="ListNumber"/>
        <w:numPr>
          <w:ilvl w:val="0"/>
          <w:numId w:val="20"/>
        </w:numPr>
        <w:ind w:left="714" w:hanging="357"/>
        <w:rPr>
          <w:szCs w:val="20"/>
        </w:rPr>
      </w:pPr>
      <w:r w:rsidRPr="004623C4">
        <w:rPr>
          <w:szCs w:val="20"/>
        </w:rPr>
        <w:t xml:space="preserve">to consumer </w:t>
      </w:r>
      <w:r w:rsidRPr="00903949">
        <w:rPr>
          <w:szCs w:val="20"/>
        </w:rPr>
        <w:t xml:space="preserve">bodies for </w:t>
      </w:r>
      <w:r w:rsidRPr="00903949">
        <w:rPr>
          <w:color w:val="000000"/>
          <w:szCs w:val="20"/>
          <w:shd w:val="clear" w:color="auto" w:fill="FFFFFF"/>
        </w:rPr>
        <w:t xml:space="preserve">purposes in connection with </w:t>
      </w:r>
      <w:r w:rsidRPr="00903949">
        <w:rPr>
          <w:szCs w:val="20"/>
        </w:rPr>
        <w:t>represen</w:t>
      </w:r>
      <w:r w:rsidRPr="004623C4">
        <w:rPr>
          <w:szCs w:val="20"/>
        </w:rPr>
        <w:t>tations of the interests of consumers in relation to telecommunications issues</w:t>
      </w:r>
      <w:r>
        <w:rPr>
          <w:szCs w:val="20"/>
        </w:rPr>
        <w:t>;</w:t>
      </w:r>
      <w:r w:rsidRPr="004623C4">
        <w:rPr>
          <w:szCs w:val="20"/>
        </w:rPr>
        <w:t xml:space="preserve"> or</w:t>
      </w:r>
    </w:p>
    <w:p w14:paraId="186CBACF" w14:textId="77777777" w:rsidR="009A1DAD" w:rsidRPr="00D4750F" w:rsidRDefault="009A1DAD" w:rsidP="00E513C4">
      <w:pPr>
        <w:pStyle w:val="ListNumber"/>
        <w:numPr>
          <w:ilvl w:val="0"/>
          <w:numId w:val="20"/>
        </w:numPr>
        <w:spacing w:after="240"/>
        <w:ind w:left="714" w:hanging="357"/>
        <w:rPr>
          <w:szCs w:val="20"/>
        </w:rPr>
      </w:pPr>
      <w:r w:rsidRPr="004623C4">
        <w:rPr>
          <w:szCs w:val="20"/>
        </w:rPr>
        <w:t xml:space="preserve">to persons or bodies </w:t>
      </w:r>
      <w:r>
        <w:rPr>
          <w:szCs w:val="20"/>
        </w:rPr>
        <w:t xml:space="preserve">for purposes </w:t>
      </w:r>
      <w:r w:rsidRPr="004623C4">
        <w:rPr>
          <w:szCs w:val="20"/>
        </w:rPr>
        <w:t>in connection with research into the social, economic, environmental or techn</w:t>
      </w:r>
      <w:r>
        <w:rPr>
          <w:szCs w:val="20"/>
        </w:rPr>
        <w:t>ological</w:t>
      </w:r>
      <w:r w:rsidRPr="004623C4">
        <w:rPr>
          <w:szCs w:val="20"/>
        </w:rPr>
        <w:t xml:space="preserve"> implications of developments relating to telecommunications. </w:t>
      </w:r>
    </w:p>
    <w:p w14:paraId="1E474701" w14:textId="48BACFB8" w:rsidR="009A1DAD" w:rsidRDefault="009A1DAD" w:rsidP="005D09C2">
      <w:pPr>
        <w:pStyle w:val="Paragraph"/>
      </w:pPr>
      <w:r w:rsidRPr="00A2374F">
        <w:t>For the purpose of ascertaining the ACLC payable by</w:t>
      </w:r>
      <w:r>
        <w:t xml:space="preserve"> a</w:t>
      </w:r>
      <w:r w:rsidRPr="00A2374F">
        <w:t xml:space="preserve"> liable licensed carrier, their </w:t>
      </w:r>
      <w:r w:rsidRPr="00CC370F">
        <w:t>‘</w:t>
      </w:r>
      <w:hyperlink r:id="rId27" w:history="1">
        <w:r w:rsidRPr="00CC370F">
          <w:rPr>
            <w:rStyle w:val="Hyperlink"/>
          </w:rPr>
          <w:t>eligible revenue</w:t>
        </w:r>
      </w:hyperlink>
      <w:r w:rsidRPr="00CC370F">
        <w:t>’ for the 20</w:t>
      </w:r>
      <w:r>
        <w:t>21</w:t>
      </w:r>
      <w:r w:rsidRPr="00CC370F">
        <w:t>–2</w:t>
      </w:r>
      <w:r>
        <w:t>2</w:t>
      </w:r>
      <w:r w:rsidRPr="00CC370F">
        <w:t xml:space="preserve"> financial year, as assessed by the ACMA, is</w:t>
      </w:r>
      <w:r w:rsidRPr="00A2374F">
        <w:t xml:space="preserve"> proposed to be used as a basis for </w:t>
      </w:r>
      <w:r>
        <w:t xml:space="preserve">determining the carrier’s ACLC. </w:t>
      </w:r>
      <w:r w:rsidRPr="00A2374F">
        <w:t xml:space="preserve"> </w:t>
      </w:r>
      <w:r>
        <w:t>As adopted since the 2018</w:t>
      </w:r>
      <w:r w:rsidR="00FE29E7">
        <w:rPr>
          <w:color w:val="000000"/>
          <w:szCs w:val="20"/>
          <w:shd w:val="clear" w:color="auto" w:fill="FFFFFF"/>
        </w:rPr>
        <w:t>–</w:t>
      </w:r>
      <w:r>
        <w:t>19 financial year</w:t>
      </w:r>
      <w:r w:rsidR="00FE29E7">
        <w:t>,</w:t>
      </w:r>
      <w:r>
        <w:t xml:space="preserve"> t</w:t>
      </w:r>
      <w:r w:rsidRPr="00A2374F">
        <w:t xml:space="preserve">he methodology proposed for the allocation of the total charge of the MBA program to individual carriers is based on the number of NBN fixed-line connections operated by all monitored service providers </w:t>
      </w:r>
      <w:r w:rsidR="00FE29E7">
        <w:t>that</w:t>
      </w:r>
      <w:r w:rsidR="00FE29E7" w:rsidRPr="00A2374F">
        <w:t xml:space="preserve"> </w:t>
      </w:r>
      <w:r w:rsidRPr="00A2374F">
        <w:t xml:space="preserve">are </w:t>
      </w:r>
      <w:r>
        <w:t xml:space="preserve">also carriers and </w:t>
      </w:r>
      <w:r w:rsidRPr="00A2374F">
        <w:t xml:space="preserve">liable to pay the </w:t>
      </w:r>
      <w:r>
        <w:t>ACLC</w:t>
      </w:r>
      <w:r w:rsidRPr="00A2374F">
        <w:t>.</w:t>
      </w:r>
    </w:p>
    <w:p w14:paraId="2F7BC6DC" w14:textId="78226A16" w:rsidR="009A1DAD" w:rsidRPr="008709FA" w:rsidRDefault="009A1DAD" w:rsidP="005D09C2">
      <w:pPr>
        <w:pStyle w:val="Paragraph"/>
      </w:pPr>
      <w:r w:rsidRPr="00903949">
        <w:t xml:space="preserve">The methodology proposed for the allocation of the Consumer Safeguards Part A program costs to the liable carriers </w:t>
      </w:r>
      <w:r w:rsidR="00FE29E7">
        <w:t>that</w:t>
      </w:r>
      <w:r w:rsidR="00FE29E7" w:rsidRPr="00903949">
        <w:t xml:space="preserve"> </w:t>
      </w:r>
      <w:r w:rsidRPr="00903949">
        <w:t xml:space="preserve">are also qualifying carriage service providers subject to the </w:t>
      </w:r>
      <w:hyperlink r:id="rId28" w:history="1">
        <w:r w:rsidRPr="00E513C4">
          <w:rPr>
            <w:rStyle w:val="Hyperlink"/>
          </w:rPr>
          <w:t>Telecommunications (Consumer Complaints) Record-Keeping Rules 2018</w:t>
        </w:r>
      </w:hyperlink>
      <w:r w:rsidRPr="00903949">
        <w:t xml:space="preserve"> (</w:t>
      </w:r>
      <w:r>
        <w:t xml:space="preserve">the </w:t>
      </w:r>
      <w:r w:rsidRPr="00903949">
        <w:t>RKRs)</w:t>
      </w:r>
      <w:r w:rsidR="00FE29E7">
        <w:t>,</w:t>
      </w:r>
      <w:r w:rsidRPr="00903949">
        <w:t xml:space="preserve"> is based on each qualifying retail carriage service provider’s eligible </w:t>
      </w:r>
      <w:r w:rsidRPr="00903949">
        <w:rPr>
          <w:szCs w:val="20"/>
        </w:rPr>
        <w:t xml:space="preserve">revenue. </w:t>
      </w:r>
    </w:p>
    <w:p w14:paraId="3A88A310" w14:textId="6D7D86C9" w:rsidR="009A1DAD" w:rsidRDefault="009A1DAD" w:rsidP="005D09C2">
      <w:pPr>
        <w:pStyle w:val="Paragraph"/>
      </w:pPr>
      <w:r w:rsidRPr="00903949">
        <w:t xml:space="preserve">The proposed methodology for calculating a carrier’s ACLC is set out in section 3.6 of the draft CRIS and 3.2 of </w:t>
      </w:r>
      <w:r w:rsidRPr="00DD644A">
        <w:t>Attachment B</w:t>
      </w:r>
      <w:r w:rsidRPr="002858B1">
        <w:t xml:space="preserve"> </w:t>
      </w:r>
      <w:r w:rsidRPr="00903949">
        <w:t xml:space="preserve">of the draft CRIS (available </w:t>
      </w:r>
      <w:r w:rsidR="002715D3">
        <w:t xml:space="preserve">alongside this paper </w:t>
      </w:r>
      <w:r w:rsidRPr="00903949">
        <w:t xml:space="preserve">on </w:t>
      </w:r>
      <w:r w:rsidRPr="00903949">
        <w:rPr>
          <w:sz w:val="22"/>
          <w:szCs w:val="22"/>
        </w:rPr>
        <w:t xml:space="preserve">the </w:t>
      </w:r>
      <w:r w:rsidRPr="00903949">
        <w:rPr>
          <w:szCs w:val="20"/>
        </w:rPr>
        <w:t>ACMA website</w:t>
      </w:r>
      <w:r w:rsidRPr="00903949">
        <w:rPr>
          <w:sz w:val="22"/>
          <w:szCs w:val="22"/>
        </w:rPr>
        <w:t>)</w:t>
      </w:r>
      <w:r w:rsidRPr="00903949">
        <w:t>. The total ACLC for all carriers for 202</w:t>
      </w:r>
      <w:r>
        <w:t>2</w:t>
      </w:r>
      <w:r w:rsidR="002715D3">
        <w:t>–</w:t>
      </w:r>
      <w:r w:rsidRPr="00903949">
        <w:t>2</w:t>
      </w:r>
      <w:r>
        <w:t>3</w:t>
      </w:r>
      <w:r w:rsidRPr="00903949">
        <w:t xml:space="preserve"> and the methodology used to determine the individual charge payable by each carrier (including the names of the carriers </w:t>
      </w:r>
      <w:r w:rsidR="002715D3">
        <w:t>that</w:t>
      </w:r>
      <w:r w:rsidR="002715D3" w:rsidRPr="00903949">
        <w:t xml:space="preserve"> </w:t>
      </w:r>
      <w:r w:rsidRPr="00903949">
        <w:t>are qualifying retail carriage service providers) will be specified in the determination made by the ACMA under subsection 14(1) of the Act.</w:t>
      </w:r>
      <w:r w:rsidRPr="00A2374F">
        <w:t xml:space="preserve"> </w:t>
      </w:r>
    </w:p>
    <w:p w14:paraId="26E47F0C" w14:textId="77777777" w:rsidR="009A1DAD" w:rsidRPr="004666F5" w:rsidRDefault="009A1DAD" w:rsidP="005D09C2">
      <w:pPr>
        <w:pStyle w:val="Heading1"/>
      </w:pPr>
      <w:bookmarkStart w:id="8" w:name="_Toc371494336"/>
      <w:bookmarkStart w:id="9" w:name="_Toc477786802"/>
      <w:bookmarkStart w:id="10" w:name="_Toc143261390"/>
      <w:bookmarkStart w:id="11" w:name="_Toc144822367"/>
      <w:r w:rsidRPr="004666F5">
        <w:lastRenderedPageBreak/>
        <w:t xml:space="preserve">Proposed </w:t>
      </w:r>
      <w:bookmarkEnd w:id="8"/>
      <w:r>
        <w:t>ACLC</w:t>
      </w:r>
      <w:bookmarkEnd w:id="9"/>
      <w:bookmarkEnd w:id="10"/>
      <w:bookmarkEnd w:id="11"/>
    </w:p>
    <w:p w14:paraId="26EAA7DB" w14:textId="41342880" w:rsidR="009A1DAD" w:rsidRPr="009C52FB" w:rsidRDefault="009A1DAD" w:rsidP="005D09C2">
      <w:pPr>
        <w:pStyle w:val="Paragraph"/>
      </w:pPr>
      <w:r w:rsidRPr="009C52FB">
        <w:t xml:space="preserve">The </w:t>
      </w:r>
      <w:r>
        <w:t xml:space="preserve">cost components proposed to be recovered through the ACLC </w:t>
      </w:r>
      <w:r w:rsidRPr="009C52FB">
        <w:t>are set out in Part</w:t>
      </w:r>
      <w:r>
        <w:t> </w:t>
      </w:r>
      <w:r w:rsidRPr="009C52FB">
        <w:t xml:space="preserve">3 of the draft CRIS and Attachment B of the draft CRIS for the MBA program </w:t>
      </w:r>
      <w:r w:rsidRPr="00903949">
        <w:t xml:space="preserve">(available </w:t>
      </w:r>
      <w:r w:rsidR="002715D3">
        <w:t>alongside this paper on</w:t>
      </w:r>
      <w:r w:rsidR="002715D3" w:rsidRPr="00903949">
        <w:t xml:space="preserve"> </w:t>
      </w:r>
      <w:r w:rsidRPr="00903949">
        <w:t>the ACMA</w:t>
      </w:r>
      <w:r w:rsidRPr="00903949">
        <w:rPr>
          <w:sz w:val="22"/>
          <w:szCs w:val="22"/>
        </w:rPr>
        <w:t xml:space="preserve"> </w:t>
      </w:r>
      <w:r w:rsidRPr="005D09C2">
        <w:t>website</w:t>
      </w:r>
      <w:r w:rsidRPr="00903949">
        <w:t>). A summary of the cost components is provided in</w:t>
      </w:r>
      <w:r w:rsidRPr="009C52FB">
        <w:t xml:space="preserve"> Table 1</w:t>
      </w:r>
      <w:r>
        <w:t xml:space="preserve"> below</w:t>
      </w:r>
      <w:r w:rsidRPr="009C52FB">
        <w:t>.</w:t>
      </w:r>
      <w:r w:rsidRPr="5B53366E">
        <w:rPr>
          <w:sz w:val="24"/>
        </w:rPr>
        <w:t xml:space="preserve"> </w:t>
      </w:r>
      <w:r>
        <w:t>As shown in the table, and as required by the Act, the ACMA, ACCC and industry code development cost components are based on the 2021</w:t>
      </w:r>
      <w:r w:rsidR="002715D3">
        <w:t>–</w:t>
      </w:r>
      <w:r>
        <w:t>22 financial year</w:t>
      </w:r>
      <w:r w:rsidR="002715D3">
        <w:t>,</w:t>
      </w:r>
      <w:r>
        <w:t xml:space="preserve"> ITU costs are based on the 2022 calendar year</w:t>
      </w:r>
      <w:r w:rsidR="002715D3">
        <w:t>,</w:t>
      </w:r>
      <w:r>
        <w:t xml:space="preserve"> and the component for consumer representation and research grant</w:t>
      </w:r>
      <w:r w:rsidR="002715D3">
        <w:t>s</w:t>
      </w:r>
      <w:r>
        <w:t xml:space="preserve"> is for the 2022</w:t>
      </w:r>
      <w:r w:rsidR="002715D3">
        <w:t>–</w:t>
      </w:r>
      <w:r>
        <w:t>23 financial year.</w:t>
      </w:r>
    </w:p>
    <w:p w14:paraId="133654C1" w14:textId="77777777" w:rsidR="009A1DAD" w:rsidRPr="00C37B42" w:rsidRDefault="009A1DAD" w:rsidP="009A1DAD">
      <w:pPr>
        <w:pStyle w:val="ACMATableHeader"/>
      </w:pPr>
      <w:r w:rsidRPr="000B1C6C">
        <w:t>Summary</w:t>
      </w:r>
      <w:r>
        <w:t xml:space="preserve"> of proposed charges </w:t>
      </w:r>
    </w:p>
    <w:tbl>
      <w:tblPr>
        <w:tblW w:w="8615" w:type="dxa"/>
        <w:tblCellMar>
          <w:top w:w="85" w:type="dxa"/>
          <w:left w:w="57" w:type="dxa"/>
          <w:bottom w:w="85" w:type="dxa"/>
          <w:right w:w="57" w:type="dxa"/>
        </w:tblCellMar>
        <w:tblLook w:val="04A0" w:firstRow="1" w:lastRow="0" w:firstColumn="1" w:lastColumn="0" w:noHBand="0" w:noVBand="1"/>
      </w:tblPr>
      <w:tblGrid>
        <w:gridCol w:w="926"/>
        <w:gridCol w:w="2887"/>
        <w:gridCol w:w="1275"/>
        <w:gridCol w:w="1341"/>
        <w:gridCol w:w="1249"/>
        <w:gridCol w:w="937"/>
      </w:tblGrid>
      <w:tr w:rsidR="00BE002C" w:rsidRPr="00BE002C" w14:paraId="0626DE0D" w14:textId="77777777" w:rsidTr="00BE002C">
        <w:trPr>
          <w:cantSplit/>
          <w:trHeight w:val="400"/>
          <w:tblHeader/>
        </w:trPr>
        <w:tc>
          <w:tcPr>
            <w:tcW w:w="926" w:type="dxa"/>
            <w:tcBorders>
              <w:top w:val="single" w:sz="12" w:space="0" w:color="auto"/>
              <w:left w:val="single" w:sz="12" w:space="0" w:color="auto"/>
              <w:bottom w:val="nil"/>
              <w:right w:val="single" w:sz="8" w:space="0" w:color="FFFFFF"/>
            </w:tcBorders>
            <w:shd w:val="clear" w:color="000000" w:fill="000000"/>
            <w:noWrap/>
            <w:hideMark/>
          </w:tcPr>
          <w:p w14:paraId="265E1B93" w14:textId="77777777" w:rsidR="009A1DAD" w:rsidRPr="00BE002C" w:rsidRDefault="009A1DAD" w:rsidP="002715D3">
            <w:pPr>
              <w:spacing w:after="0" w:line="240" w:lineRule="auto"/>
              <w:rPr>
                <w:rFonts w:cs="Arial"/>
                <w:b/>
                <w:bCs/>
                <w:color w:val="FFFFFF"/>
                <w:szCs w:val="20"/>
              </w:rPr>
            </w:pPr>
            <w:r w:rsidRPr="00BE002C">
              <w:rPr>
                <w:rFonts w:cs="Arial"/>
                <w:b/>
                <w:bCs/>
                <w:color w:val="FFFFFF"/>
                <w:szCs w:val="20"/>
              </w:rPr>
              <w:t>Ref</w:t>
            </w:r>
          </w:p>
        </w:tc>
        <w:tc>
          <w:tcPr>
            <w:tcW w:w="2887" w:type="dxa"/>
            <w:tcBorders>
              <w:top w:val="single" w:sz="12" w:space="0" w:color="auto"/>
              <w:left w:val="nil"/>
              <w:bottom w:val="nil"/>
              <w:right w:val="single" w:sz="8" w:space="0" w:color="FFFFFF"/>
            </w:tcBorders>
            <w:shd w:val="clear" w:color="000000" w:fill="000000"/>
            <w:noWrap/>
            <w:hideMark/>
          </w:tcPr>
          <w:p w14:paraId="0354975F" w14:textId="77777777" w:rsidR="009A1DAD" w:rsidRPr="00BE002C" w:rsidRDefault="009A1DAD" w:rsidP="002715D3">
            <w:pPr>
              <w:spacing w:after="0" w:line="240" w:lineRule="auto"/>
              <w:rPr>
                <w:rFonts w:cs="Arial"/>
                <w:b/>
                <w:bCs/>
                <w:color w:val="FFFFFF"/>
                <w:szCs w:val="20"/>
              </w:rPr>
            </w:pPr>
            <w:r w:rsidRPr="00BE002C">
              <w:rPr>
                <w:rFonts w:cs="Arial"/>
                <w:b/>
                <w:bCs/>
                <w:color w:val="FFFFFF"/>
                <w:szCs w:val="20"/>
              </w:rPr>
              <w:t>Cost component descriptions</w:t>
            </w:r>
          </w:p>
        </w:tc>
        <w:tc>
          <w:tcPr>
            <w:tcW w:w="1275" w:type="dxa"/>
            <w:tcBorders>
              <w:top w:val="single" w:sz="12" w:space="0" w:color="auto"/>
              <w:left w:val="nil"/>
              <w:bottom w:val="nil"/>
              <w:right w:val="single" w:sz="8" w:space="0" w:color="FFFFFF"/>
            </w:tcBorders>
            <w:shd w:val="clear" w:color="000000" w:fill="000000"/>
            <w:hideMark/>
          </w:tcPr>
          <w:p w14:paraId="5F3FB721" w14:textId="09029E21" w:rsidR="009A1DAD" w:rsidRPr="00BE002C" w:rsidRDefault="009A1DAD" w:rsidP="002715D3">
            <w:pPr>
              <w:spacing w:after="0" w:line="240" w:lineRule="auto"/>
              <w:jc w:val="right"/>
              <w:rPr>
                <w:rFonts w:cs="Arial"/>
                <w:b/>
                <w:bCs/>
                <w:color w:val="FFFFFF"/>
                <w:szCs w:val="20"/>
              </w:rPr>
            </w:pPr>
            <w:r w:rsidRPr="00BE002C">
              <w:rPr>
                <w:rFonts w:cs="Arial"/>
                <w:b/>
                <w:bCs/>
                <w:color w:val="FFFFFF"/>
                <w:szCs w:val="20"/>
              </w:rPr>
              <w:t>Proposed cost component for 2022</w:t>
            </w:r>
            <w:r w:rsidR="002715D3" w:rsidRPr="00BE002C">
              <w:rPr>
                <w:rFonts w:cs="Arial"/>
                <w:b/>
                <w:bCs/>
                <w:color w:val="FFFFFF"/>
                <w:szCs w:val="20"/>
              </w:rPr>
              <w:t>–</w:t>
            </w:r>
            <w:r w:rsidRPr="00BE002C">
              <w:rPr>
                <w:rFonts w:cs="Arial"/>
                <w:b/>
                <w:bCs/>
                <w:color w:val="FFFFFF"/>
                <w:szCs w:val="20"/>
              </w:rPr>
              <w:t>23 ACLC</w:t>
            </w:r>
          </w:p>
        </w:tc>
        <w:tc>
          <w:tcPr>
            <w:tcW w:w="1341" w:type="dxa"/>
            <w:tcBorders>
              <w:top w:val="single" w:sz="12" w:space="0" w:color="auto"/>
              <w:left w:val="nil"/>
              <w:bottom w:val="nil"/>
              <w:right w:val="single" w:sz="8" w:space="0" w:color="FFFFFF"/>
            </w:tcBorders>
            <w:shd w:val="clear" w:color="000000" w:fill="000000"/>
            <w:hideMark/>
          </w:tcPr>
          <w:p w14:paraId="2A615FDB" w14:textId="4479137B" w:rsidR="009A1DAD" w:rsidRPr="00BE002C" w:rsidRDefault="009A1DAD" w:rsidP="002715D3">
            <w:pPr>
              <w:spacing w:after="0" w:line="240" w:lineRule="auto"/>
              <w:jc w:val="right"/>
              <w:rPr>
                <w:rFonts w:cs="Arial"/>
                <w:b/>
                <w:bCs/>
                <w:color w:val="FFFFFF"/>
                <w:szCs w:val="20"/>
              </w:rPr>
            </w:pPr>
            <w:r w:rsidRPr="00BE002C">
              <w:rPr>
                <w:rFonts w:cs="Arial"/>
                <w:b/>
                <w:bCs/>
                <w:color w:val="FFFFFF"/>
                <w:szCs w:val="20"/>
              </w:rPr>
              <w:t>Cost component for 2021</w:t>
            </w:r>
            <w:r w:rsidR="002715D3" w:rsidRPr="00BE002C">
              <w:rPr>
                <w:rFonts w:cs="Arial"/>
                <w:b/>
                <w:bCs/>
                <w:color w:val="FFFFFF"/>
                <w:szCs w:val="20"/>
              </w:rPr>
              <w:t>–</w:t>
            </w:r>
            <w:r w:rsidRPr="00BE002C">
              <w:rPr>
                <w:rFonts w:cs="Arial"/>
                <w:b/>
                <w:bCs/>
                <w:color w:val="FFFFFF"/>
                <w:szCs w:val="20"/>
              </w:rPr>
              <w:t>22 ACLC</w:t>
            </w:r>
          </w:p>
        </w:tc>
        <w:tc>
          <w:tcPr>
            <w:tcW w:w="1249" w:type="dxa"/>
            <w:tcBorders>
              <w:top w:val="single" w:sz="12" w:space="0" w:color="auto"/>
              <w:left w:val="nil"/>
              <w:bottom w:val="nil"/>
              <w:right w:val="single" w:sz="8" w:space="0" w:color="FFFFFF"/>
            </w:tcBorders>
            <w:shd w:val="clear" w:color="000000" w:fill="000000"/>
            <w:hideMark/>
          </w:tcPr>
          <w:p w14:paraId="74A7307E" w14:textId="77777777" w:rsidR="009A1DAD" w:rsidRPr="00BE002C" w:rsidRDefault="009A1DAD" w:rsidP="002715D3">
            <w:pPr>
              <w:spacing w:after="0" w:line="240" w:lineRule="auto"/>
              <w:jc w:val="right"/>
              <w:rPr>
                <w:rFonts w:cs="Arial"/>
                <w:b/>
                <w:bCs/>
                <w:color w:val="FFFFFF"/>
                <w:szCs w:val="20"/>
              </w:rPr>
            </w:pPr>
            <w:r w:rsidRPr="00BE002C">
              <w:rPr>
                <w:rFonts w:cs="Arial"/>
                <w:b/>
                <w:bCs/>
                <w:color w:val="FFFFFF"/>
                <w:szCs w:val="20"/>
              </w:rPr>
              <w:t>Variance inc/(dec)</w:t>
            </w:r>
          </w:p>
        </w:tc>
        <w:tc>
          <w:tcPr>
            <w:tcW w:w="937" w:type="dxa"/>
            <w:tcBorders>
              <w:top w:val="single" w:sz="12" w:space="0" w:color="auto"/>
              <w:left w:val="nil"/>
              <w:bottom w:val="nil"/>
              <w:right w:val="single" w:sz="12" w:space="0" w:color="auto"/>
            </w:tcBorders>
            <w:shd w:val="clear" w:color="000000" w:fill="000000"/>
            <w:hideMark/>
          </w:tcPr>
          <w:p w14:paraId="4CFC4D1B" w14:textId="77777777" w:rsidR="009A1DAD" w:rsidRPr="00BE002C" w:rsidRDefault="009A1DAD" w:rsidP="002715D3">
            <w:pPr>
              <w:spacing w:after="0" w:line="240" w:lineRule="auto"/>
              <w:jc w:val="right"/>
              <w:rPr>
                <w:rFonts w:cs="Arial"/>
                <w:b/>
                <w:bCs/>
                <w:color w:val="FFFFFF"/>
                <w:szCs w:val="20"/>
              </w:rPr>
            </w:pPr>
            <w:r w:rsidRPr="00BE002C">
              <w:rPr>
                <w:rFonts w:cs="Arial"/>
                <w:b/>
                <w:bCs/>
                <w:color w:val="FFFFFF"/>
                <w:szCs w:val="20"/>
              </w:rPr>
              <w:t>Change % inc/(dec)</w:t>
            </w:r>
          </w:p>
        </w:tc>
      </w:tr>
      <w:tr w:rsidR="009A1DAD" w:rsidRPr="00BE002C" w14:paraId="6DCABBEF" w14:textId="77777777" w:rsidTr="00BE002C">
        <w:trPr>
          <w:cantSplit/>
          <w:trHeight w:val="769"/>
        </w:trPr>
        <w:tc>
          <w:tcPr>
            <w:tcW w:w="926" w:type="dxa"/>
            <w:tcBorders>
              <w:top w:val="nil"/>
              <w:left w:val="single" w:sz="8" w:space="0" w:color="auto"/>
              <w:bottom w:val="single" w:sz="8" w:space="0" w:color="auto"/>
              <w:right w:val="single" w:sz="8" w:space="0" w:color="auto"/>
            </w:tcBorders>
            <w:shd w:val="clear" w:color="auto" w:fill="auto"/>
            <w:hideMark/>
          </w:tcPr>
          <w:p w14:paraId="1C215903" w14:textId="77777777" w:rsidR="009A1DAD" w:rsidRPr="00BE002C" w:rsidRDefault="009A1DAD" w:rsidP="002715D3">
            <w:pPr>
              <w:spacing w:after="0" w:line="240" w:lineRule="auto"/>
              <w:rPr>
                <w:rFonts w:cs="Arial"/>
                <w:color w:val="000000"/>
                <w:szCs w:val="20"/>
              </w:rPr>
            </w:pPr>
            <w:r w:rsidRPr="00BE002C">
              <w:rPr>
                <w:rFonts w:cs="Arial"/>
                <w:color w:val="000000"/>
                <w:szCs w:val="20"/>
              </w:rPr>
              <w:t>15(1)(a)</w:t>
            </w:r>
          </w:p>
        </w:tc>
        <w:tc>
          <w:tcPr>
            <w:tcW w:w="2887" w:type="dxa"/>
            <w:tcBorders>
              <w:top w:val="nil"/>
              <w:left w:val="nil"/>
              <w:bottom w:val="single" w:sz="8" w:space="0" w:color="auto"/>
              <w:right w:val="single" w:sz="8" w:space="0" w:color="auto"/>
            </w:tcBorders>
            <w:shd w:val="clear" w:color="auto" w:fill="auto"/>
            <w:hideMark/>
          </w:tcPr>
          <w:p w14:paraId="46609C16" w14:textId="77777777" w:rsidR="009A1DAD" w:rsidRPr="00BE002C" w:rsidRDefault="009A1DAD" w:rsidP="002715D3">
            <w:pPr>
              <w:spacing w:after="0" w:line="240" w:lineRule="auto"/>
              <w:rPr>
                <w:rFonts w:cs="Arial"/>
                <w:color w:val="000000"/>
                <w:szCs w:val="20"/>
              </w:rPr>
            </w:pPr>
            <w:r w:rsidRPr="00BE002C">
              <w:rPr>
                <w:rFonts w:cs="Arial"/>
                <w:color w:val="000000"/>
                <w:szCs w:val="20"/>
              </w:rPr>
              <w:t>ACMA’s recoverable costs attributable to its telecommunications functions and powers for the previous financial year (excluding Consumer Safeguard Part A costs)</w:t>
            </w:r>
          </w:p>
        </w:tc>
        <w:tc>
          <w:tcPr>
            <w:tcW w:w="1275" w:type="dxa"/>
            <w:tcBorders>
              <w:top w:val="nil"/>
              <w:left w:val="nil"/>
              <w:bottom w:val="single" w:sz="8" w:space="0" w:color="auto"/>
              <w:right w:val="single" w:sz="8" w:space="0" w:color="auto"/>
            </w:tcBorders>
            <w:shd w:val="clear" w:color="auto" w:fill="auto"/>
            <w:hideMark/>
          </w:tcPr>
          <w:p w14:paraId="0350C339"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$12,104,546</w:t>
            </w:r>
          </w:p>
        </w:tc>
        <w:tc>
          <w:tcPr>
            <w:tcW w:w="1341" w:type="dxa"/>
            <w:tcBorders>
              <w:top w:val="nil"/>
              <w:left w:val="nil"/>
              <w:bottom w:val="single" w:sz="8" w:space="0" w:color="auto"/>
              <w:right w:val="single" w:sz="8" w:space="0" w:color="auto"/>
            </w:tcBorders>
            <w:shd w:val="clear" w:color="auto" w:fill="auto"/>
            <w:hideMark/>
          </w:tcPr>
          <w:p w14:paraId="4C5E2345"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$13,486,456</w:t>
            </w:r>
          </w:p>
        </w:tc>
        <w:tc>
          <w:tcPr>
            <w:tcW w:w="1249" w:type="dxa"/>
            <w:tcBorders>
              <w:top w:val="nil"/>
              <w:left w:val="nil"/>
              <w:bottom w:val="single" w:sz="8" w:space="0" w:color="auto"/>
              <w:right w:val="single" w:sz="8" w:space="0" w:color="auto"/>
            </w:tcBorders>
            <w:shd w:val="clear" w:color="auto" w:fill="auto"/>
            <w:hideMark/>
          </w:tcPr>
          <w:p w14:paraId="527BE56F" w14:textId="77777777" w:rsidR="009A1DAD" w:rsidRPr="00BE002C" w:rsidRDefault="009A1DAD" w:rsidP="002715D3">
            <w:pPr>
              <w:spacing w:after="0" w:line="240" w:lineRule="auto"/>
              <w:jc w:val="right"/>
              <w:rPr>
                <w:rFonts w:cs="Arial"/>
                <w:color w:val="000000"/>
                <w:szCs w:val="20"/>
              </w:rPr>
            </w:pPr>
            <w:r w:rsidRPr="00BE002C">
              <w:rPr>
                <w:rFonts w:cs="Arial"/>
                <w:color w:val="FF0000"/>
                <w:szCs w:val="20"/>
              </w:rPr>
              <w:t>($1,381,910)</w:t>
            </w:r>
          </w:p>
        </w:tc>
        <w:tc>
          <w:tcPr>
            <w:tcW w:w="937" w:type="dxa"/>
            <w:tcBorders>
              <w:top w:val="nil"/>
              <w:left w:val="nil"/>
              <w:bottom w:val="single" w:sz="8" w:space="0" w:color="auto"/>
              <w:right w:val="single" w:sz="8" w:space="0" w:color="auto"/>
            </w:tcBorders>
            <w:shd w:val="clear" w:color="auto" w:fill="auto"/>
            <w:hideMark/>
          </w:tcPr>
          <w:p w14:paraId="761DBC39" w14:textId="77777777" w:rsidR="009A1DAD" w:rsidRPr="00BE002C" w:rsidRDefault="009A1DAD" w:rsidP="002715D3">
            <w:pPr>
              <w:spacing w:after="0" w:line="240" w:lineRule="auto"/>
              <w:jc w:val="right"/>
              <w:rPr>
                <w:rFonts w:cs="Arial"/>
                <w:color w:val="000000"/>
                <w:szCs w:val="20"/>
              </w:rPr>
            </w:pPr>
            <w:r w:rsidRPr="00BE002C">
              <w:rPr>
                <w:rFonts w:cs="Arial"/>
                <w:color w:val="FF0000"/>
                <w:szCs w:val="20"/>
              </w:rPr>
              <w:t>(10.2%)</w:t>
            </w:r>
          </w:p>
        </w:tc>
      </w:tr>
      <w:tr w:rsidR="009A1DAD" w:rsidRPr="00BE002C" w14:paraId="6ED58C56" w14:textId="77777777" w:rsidTr="00BE002C">
        <w:trPr>
          <w:cantSplit/>
          <w:trHeight w:val="569"/>
        </w:trPr>
        <w:tc>
          <w:tcPr>
            <w:tcW w:w="926" w:type="dxa"/>
            <w:tcBorders>
              <w:top w:val="nil"/>
              <w:left w:val="single" w:sz="8" w:space="0" w:color="auto"/>
              <w:bottom w:val="single" w:sz="8" w:space="0" w:color="auto"/>
              <w:right w:val="single" w:sz="8" w:space="0" w:color="auto"/>
            </w:tcBorders>
            <w:shd w:val="clear" w:color="auto" w:fill="auto"/>
            <w:hideMark/>
          </w:tcPr>
          <w:p w14:paraId="1598A8F4" w14:textId="77777777" w:rsidR="009A1DAD" w:rsidRPr="00BE002C" w:rsidRDefault="009A1DAD" w:rsidP="002715D3">
            <w:pPr>
              <w:spacing w:after="0" w:line="240" w:lineRule="auto"/>
              <w:rPr>
                <w:rFonts w:cs="Arial"/>
                <w:color w:val="000000"/>
                <w:szCs w:val="20"/>
              </w:rPr>
            </w:pPr>
            <w:r w:rsidRPr="00BE002C">
              <w:rPr>
                <w:rFonts w:cs="Arial"/>
                <w:color w:val="000000"/>
                <w:szCs w:val="20"/>
              </w:rPr>
              <w:t>15(1)(a)</w:t>
            </w:r>
          </w:p>
        </w:tc>
        <w:tc>
          <w:tcPr>
            <w:tcW w:w="2887" w:type="dxa"/>
            <w:tcBorders>
              <w:top w:val="nil"/>
              <w:left w:val="nil"/>
              <w:bottom w:val="single" w:sz="8" w:space="0" w:color="auto"/>
              <w:right w:val="single" w:sz="8" w:space="0" w:color="auto"/>
            </w:tcBorders>
            <w:shd w:val="clear" w:color="auto" w:fill="auto"/>
            <w:hideMark/>
          </w:tcPr>
          <w:p w14:paraId="1C964620" w14:textId="6CDDAC2C" w:rsidR="009A1DAD" w:rsidRPr="00BE002C" w:rsidRDefault="009A1DAD" w:rsidP="002715D3">
            <w:pPr>
              <w:spacing w:after="0" w:line="240" w:lineRule="auto"/>
              <w:rPr>
                <w:rFonts w:cs="Arial"/>
                <w:color w:val="000000"/>
                <w:szCs w:val="20"/>
              </w:rPr>
            </w:pPr>
            <w:r w:rsidRPr="00BE002C">
              <w:rPr>
                <w:rFonts w:cs="Arial"/>
                <w:color w:val="000000"/>
                <w:szCs w:val="20"/>
              </w:rPr>
              <w:t>ACMA’s costs attributable to its telecommunications functions and powers for the previous financial year in relation to the Consumer Safeguard Part A</w:t>
            </w:r>
          </w:p>
        </w:tc>
        <w:tc>
          <w:tcPr>
            <w:tcW w:w="1275" w:type="dxa"/>
            <w:tcBorders>
              <w:top w:val="nil"/>
              <w:left w:val="nil"/>
              <w:bottom w:val="single" w:sz="8" w:space="0" w:color="auto"/>
              <w:right w:val="single" w:sz="8" w:space="0" w:color="auto"/>
            </w:tcBorders>
            <w:shd w:val="clear" w:color="auto" w:fill="auto"/>
            <w:hideMark/>
          </w:tcPr>
          <w:p w14:paraId="4C0CF6EA"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$813,888</w:t>
            </w:r>
          </w:p>
        </w:tc>
        <w:tc>
          <w:tcPr>
            <w:tcW w:w="1341" w:type="dxa"/>
            <w:tcBorders>
              <w:top w:val="nil"/>
              <w:left w:val="nil"/>
              <w:bottom w:val="single" w:sz="8" w:space="0" w:color="auto"/>
              <w:right w:val="single" w:sz="8" w:space="0" w:color="auto"/>
            </w:tcBorders>
            <w:shd w:val="clear" w:color="auto" w:fill="auto"/>
            <w:hideMark/>
          </w:tcPr>
          <w:p w14:paraId="28695F2D"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$1,456,349</w:t>
            </w:r>
          </w:p>
        </w:tc>
        <w:tc>
          <w:tcPr>
            <w:tcW w:w="1249" w:type="dxa"/>
            <w:tcBorders>
              <w:top w:val="nil"/>
              <w:left w:val="nil"/>
              <w:bottom w:val="single" w:sz="8" w:space="0" w:color="auto"/>
              <w:right w:val="single" w:sz="8" w:space="0" w:color="auto"/>
            </w:tcBorders>
            <w:shd w:val="clear" w:color="auto" w:fill="auto"/>
            <w:hideMark/>
          </w:tcPr>
          <w:p w14:paraId="6D7517F6" w14:textId="77777777" w:rsidR="009A1DAD" w:rsidRPr="00BE002C" w:rsidRDefault="009A1DAD" w:rsidP="002715D3">
            <w:pPr>
              <w:spacing w:after="0" w:line="240" w:lineRule="auto"/>
              <w:jc w:val="right"/>
              <w:rPr>
                <w:rFonts w:cs="Arial"/>
                <w:color w:val="000000"/>
                <w:szCs w:val="20"/>
              </w:rPr>
            </w:pPr>
            <w:r w:rsidRPr="00BE002C">
              <w:rPr>
                <w:rFonts w:cs="Arial"/>
                <w:color w:val="FF0000"/>
                <w:szCs w:val="20"/>
              </w:rPr>
              <w:t>($642,461)</w:t>
            </w:r>
          </w:p>
        </w:tc>
        <w:tc>
          <w:tcPr>
            <w:tcW w:w="937" w:type="dxa"/>
            <w:tcBorders>
              <w:top w:val="nil"/>
              <w:left w:val="nil"/>
              <w:bottom w:val="single" w:sz="8" w:space="0" w:color="auto"/>
              <w:right w:val="single" w:sz="8" w:space="0" w:color="auto"/>
            </w:tcBorders>
            <w:shd w:val="clear" w:color="auto" w:fill="auto"/>
            <w:hideMark/>
          </w:tcPr>
          <w:p w14:paraId="402537AC" w14:textId="77777777" w:rsidR="009A1DAD" w:rsidRPr="00BE002C" w:rsidRDefault="009A1DAD" w:rsidP="002715D3">
            <w:pPr>
              <w:spacing w:after="0" w:line="240" w:lineRule="auto"/>
              <w:jc w:val="right"/>
              <w:rPr>
                <w:rFonts w:cs="Arial"/>
                <w:color w:val="000000"/>
                <w:szCs w:val="20"/>
              </w:rPr>
            </w:pPr>
            <w:r w:rsidRPr="00BE002C">
              <w:rPr>
                <w:rFonts w:cs="Arial"/>
                <w:color w:val="FF0000"/>
                <w:szCs w:val="20"/>
              </w:rPr>
              <w:t>(44.1%)</w:t>
            </w:r>
          </w:p>
        </w:tc>
      </w:tr>
      <w:tr w:rsidR="009A1DAD" w:rsidRPr="00BE002C" w14:paraId="3D71F57B" w14:textId="77777777" w:rsidTr="00BE002C">
        <w:trPr>
          <w:cantSplit/>
          <w:trHeight w:val="543"/>
        </w:trPr>
        <w:tc>
          <w:tcPr>
            <w:tcW w:w="926" w:type="dxa"/>
            <w:tcBorders>
              <w:top w:val="nil"/>
              <w:left w:val="single" w:sz="8" w:space="0" w:color="auto"/>
              <w:bottom w:val="single" w:sz="8" w:space="0" w:color="auto"/>
              <w:right w:val="single" w:sz="8" w:space="0" w:color="auto"/>
            </w:tcBorders>
            <w:shd w:val="clear" w:color="auto" w:fill="auto"/>
            <w:hideMark/>
          </w:tcPr>
          <w:p w14:paraId="1175AAB1" w14:textId="77777777" w:rsidR="009A1DAD" w:rsidRPr="00BE002C" w:rsidRDefault="009A1DAD" w:rsidP="002715D3">
            <w:pPr>
              <w:spacing w:after="0" w:line="240" w:lineRule="auto"/>
              <w:rPr>
                <w:rFonts w:cs="Arial"/>
                <w:color w:val="000000"/>
                <w:szCs w:val="20"/>
              </w:rPr>
            </w:pPr>
            <w:r w:rsidRPr="00BE002C">
              <w:rPr>
                <w:rFonts w:cs="Arial"/>
                <w:color w:val="000000"/>
                <w:szCs w:val="20"/>
              </w:rPr>
              <w:t>15(1)(b)</w:t>
            </w:r>
          </w:p>
        </w:tc>
        <w:tc>
          <w:tcPr>
            <w:tcW w:w="2887" w:type="dxa"/>
            <w:tcBorders>
              <w:top w:val="nil"/>
              <w:left w:val="nil"/>
              <w:bottom w:val="single" w:sz="8" w:space="0" w:color="auto"/>
              <w:right w:val="single" w:sz="8" w:space="0" w:color="auto"/>
            </w:tcBorders>
            <w:shd w:val="clear" w:color="auto" w:fill="auto"/>
            <w:hideMark/>
          </w:tcPr>
          <w:p w14:paraId="6A220E0F" w14:textId="77777777" w:rsidR="009A1DAD" w:rsidRPr="00BE002C" w:rsidRDefault="009A1DAD" w:rsidP="002715D3">
            <w:pPr>
              <w:spacing w:after="0" w:line="240" w:lineRule="auto"/>
              <w:rPr>
                <w:rFonts w:cs="Arial"/>
                <w:color w:val="000000"/>
                <w:szCs w:val="20"/>
              </w:rPr>
            </w:pPr>
            <w:r w:rsidRPr="00BE002C">
              <w:rPr>
                <w:rFonts w:cs="Arial"/>
                <w:color w:val="000000"/>
                <w:szCs w:val="20"/>
              </w:rPr>
              <w:t>ACCC’s costs attributable to its telecommunications functions and powers for the previous financial year (excluding the MBA program)</w:t>
            </w:r>
          </w:p>
        </w:tc>
        <w:tc>
          <w:tcPr>
            <w:tcW w:w="1275" w:type="dxa"/>
            <w:tcBorders>
              <w:top w:val="nil"/>
              <w:left w:val="nil"/>
              <w:bottom w:val="single" w:sz="8" w:space="0" w:color="auto"/>
              <w:right w:val="single" w:sz="8" w:space="0" w:color="auto"/>
            </w:tcBorders>
            <w:shd w:val="clear" w:color="auto" w:fill="auto"/>
            <w:hideMark/>
          </w:tcPr>
          <w:p w14:paraId="37823369"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$10,210,861</w:t>
            </w:r>
          </w:p>
        </w:tc>
        <w:tc>
          <w:tcPr>
            <w:tcW w:w="1341" w:type="dxa"/>
            <w:tcBorders>
              <w:top w:val="nil"/>
              <w:left w:val="nil"/>
              <w:bottom w:val="single" w:sz="8" w:space="0" w:color="auto"/>
              <w:right w:val="single" w:sz="8" w:space="0" w:color="auto"/>
            </w:tcBorders>
            <w:shd w:val="clear" w:color="auto" w:fill="auto"/>
            <w:hideMark/>
          </w:tcPr>
          <w:p w14:paraId="18FB1472"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$9,560,635</w:t>
            </w:r>
          </w:p>
        </w:tc>
        <w:tc>
          <w:tcPr>
            <w:tcW w:w="1249" w:type="dxa"/>
            <w:tcBorders>
              <w:top w:val="nil"/>
              <w:left w:val="nil"/>
              <w:bottom w:val="single" w:sz="8" w:space="0" w:color="auto"/>
              <w:right w:val="single" w:sz="8" w:space="0" w:color="auto"/>
            </w:tcBorders>
            <w:shd w:val="clear" w:color="auto" w:fill="auto"/>
            <w:hideMark/>
          </w:tcPr>
          <w:p w14:paraId="734C0FF6"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$650,226</w:t>
            </w:r>
          </w:p>
        </w:tc>
        <w:tc>
          <w:tcPr>
            <w:tcW w:w="937" w:type="dxa"/>
            <w:tcBorders>
              <w:top w:val="nil"/>
              <w:left w:val="nil"/>
              <w:bottom w:val="single" w:sz="8" w:space="0" w:color="auto"/>
              <w:right w:val="single" w:sz="8" w:space="0" w:color="auto"/>
            </w:tcBorders>
            <w:shd w:val="clear" w:color="auto" w:fill="auto"/>
            <w:hideMark/>
          </w:tcPr>
          <w:p w14:paraId="480D3333" w14:textId="77777777" w:rsidR="009A1DAD" w:rsidRPr="00BE002C" w:rsidRDefault="009A1DAD" w:rsidP="002715D3">
            <w:pPr>
              <w:spacing w:after="0" w:line="240" w:lineRule="auto"/>
              <w:jc w:val="right"/>
              <w:rPr>
                <w:rFonts w:cs="Arial"/>
                <w:szCs w:val="20"/>
              </w:rPr>
            </w:pPr>
            <w:r w:rsidRPr="00BE002C">
              <w:rPr>
                <w:rFonts w:cs="Arial"/>
                <w:color w:val="000000"/>
                <w:szCs w:val="20"/>
              </w:rPr>
              <w:t>6.8%</w:t>
            </w:r>
          </w:p>
        </w:tc>
      </w:tr>
      <w:tr w:rsidR="009A1DAD" w:rsidRPr="00BE002C" w14:paraId="27F76C6C" w14:textId="77777777" w:rsidTr="00BE002C">
        <w:trPr>
          <w:cantSplit/>
          <w:trHeight w:val="487"/>
        </w:trPr>
        <w:tc>
          <w:tcPr>
            <w:tcW w:w="926" w:type="dxa"/>
            <w:tcBorders>
              <w:top w:val="nil"/>
              <w:left w:val="single" w:sz="8" w:space="0" w:color="auto"/>
              <w:bottom w:val="single" w:sz="8" w:space="0" w:color="auto"/>
              <w:right w:val="single" w:sz="8" w:space="0" w:color="auto"/>
            </w:tcBorders>
            <w:shd w:val="clear" w:color="auto" w:fill="auto"/>
            <w:hideMark/>
          </w:tcPr>
          <w:p w14:paraId="57E3543C" w14:textId="77777777" w:rsidR="009A1DAD" w:rsidRPr="00BE002C" w:rsidRDefault="009A1DAD" w:rsidP="002715D3">
            <w:pPr>
              <w:spacing w:after="0" w:line="240" w:lineRule="auto"/>
              <w:rPr>
                <w:rFonts w:cs="Arial"/>
                <w:color w:val="000000"/>
                <w:szCs w:val="20"/>
              </w:rPr>
            </w:pPr>
            <w:r w:rsidRPr="00BE002C">
              <w:rPr>
                <w:rFonts w:cs="Arial"/>
                <w:color w:val="000000"/>
                <w:szCs w:val="20"/>
              </w:rPr>
              <w:t>15(1)(b)</w:t>
            </w:r>
          </w:p>
        </w:tc>
        <w:tc>
          <w:tcPr>
            <w:tcW w:w="2887" w:type="dxa"/>
            <w:tcBorders>
              <w:top w:val="nil"/>
              <w:left w:val="nil"/>
              <w:bottom w:val="single" w:sz="8" w:space="0" w:color="auto"/>
              <w:right w:val="single" w:sz="8" w:space="0" w:color="auto"/>
            </w:tcBorders>
            <w:shd w:val="clear" w:color="auto" w:fill="auto"/>
            <w:hideMark/>
          </w:tcPr>
          <w:p w14:paraId="472378DC" w14:textId="0F2314F0" w:rsidR="009A1DAD" w:rsidRPr="00BE002C" w:rsidRDefault="009A1DAD" w:rsidP="002715D3">
            <w:pPr>
              <w:spacing w:after="0" w:line="240" w:lineRule="auto"/>
              <w:rPr>
                <w:rFonts w:cs="Arial"/>
                <w:color w:val="000000"/>
                <w:szCs w:val="20"/>
              </w:rPr>
            </w:pPr>
            <w:r w:rsidRPr="00BE002C">
              <w:rPr>
                <w:rFonts w:cs="Arial"/>
                <w:color w:val="000000"/>
                <w:szCs w:val="20"/>
              </w:rPr>
              <w:t>ACCC’s costs attributable to the telecommunications functions and powers in relation to the MBA program for the previous financial year</w:t>
            </w:r>
          </w:p>
        </w:tc>
        <w:tc>
          <w:tcPr>
            <w:tcW w:w="1275" w:type="dxa"/>
            <w:tcBorders>
              <w:top w:val="nil"/>
              <w:left w:val="nil"/>
              <w:bottom w:val="single" w:sz="8" w:space="0" w:color="auto"/>
              <w:right w:val="single" w:sz="8" w:space="0" w:color="auto"/>
            </w:tcBorders>
            <w:shd w:val="clear" w:color="auto" w:fill="auto"/>
            <w:hideMark/>
          </w:tcPr>
          <w:p w14:paraId="36E05B73"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$1,837,902</w:t>
            </w:r>
          </w:p>
        </w:tc>
        <w:tc>
          <w:tcPr>
            <w:tcW w:w="1341" w:type="dxa"/>
            <w:tcBorders>
              <w:top w:val="nil"/>
              <w:left w:val="nil"/>
              <w:bottom w:val="single" w:sz="8" w:space="0" w:color="auto"/>
              <w:right w:val="single" w:sz="8" w:space="0" w:color="auto"/>
            </w:tcBorders>
            <w:shd w:val="clear" w:color="auto" w:fill="auto"/>
            <w:hideMark/>
          </w:tcPr>
          <w:p w14:paraId="58212836"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$1,640,116</w:t>
            </w:r>
          </w:p>
        </w:tc>
        <w:tc>
          <w:tcPr>
            <w:tcW w:w="1249" w:type="dxa"/>
            <w:tcBorders>
              <w:top w:val="nil"/>
              <w:left w:val="nil"/>
              <w:bottom w:val="single" w:sz="8" w:space="0" w:color="auto"/>
              <w:right w:val="single" w:sz="8" w:space="0" w:color="auto"/>
            </w:tcBorders>
            <w:shd w:val="clear" w:color="auto" w:fill="auto"/>
            <w:hideMark/>
          </w:tcPr>
          <w:p w14:paraId="0B108CDE"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$197,786</w:t>
            </w:r>
          </w:p>
        </w:tc>
        <w:tc>
          <w:tcPr>
            <w:tcW w:w="937" w:type="dxa"/>
            <w:tcBorders>
              <w:top w:val="nil"/>
              <w:left w:val="nil"/>
              <w:bottom w:val="single" w:sz="8" w:space="0" w:color="auto"/>
              <w:right w:val="single" w:sz="8" w:space="0" w:color="auto"/>
            </w:tcBorders>
            <w:shd w:val="clear" w:color="auto" w:fill="auto"/>
            <w:hideMark/>
          </w:tcPr>
          <w:p w14:paraId="14F8CDAF" w14:textId="77777777" w:rsidR="009A1DAD" w:rsidRPr="00BE002C" w:rsidRDefault="009A1DAD" w:rsidP="002715D3">
            <w:pPr>
              <w:spacing w:after="0" w:line="240" w:lineRule="auto"/>
              <w:jc w:val="right"/>
              <w:rPr>
                <w:rFonts w:cs="Arial"/>
                <w:szCs w:val="20"/>
              </w:rPr>
            </w:pPr>
            <w:r w:rsidRPr="00BE002C">
              <w:rPr>
                <w:rFonts w:cs="Arial"/>
                <w:color w:val="000000"/>
                <w:szCs w:val="20"/>
              </w:rPr>
              <w:t>12.1%</w:t>
            </w:r>
          </w:p>
        </w:tc>
      </w:tr>
      <w:tr w:rsidR="009A1DAD" w:rsidRPr="00BE002C" w14:paraId="0170D9D0" w14:textId="77777777" w:rsidTr="00BE002C">
        <w:trPr>
          <w:cantSplit/>
          <w:trHeight w:val="986"/>
        </w:trPr>
        <w:tc>
          <w:tcPr>
            <w:tcW w:w="926" w:type="dxa"/>
            <w:tcBorders>
              <w:top w:val="nil"/>
              <w:left w:val="single" w:sz="8" w:space="0" w:color="auto"/>
              <w:bottom w:val="single" w:sz="8" w:space="0" w:color="auto"/>
              <w:right w:val="single" w:sz="8" w:space="0" w:color="auto"/>
            </w:tcBorders>
            <w:shd w:val="clear" w:color="auto" w:fill="auto"/>
            <w:hideMark/>
          </w:tcPr>
          <w:p w14:paraId="5A072767" w14:textId="77777777" w:rsidR="009A1DAD" w:rsidRPr="00BE002C" w:rsidRDefault="009A1DAD" w:rsidP="002715D3">
            <w:pPr>
              <w:spacing w:after="0" w:line="240" w:lineRule="auto"/>
              <w:rPr>
                <w:rFonts w:cs="Arial"/>
                <w:color w:val="000000"/>
                <w:szCs w:val="20"/>
              </w:rPr>
            </w:pPr>
            <w:r w:rsidRPr="00BE002C">
              <w:rPr>
                <w:rFonts w:cs="Arial"/>
                <w:color w:val="000000"/>
                <w:szCs w:val="20"/>
              </w:rPr>
              <w:t>15(1)(c)</w:t>
            </w:r>
          </w:p>
        </w:tc>
        <w:tc>
          <w:tcPr>
            <w:tcW w:w="2887" w:type="dxa"/>
            <w:tcBorders>
              <w:top w:val="nil"/>
              <w:left w:val="nil"/>
              <w:bottom w:val="single" w:sz="8" w:space="0" w:color="auto"/>
              <w:right w:val="single" w:sz="8" w:space="0" w:color="auto"/>
            </w:tcBorders>
            <w:shd w:val="clear" w:color="auto" w:fill="auto"/>
            <w:hideMark/>
          </w:tcPr>
          <w:p w14:paraId="5F7F6EC9" w14:textId="4FE705E4" w:rsidR="009A1DAD" w:rsidRPr="00BE002C" w:rsidRDefault="009A1DAD" w:rsidP="002715D3">
            <w:pPr>
              <w:spacing w:after="0" w:line="240" w:lineRule="auto"/>
              <w:rPr>
                <w:rFonts w:cs="Arial"/>
                <w:color w:val="000000"/>
                <w:szCs w:val="20"/>
              </w:rPr>
            </w:pPr>
            <w:r w:rsidRPr="00BE002C">
              <w:rPr>
                <w:rFonts w:cs="Arial"/>
                <w:color w:val="000000"/>
                <w:szCs w:val="20"/>
              </w:rPr>
              <w:t>The proportion of the Commonwealths (i.e. DITRDCA) contribution to the budget of the International Telecommunication Union (ITU) for the calendar year in which the beginning of the charging period occurs</w:t>
            </w:r>
          </w:p>
        </w:tc>
        <w:tc>
          <w:tcPr>
            <w:tcW w:w="1275" w:type="dxa"/>
            <w:tcBorders>
              <w:top w:val="nil"/>
              <w:left w:val="nil"/>
              <w:bottom w:val="single" w:sz="8" w:space="0" w:color="auto"/>
              <w:right w:val="single" w:sz="8" w:space="0" w:color="auto"/>
            </w:tcBorders>
            <w:shd w:val="clear" w:color="auto" w:fill="auto"/>
            <w:hideMark/>
          </w:tcPr>
          <w:p w14:paraId="36CA0317"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$2,198,407</w:t>
            </w:r>
          </w:p>
        </w:tc>
        <w:tc>
          <w:tcPr>
            <w:tcW w:w="1341" w:type="dxa"/>
            <w:tcBorders>
              <w:top w:val="nil"/>
              <w:left w:val="nil"/>
              <w:bottom w:val="single" w:sz="8" w:space="0" w:color="auto"/>
              <w:right w:val="single" w:sz="8" w:space="0" w:color="auto"/>
            </w:tcBorders>
            <w:shd w:val="clear" w:color="auto" w:fill="auto"/>
            <w:hideMark/>
          </w:tcPr>
          <w:p w14:paraId="7EE55CAC"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$2,209,549</w:t>
            </w:r>
          </w:p>
        </w:tc>
        <w:tc>
          <w:tcPr>
            <w:tcW w:w="1249" w:type="dxa"/>
            <w:tcBorders>
              <w:top w:val="nil"/>
              <w:left w:val="nil"/>
              <w:bottom w:val="single" w:sz="8" w:space="0" w:color="auto"/>
              <w:right w:val="single" w:sz="8" w:space="0" w:color="auto"/>
            </w:tcBorders>
            <w:shd w:val="clear" w:color="auto" w:fill="auto"/>
            <w:hideMark/>
          </w:tcPr>
          <w:p w14:paraId="40213216" w14:textId="77777777" w:rsidR="009A1DAD" w:rsidRPr="00BE002C" w:rsidRDefault="009A1DAD" w:rsidP="002715D3">
            <w:pPr>
              <w:spacing w:after="0" w:line="240" w:lineRule="auto"/>
              <w:jc w:val="right"/>
              <w:rPr>
                <w:rFonts w:cs="Arial"/>
                <w:color w:val="000000"/>
                <w:szCs w:val="20"/>
              </w:rPr>
            </w:pPr>
            <w:r w:rsidRPr="00BE002C">
              <w:rPr>
                <w:rFonts w:cs="Arial"/>
                <w:color w:val="FF0000"/>
                <w:szCs w:val="20"/>
              </w:rPr>
              <w:t>($11,142)</w:t>
            </w:r>
          </w:p>
        </w:tc>
        <w:tc>
          <w:tcPr>
            <w:tcW w:w="937" w:type="dxa"/>
            <w:tcBorders>
              <w:top w:val="nil"/>
              <w:left w:val="nil"/>
              <w:bottom w:val="single" w:sz="8" w:space="0" w:color="auto"/>
              <w:right w:val="single" w:sz="8" w:space="0" w:color="auto"/>
            </w:tcBorders>
            <w:shd w:val="clear" w:color="auto" w:fill="auto"/>
            <w:hideMark/>
          </w:tcPr>
          <w:p w14:paraId="548B5CB8" w14:textId="77777777" w:rsidR="009A1DAD" w:rsidRPr="00BE002C" w:rsidRDefault="009A1DAD" w:rsidP="002715D3">
            <w:pPr>
              <w:spacing w:after="0" w:line="240" w:lineRule="auto"/>
              <w:jc w:val="right"/>
              <w:rPr>
                <w:rFonts w:cs="Arial"/>
                <w:szCs w:val="20"/>
              </w:rPr>
            </w:pPr>
            <w:r w:rsidRPr="00BE002C">
              <w:rPr>
                <w:rFonts w:cs="Arial"/>
                <w:color w:val="FF0000"/>
                <w:szCs w:val="20"/>
              </w:rPr>
              <w:t>(0.5%)</w:t>
            </w:r>
          </w:p>
        </w:tc>
      </w:tr>
      <w:tr w:rsidR="009A1DAD" w:rsidRPr="00BE002C" w14:paraId="05A18DE2" w14:textId="77777777" w:rsidTr="00BE002C">
        <w:trPr>
          <w:cantSplit/>
          <w:trHeight w:val="625"/>
        </w:trPr>
        <w:tc>
          <w:tcPr>
            <w:tcW w:w="926" w:type="dxa"/>
            <w:tcBorders>
              <w:top w:val="nil"/>
              <w:left w:val="single" w:sz="8" w:space="0" w:color="auto"/>
              <w:bottom w:val="single" w:sz="8" w:space="0" w:color="auto"/>
              <w:right w:val="single" w:sz="8" w:space="0" w:color="auto"/>
            </w:tcBorders>
            <w:shd w:val="clear" w:color="auto" w:fill="auto"/>
            <w:hideMark/>
          </w:tcPr>
          <w:p w14:paraId="6160A14E" w14:textId="77777777" w:rsidR="009A1DAD" w:rsidRPr="00BE002C" w:rsidRDefault="009A1DAD" w:rsidP="002715D3">
            <w:pPr>
              <w:spacing w:after="0" w:line="240" w:lineRule="auto"/>
              <w:rPr>
                <w:rFonts w:cs="Arial"/>
                <w:color w:val="000000"/>
                <w:szCs w:val="20"/>
              </w:rPr>
            </w:pPr>
            <w:r w:rsidRPr="00BE002C">
              <w:rPr>
                <w:rFonts w:cs="Arial"/>
                <w:color w:val="000000"/>
                <w:szCs w:val="20"/>
              </w:rPr>
              <w:lastRenderedPageBreak/>
              <w:t>15(1)(ca)</w:t>
            </w:r>
          </w:p>
        </w:tc>
        <w:tc>
          <w:tcPr>
            <w:tcW w:w="2887" w:type="dxa"/>
            <w:tcBorders>
              <w:top w:val="nil"/>
              <w:left w:val="nil"/>
              <w:bottom w:val="single" w:sz="8" w:space="0" w:color="auto"/>
              <w:right w:val="single" w:sz="8" w:space="0" w:color="auto"/>
            </w:tcBorders>
            <w:shd w:val="clear" w:color="auto" w:fill="auto"/>
            <w:hideMark/>
          </w:tcPr>
          <w:p w14:paraId="531915A3" w14:textId="3BB21709" w:rsidR="009A1DAD" w:rsidRPr="00BE002C" w:rsidRDefault="009A1DAD" w:rsidP="002715D3">
            <w:pPr>
              <w:spacing w:after="0" w:line="240" w:lineRule="auto"/>
              <w:rPr>
                <w:rFonts w:cs="Arial"/>
                <w:color w:val="000000"/>
                <w:szCs w:val="20"/>
              </w:rPr>
            </w:pPr>
            <w:r w:rsidRPr="00BE002C">
              <w:rPr>
                <w:rFonts w:cs="Arial"/>
                <w:color w:val="000000"/>
                <w:szCs w:val="20"/>
              </w:rPr>
              <w:t xml:space="preserve">The sum of amounts paid to under section 136C of the </w:t>
            </w:r>
            <w:r w:rsidR="00C13E1C" w:rsidRPr="00BE002C">
              <w:rPr>
                <w:rFonts w:cs="Arial"/>
                <w:color w:val="000000"/>
                <w:szCs w:val="20"/>
              </w:rPr>
              <w:t>Telecommunications</w:t>
            </w:r>
            <w:r w:rsidR="00C13E1C" w:rsidRPr="00BE002C" w:rsidDel="00C13E1C">
              <w:rPr>
                <w:rFonts w:cs="Arial"/>
                <w:color w:val="000000"/>
                <w:szCs w:val="20"/>
              </w:rPr>
              <w:t xml:space="preserve"> </w:t>
            </w:r>
            <w:r w:rsidRPr="00BE002C">
              <w:rPr>
                <w:rFonts w:cs="Arial"/>
                <w:color w:val="000000"/>
                <w:szCs w:val="20"/>
              </w:rPr>
              <w:t>Act (for reimbursement of industry costs for industry code development or variation) for the previous financial year</w:t>
            </w:r>
          </w:p>
        </w:tc>
        <w:tc>
          <w:tcPr>
            <w:tcW w:w="1275" w:type="dxa"/>
            <w:tcBorders>
              <w:top w:val="nil"/>
              <w:left w:val="nil"/>
              <w:bottom w:val="single" w:sz="8" w:space="0" w:color="auto"/>
              <w:right w:val="single" w:sz="8" w:space="0" w:color="auto"/>
            </w:tcBorders>
            <w:shd w:val="clear" w:color="auto" w:fill="auto"/>
            <w:hideMark/>
          </w:tcPr>
          <w:p w14:paraId="045FED87"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$0</w:t>
            </w:r>
          </w:p>
        </w:tc>
        <w:tc>
          <w:tcPr>
            <w:tcW w:w="1341" w:type="dxa"/>
            <w:tcBorders>
              <w:top w:val="nil"/>
              <w:left w:val="nil"/>
              <w:bottom w:val="single" w:sz="8" w:space="0" w:color="auto"/>
              <w:right w:val="single" w:sz="8" w:space="0" w:color="auto"/>
            </w:tcBorders>
            <w:shd w:val="clear" w:color="auto" w:fill="auto"/>
            <w:hideMark/>
          </w:tcPr>
          <w:p w14:paraId="6F280950"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$0</w:t>
            </w:r>
          </w:p>
        </w:tc>
        <w:tc>
          <w:tcPr>
            <w:tcW w:w="1249" w:type="dxa"/>
            <w:tcBorders>
              <w:top w:val="nil"/>
              <w:left w:val="nil"/>
              <w:bottom w:val="single" w:sz="8" w:space="0" w:color="auto"/>
              <w:right w:val="single" w:sz="8" w:space="0" w:color="auto"/>
            </w:tcBorders>
            <w:shd w:val="clear" w:color="auto" w:fill="auto"/>
            <w:hideMark/>
          </w:tcPr>
          <w:p w14:paraId="6DFA47E2"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$0</w:t>
            </w:r>
          </w:p>
        </w:tc>
        <w:tc>
          <w:tcPr>
            <w:tcW w:w="937" w:type="dxa"/>
            <w:tcBorders>
              <w:top w:val="nil"/>
              <w:left w:val="nil"/>
              <w:bottom w:val="single" w:sz="8" w:space="0" w:color="auto"/>
              <w:right w:val="single" w:sz="8" w:space="0" w:color="auto"/>
            </w:tcBorders>
            <w:shd w:val="clear" w:color="auto" w:fill="auto"/>
            <w:hideMark/>
          </w:tcPr>
          <w:p w14:paraId="35A492D4" w14:textId="77777777" w:rsidR="009A1DAD" w:rsidRPr="00BE002C" w:rsidRDefault="009A1DAD" w:rsidP="002715D3">
            <w:pPr>
              <w:spacing w:after="0" w:line="240" w:lineRule="auto"/>
              <w:jc w:val="right"/>
              <w:rPr>
                <w:rFonts w:cs="Arial"/>
                <w:szCs w:val="20"/>
              </w:rPr>
            </w:pPr>
            <w:r w:rsidRPr="00BE002C">
              <w:rPr>
                <w:rFonts w:cs="Arial"/>
                <w:color w:val="000000"/>
                <w:szCs w:val="20"/>
              </w:rPr>
              <w:t>0.0% </w:t>
            </w:r>
          </w:p>
        </w:tc>
      </w:tr>
      <w:tr w:rsidR="009A1DAD" w:rsidRPr="00BE002C" w14:paraId="25C3870F" w14:textId="77777777" w:rsidTr="00BE002C">
        <w:trPr>
          <w:cantSplit/>
          <w:trHeight w:val="730"/>
        </w:trPr>
        <w:tc>
          <w:tcPr>
            <w:tcW w:w="926" w:type="dxa"/>
            <w:tcBorders>
              <w:top w:val="nil"/>
              <w:left w:val="single" w:sz="8" w:space="0" w:color="auto"/>
              <w:bottom w:val="single" w:sz="8" w:space="0" w:color="auto"/>
              <w:right w:val="single" w:sz="8" w:space="0" w:color="auto"/>
            </w:tcBorders>
            <w:shd w:val="clear" w:color="auto" w:fill="auto"/>
            <w:hideMark/>
          </w:tcPr>
          <w:p w14:paraId="21CCD9CA" w14:textId="77777777" w:rsidR="009A1DAD" w:rsidRPr="00BE002C" w:rsidRDefault="009A1DAD" w:rsidP="002715D3">
            <w:pPr>
              <w:spacing w:after="0" w:line="240" w:lineRule="auto"/>
              <w:rPr>
                <w:rFonts w:cs="Arial"/>
                <w:color w:val="000000"/>
                <w:szCs w:val="20"/>
              </w:rPr>
            </w:pPr>
            <w:r w:rsidRPr="00BE002C">
              <w:rPr>
                <w:rFonts w:cs="Arial"/>
                <w:color w:val="000000"/>
                <w:szCs w:val="20"/>
              </w:rPr>
              <w:t>15(1)(d)</w:t>
            </w:r>
          </w:p>
        </w:tc>
        <w:tc>
          <w:tcPr>
            <w:tcW w:w="2887" w:type="dxa"/>
            <w:tcBorders>
              <w:top w:val="nil"/>
              <w:left w:val="nil"/>
              <w:bottom w:val="single" w:sz="8" w:space="0" w:color="auto"/>
              <w:right w:val="single" w:sz="8" w:space="0" w:color="auto"/>
            </w:tcBorders>
            <w:shd w:val="clear" w:color="auto" w:fill="auto"/>
            <w:hideMark/>
          </w:tcPr>
          <w:p w14:paraId="4ACBE72F" w14:textId="16B94960" w:rsidR="009A1DAD" w:rsidRPr="00BE002C" w:rsidRDefault="009A1DAD" w:rsidP="002715D3">
            <w:pPr>
              <w:spacing w:after="0" w:line="240" w:lineRule="auto"/>
              <w:rPr>
                <w:rFonts w:cs="Arial"/>
                <w:color w:val="000000"/>
                <w:szCs w:val="20"/>
              </w:rPr>
            </w:pPr>
            <w:r w:rsidRPr="00BE002C">
              <w:rPr>
                <w:rFonts w:cs="Arial"/>
                <w:color w:val="000000"/>
                <w:szCs w:val="20"/>
              </w:rPr>
              <w:t xml:space="preserve">The estimated amount, determined by the </w:t>
            </w:r>
            <w:r w:rsidR="00BE002C">
              <w:rPr>
                <w:rFonts w:cs="Arial"/>
                <w:color w:val="000000"/>
                <w:szCs w:val="20"/>
              </w:rPr>
              <w:t>m</w:t>
            </w:r>
            <w:r w:rsidRPr="00BE002C">
              <w:rPr>
                <w:rFonts w:cs="Arial"/>
                <w:color w:val="000000"/>
                <w:szCs w:val="20"/>
              </w:rPr>
              <w:t xml:space="preserve">inster, of total grants likely to be made under section 593 of the </w:t>
            </w:r>
            <w:r w:rsidR="00C13E1C" w:rsidRPr="00BE002C">
              <w:rPr>
                <w:rFonts w:cs="Arial"/>
                <w:color w:val="000000"/>
                <w:szCs w:val="20"/>
              </w:rPr>
              <w:t>Telecommunications</w:t>
            </w:r>
            <w:r w:rsidR="00C13E1C" w:rsidRPr="00BE002C" w:rsidDel="00C13E1C">
              <w:rPr>
                <w:rFonts w:cs="Arial"/>
                <w:color w:val="000000"/>
                <w:szCs w:val="20"/>
              </w:rPr>
              <w:t xml:space="preserve"> </w:t>
            </w:r>
            <w:r w:rsidRPr="00BE002C">
              <w:rPr>
                <w:rFonts w:cs="Arial"/>
                <w:color w:val="000000"/>
                <w:szCs w:val="20"/>
              </w:rPr>
              <w:t>Act in the current financial year</w:t>
            </w:r>
          </w:p>
        </w:tc>
        <w:tc>
          <w:tcPr>
            <w:tcW w:w="1275" w:type="dxa"/>
            <w:tcBorders>
              <w:top w:val="nil"/>
              <w:left w:val="nil"/>
              <w:bottom w:val="single" w:sz="8" w:space="0" w:color="auto"/>
              <w:right w:val="single" w:sz="8" w:space="0" w:color="auto"/>
            </w:tcBorders>
            <w:shd w:val="clear" w:color="auto" w:fill="auto"/>
            <w:hideMark/>
          </w:tcPr>
          <w:p w14:paraId="0B70D6E3"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$2,435,000</w:t>
            </w:r>
          </w:p>
        </w:tc>
        <w:tc>
          <w:tcPr>
            <w:tcW w:w="1341" w:type="dxa"/>
            <w:tcBorders>
              <w:top w:val="nil"/>
              <w:left w:val="nil"/>
              <w:bottom w:val="single" w:sz="8" w:space="0" w:color="auto"/>
              <w:right w:val="single" w:sz="8" w:space="0" w:color="auto"/>
            </w:tcBorders>
            <w:shd w:val="clear" w:color="auto" w:fill="auto"/>
            <w:hideMark/>
          </w:tcPr>
          <w:p w14:paraId="02F069A8" w14:textId="77777777" w:rsidR="009A1DAD" w:rsidRPr="00BE002C" w:rsidRDefault="009A1DAD" w:rsidP="002715D3">
            <w:pPr>
              <w:spacing w:after="0" w:line="240" w:lineRule="auto"/>
              <w:jc w:val="right"/>
              <w:rPr>
                <w:rFonts w:cs="Arial"/>
                <w:color w:val="000000"/>
                <w:szCs w:val="20"/>
              </w:rPr>
            </w:pPr>
            <w:r w:rsidRPr="00BE002C">
              <w:rPr>
                <w:rFonts w:cs="Arial"/>
                <w:color w:val="000000"/>
                <w:szCs w:val="20"/>
              </w:rPr>
              <w:t>$2,381,000</w:t>
            </w:r>
          </w:p>
        </w:tc>
        <w:tc>
          <w:tcPr>
            <w:tcW w:w="1249" w:type="dxa"/>
            <w:tcBorders>
              <w:top w:val="nil"/>
              <w:left w:val="nil"/>
              <w:bottom w:val="single" w:sz="8" w:space="0" w:color="auto"/>
              <w:right w:val="single" w:sz="8" w:space="0" w:color="auto"/>
            </w:tcBorders>
            <w:shd w:val="clear" w:color="auto" w:fill="auto"/>
          </w:tcPr>
          <w:p w14:paraId="5C12056E" w14:textId="77777777" w:rsidR="009A1DAD" w:rsidRPr="00BE002C" w:rsidRDefault="009A1DAD" w:rsidP="002715D3">
            <w:pPr>
              <w:spacing w:after="0" w:line="240" w:lineRule="auto"/>
              <w:jc w:val="right"/>
              <w:rPr>
                <w:rFonts w:cs="Arial"/>
                <w:szCs w:val="20"/>
              </w:rPr>
            </w:pPr>
            <w:r w:rsidRPr="00BE002C">
              <w:rPr>
                <w:rFonts w:cs="Arial"/>
                <w:szCs w:val="20"/>
              </w:rPr>
              <w:t>$54,000</w:t>
            </w:r>
          </w:p>
        </w:tc>
        <w:tc>
          <w:tcPr>
            <w:tcW w:w="937" w:type="dxa"/>
            <w:tcBorders>
              <w:top w:val="nil"/>
              <w:left w:val="nil"/>
              <w:bottom w:val="single" w:sz="8" w:space="0" w:color="auto"/>
              <w:right w:val="single" w:sz="8" w:space="0" w:color="auto"/>
            </w:tcBorders>
            <w:shd w:val="clear" w:color="auto" w:fill="auto"/>
            <w:hideMark/>
          </w:tcPr>
          <w:p w14:paraId="3A673E08" w14:textId="77777777" w:rsidR="009A1DAD" w:rsidRPr="00BE002C" w:rsidRDefault="009A1DAD" w:rsidP="002715D3">
            <w:pPr>
              <w:spacing w:after="0" w:line="240" w:lineRule="auto"/>
              <w:jc w:val="right"/>
              <w:rPr>
                <w:rFonts w:cs="Arial"/>
                <w:szCs w:val="20"/>
              </w:rPr>
            </w:pPr>
            <w:r w:rsidRPr="00BE002C">
              <w:rPr>
                <w:rFonts w:cs="Arial"/>
                <w:szCs w:val="20"/>
              </w:rPr>
              <w:t>2.3%</w:t>
            </w:r>
          </w:p>
        </w:tc>
      </w:tr>
      <w:tr w:rsidR="00BE002C" w:rsidRPr="00BE002C" w14:paraId="0636C813" w14:textId="77777777" w:rsidTr="00BE002C">
        <w:trPr>
          <w:cantSplit/>
          <w:trHeight w:val="206"/>
        </w:trPr>
        <w:tc>
          <w:tcPr>
            <w:tcW w:w="926" w:type="dxa"/>
            <w:tcBorders>
              <w:top w:val="nil"/>
              <w:left w:val="single" w:sz="8" w:space="0" w:color="auto"/>
              <w:bottom w:val="single" w:sz="8" w:space="0" w:color="auto"/>
              <w:right w:val="single" w:sz="8" w:space="0" w:color="auto"/>
            </w:tcBorders>
            <w:shd w:val="clear" w:color="auto" w:fill="D9D9D9" w:themeFill="background1" w:themeFillShade="D9"/>
            <w:hideMark/>
          </w:tcPr>
          <w:p w14:paraId="59210F3B" w14:textId="074C347B" w:rsidR="009A1DAD" w:rsidRPr="00BE002C" w:rsidRDefault="009A1DAD" w:rsidP="00BE002C">
            <w:pPr>
              <w:spacing w:after="0" w:line="240" w:lineRule="auto"/>
              <w:rPr>
                <w:rFonts w:cs="Arial"/>
                <w:b/>
                <w:bCs/>
                <w:color w:val="000000"/>
                <w:szCs w:val="20"/>
              </w:rPr>
            </w:pPr>
          </w:p>
        </w:tc>
        <w:tc>
          <w:tcPr>
            <w:tcW w:w="2887" w:type="dxa"/>
            <w:tcBorders>
              <w:top w:val="nil"/>
              <w:left w:val="nil"/>
              <w:bottom w:val="single" w:sz="8" w:space="0" w:color="auto"/>
              <w:right w:val="single" w:sz="8" w:space="0" w:color="auto"/>
            </w:tcBorders>
            <w:shd w:val="clear" w:color="auto" w:fill="D9D9D9" w:themeFill="background1" w:themeFillShade="D9"/>
            <w:hideMark/>
          </w:tcPr>
          <w:p w14:paraId="645240E5" w14:textId="77777777" w:rsidR="009A1DAD" w:rsidRPr="00BE002C" w:rsidRDefault="009A1DAD" w:rsidP="00BE002C">
            <w:pPr>
              <w:spacing w:after="0" w:line="240" w:lineRule="auto"/>
              <w:rPr>
                <w:rFonts w:cs="Arial"/>
                <w:b/>
                <w:color w:val="000000"/>
                <w:szCs w:val="20"/>
              </w:rPr>
            </w:pPr>
            <w:r w:rsidRPr="00BE002C">
              <w:rPr>
                <w:rFonts w:cs="Arial"/>
                <w:b/>
                <w:color w:val="000000"/>
                <w:szCs w:val="20"/>
              </w:rPr>
              <w:t>Total ACLC amount</w:t>
            </w:r>
          </w:p>
        </w:tc>
        <w:tc>
          <w:tcPr>
            <w:tcW w:w="1275" w:type="dxa"/>
            <w:tcBorders>
              <w:top w:val="nil"/>
              <w:left w:val="nil"/>
              <w:bottom w:val="single" w:sz="8" w:space="0" w:color="auto"/>
              <w:right w:val="single" w:sz="8" w:space="0" w:color="auto"/>
            </w:tcBorders>
            <w:shd w:val="clear" w:color="auto" w:fill="D9D9D9" w:themeFill="background1" w:themeFillShade="D9"/>
            <w:hideMark/>
          </w:tcPr>
          <w:p w14:paraId="429071B3" w14:textId="77777777" w:rsidR="009A1DAD" w:rsidRPr="00BE002C" w:rsidRDefault="009A1DAD" w:rsidP="00BE002C">
            <w:pPr>
              <w:spacing w:after="0" w:line="240" w:lineRule="auto"/>
              <w:jc w:val="right"/>
              <w:rPr>
                <w:rFonts w:cs="Arial"/>
                <w:b/>
                <w:color w:val="000000"/>
                <w:szCs w:val="20"/>
              </w:rPr>
            </w:pPr>
            <w:r w:rsidRPr="00BE002C">
              <w:rPr>
                <w:rFonts w:cs="Arial"/>
                <w:b/>
                <w:color w:val="000000"/>
                <w:szCs w:val="20"/>
              </w:rPr>
              <w:t>$29,600,605</w:t>
            </w:r>
          </w:p>
        </w:tc>
        <w:tc>
          <w:tcPr>
            <w:tcW w:w="1341" w:type="dxa"/>
            <w:tcBorders>
              <w:top w:val="nil"/>
              <w:left w:val="nil"/>
              <w:bottom w:val="single" w:sz="8" w:space="0" w:color="auto"/>
              <w:right w:val="single" w:sz="8" w:space="0" w:color="auto"/>
            </w:tcBorders>
            <w:shd w:val="clear" w:color="auto" w:fill="D9D9D9" w:themeFill="background1" w:themeFillShade="D9"/>
            <w:hideMark/>
          </w:tcPr>
          <w:p w14:paraId="3A66B812" w14:textId="77777777" w:rsidR="009A1DAD" w:rsidRPr="00BE002C" w:rsidRDefault="009A1DAD" w:rsidP="00BE002C">
            <w:pPr>
              <w:spacing w:after="0" w:line="240" w:lineRule="auto"/>
              <w:jc w:val="right"/>
              <w:rPr>
                <w:rFonts w:cs="Arial"/>
                <w:b/>
                <w:color w:val="000000"/>
                <w:szCs w:val="20"/>
              </w:rPr>
            </w:pPr>
            <w:r w:rsidRPr="00BE002C">
              <w:rPr>
                <w:rFonts w:cs="Arial"/>
                <w:b/>
                <w:color w:val="000000"/>
                <w:szCs w:val="20"/>
              </w:rPr>
              <w:t>$30,734,105</w:t>
            </w:r>
          </w:p>
        </w:tc>
        <w:tc>
          <w:tcPr>
            <w:tcW w:w="1249" w:type="dxa"/>
            <w:tcBorders>
              <w:top w:val="nil"/>
              <w:left w:val="nil"/>
              <w:bottom w:val="single" w:sz="8" w:space="0" w:color="auto"/>
              <w:right w:val="single" w:sz="8" w:space="0" w:color="auto"/>
            </w:tcBorders>
            <w:shd w:val="clear" w:color="auto" w:fill="D9D9D9" w:themeFill="background1" w:themeFillShade="D9"/>
            <w:hideMark/>
          </w:tcPr>
          <w:p w14:paraId="11B04E6D" w14:textId="77777777" w:rsidR="009A1DAD" w:rsidRPr="00BE002C" w:rsidRDefault="009A1DAD" w:rsidP="00BE002C">
            <w:pPr>
              <w:spacing w:after="0" w:line="240" w:lineRule="auto"/>
              <w:jc w:val="right"/>
              <w:rPr>
                <w:rFonts w:cs="Arial"/>
                <w:b/>
                <w:bCs/>
                <w:szCs w:val="20"/>
              </w:rPr>
            </w:pPr>
            <w:r w:rsidRPr="00BE002C">
              <w:rPr>
                <w:rFonts w:cs="Arial"/>
                <w:b/>
                <w:color w:val="FF0000"/>
                <w:szCs w:val="20"/>
              </w:rPr>
              <w:t>($1,133,499)</w:t>
            </w:r>
          </w:p>
        </w:tc>
        <w:tc>
          <w:tcPr>
            <w:tcW w:w="937" w:type="dxa"/>
            <w:tcBorders>
              <w:top w:val="nil"/>
              <w:left w:val="nil"/>
              <w:bottom w:val="single" w:sz="8" w:space="0" w:color="auto"/>
              <w:right w:val="single" w:sz="8" w:space="0" w:color="auto"/>
            </w:tcBorders>
            <w:shd w:val="clear" w:color="auto" w:fill="D9D9D9" w:themeFill="background1" w:themeFillShade="D9"/>
            <w:hideMark/>
          </w:tcPr>
          <w:p w14:paraId="33BD74CE" w14:textId="77777777" w:rsidR="009A1DAD" w:rsidRPr="00BE002C" w:rsidRDefault="009A1DAD" w:rsidP="00BE002C">
            <w:pPr>
              <w:spacing w:after="0" w:line="240" w:lineRule="auto"/>
              <w:jc w:val="right"/>
              <w:rPr>
                <w:rFonts w:cs="Arial"/>
                <w:b/>
                <w:bCs/>
                <w:szCs w:val="20"/>
              </w:rPr>
            </w:pPr>
            <w:r w:rsidRPr="00BE002C">
              <w:rPr>
                <w:rFonts w:cs="Arial"/>
                <w:b/>
                <w:color w:val="FF0000"/>
                <w:szCs w:val="20"/>
              </w:rPr>
              <w:t>(3.7%)</w:t>
            </w:r>
          </w:p>
        </w:tc>
      </w:tr>
    </w:tbl>
    <w:p w14:paraId="7EA62E15" w14:textId="77777777" w:rsidR="009A1DAD" w:rsidRDefault="009A1DAD" w:rsidP="00BE002C">
      <w:pPr>
        <w:pStyle w:val="Tableorfigurenote"/>
        <w:rPr>
          <w:sz w:val="22"/>
        </w:rPr>
      </w:pPr>
      <w:r w:rsidRPr="00C87CE4">
        <w:t xml:space="preserve">Note: More details </w:t>
      </w:r>
      <w:r>
        <w:t xml:space="preserve">for each component are provided in </w:t>
      </w:r>
      <w:r w:rsidRPr="00C87CE4">
        <w:t xml:space="preserve">section 3 of the attached </w:t>
      </w:r>
      <w:r>
        <w:t xml:space="preserve">draft </w:t>
      </w:r>
      <w:r w:rsidRPr="00C87CE4">
        <w:t>CRIS</w:t>
      </w:r>
      <w:r>
        <w:t xml:space="preserve"> and section 3 of Attachment B of the draft CRIS. </w:t>
      </w:r>
      <w:bookmarkStart w:id="12" w:name="_Hlk10624372"/>
      <w:r>
        <w:t xml:space="preserve">The amounts disclosed for paragraphs </w:t>
      </w:r>
      <w:bookmarkStart w:id="13" w:name="_Hlk96695279"/>
      <w:r>
        <w:t xml:space="preserve">15(1)(a) </w:t>
      </w:r>
      <w:bookmarkEnd w:id="13"/>
      <w:r>
        <w:t xml:space="preserve">and </w:t>
      </w:r>
      <w:r w:rsidRPr="00052F53">
        <w:t>15(1)(</w:t>
      </w:r>
      <w:r>
        <w:t>b</w:t>
      </w:r>
      <w:r w:rsidRPr="00052F53">
        <w:t xml:space="preserve">) </w:t>
      </w:r>
      <w:r>
        <w:t>above are to be the same amounts as the amounts to be disclosed in ACMA’s and ACCC’s determinations respectively when these are made</w:t>
      </w:r>
      <w:bookmarkEnd w:id="12"/>
      <w:r>
        <w:t>.</w:t>
      </w:r>
    </w:p>
    <w:p w14:paraId="4842C9C6" w14:textId="08804E8F" w:rsidR="009A1DAD" w:rsidRDefault="009A1DAD" w:rsidP="00E14A1B">
      <w:pPr>
        <w:pStyle w:val="ListNumber"/>
        <w:numPr>
          <w:ilvl w:val="0"/>
          <w:numId w:val="25"/>
        </w:numPr>
        <w:spacing w:after="240"/>
        <w:rPr>
          <w:lang w:eastAsia="en-US"/>
        </w:rPr>
      </w:pPr>
      <w:r w:rsidRPr="00B95B95">
        <w:rPr>
          <w:lang w:eastAsia="en-US"/>
        </w:rPr>
        <w:t>The ACMA’s costs (excluding Consumer Safeguards Part A) has reduced from the previous financial year, decreasing by 10.2</w:t>
      </w:r>
      <w:r w:rsidR="00BE002C">
        <w:rPr>
          <w:lang w:eastAsia="en-US"/>
        </w:rPr>
        <w:t xml:space="preserve">% </w:t>
      </w:r>
      <w:r w:rsidRPr="00B95B95">
        <w:rPr>
          <w:lang w:eastAsia="en-US"/>
        </w:rPr>
        <w:t xml:space="preserve">($1.38 million). The ACMA continues to base its resourcing decisions around its priorities, which will see fluctuations in spend over time between its important regulatory activities. </w:t>
      </w:r>
      <w:r w:rsidRPr="00CE5421">
        <w:rPr>
          <w:lang w:eastAsia="en-US"/>
        </w:rPr>
        <w:t>The Consumer Safeguards Part A program costs have decreased by 44.1</w:t>
      </w:r>
      <w:r w:rsidR="00BE002C">
        <w:rPr>
          <w:lang w:eastAsia="en-US"/>
        </w:rPr>
        <w:t xml:space="preserve">% </w:t>
      </w:r>
      <w:r w:rsidRPr="00CE5421">
        <w:rPr>
          <w:lang w:eastAsia="en-US"/>
        </w:rPr>
        <w:t xml:space="preserve">($0.64 million), from the prior year with the program work moving into </w:t>
      </w:r>
      <w:r>
        <w:rPr>
          <w:lang w:eastAsia="en-US"/>
        </w:rPr>
        <w:t>business</w:t>
      </w:r>
      <w:r w:rsidR="00BE002C">
        <w:rPr>
          <w:lang w:eastAsia="en-US"/>
        </w:rPr>
        <w:t>-</w:t>
      </w:r>
      <w:r>
        <w:rPr>
          <w:lang w:eastAsia="en-US"/>
        </w:rPr>
        <w:t>as</w:t>
      </w:r>
      <w:r w:rsidR="00BE002C">
        <w:rPr>
          <w:lang w:eastAsia="en-US"/>
        </w:rPr>
        <w:t>-</w:t>
      </w:r>
      <w:r>
        <w:rPr>
          <w:lang w:eastAsia="en-US"/>
        </w:rPr>
        <w:t>usual</w:t>
      </w:r>
      <w:r w:rsidRPr="00CE5421">
        <w:rPr>
          <w:lang w:eastAsia="en-US"/>
        </w:rPr>
        <w:t xml:space="preserve"> activities.</w:t>
      </w:r>
    </w:p>
    <w:p w14:paraId="45438B5E" w14:textId="6F180E2C" w:rsidR="009A1DAD" w:rsidRPr="00CE5421" w:rsidRDefault="009A1DAD" w:rsidP="00BE002C">
      <w:pPr>
        <w:pStyle w:val="Numberlistlevel1"/>
        <w:rPr>
          <w:lang w:eastAsia="en-US"/>
        </w:rPr>
      </w:pPr>
      <w:r w:rsidRPr="00CE5421">
        <w:rPr>
          <w:lang w:eastAsia="en-US"/>
        </w:rPr>
        <w:t>The ACCC’s cost to be determined for the purpose of the 2022–23 ACLC</w:t>
      </w:r>
      <w:r>
        <w:rPr>
          <w:lang w:eastAsia="en-US"/>
        </w:rPr>
        <w:t xml:space="preserve"> </w:t>
      </w:r>
      <w:r w:rsidRPr="00CE5421">
        <w:rPr>
          <w:lang w:eastAsia="en-US"/>
        </w:rPr>
        <w:t>(excluding the MBA costs) has increased by 6.8</w:t>
      </w:r>
      <w:r w:rsidR="00BE002C">
        <w:rPr>
          <w:lang w:eastAsia="en-US"/>
        </w:rPr>
        <w:t xml:space="preserve">% </w:t>
      </w:r>
      <w:r w:rsidRPr="00CE5421">
        <w:rPr>
          <w:lang w:eastAsia="en-US"/>
        </w:rPr>
        <w:t>from the previous year. The increase is largely driven by:</w:t>
      </w:r>
    </w:p>
    <w:p w14:paraId="4B467834" w14:textId="1F88F11E" w:rsidR="009A1DAD" w:rsidRPr="009A04BD" w:rsidRDefault="004E3BCE" w:rsidP="00E513C4">
      <w:pPr>
        <w:pStyle w:val="Bulletlevel2"/>
        <w:rPr>
          <w:lang w:eastAsia="en-US"/>
        </w:rPr>
      </w:pPr>
      <w:r>
        <w:rPr>
          <w:rFonts w:eastAsia="SimSun"/>
          <w:lang w:eastAsia="en-US"/>
        </w:rPr>
        <w:t>s</w:t>
      </w:r>
      <w:r w:rsidR="009A1DAD" w:rsidRPr="005F5EB0">
        <w:rPr>
          <w:rFonts w:eastAsia="SimSun"/>
          <w:lang w:eastAsia="en-US"/>
        </w:rPr>
        <w:t xml:space="preserve">upport costs associated with investment in the ACCC’s ICT to stabilise its infrastructure and </w:t>
      </w:r>
      <w:r w:rsidR="009A1DAD">
        <w:rPr>
          <w:rFonts w:eastAsia="SimSun"/>
          <w:lang w:eastAsia="en-US"/>
        </w:rPr>
        <w:t>b</w:t>
      </w:r>
      <w:r w:rsidR="009A1DAD" w:rsidRPr="005F5EB0">
        <w:rPr>
          <w:rFonts w:eastAsia="SimSun"/>
          <w:lang w:eastAsia="en-US"/>
        </w:rPr>
        <w:t xml:space="preserve">uild analytical </w:t>
      </w:r>
      <w:proofErr w:type="gramStart"/>
      <w:r w:rsidR="009A1DAD" w:rsidRPr="005F5EB0">
        <w:rPr>
          <w:rFonts w:eastAsia="SimSun"/>
          <w:lang w:eastAsia="en-US"/>
        </w:rPr>
        <w:t>capabilities</w:t>
      </w:r>
      <w:proofErr w:type="gramEnd"/>
    </w:p>
    <w:p w14:paraId="697E41AC" w14:textId="77777777" w:rsidR="009A1DAD" w:rsidRPr="003948D0" w:rsidRDefault="009A1DAD" w:rsidP="00E513C4">
      <w:pPr>
        <w:pStyle w:val="Bulletlevel2"/>
        <w:spacing w:after="240"/>
        <w:rPr>
          <w:lang w:eastAsia="en-US"/>
        </w:rPr>
      </w:pPr>
      <w:r w:rsidRPr="00665A82">
        <w:rPr>
          <w:rFonts w:eastAsia="SimSun"/>
          <w:lang w:eastAsia="en-US"/>
        </w:rPr>
        <w:t xml:space="preserve">ACCC agency growth also </w:t>
      </w:r>
      <w:r>
        <w:rPr>
          <w:rFonts w:eastAsia="SimSun"/>
          <w:lang w:eastAsia="en-US"/>
        </w:rPr>
        <w:t>i</w:t>
      </w:r>
      <w:r w:rsidRPr="00870CDE">
        <w:rPr>
          <w:rFonts w:eastAsia="SimSun"/>
          <w:lang w:eastAsia="en-US"/>
        </w:rPr>
        <w:t>ncreased need in the human resources function to support a larger workforce</w:t>
      </w:r>
      <w:r>
        <w:rPr>
          <w:rFonts w:eastAsia="SimSun"/>
          <w:lang w:eastAsia="en-US"/>
        </w:rPr>
        <w:t>.</w:t>
      </w:r>
    </w:p>
    <w:p w14:paraId="2BAA5B12" w14:textId="40B335EB" w:rsidR="009A1DAD" w:rsidRPr="00CE5421" w:rsidRDefault="009A1DAD" w:rsidP="00E14A1B">
      <w:pPr>
        <w:pStyle w:val="Numberlistlevel1"/>
        <w:spacing w:after="240"/>
        <w:rPr>
          <w:rFonts w:cs="Arial"/>
          <w:lang w:eastAsia="en-US"/>
        </w:rPr>
      </w:pPr>
      <w:r w:rsidRPr="00CE5421">
        <w:rPr>
          <w:rFonts w:cs="Arial"/>
          <w:lang w:eastAsia="en-US"/>
        </w:rPr>
        <w:t xml:space="preserve">The cost component </w:t>
      </w:r>
      <w:r w:rsidR="00EF20B7">
        <w:rPr>
          <w:rFonts w:cs="Arial"/>
          <w:lang w:eastAsia="en-US"/>
        </w:rPr>
        <w:t>for</w:t>
      </w:r>
      <w:r w:rsidRPr="00CE5421">
        <w:rPr>
          <w:rFonts w:cs="Arial"/>
          <w:lang w:eastAsia="en-US"/>
        </w:rPr>
        <w:t xml:space="preserve"> the MBA program is recovered via the ACLC as part of the ACCC’s costs of performing statutory </w:t>
      </w:r>
      <w:r w:rsidRPr="00BE002C">
        <w:rPr>
          <w:lang w:eastAsia="en-US"/>
        </w:rPr>
        <w:t>telecommunications</w:t>
      </w:r>
      <w:r w:rsidRPr="00CE5421">
        <w:rPr>
          <w:rFonts w:cs="Arial"/>
          <w:lang w:eastAsia="en-US"/>
        </w:rPr>
        <w:t xml:space="preserve"> functions relating to monitoring industry and providing information to consumers. </w:t>
      </w:r>
      <w:bookmarkStart w:id="14" w:name="_Hlk97128773"/>
      <w:r w:rsidRPr="00CE5421">
        <w:rPr>
          <w:rFonts w:cs="Arial"/>
          <w:lang w:eastAsia="en-US"/>
        </w:rPr>
        <w:t xml:space="preserve">This has increased by 12.1 </w:t>
      </w:r>
      <w:r w:rsidR="004D1ACA">
        <w:rPr>
          <w:rFonts w:cs="Arial"/>
          <w:lang w:eastAsia="en-US"/>
        </w:rPr>
        <w:t>%</w:t>
      </w:r>
      <w:r w:rsidRPr="00CE5421">
        <w:rPr>
          <w:rFonts w:cs="Arial"/>
          <w:lang w:eastAsia="en-US"/>
        </w:rPr>
        <w:t xml:space="preserve">from the previous year but </w:t>
      </w:r>
      <w:r w:rsidR="004E3BCE">
        <w:rPr>
          <w:rFonts w:cs="Arial"/>
          <w:lang w:eastAsia="en-US"/>
        </w:rPr>
        <w:t xml:space="preserve">is </w:t>
      </w:r>
      <w:r w:rsidRPr="00CE5421">
        <w:rPr>
          <w:rFonts w:cs="Arial"/>
          <w:lang w:eastAsia="en-US"/>
        </w:rPr>
        <w:t>lower than the 2021</w:t>
      </w:r>
      <w:r w:rsidR="009D7EC8">
        <w:rPr>
          <w:rFonts w:cs="Arial"/>
          <w:lang w:eastAsia="en-US"/>
        </w:rPr>
        <w:t>–</w:t>
      </w:r>
      <w:r w:rsidRPr="00CE5421">
        <w:rPr>
          <w:rFonts w:cs="Arial"/>
          <w:lang w:eastAsia="en-US"/>
        </w:rPr>
        <w:t xml:space="preserve">22 budget and </w:t>
      </w:r>
      <w:r w:rsidRPr="00BD6F2E">
        <w:rPr>
          <w:rFonts w:cs="Arial"/>
          <w:lang w:eastAsia="en-US"/>
        </w:rPr>
        <w:t>predominantly relates to contracted services to manage the open tender procurement process to engage a third</w:t>
      </w:r>
      <w:r w:rsidR="009D7EC8">
        <w:rPr>
          <w:rFonts w:cs="Arial"/>
          <w:lang w:eastAsia="en-US"/>
        </w:rPr>
        <w:t>-</w:t>
      </w:r>
      <w:r w:rsidRPr="00BD6F2E">
        <w:rPr>
          <w:rFonts w:cs="Arial"/>
          <w:lang w:eastAsia="en-US"/>
        </w:rPr>
        <w:t xml:space="preserve">party testing provider for the MBA Program extension. The </w:t>
      </w:r>
      <w:r w:rsidR="004E3BCE" w:rsidRPr="00BD6F2E">
        <w:rPr>
          <w:rFonts w:cs="Arial"/>
          <w:lang w:eastAsia="en-US"/>
        </w:rPr>
        <w:t>third-party</w:t>
      </w:r>
      <w:r w:rsidRPr="00BD6F2E">
        <w:rPr>
          <w:rFonts w:cs="Arial"/>
          <w:lang w:eastAsia="en-US"/>
        </w:rPr>
        <w:t xml:space="preserve"> testing provider, SamKnows, also provided additional reports.</w:t>
      </w:r>
      <w:r w:rsidRPr="00CE5421">
        <w:rPr>
          <w:rFonts w:cs="Arial"/>
          <w:lang w:eastAsia="en-US"/>
        </w:rPr>
        <w:t xml:space="preserve"> Overall, the MBA program is expected to finish budget neutral. </w:t>
      </w:r>
      <w:bookmarkEnd w:id="14"/>
      <w:r w:rsidRPr="00CE5421">
        <w:rPr>
          <w:rFonts w:cs="Arial"/>
          <w:lang w:eastAsia="en-US"/>
        </w:rPr>
        <w:t>More information is provided in section 3 of Attachment B of the draft CRIS.</w:t>
      </w:r>
    </w:p>
    <w:p w14:paraId="4174977B" w14:textId="54B5CE7F" w:rsidR="009A1DAD" w:rsidRPr="002A768B" w:rsidRDefault="009A1DAD" w:rsidP="00BE002C">
      <w:pPr>
        <w:pStyle w:val="Numberlistlevel1"/>
        <w:rPr>
          <w:rFonts w:cs="Arial"/>
          <w:lang w:eastAsia="en-US"/>
        </w:rPr>
      </w:pPr>
      <w:r w:rsidRPr="00CE5421">
        <w:rPr>
          <w:rFonts w:cs="Arial"/>
          <w:lang w:eastAsia="en-US"/>
        </w:rPr>
        <w:t xml:space="preserve">The component under paragraph 15(1)(c) of the Act relates to the </w:t>
      </w:r>
      <w:r w:rsidRPr="00BE002C">
        <w:rPr>
          <w:lang w:eastAsia="en-US"/>
        </w:rPr>
        <w:t>Commonwealth’s</w:t>
      </w:r>
      <w:r w:rsidRPr="00CE5421">
        <w:rPr>
          <w:rFonts w:cs="Arial"/>
          <w:lang w:eastAsia="en-US"/>
        </w:rPr>
        <w:t xml:space="preserve"> annual contribution to the budget of the ITU associated with telecommunications for the 202</w:t>
      </w:r>
      <w:r>
        <w:rPr>
          <w:rFonts w:cs="Arial"/>
          <w:lang w:eastAsia="en-US"/>
        </w:rPr>
        <w:t>2</w:t>
      </w:r>
      <w:r w:rsidRPr="00CE5421">
        <w:rPr>
          <w:rFonts w:cs="Arial"/>
          <w:lang w:eastAsia="en-US"/>
        </w:rPr>
        <w:t xml:space="preserve"> calendar year. The contribution is made in Swiss Francs each year by DITRDCA. The expenditure in Australian dollars has decreased by 0.5 </w:t>
      </w:r>
      <w:r w:rsidR="004D1ACA">
        <w:rPr>
          <w:rFonts w:cs="Arial"/>
          <w:lang w:eastAsia="en-US"/>
        </w:rPr>
        <w:t xml:space="preserve">% </w:t>
      </w:r>
      <w:r w:rsidRPr="00CE5421">
        <w:rPr>
          <w:rFonts w:cs="Arial"/>
          <w:lang w:eastAsia="en-US"/>
        </w:rPr>
        <w:t xml:space="preserve">from the previous year. </w:t>
      </w:r>
      <w:bookmarkStart w:id="15" w:name="_Hlk97128791"/>
      <w:r w:rsidRPr="002A768B">
        <w:rPr>
          <w:rFonts w:cs="Arial"/>
          <w:lang w:eastAsia="en-US"/>
        </w:rPr>
        <w:t>This is largely attributed to the difference in the exchange rate at the time of payment.</w:t>
      </w:r>
    </w:p>
    <w:bookmarkEnd w:id="15"/>
    <w:p w14:paraId="30E430A3" w14:textId="12589D26" w:rsidR="009A1DAD" w:rsidRPr="000E29F0" w:rsidRDefault="00EF20B7" w:rsidP="00E14A1B">
      <w:pPr>
        <w:pStyle w:val="Numberlistlevel1"/>
        <w:spacing w:after="240"/>
        <w:rPr>
          <w:rFonts w:cs="Arial"/>
          <w:lang w:eastAsia="en-US"/>
        </w:rPr>
      </w:pPr>
      <w:r>
        <w:rPr>
          <w:rFonts w:cs="Arial"/>
          <w:lang w:eastAsia="en-US"/>
        </w:rPr>
        <w:lastRenderedPageBreak/>
        <w:t>For</w:t>
      </w:r>
      <w:r w:rsidR="009A1DAD" w:rsidRPr="00CE5421">
        <w:rPr>
          <w:rFonts w:cs="Arial"/>
          <w:lang w:eastAsia="en-US"/>
        </w:rPr>
        <w:t xml:space="preserve"> the cost component under paragraph 15(1)</w:t>
      </w:r>
      <w:r w:rsidR="004D1ACA">
        <w:rPr>
          <w:rFonts w:cs="Arial"/>
          <w:lang w:eastAsia="en-US"/>
        </w:rPr>
        <w:t xml:space="preserve"> </w:t>
      </w:r>
      <w:r w:rsidR="009A1DAD" w:rsidRPr="00CE5421">
        <w:rPr>
          <w:rFonts w:cs="Arial"/>
          <w:lang w:eastAsia="en-US"/>
        </w:rPr>
        <w:t>(ca) of the Act, no reimbursements were made for the development or variation of industry codes in the 2021–</w:t>
      </w:r>
      <w:r w:rsidR="009A1DAD" w:rsidRPr="00BE002C">
        <w:rPr>
          <w:lang w:eastAsia="en-US"/>
        </w:rPr>
        <w:t>22</w:t>
      </w:r>
      <w:r w:rsidR="009A1DAD" w:rsidRPr="00CE5421">
        <w:rPr>
          <w:rFonts w:cs="Arial"/>
          <w:lang w:eastAsia="en-US"/>
        </w:rPr>
        <w:t xml:space="preserve"> financial year by the ACMA under section 136C of the </w:t>
      </w:r>
      <w:r w:rsidR="00C13E1C" w:rsidRPr="00BE002C">
        <w:rPr>
          <w:rFonts w:cs="Arial"/>
        </w:rPr>
        <w:t>Telecommunications</w:t>
      </w:r>
      <w:r w:rsidR="00C13E1C" w:rsidRPr="00CE5421" w:rsidDel="00C13E1C">
        <w:rPr>
          <w:rFonts w:cs="Arial"/>
          <w:lang w:eastAsia="en-US"/>
        </w:rPr>
        <w:t xml:space="preserve"> </w:t>
      </w:r>
      <w:r w:rsidR="009A1DAD" w:rsidRPr="000E29F0">
        <w:rPr>
          <w:rFonts w:cs="Arial"/>
          <w:lang w:eastAsia="en-US"/>
        </w:rPr>
        <w:t>Act.</w:t>
      </w:r>
    </w:p>
    <w:p w14:paraId="3D2AA6B8" w14:textId="12CCE119" w:rsidR="009A1DAD" w:rsidRPr="000E29F0" w:rsidRDefault="009A1DAD" w:rsidP="00BE002C">
      <w:pPr>
        <w:pStyle w:val="Numberlistlevel1"/>
        <w:rPr>
          <w:rFonts w:cs="Arial"/>
          <w:lang w:eastAsia="en-US"/>
        </w:rPr>
      </w:pPr>
      <w:r w:rsidRPr="000E29F0">
        <w:rPr>
          <w:rFonts w:cs="Arial"/>
          <w:lang w:eastAsia="en-US"/>
        </w:rPr>
        <w:t>The component under paragraph 15(1)</w:t>
      </w:r>
      <w:r w:rsidR="004D1ACA">
        <w:rPr>
          <w:rFonts w:cs="Arial"/>
          <w:lang w:eastAsia="en-US"/>
        </w:rPr>
        <w:t xml:space="preserve"> </w:t>
      </w:r>
      <w:r w:rsidRPr="000E29F0">
        <w:rPr>
          <w:rFonts w:cs="Arial"/>
          <w:lang w:eastAsia="en-US"/>
        </w:rPr>
        <w:t xml:space="preserve">(d) of the Act relates to the </w:t>
      </w:r>
      <w:r w:rsidR="006839B3">
        <w:rPr>
          <w:rFonts w:cs="Arial"/>
          <w:lang w:eastAsia="en-US"/>
        </w:rPr>
        <w:t>m</w:t>
      </w:r>
      <w:r w:rsidRPr="000E29F0">
        <w:rPr>
          <w:rFonts w:cs="Arial"/>
          <w:lang w:eastAsia="en-US"/>
        </w:rPr>
        <w:t xml:space="preserve">inister’s estimated allocation of grants under section 593 of the </w:t>
      </w:r>
      <w:r w:rsidR="00C13E1C" w:rsidRPr="00C13E1C">
        <w:rPr>
          <w:rFonts w:cs="Arial"/>
          <w:lang w:eastAsia="en-US"/>
        </w:rPr>
        <w:t>Telecommunications</w:t>
      </w:r>
      <w:r w:rsidR="00C13E1C" w:rsidRPr="00C13E1C" w:rsidDel="00C13E1C">
        <w:rPr>
          <w:rFonts w:cs="Arial"/>
          <w:lang w:eastAsia="en-US"/>
        </w:rPr>
        <w:t xml:space="preserve"> </w:t>
      </w:r>
      <w:r w:rsidRPr="000E29F0">
        <w:rPr>
          <w:rFonts w:cs="Arial"/>
          <w:lang w:eastAsia="en-US"/>
        </w:rPr>
        <w:t xml:space="preserve">Act. </w:t>
      </w:r>
      <w:r w:rsidR="006839B3">
        <w:rPr>
          <w:rFonts w:cs="Arial"/>
          <w:lang w:eastAsia="en-US"/>
        </w:rPr>
        <w:t>T</w:t>
      </w:r>
      <w:r>
        <w:rPr>
          <w:rFonts w:cs="Arial"/>
          <w:lang w:eastAsia="en-US"/>
        </w:rPr>
        <w:t>he</w:t>
      </w:r>
      <w:r w:rsidRPr="000E29F0">
        <w:rPr>
          <w:rFonts w:cs="Arial"/>
          <w:lang w:eastAsia="en-US"/>
        </w:rPr>
        <w:t xml:space="preserve"> </w:t>
      </w:r>
      <w:hyperlink r:id="rId29" w:history="1">
        <w:r w:rsidR="006839B3">
          <w:rPr>
            <w:rStyle w:val="Hyperlink"/>
            <w:rFonts w:cs="Arial"/>
            <w:lang w:eastAsia="en-US"/>
          </w:rPr>
          <w:t>determination</w:t>
        </w:r>
      </w:hyperlink>
      <w:r w:rsidR="006839B3" w:rsidRPr="00E513C4">
        <w:t xml:space="preserve"> f</w:t>
      </w:r>
      <w:r w:rsidRPr="000E29F0">
        <w:rPr>
          <w:rFonts w:cs="Arial"/>
          <w:lang w:eastAsia="en-US"/>
        </w:rPr>
        <w:t>or the 2022</w:t>
      </w:r>
      <w:r w:rsidR="006839B3">
        <w:rPr>
          <w:rFonts w:cs="Arial"/>
          <w:lang w:eastAsia="en-US"/>
        </w:rPr>
        <w:t>–</w:t>
      </w:r>
      <w:r w:rsidRPr="000E29F0">
        <w:rPr>
          <w:rFonts w:cs="Arial"/>
          <w:lang w:eastAsia="en-US"/>
        </w:rPr>
        <w:t xml:space="preserve">23 grants was made by the </w:t>
      </w:r>
      <w:r w:rsidR="006839B3">
        <w:rPr>
          <w:rFonts w:cs="Arial"/>
          <w:lang w:eastAsia="en-US"/>
        </w:rPr>
        <w:t>m</w:t>
      </w:r>
      <w:r w:rsidRPr="000E29F0">
        <w:rPr>
          <w:rFonts w:cs="Arial"/>
          <w:lang w:eastAsia="en-US"/>
        </w:rPr>
        <w:t xml:space="preserve">inister on </w:t>
      </w:r>
      <w:r w:rsidR="006839B3" w:rsidRPr="000E29F0">
        <w:rPr>
          <w:rFonts w:cs="Arial"/>
          <w:lang w:eastAsia="en-US"/>
        </w:rPr>
        <w:t>30</w:t>
      </w:r>
      <w:r w:rsidR="006839B3">
        <w:rPr>
          <w:rFonts w:cs="Arial"/>
          <w:lang w:eastAsia="en-US"/>
        </w:rPr>
        <w:t> </w:t>
      </w:r>
      <w:r w:rsidRPr="000E29F0">
        <w:rPr>
          <w:rFonts w:cs="Arial"/>
          <w:lang w:eastAsia="en-US"/>
        </w:rPr>
        <w:t>March 2023. The amount was based on grants made or expected to be made to the Australian Communications Consumer Action Network</w:t>
      </w:r>
      <w:r w:rsidR="006839B3">
        <w:rPr>
          <w:rFonts w:cs="Arial"/>
          <w:lang w:eastAsia="en-US"/>
        </w:rPr>
        <w:t xml:space="preserve"> </w:t>
      </w:r>
      <w:r w:rsidRPr="000E29F0">
        <w:rPr>
          <w:rFonts w:cs="Arial"/>
          <w:lang w:eastAsia="en-US"/>
        </w:rPr>
        <w:t>and was subject to indexation</w:t>
      </w:r>
      <w:r w:rsidR="006839B3">
        <w:rPr>
          <w:rFonts w:cs="Arial"/>
          <w:lang w:eastAsia="en-US"/>
        </w:rPr>
        <w:t>,</w:t>
      </w:r>
      <w:r w:rsidRPr="000E29F0">
        <w:rPr>
          <w:rFonts w:cs="Arial"/>
          <w:lang w:eastAsia="en-US"/>
        </w:rPr>
        <w:t xml:space="preserve"> which has resulted in an increase of 2 percent from the previous year.</w:t>
      </w:r>
    </w:p>
    <w:p w14:paraId="284AC1F4" w14:textId="77777777" w:rsidR="009A1DAD" w:rsidRDefault="009A1DAD" w:rsidP="009A1DAD">
      <w:pPr>
        <w:spacing w:after="0" w:line="240" w:lineRule="auto"/>
        <w:rPr>
          <w:lang w:eastAsia="en-US"/>
        </w:rPr>
      </w:pPr>
      <w:r>
        <w:rPr>
          <w:lang w:eastAsia="en-US"/>
        </w:rPr>
        <w:br w:type="page"/>
      </w:r>
    </w:p>
    <w:p w14:paraId="209372AC" w14:textId="1290BA30" w:rsidR="009A1DAD" w:rsidRPr="005D09C2" w:rsidRDefault="009A1DAD" w:rsidP="005D09C2">
      <w:pPr>
        <w:pStyle w:val="Heading1"/>
      </w:pPr>
      <w:bookmarkStart w:id="16" w:name="_Toc144822368"/>
      <w:r>
        <w:lastRenderedPageBreak/>
        <w:t xml:space="preserve">The proposed 2023 </w:t>
      </w:r>
      <w:r w:rsidRPr="009A04BD">
        <w:t>Payment Determination</w:t>
      </w:r>
      <w:bookmarkEnd w:id="16"/>
      <w:r w:rsidRPr="009A04BD">
        <w:t xml:space="preserve"> </w:t>
      </w:r>
    </w:p>
    <w:p w14:paraId="2EC4BB5D" w14:textId="56F08F65" w:rsidR="009A1DAD" w:rsidRDefault="009A1DAD" w:rsidP="005D09C2">
      <w:pPr>
        <w:pStyle w:val="Paragraph"/>
      </w:pPr>
      <w:r>
        <w:t xml:space="preserve">The existing </w:t>
      </w:r>
      <w:r w:rsidRPr="00BD5B7C">
        <w:t>Telecommunications (Payment of Annual Carrier Licence Charge) Determination 2014</w:t>
      </w:r>
      <w:r w:rsidRPr="006839B3">
        <w:t xml:space="preserve"> </w:t>
      </w:r>
      <w:r>
        <w:t xml:space="preserve">was made under </w:t>
      </w:r>
      <w:r>
        <w:rPr>
          <w:color w:val="000000"/>
          <w:shd w:val="clear" w:color="auto" w:fill="FFFFFF"/>
        </w:rPr>
        <w:t>subsections 73(3) and (4)</w:t>
      </w:r>
      <w:r>
        <w:t xml:space="preserve"> of the </w:t>
      </w:r>
      <w:r w:rsidRPr="009E3B46">
        <w:rPr>
          <w:i/>
          <w:iCs/>
        </w:rPr>
        <w:t xml:space="preserve">Telecommunications Act </w:t>
      </w:r>
      <w:r w:rsidRPr="00341B1D">
        <w:rPr>
          <w:i/>
          <w:iCs/>
        </w:rPr>
        <w:t>1997</w:t>
      </w:r>
      <w:r>
        <w:t xml:space="preserve"> and determines the due date for the ACLC, specifies the ACLC late payment penalty rate and authorises the ACMA to make decisions about remission of a late payment penalty.</w:t>
      </w:r>
    </w:p>
    <w:p w14:paraId="66954251" w14:textId="7F9EF861" w:rsidR="009A1DAD" w:rsidRDefault="009A1DAD" w:rsidP="005D09C2">
      <w:pPr>
        <w:pStyle w:val="Paragraph"/>
      </w:pPr>
      <w:r>
        <w:t xml:space="preserve">This determination is automatically due to be repealed under the sunsetting provisions on 1 October 2024. There is an ongoing requirement for this determination to continue and a new determination needs to be made </w:t>
      </w:r>
      <w:r w:rsidR="006839B3">
        <w:t xml:space="preserve">before </w:t>
      </w:r>
      <w:r>
        <w:t>the sunsetting date.</w:t>
      </w:r>
    </w:p>
    <w:p w14:paraId="071E044E" w14:textId="27A39A32" w:rsidR="009A1DAD" w:rsidRDefault="009A1DAD" w:rsidP="005D09C2">
      <w:pPr>
        <w:pStyle w:val="Paragraph"/>
        <w:rPr>
          <w:lang w:eastAsia="en-US"/>
        </w:rPr>
      </w:pPr>
      <w:r>
        <w:t xml:space="preserve">The new </w:t>
      </w:r>
      <w:r w:rsidRPr="00D775FC">
        <w:t>2023 Payment Determination</w:t>
      </w:r>
      <w:r>
        <w:t>, available on the ACMA website,</w:t>
      </w:r>
      <w:r w:rsidRPr="00D775FC">
        <w:t xml:space="preserve"> </w:t>
      </w:r>
      <w:r>
        <w:t xml:space="preserve">will replace and largely replicate this determination, with only minor stylistic and drafting changes that are administrative in nature, including the removal of any redundant </w:t>
      </w:r>
      <w:r w:rsidR="00543D83">
        <w:t>provisions</w:t>
      </w:r>
      <w:r>
        <w:t>.</w:t>
      </w:r>
    </w:p>
    <w:p w14:paraId="6B0D1EF9" w14:textId="77777777" w:rsidR="006C1631" w:rsidRPr="00E162C4" w:rsidRDefault="006C1631" w:rsidP="006C1631">
      <w:pPr>
        <w:pStyle w:val="Heading1"/>
      </w:pPr>
      <w:bookmarkStart w:id="17" w:name="_Toc144822369"/>
      <w:r w:rsidRPr="00E162C4">
        <w:lastRenderedPageBreak/>
        <w:t xml:space="preserve">Invitation to </w:t>
      </w:r>
      <w:proofErr w:type="gramStart"/>
      <w:r w:rsidRPr="00E162C4">
        <w:t>comment</w:t>
      </w:r>
      <w:bookmarkEnd w:id="17"/>
      <w:proofErr w:type="gramEnd"/>
    </w:p>
    <w:p w14:paraId="716A1A42" w14:textId="77777777" w:rsidR="006C1631" w:rsidRPr="00E162C4" w:rsidRDefault="006C1631" w:rsidP="006C1631">
      <w:pPr>
        <w:pStyle w:val="Heading2"/>
      </w:pPr>
      <w:bookmarkStart w:id="18" w:name="_Toc433122131"/>
      <w:bookmarkStart w:id="19" w:name="_Toc348105637"/>
      <w:bookmarkStart w:id="20" w:name="_Toc300909556"/>
      <w:bookmarkStart w:id="21" w:name="_Toc298924673"/>
      <w:bookmarkStart w:id="22" w:name="_Toc144822370"/>
      <w:bookmarkStart w:id="23" w:name="_Toc348105638"/>
      <w:bookmarkStart w:id="24" w:name="_Toc300909557"/>
      <w:bookmarkStart w:id="25" w:name="_Toc298924674"/>
      <w:bookmarkStart w:id="26" w:name="_Toc274296357"/>
      <w:r w:rsidRPr="00E162C4">
        <w:t>Making a submission</w:t>
      </w:r>
      <w:bookmarkEnd w:id="18"/>
      <w:bookmarkEnd w:id="19"/>
      <w:bookmarkEnd w:id="20"/>
      <w:bookmarkEnd w:id="21"/>
      <w:bookmarkEnd w:id="22"/>
    </w:p>
    <w:p w14:paraId="0E7E5416" w14:textId="4A5F2BA8" w:rsidR="006C1631" w:rsidRPr="00E162C4" w:rsidRDefault="006C5FD4" w:rsidP="006C1631">
      <w:r w:rsidRPr="00E162C4">
        <w:t>We</w:t>
      </w:r>
      <w:r w:rsidR="006C1631" w:rsidRPr="00E162C4">
        <w:t xml:space="preserve"> invite comments on the issues set out in this </w:t>
      </w:r>
      <w:r w:rsidR="00D36C96">
        <w:t>consultation</w:t>
      </w:r>
      <w:r w:rsidR="00D36C96" w:rsidRPr="00E162C4">
        <w:t xml:space="preserve"> </w:t>
      </w:r>
      <w:r w:rsidR="006C1631" w:rsidRPr="00E162C4">
        <w:t xml:space="preserve">paper. </w:t>
      </w:r>
    </w:p>
    <w:p w14:paraId="1F6C7815" w14:textId="77777777" w:rsidR="0070133D" w:rsidRPr="00E162C4" w:rsidRDefault="00E51087" w:rsidP="0070133D">
      <w:pPr>
        <w:pStyle w:val="Bulletlevel1"/>
      </w:pPr>
      <w:hyperlink r:id="rId30"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0F3B077A" w14:textId="217ACC76" w:rsidR="009A1DAD" w:rsidRPr="00E162C4" w:rsidRDefault="006C1631" w:rsidP="009A1DAD">
      <w:pPr>
        <w:pStyle w:val="Bulletlevel1"/>
      </w:pPr>
      <w:r w:rsidRPr="00E162C4">
        <w:t xml:space="preserve">Submissions by post can be sent to: </w:t>
      </w:r>
    </w:p>
    <w:p w14:paraId="49F38E2F" w14:textId="77777777" w:rsidR="009A1DAD" w:rsidRPr="00D4750F" w:rsidRDefault="009A1DAD" w:rsidP="009A1DAD">
      <w:pPr>
        <w:pStyle w:val="ListBullet"/>
        <w:numPr>
          <w:ilvl w:val="0"/>
          <w:numId w:val="0"/>
        </w:numPr>
        <w:spacing w:after="0"/>
        <w:ind w:left="295"/>
        <w:rPr>
          <w:szCs w:val="20"/>
        </w:rPr>
      </w:pPr>
      <w:bookmarkStart w:id="27" w:name="_Toc348105639"/>
      <w:bookmarkStart w:id="28" w:name="_Toc300909558"/>
      <w:bookmarkStart w:id="29" w:name="_Hlk59627494"/>
      <w:bookmarkEnd w:id="23"/>
      <w:bookmarkEnd w:id="24"/>
      <w:r w:rsidRPr="00D4750F">
        <w:rPr>
          <w:szCs w:val="20"/>
        </w:rPr>
        <w:t>The Manager</w:t>
      </w:r>
    </w:p>
    <w:p w14:paraId="1FA2840F" w14:textId="77777777" w:rsidR="009A1DAD" w:rsidRPr="00D4750F" w:rsidRDefault="009A1DAD" w:rsidP="009A1DAD">
      <w:pPr>
        <w:pStyle w:val="ListBullet"/>
        <w:numPr>
          <w:ilvl w:val="0"/>
          <w:numId w:val="0"/>
        </w:numPr>
        <w:spacing w:after="0"/>
        <w:ind w:left="295"/>
        <w:rPr>
          <w:szCs w:val="20"/>
        </w:rPr>
      </w:pPr>
      <w:r w:rsidRPr="00D4750F">
        <w:rPr>
          <w:szCs w:val="20"/>
        </w:rPr>
        <w:t>Revenue</w:t>
      </w:r>
      <w:r>
        <w:rPr>
          <w:szCs w:val="20"/>
        </w:rPr>
        <w:t>, Cost Recovery, Budgets and</w:t>
      </w:r>
      <w:r w:rsidRPr="00D4750F">
        <w:rPr>
          <w:szCs w:val="20"/>
        </w:rPr>
        <w:t xml:space="preserve"> </w:t>
      </w:r>
      <w:r>
        <w:rPr>
          <w:szCs w:val="20"/>
        </w:rPr>
        <w:t xml:space="preserve">Operations </w:t>
      </w:r>
      <w:r w:rsidRPr="00D4750F">
        <w:rPr>
          <w:szCs w:val="20"/>
        </w:rPr>
        <w:br/>
        <w:t>Australian Communications and Media Authority</w:t>
      </w:r>
      <w:r w:rsidRPr="00D4750F">
        <w:rPr>
          <w:szCs w:val="20"/>
        </w:rPr>
        <w:br/>
        <w:t>PO Box 78</w:t>
      </w:r>
    </w:p>
    <w:p w14:paraId="754A4742" w14:textId="7F028A1A" w:rsidR="009A1DAD" w:rsidRPr="009A1DAD" w:rsidRDefault="009A1DAD" w:rsidP="009E3B46">
      <w:pPr>
        <w:pStyle w:val="ListBullet"/>
        <w:numPr>
          <w:ilvl w:val="0"/>
          <w:numId w:val="0"/>
        </w:numPr>
        <w:spacing w:after="240"/>
        <w:ind w:left="295"/>
        <w:rPr>
          <w:szCs w:val="20"/>
        </w:rPr>
      </w:pPr>
      <w:r w:rsidRPr="00D4750F">
        <w:rPr>
          <w:szCs w:val="20"/>
        </w:rPr>
        <w:t>Belconnen ACT 2616</w:t>
      </w:r>
    </w:p>
    <w:p w14:paraId="3D9CAAE9" w14:textId="64AA9281" w:rsidR="009A1DAD" w:rsidRPr="003267D3" w:rsidRDefault="009A1DAD" w:rsidP="009A1DAD">
      <w:pPr>
        <w:rPr>
          <w:b/>
          <w:bCs/>
        </w:rPr>
      </w:pPr>
      <w:r w:rsidRPr="00752D73">
        <w:t xml:space="preserve">The closing date for submissions is </w:t>
      </w:r>
      <w:r w:rsidR="00BF3245">
        <w:t xml:space="preserve">COB, </w:t>
      </w:r>
      <w:r w:rsidR="00BF3245" w:rsidRPr="009E3B46">
        <w:rPr>
          <w:b/>
          <w:bCs/>
        </w:rPr>
        <w:t>Monday</w:t>
      </w:r>
      <w:r>
        <w:rPr>
          <w:b/>
          <w:bCs/>
        </w:rPr>
        <w:t xml:space="preserve"> </w:t>
      </w:r>
      <w:r w:rsidRPr="00923855">
        <w:rPr>
          <w:b/>
          <w:bCs/>
        </w:rPr>
        <w:t xml:space="preserve">16 October 2023. </w:t>
      </w:r>
    </w:p>
    <w:p w14:paraId="3E5570E8" w14:textId="23988607" w:rsidR="009A1DAD" w:rsidRPr="0070050B" w:rsidRDefault="009A1DAD" w:rsidP="009A1DAD">
      <w:r w:rsidRPr="0070050B">
        <w:t xml:space="preserve">Consultation enquiries can be emailed to </w:t>
      </w:r>
      <w:hyperlink r:id="rId31" w:history="1">
        <w:r w:rsidRPr="004D49DE">
          <w:rPr>
            <w:rStyle w:val="Hyperlink"/>
            <w:szCs w:val="20"/>
          </w:rPr>
          <w:t>costrecoveryteam</w:t>
        </w:r>
        <w:r w:rsidRPr="003267D3">
          <w:rPr>
            <w:rStyle w:val="Hyperlink"/>
            <w:szCs w:val="20"/>
          </w:rPr>
          <w:t>@acma.gov.au</w:t>
        </w:r>
      </w:hyperlink>
      <w:r w:rsidRPr="007D4D2E">
        <w:rPr>
          <w:szCs w:val="20"/>
        </w:rPr>
        <w:t>.</w:t>
      </w:r>
      <w:r w:rsidRPr="0070050B">
        <w:t xml:space="preserve"> </w:t>
      </w:r>
    </w:p>
    <w:p w14:paraId="16AF684E" w14:textId="77777777" w:rsidR="006C1631" w:rsidRPr="00E162C4" w:rsidRDefault="006C1631" w:rsidP="005B2F0D">
      <w:pPr>
        <w:pStyle w:val="Heading4"/>
      </w:pPr>
      <w:r w:rsidRPr="00E162C4">
        <w:t>Publication of submissions</w:t>
      </w:r>
      <w:bookmarkEnd w:id="25"/>
      <w:bookmarkEnd w:id="26"/>
      <w:bookmarkEnd w:id="27"/>
      <w:bookmarkEnd w:id="28"/>
    </w:p>
    <w:p w14:paraId="62414510" w14:textId="77777777" w:rsidR="006C1631" w:rsidRPr="00E162C4" w:rsidRDefault="006C5FD4" w:rsidP="006C1631">
      <w:bookmarkStart w:id="30" w:name="_Toc348105640"/>
      <w:bookmarkStart w:id="31" w:name="_Toc300909559"/>
      <w:bookmarkStart w:id="32"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7D0350A6" w14:textId="77777777" w:rsidR="006C1631" w:rsidRPr="00E162C4" w:rsidRDefault="006C1631" w:rsidP="006C1631">
      <w:r w:rsidRPr="00E162C4">
        <w:t>Confidential information will not be published or otherwise released unless required or authorised by law.</w:t>
      </w:r>
    </w:p>
    <w:p w14:paraId="0339E858" w14:textId="77777777" w:rsidR="006C1631" w:rsidRPr="00E162C4" w:rsidRDefault="006C1631" w:rsidP="005B2F0D">
      <w:pPr>
        <w:pStyle w:val="Heading4"/>
      </w:pPr>
      <w:r w:rsidRPr="00E162C4">
        <w:t>Privacy</w:t>
      </w:r>
    </w:p>
    <w:p w14:paraId="5F932B25"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32"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30"/>
    <w:bookmarkEnd w:id="31"/>
    <w:bookmarkEnd w:id="32"/>
    <w:p w14:paraId="592343CD" w14:textId="727A7718" w:rsidR="00FF3C69" w:rsidRPr="00E162C4" w:rsidRDefault="006C1631" w:rsidP="005D09C2">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33" w:history="1">
        <w:r w:rsidR="00E21056" w:rsidRPr="00E162C4">
          <w:rPr>
            <w:rStyle w:val="Hyperlink"/>
          </w:rPr>
          <w:t>privacy policy</w:t>
        </w:r>
      </w:hyperlink>
      <w:r w:rsidRPr="00E162C4">
        <w:t>.</w:t>
      </w:r>
      <w:r w:rsidR="00A4193E" w:rsidRPr="00E162C4">
        <w:t xml:space="preserve"> </w:t>
      </w:r>
      <w:bookmarkEnd w:id="29"/>
    </w:p>
    <w:sectPr w:rsidR="00FF3C69" w:rsidRPr="00E162C4" w:rsidSect="00C77380">
      <w:headerReference w:type="even" r:id="rId34"/>
      <w:headerReference w:type="default" r:id="rId35"/>
      <w:footerReference w:type="even" r:id="rId36"/>
      <w:footerReference w:type="default" r:id="rId3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B14C" w14:textId="77777777" w:rsidR="00F55566" w:rsidRDefault="00F55566">
      <w:r>
        <w:separator/>
      </w:r>
    </w:p>
  </w:endnote>
  <w:endnote w:type="continuationSeparator" w:id="0">
    <w:p w14:paraId="2958A3A1" w14:textId="77777777" w:rsidR="00F55566" w:rsidRDefault="00F5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Times New Roman"/>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2E5C" w14:textId="77777777" w:rsidR="005E250B" w:rsidRDefault="005E250B" w:rsidP="005E250B">
    <w:pPr>
      <w:pStyle w:val="Footer"/>
      <w:jc w:val="right"/>
    </w:pPr>
    <w:r w:rsidRPr="005E250B">
      <w:rPr>
        <w:noProof/>
        <w:vertAlign w:val="subscript"/>
      </w:rPr>
      <w:drawing>
        <wp:inline distT="0" distB="0" distL="0" distR="0" wp14:anchorId="635CACB1" wp14:editId="7559F9F5">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6758"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E136"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665"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2CF5C0FD"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FD9F"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BDCC49B"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5687"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27614300"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9FB8"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78A43FE"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48A6"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4026C8F8"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211D" w14:textId="77777777" w:rsidR="00F55566" w:rsidRDefault="00F55566" w:rsidP="00EA0969">
      <w:pPr>
        <w:spacing w:after="0"/>
      </w:pPr>
      <w:r>
        <w:separator/>
      </w:r>
    </w:p>
  </w:footnote>
  <w:footnote w:type="continuationSeparator" w:id="0">
    <w:p w14:paraId="24D0B6AA" w14:textId="77777777" w:rsidR="00F55566" w:rsidRDefault="00F5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583A" w14:textId="77777777" w:rsidR="00C053A1" w:rsidRPr="00A5474E" w:rsidRDefault="0021426C" w:rsidP="00A5474E">
    <w:pPr>
      <w:pStyle w:val="Header"/>
    </w:pPr>
    <w:r>
      <w:rPr>
        <w:noProof/>
      </w:rPr>
      <w:drawing>
        <wp:inline distT="0" distB="0" distL="0" distR="0" wp14:anchorId="43F24A32" wp14:editId="411525EC">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A0CE"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04CE"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8AC1"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E9BA309" w14:textId="77777777" w:rsidTr="003B0421">
      <w:trPr>
        <w:trHeight w:hRule="exact" w:val="988"/>
      </w:trPr>
      <w:tc>
        <w:tcPr>
          <w:tcW w:w="7678" w:type="dxa"/>
          <w:shd w:val="clear" w:color="auto" w:fill="auto"/>
        </w:tcPr>
        <w:p w14:paraId="35D31A10" w14:textId="77777777" w:rsidR="00971914" w:rsidRDefault="00971914" w:rsidP="00971914">
          <w:pPr>
            <w:pStyle w:val="Header"/>
          </w:pPr>
        </w:p>
      </w:tc>
    </w:tr>
    <w:tr w:rsidR="00971914" w14:paraId="7F31AB63" w14:textId="77777777" w:rsidTr="003B0421">
      <w:tc>
        <w:tcPr>
          <w:tcW w:w="7678" w:type="dxa"/>
          <w:shd w:val="clear" w:color="auto" w:fill="auto"/>
        </w:tcPr>
        <w:p w14:paraId="33CA9E8F" w14:textId="77777777" w:rsidR="00971914" w:rsidRDefault="00971914" w:rsidP="00971914">
          <w:pPr>
            <w:pStyle w:val="GridTable31"/>
          </w:pPr>
          <w:r>
            <w:t xml:space="preserve">Contents </w:t>
          </w:r>
          <w:r w:rsidRPr="00915B1C">
            <w:rPr>
              <w:b w:val="0"/>
              <w:spacing w:val="0"/>
              <w:sz w:val="28"/>
              <w:szCs w:val="28"/>
            </w:rPr>
            <w:t>(Continued)</w:t>
          </w:r>
        </w:p>
      </w:tc>
    </w:tr>
    <w:tr w:rsidR="00971914" w14:paraId="340CE620" w14:textId="77777777" w:rsidTr="003B0421">
      <w:trPr>
        <w:trHeight w:val="1220"/>
      </w:trPr>
      <w:tc>
        <w:tcPr>
          <w:tcW w:w="7678" w:type="dxa"/>
          <w:shd w:val="clear" w:color="auto" w:fill="auto"/>
        </w:tcPr>
        <w:p w14:paraId="2F88F432" w14:textId="77777777" w:rsidR="00971914" w:rsidRDefault="00971914" w:rsidP="00971914"/>
      </w:tc>
    </w:tr>
  </w:tbl>
  <w:p w14:paraId="6DE529CC"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17FAAA3" w14:textId="77777777" w:rsidTr="003B0421">
      <w:trPr>
        <w:trHeight w:hRule="exact" w:val="988"/>
      </w:trPr>
      <w:tc>
        <w:tcPr>
          <w:tcW w:w="7678" w:type="dxa"/>
          <w:shd w:val="clear" w:color="auto" w:fill="auto"/>
        </w:tcPr>
        <w:p w14:paraId="7D16747C" w14:textId="77777777" w:rsidR="00971914" w:rsidRDefault="00971914" w:rsidP="00971914">
          <w:pPr>
            <w:pStyle w:val="Header"/>
          </w:pPr>
        </w:p>
      </w:tc>
    </w:tr>
    <w:tr w:rsidR="00971914" w14:paraId="25FE9772" w14:textId="77777777" w:rsidTr="003B0421">
      <w:tc>
        <w:tcPr>
          <w:tcW w:w="7678" w:type="dxa"/>
          <w:shd w:val="clear" w:color="auto" w:fill="auto"/>
        </w:tcPr>
        <w:p w14:paraId="79C21723" w14:textId="77777777" w:rsidR="00971914" w:rsidRDefault="00971914" w:rsidP="00971914">
          <w:pPr>
            <w:pStyle w:val="GridTable31"/>
          </w:pPr>
          <w:r>
            <w:t xml:space="preserve">Contents </w:t>
          </w:r>
          <w:r w:rsidRPr="00915B1C">
            <w:rPr>
              <w:b w:val="0"/>
              <w:spacing w:val="0"/>
              <w:sz w:val="28"/>
              <w:szCs w:val="28"/>
            </w:rPr>
            <w:t>(Continued)</w:t>
          </w:r>
        </w:p>
      </w:tc>
    </w:tr>
    <w:tr w:rsidR="00971914" w14:paraId="58A4FEBC" w14:textId="77777777" w:rsidTr="003B0421">
      <w:trPr>
        <w:trHeight w:val="1220"/>
      </w:trPr>
      <w:tc>
        <w:tcPr>
          <w:tcW w:w="7678" w:type="dxa"/>
          <w:shd w:val="clear" w:color="auto" w:fill="auto"/>
        </w:tcPr>
        <w:p w14:paraId="3304C276" w14:textId="77777777" w:rsidR="00971914" w:rsidRDefault="00971914" w:rsidP="00971914"/>
      </w:tc>
    </w:tr>
  </w:tbl>
  <w:p w14:paraId="4CCD5248"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C981"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8CFA"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84735"/>
    <w:multiLevelType w:val="hybridMultilevel"/>
    <w:tmpl w:val="654C8F8A"/>
    <w:lvl w:ilvl="0" w:tplc="7D828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53150669"/>
    <w:multiLevelType w:val="hybridMultilevel"/>
    <w:tmpl w:val="14D81000"/>
    <w:lvl w:ilvl="0" w:tplc="6D944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671C3"/>
    <w:multiLevelType w:val="hybridMultilevel"/>
    <w:tmpl w:val="71C4F46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8F0857"/>
    <w:multiLevelType w:val="hybridMultilevel"/>
    <w:tmpl w:val="60900A56"/>
    <w:lvl w:ilvl="0" w:tplc="C8EE0C4A">
      <w:start w:val="1"/>
      <w:numFmt w:val="bullet"/>
      <w:lvlText w:val="&gt;"/>
      <w:lvlJc w:val="left"/>
      <w:pPr>
        <w:ind w:left="1212" w:hanging="360"/>
      </w:pPr>
      <w:rPr>
        <w:rFonts w:ascii="HelveticaNeueLT Std Lt" w:hAnsi="HelveticaNeueLT Std Lt" w:hint="default"/>
      </w:rPr>
    </w:lvl>
    <w:lvl w:ilvl="1" w:tplc="C8EE0C4A">
      <w:start w:val="1"/>
      <w:numFmt w:val="bullet"/>
      <w:lvlText w:val="&gt;"/>
      <w:lvlJc w:val="left"/>
      <w:pPr>
        <w:ind w:left="1932" w:hanging="360"/>
      </w:pPr>
      <w:rPr>
        <w:rFonts w:ascii="HelveticaNeueLT Std Lt" w:hAnsi="HelveticaNeueLT Std Lt" w:hint="default"/>
      </w:rPr>
    </w:lvl>
    <w:lvl w:ilvl="2" w:tplc="0C09001B">
      <w:start w:val="1"/>
      <w:numFmt w:val="lowerRoman"/>
      <w:lvlText w:val="%3."/>
      <w:lvlJc w:val="right"/>
      <w:pPr>
        <w:ind w:left="2652" w:hanging="180"/>
      </w:pPr>
    </w:lvl>
    <w:lvl w:ilvl="3" w:tplc="0C09000F">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8"/>
  </w:num>
  <w:num w:numId="6" w16cid:durableId="1170756036">
    <w:abstractNumId w:val="13"/>
  </w:num>
  <w:num w:numId="7" w16cid:durableId="1179462982">
    <w:abstractNumId w:val="11"/>
  </w:num>
  <w:num w:numId="8" w16cid:durableId="2010865431">
    <w:abstractNumId w:val="12"/>
  </w:num>
  <w:num w:numId="9" w16cid:durableId="153958827">
    <w:abstractNumId w:val="14"/>
  </w:num>
  <w:num w:numId="10" w16cid:durableId="770122694">
    <w:abstractNumId w:val="5"/>
  </w:num>
  <w:num w:numId="11" w16cid:durableId="1981958685">
    <w:abstractNumId w:val="4"/>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9"/>
  </w:num>
  <w:num w:numId="17" w16cid:durableId="1271475918">
    <w:abstractNumId w:val="2"/>
    <w:lvlOverride w:ilvl="0">
      <w:startOverride w:val="1"/>
    </w:lvlOverride>
  </w:num>
  <w:num w:numId="18" w16cid:durableId="2118475825">
    <w:abstractNumId w:val="3"/>
  </w:num>
  <w:num w:numId="19" w16cid:durableId="1206605668">
    <w:abstractNumId w:val="3"/>
  </w:num>
  <w:num w:numId="20" w16cid:durableId="1021707839">
    <w:abstractNumId w:val="10"/>
  </w:num>
  <w:num w:numId="21" w16cid:durableId="1013461161">
    <w:abstractNumId w:val="16"/>
  </w:num>
  <w:num w:numId="22" w16cid:durableId="290985819">
    <w:abstractNumId w:val="15"/>
  </w:num>
  <w:num w:numId="23" w16cid:durableId="1134913047">
    <w:abstractNumId w:val="7"/>
  </w:num>
  <w:num w:numId="24" w16cid:durableId="1110390955">
    <w:abstractNumId w:val="6"/>
  </w:num>
  <w:num w:numId="25" w16cid:durableId="1321229339">
    <w:abstractNumId w:val="2"/>
    <w:lvlOverride w:ilvl="0">
      <w:startOverride w:val="1"/>
    </w:lvlOverride>
  </w:num>
  <w:num w:numId="26" w16cid:durableId="2099054822">
    <w:abstractNumId w:val="2"/>
  </w:num>
  <w:num w:numId="27" w16cid:durableId="1246299869">
    <w:abstractNumId w:val="2"/>
  </w:num>
  <w:num w:numId="28" w16cid:durableId="372579542">
    <w:abstractNumId w:val="2"/>
  </w:num>
  <w:num w:numId="29" w16cid:durableId="109937207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AD"/>
    <w:rsid w:val="00003F80"/>
    <w:rsid w:val="00010667"/>
    <w:rsid w:val="000129D5"/>
    <w:rsid w:val="00015AE7"/>
    <w:rsid w:val="00016E21"/>
    <w:rsid w:val="0001719C"/>
    <w:rsid w:val="0002224E"/>
    <w:rsid w:val="00023A36"/>
    <w:rsid w:val="000245E5"/>
    <w:rsid w:val="00026F91"/>
    <w:rsid w:val="00032621"/>
    <w:rsid w:val="0004764C"/>
    <w:rsid w:val="0005011A"/>
    <w:rsid w:val="0005045A"/>
    <w:rsid w:val="00051C1E"/>
    <w:rsid w:val="000539F9"/>
    <w:rsid w:val="00054C27"/>
    <w:rsid w:val="00055EC3"/>
    <w:rsid w:val="000563CE"/>
    <w:rsid w:val="000659B6"/>
    <w:rsid w:val="0006686F"/>
    <w:rsid w:val="00067014"/>
    <w:rsid w:val="0006722A"/>
    <w:rsid w:val="000732CF"/>
    <w:rsid w:val="00075B96"/>
    <w:rsid w:val="0008196A"/>
    <w:rsid w:val="000915ED"/>
    <w:rsid w:val="0009209D"/>
    <w:rsid w:val="0009463C"/>
    <w:rsid w:val="000969BD"/>
    <w:rsid w:val="000969BF"/>
    <w:rsid w:val="000A0C22"/>
    <w:rsid w:val="000A1400"/>
    <w:rsid w:val="000A3C43"/>
    <w:rsid w:val="000A4A51"/>
    <w:rsid w:val="000A5D2B"/>
    <w:rsid w:val="000B4664"/>
    <w:rsid w:val="000B5DE3"/>
    <w:rsid w:val="000C0A57"/>
    <w:rsid w:val="000C230C"/>
    <w:rsid w:val="000C6AB4"/>
    <w:rsid w:val="000D0A0F"/>
    <w:rsid w:val="000D71D9"/>
    <w:rsid w:val="000D76E0"/>
    <w:rsid w:val="000D7E8B"/>
    <w:rsid w:val="000E4449"/>
    <w:rsid w:val="000E6097"/>
    <w:rsid w:val="00103829"/>
    <w:rsid w:val="00111FCE"/>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6D15"/>
    <w:rsid w:val="001F50F7"/>
    <w:rsid w:val="001F7558"/>
    <w:rsid w:val="00201EE2"/>
    <w:rsid w:val="00205B57"/>
    <w:rsid w:val="0021426C"/>
    <w:rsid w:val="002157E0"/>
    <w:rsid w:val="00216047"/>
    <w:rsid w:val="00216A57"/>
    <w:rsid w:val="00217448"/>
    <w:rsid w:val="0022334F"/>
    <w:rsid w:val="00226819"/>
    <w:rsid w:val="00233101"/>
    <w:rsid w:val="00233817"/>
    <w:rsid w:val="0023539A"/>
    <w:rsid w:val="002367FF"/>
    <w:rsid w:val="00240CE9"/>
    <w:rsid w:val="002434BA"/>
    <w:rsid w:val="00246089"/>
    <w:rsid w:val="00246093"/>
    <w:rsid w:val="00246702"/>
    <w:rsid w:val="00247C59"/>
    <w:rsid w:val="00247F2E"/>
    <w:rsid w:val="00250ADC"/>
    <w:rsid w:val="00250B07"/>
    <w:rsid w:val="00257553"/>
    <w:rsid w:val="00260FB2"/>
    <w:rsid w:val="00262128"/>
    <w:rsid w:val="002715D3"/>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0530"/>
    <w:rsid w:val="002C210F"/>
    <w:rsid w:val="002D3600"/>
    <w:rsid w:val="002E4DDC"/>
    <w:rsid w:val="002E4EC0"/>
    <w:rsid w:val="00302480"/>
    <w:rsid w:val="00302758"/>
    <w:rsid w:val="003165E6"/>
    <w:rsid w:val="003215B5"/>
    <w:rsid w:val="003221CF"/>
    <w:rsid w:val="003233ED"/>
    <w:rsid w:val="00324D9F"/>
    <w:rsid w:val="003253EE"/>
    <w:rsid w:val="00327948"/>
    <w:rsid w:val="0033000F"/>
    <w:rsid w:val="00332011"/>
    <w:rsid w:val="00332518"/>
    <w:rsid w:val="00332925"/>
    <w:rsid w:val="00332E3F"/>
    <w:rsid w:val="003332ED"/>
    <w:rsid w:val="003368DC"/>
    <w:rsid w:val="0034490B"/>
    <w:rsid w:val="00345927"/>
    <w:rsid w:val="00350584"/>
    <w:rsid w:val="00351857"/>
    <w:rsid w:val="003545E8"/>
    <w:rsid w:val="003610E1"/>
    <w:rsid w:val="003671BE"/>
    <w:rsid w:val="00372485"/>
    <w:rsid w:val="00373200"/>
    <w:rsid w:val="00375EF5"/>
    <w:rsid w:val="003767A5"/>
    <w:rsid w:val="003803BD"/>
    <w:rsid w:val="00381D15"/>
    <w:rsid w:val="00385254"/>
    <w:rsid w:val="00390D91"/>
    <w:rsid w:val="003933E8"/>
    <w:rsid w:val="00394031"/>
    <w:rsid w:val="00396DC2"/>
    <w:rsid w:val="003A04DB"/>
    <w:rsid w:val="003A5F5B"/>
    <w:rsid w:val="003A789A"/>
    <w:rsid w:val="003B12EC"/>
    <w:rsid w:val="003C03B8"/>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20E42"/>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86FF6"/>
    <w:rsid w:val="00495A96"/>
    <w:rsid w:val="00495BB3"/>
    <w:rsid w:val="004A56BB"/>
    <w:rsid w:val="004A70D6"/>
    <w:rsid w:val="004B1751"/>
    <w:rsid w:val="004C0253"/>
    <w:rsid w:val="004D1ACA"/>
    <w:rsid w:val="004D56FF"/>
    <w:rsid w:val="004E39D3"/>
    <w:rsid w:val="004E3BCE"/>
    <w:rsid w:val="004E508A"/>
    <w:rsid w:val="004E616D"/>
    <w:rsid w:val="004F1BDE"/>
    <w:rsid w:val="004F2CEE"/>
    <w:rsid w:val="004F556E"/>
    <w:rsid w:val="004F591C"/>
    <w:rsid w:val="004F7F44"/>
    <w:rsid w:val="0050287D"/>
    <w:rsid w:val="005037B4"/>
    <w:rsid w:val="005079BF"/>
    <w:rsid w:val="0051269A"/>
    <w:rsid w:val="005219E7"/>
    <w:rsid w:val="00531B9A"/>
    <w:rsid w:val="00531D15"/>
    <w:rsid w:val="00537604"/>
    <w:rsid w:val="00542377"/>
    <w:rsid w:val="00543D83"/>
    <w:rsid w:val="005476EB"/>
    <w:rsid w:val="00551782"/>
    <w:rsid w:val="00563EF1"/>
    <w:rsid w:val="00566AB4"/>
    <w:rsid w:val="00567604"/>
    <w:rsid w:val="00573812"/>
    <w:rsid w:val="00575AC5"/>
    <w:rsid w:val="0057605D"/>
    <w:rsid w:val="00581347"/>
    <w:rsid w:val="00581AC9"/>
    <w:rsid w:val="005849F8"/>
    <w:rsid w:val="00584B51"/>
    <w:rsid w:val="005938DF"/>
    <w:rsid w:val="00594E9C"/>
    <w:rsid w:val="005A099B"/>
    <w:rsid w:val="005A2D9C"/>
    <w:rsid w:val="005A55FE"/>
    <w:rsid w:val="005A6A11"/>
    <w:rsid w:val="005B2F0D"/>
    <w:rsid w:val="005B4AED"/>
    <w:rsid w:val="005C34EF"/>
    <w:rsid w:val="005D09C2"/>
    <w:rsid w:val="005D2502"/>
    <w:rsid w:val="005D40BB"/>
    <w:rsid w:val="005D47F3"/>
    <w:rsid w:val="005D49BF"/>
    <w:rsid w:val="005D4AA5"/>
    <w:rsid w:val="005D6F4E"/>
    <w:rsid w:val="005D7C73"/>
    <w:rsid w:val="005E250B"/>
    <w:rsid w:val="005E3ACD"/>
    <w:rsid w:val="005E7226"/>
    <w:rsid w:val="005E7A57"/>
    <w:rsid w:val="005F24B0"/>
    <w:rsid w:val="00604315"/>
    <w:rsid w:val="00604E26"/>
    <w:rsid w:val="0060523F"/>
    <w:rsid w:val="006052CF"/>
    <w:rsid w:val="00607B8D"/>
    <w:rsid w:val="00611F5C"/>
    <w:rsid w:val="00616E09"/>
    <w:rsid w:val="00622A3B"/>
    <w:rsid w:val="00622EEA"/>
    <w:rsid w:val="0062396C"/>
    <w:rsid w:val="00623FF9"/>
    <w:rsid w:val="0062437D"/>
    <w:rsid w:val="00627D4E"/>
    <w:rsid w:val="00632B89"/>
    <w:rsid w:val="0063346D"/>
    <w:rsid w:val="00634478"/>
    <w:rsid w:val="00644373"/>
    <w:rsid w:val="00645915"/>
    <w:rsid w:val="00646CC4"/>
    <w:rsid w:val="006519C3"/>
    <w:rsid w:val="00652B30"/>
    <w:rsid w:val="00656345"/>
    <w:rsid w:val="00656DC6"/>
    <w:rsid w:val="00660EC6"/>
    <w:rsid w:val="00664110"/>
    <w:rsid w:val="00664D17"/>
    <w:rsid w:val="00666520"/>
    <w:rsid w:val="00667C5B"/>
    <w:rsid w:val="006839B3"/>
    <w:rsid w:val="00691EB8"/>
    <w:rsid w:val="00692CDE"/>
    <w:rsid w:val="00693073"/>
    <w:rsid w:val="006977FF"/>
    <w:rsid w:val="006A01FA"/>
    <w:rsid w:val="006A0E9E"/>
    <w:rsid w:val="006A25C7"/>
    <w:rsid w:val="006A3ECF"/>
    <w:rsid w:val="006A4AAD"/>
    <w:rsid w:val="006A4CCA"/>
    <w:rsid w:val="006A6DA2"/>
    <w:rsid w:val="006A7AB2"/>
    <w:rsid w:val="006B0765"/>
    <w:rsid w:val="006B0912"/>
    <w:rsid w:val="006B52DE"/>
    <w:rsid w:val="006B5717"/>
    <w:rsid w:val="006B582F"/>
    <w:rsid w:val="006B5EB2"/>
    <w:rsid w:val="006C0CEB"/>
    <w:rsid w:val="006C1631"/>
    <w:rsid w:val="006C3B1E"/>
    <w:rsid w:val="006C47FD"/>
    <w:rsid w:val="006C5C19"/>
    <w:rsid w:val="006C5FD4"/>
    <w:rsid w:val="006C70A0"/>
    <w:rsid w:val="006D27CB"/>
    <w:rsid w:val="006D2F08"/>
    <w:rsid w:val="006D576C"/>
    <w:rsid w:val="006D5865"/>
    <w:rsid w:val="006E4B1B"/>
    <w:rsid w:val="006E5445"/>
    <w:rsid w:val="006E7D93"/>
    <w:rsid w:val="0070133D"/>
    <w:rsid w:val="007029A3"/>
    <w:rsid w:val="007067FE"/>
    <w:rsid w:val="00706E4E"/>
    <w:rsid w:val="0070791C"/>
    <w:rsid w:val="0071383C"/>
    <w:rsid w:val="007141A7"/>
    <w:rsid w:val="00715722"/>
    <w:rsid w:val="00715BAF"/>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0B3F"/>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1AF4"/>
    <w:rsid w:val="007C5D5A"/>
    <w:rsid w:val="007C607F"/>
    <w:rsid w:val="007C79DD"/>
    <w:rsid w:val="007D1A97"/>
    <w:rsid w:val="007D2CD6"/>
    <w:rsid w:val="007D3063"/>
    <w:rsid w:val="007D3CEB"/>
    <w:rsid w:val="007E7683"/>
    <w:rsid w:val="007F49FA"/>
    <w:rsid w:val="007F54C4"/>
    <w:rsid w:val="007F6E9A"/>
    <w:rsid w:val="00800CCD"/>
    <w:rsid w:val="00801FEB"/>
    <w:rsid w:val="008044D4"/>
    <w:rsid w:val="00810AB4"/>
    <w:rsid w:val="00817B56"/>
    <w:rsid w:val="00821A88"/>
    <w:rsid w:val="0082322E"/>
    <w:rsid w:val="0082495D"/>
    <w:rsid w:val="00831AC3"/>
    <w:rsid w:val="00836FCE"/>
    <w:rsid w:val="008408FF"/>
    <w:rsid w:val="008500E5"/>
    <w:rsid w:val="00851F3F"/>
    <w:rsid w:val="00856EDC"/>
    <w:rsid w:val="008623B5"/>
    <w:rsid w:val="00870ABA"/>
    <w:rsid w:val="008710E1"/>
    <w:rsid w:val="008716E5"/>
    <w:rsid w:val="00881CA9"/>
    <w:rsid w:val="00883628"/>
    <w:rsid w:val="00885544"/>
    <w:rsid w:val="0088634E"/>
    <w:rsid w:val="00893AB8"/>
    <w:rsid w:val="008A04C8"/>
    <w:rsid w:val="008A4066"/>
    <w:rsid w:val="008A6913"/>
    <w:rsid w:val="008B70F3"/>
    <w:rsid w:val="008B71C4"/>
    <w:rsid w:val="008B76DF"/>
    <w:rsid w:val="008C10F4"/>
    <w:rsid w:val="008C65F7"/>
    <w:rsid w:val="008E0428"/>
    <w:rsid w:val="008E4767"/>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36E95"/>
    <w:rsid w:val="0094078F"/>
    <w:rsid w:val="00940FA3"/>
    <w:rsid w:val="00941FB0"/>
    <w:rsid w:val="009426D4"/>
    <w:rsid w:val="00947F25"/>
    <w:rsid w:val="00950159"/>
    <w:rsid w:val="0095490B"/>
    <w:rsid w:val="00960A33"/>
    <w:rsid w:val="00971914"/>
    <w:rsid w:val="00974363"/>
    <w:rsid w:val="00981898"/>
    <w:rsid w:val="00982E80"/>
    <w:rsid w:val="0099577C"/>
    <w:rsid w:val="009A021C"/>
    <w:rsid w:val="009A1DAD"/>
    <w:rsid w:val="009A25CC"/>
    <w:rsid w:val="009B24A5"/>
    <w:rsid w:val="009B2601"/>
    <w:rsid w:val="009B4E9E"/>
    <w:rsid w:val="009C1690"/>
    <w:rsid w:val="009C2480"/>
    <w:rsid w:val="009C6881"/>
    <w:rsid w:val="009C7759"/>
    <w:rsid w:val="009D043D"/>
    <w:rsid w:val="009D07C8"/>
    <w:rsid w:val="009D4C85"/>
    <w:rsid w:val="009D6C71"/>
    <w:rsid w:val="009D7EC8"/>
    <w:rsid w:val="009E0631"/>
    <w:rsid w:val="009E16D0"/>
    <w:rsid w:val="009E2051"/>
    <w:rsid w:val="009E38FD"/>
    <w:rsid w:val="009E3B46"/>
    <w:rsid w:val="009F13D6"/>
    <w:rsid w:val="009F4C6B"/>
    <w:rsid w:val="009F78A8"/>
    <w:rsid w:val="00A017E0"/>
    <w:rsid w:val="00A02AD6"/>
    <w:rsid w:val="00A07096"/>
    <w:rsid w:val="00A07318"/>
    <w:rsid w:val="00A11370"/>
    <w:rsid w:val="00A224CE"/>
    <w:rsid w:val="00A22522"/>
    <w:rsid w:val="00A24AFD"/>
    <w:rsid w:val="00A24F5C"/>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82661"/>
    <w:rsid w:val="00A85C35"/>
    <w:rsid w:val="00A967FD"/>
    <w:rsid w:val="00AA2DE5"/>
    <w:rsid w:val="00AB156C"/>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A66BC"/>
    <w:rsid w:val="00BB45A1"/>
    <w:rsid w:val="00BB6335"/>
    <w:rsid w:val="00BB7686"/>
    <w:rsid w:val="00BB7800"/>
    <w:rsid w:val="00BB7802"/>
    <w:rsid w:val="00BC23F9"/>
    <w:rsid w:val="00BC3421"/>
    <w:rsid w:val="00BC732C"/>
    <w:rsid w:val="00BD12D2"/>
    <w:rsid w:val="00BD4421"/>
    <w:rsid w:val="00BD5B7C"/>
    <w:rsid w:val="00BE002C"/>
    <w:rsid w:val="00BE2580"/>
    <w:rsid w:val="00BE266D"/>
    <w:rsid w:val="00BE3938"/>
    <w:rsid w:val="00BE4C11"/>
    <w:rsid w:val="00BE71C0"/>
    <w:rsid w:val="00BF3245"/>
    <w:rsid w:val="00BF610C"/>
    <w:rsid w:val="00C0060B"/>
    <w:rsid w:val="00C01A6C"/>
    <w:rsid w:val="00C0277D"/>
    <w:rsid w:val="00C02F26"/>
    <w:rsid w:val="00C053A1"/>
    <w:rsid w:val="00C13CA7"/>
    <w:rsid w:val="00C13E1C"/>
    <w:rsid w:val="00C16198"/>
    <w:rsid w:val="00C2083D"/>
    <w:rsid w:val="00C24466"/>
    <w:rsid w:val="00C24A53"/>
    <w:rsid w:val="00C34A05"/>
    <w:rsid w:val="00C35CCE"/>
    <w:rsid w:val="00C4032F"/>
    <w:rsid w:val="00C41F21"/>
    <w:rsid w:val="00C44047"/>
    <w:rsid w:val="00C45155"/>
    <w:rsid w:val="00C5498F"/>
    <w:rsid w:val="00C55235"/>
    <w:rsid w:val="00C64CD0"/>
    <w:rsid w:val="00C65F61"/>
    <w:rsid w:val="00C6684F"/>
    <w:rsid w:val="00C70E70"/>
    <w:rsid w:val="00C75F8D"/>
    <w:rsid w:val="00C77380"/>
    <w:rsid w:val="00C86355"/>
    <w:rsid w:val="00C87E8A"/>
    <w:rsid w:val="00C913D6"/>
    <w:rsid w:val="00C97736"/>
    <w:rsid w:val="00CA345A"/>
    <w:rsid w:val="00CB1E82"/>
    <w:rsid w:val="00CB4BA8"/>
    <w:rsid w:val="00CB52D7"/>
    <w:rsid w:val="00CC6732"/>
    <w:rsid w:val="00CD6A49"/>
    <w:rsid w:val="00CD6ACF"/>
    <w:rsid w:val="00CE38C1"/>
    <w:rsid w:val="00CE3C96"/>
    <w:rsid w:val="00CE51A8"/>
    <w:rsid w:val="00CE5859"/>
    <w:rsid w:val="00CF0BFE"/>
    <w:rsid w:val="00CF369B"/>
    <w:rsid w:val="00D00E28"/>
    <w:rsid w:val="00D0269E"/>
    <w:rsid w:val="00D03276"/>
    <w:rsid w:val="00D05D6C"/>
    <w:rsid w:val="00D15810"/>
    <w:rsid w:val="00D16D4E"/>
    <w:rsid w:val="00D16FE3"/>
    <w:rsid w:val="00D27F41"/>
    <w:rsid w:val="00D36441"/>
    <w:rsid w:val="00D36C96"/>
    <w:rsid w:val="00D4064E"/>
    <w:rsid w:val="00D43B47"/>
    <w:rsid w:val="00D44E9B"/>
    <w:rsid w:val="00D47AEB"/>
    <w:rsid w:val="00D50DB9"/>
    <w:rsid w:val="00D51302"/>
    <w:rsid w:val="00D52C43"/>
    <w:rsid w:val="00D61243"/>
    <w:rsid w:val="00D6507F"/>
    <w:rsid w:val="00D730BC"/>
    <w:rsid w:val="00D73912"/>
    <w:rsid w:val="00D85226"/>
    <w:rsid w:val="00D87B94"/>
    <w:rsid w:val="00D92D49"/>
    <w:rsid w:val="00D92EC1"/>
    <w:rsid w:val="00D96DEA"/>
    <w:rsid w:val="00DA4E41"/>
    <w:rsid w:val="00DB117A"/>
    <w:rsid w:val="00DB2977"/>
    <w:rsid w:val="00DB5173"/>
    <w:rsid w:val="00DB7873"/>
    <w:rsid w:val="00DC187B"/>
    <w:rsid w:val="00DD1A43"/>
    <w:rsid w:val="00DD73C2"/>
    <w:rsid w:val="00DE319B"/>
    <w:rsid w:val="00DF34FE"/>
    <w:rsid w:val="00DF56AA"/>
    <w:rsid w:val="00DF56AF"/>
    <w:rsid w:val="00DF78E7"/>
    <w:rsid w:val="00E110E0"/>
    <w:rsid w:val="00E14A1B"/>
    <w:rsid w:val="00E15371"/>
    <w:rsid w:val="00E162C4"/>
    <w:rsid w:val="00E21056"/>
    <w:rsid w:val="00E24104"/>
    <w:rsid w:val="00E302D0"/>
    <w:rsid w:val="00E35707"/>
    <w:rsid w:val="00E36AA1"/>
    <w:rsid w:val="00E41ECB"/>
    <w:rsid w:val="00E42676"/>
    <w:rsid w:val="00E51087"/>
    <w:rsid w:val="00E513C4"/>
    <w:rsid w:val="00E5426D"/>
    <w:rsid w:val="00E54FDB"/>
    <w:rsid w:val="00E5617D"/>
    <w:rsid w:val="00E563D7"/>
    <w:rsid w:val="00E663F4"/>
    <w:rsid w:val="00E666F2"/>
    <w:rsid w:val="00E66DD4"/>
    <w:rsid w:val="00E71872"/>
    <w:rsid w:val="00E748CC"/>
    <w:rsid w:val="00E74F15"/>
    <w:rsid w:val="00E75415"/>
    <w:rsid w:val="00E775B1"/>
    <w:rsid w:val="00E77682"/>
    <w:rsid w:val="00E810A7"/>
    <w:rsid w:val="00E8152A"/>
    <w:rsid w:val="00E93629"/>
    <w:rsid w:val="00E93B5C"/>
    <w:rsid w:val="00E94CEC"/>
    <w:rsid w:val="00EA04EF"/>
    <w:rsid w:val="00EA0969"/>
    <w:rsid w:val="00EA53C3"/>
    <w:rsid w:val="00EA6C79"/>
    <w:rsid w:val="00EA6F19"/>
    <w:rsid w:val="00EB7090"/>
    <w:rsid w:val="00EC1BBE"/>
    <w:rsid w:val="00EC2B68"/>
    <w:rsid w:val="00EC3AEF"/>
    <w:rsid w:val="00EC5CD7"/>
    <w:rsid w:val="00EE5FB3"/>
    <w:rsid w:val="00EE7F79"/>
    <w:rsid w:val="00EF20B7"/>
    <w:rsid w:val="00EF715A"/>
    <w:rsid w:val="00F06E14"/>
    <w:rsid w:val="00F16B95"/>
    <w:rsid w:val="00F179D4"/>
    <w:rsid w:val="00F22A23"/>
    <w:rsid w:val="00F33C56"/>
    <w:rsid w:val="00F347C7"/>
    <w:rsid w:val="00F34848"/>
    <w:rsid w:val="00F361D7"/>
    <w:rsid w:val="00F42D46"/>
    <w:rsid w:val="00F4496C"/>
    <w:rsid w:val="00F44F3A"/>
    <w:rsid w:val="00F51F10"/>
    <w:rsid w:val="00F529A5"/>
    <w:rsid w:val="00F5310D"/>
    <w:rsid w:val="00F55566"/>
    <w:rsid w:val="00F60F00"/>
    <w:rsid w:val="00F614C0"/>
    <w:rsid w:val="00F83848"/>
    <w:rsid w:val="00F975E9"/>
    <w:rsid w:val="00FA1B7D"/>
    <w:rsid w:val="00FC07B9"/>
    <w:rsid w:val="00FC4E21"/>
    <w:rsid w:val="00FC5F6D"/>
    <w:rsid w:val="00FD0107"/>
    <w:rsid w:val="00FD2C2F"/>
    <w:rsid w:val="00FD3B31"/>
    <w:rsid w:val="00FE1823"/>
    <w:rsid w:val="00FE29E7"/>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5AD2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CMAReportTitle">
    <w:name w:val="ACMA_ReportTitle"/>
    <w:basedOn w:val="Normal"/>
    <w:qFormat/>
    <w:rsid w:val="009A1DAD"/>
    <w:pPr>
      <w:spacing w:after="0" w:line="560" w:lineRule="exact"/>
    </w:pPr>
    <w:rPr>
      <w:b/>
      <w:spacing w:val="-28"/>
      <w:sz w:val="53"/>
    </w:rPr>
  </w:style>
  <w:style w:type="paragraph" w:customStyle="1" w:styleId="ACMAReportSubTitle">
    <w:name w:val="ACMA_ReportSubTitle"/>
    <w:basedOn w:val="Normal"/>
    <w:qFormat/>
    <w:rsid w:val="009A1DAD"/>
    <w:pPr>
      <w:spacing w:after="200" w:line="560" w:lineRule="exact"/>
    </w:pPr>
    <w:rPr>
      <w:color w:val="323232"/>
      <w:spacing w:val="-28"/>
      <w:sz w:val="53"/>
    </w:rPr>
  </w:style>
  <w:style w:type="paragraph" w:customStyle="1" w:styleId="ACMAReportDate">
    <w:name w:val="ACMA_ReportDate"/>
    <w:basedOn w:val="ACMAReportSubTitle"/>
    <w:qFormat/>
    <w:rsid w:val="009A1DAD"/>
    <w:pPr>
      <w:spacing w:after="1200" w:line="240" w:lineRule="auto"/>
    </w:pPr>
    <w:rPr>
      <w:caps/>
      <w:spacing w:val="-10"/>
      <w:sz w:val="20"/>
    </w:rPr>
  </w:style>
  <w:style w:type="paragraph" w:customStyle="1" w:styleId="ACMAExecSummaryHeading">
    <w:name w:val="ACMA_ExecSummaryHeading"/>
    <w:basedOn w:val="Normal"/>
    <w:qFormat/>
    <w:rsid w:val="009A1DAD"/>
    <w:pPr>
      <w:spacing w:after="1440" w:line="550" w:lineRule="exact"/>
    </w:pPr>
    <w:rPr>
      <w:b/>
      <w:color w:val="323232"/>
      <w:spacing w:val="-18"/>
      <w:sz w:val="53"/>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locked/>
    <w:rsid w:val="009A1DAD"/>
    <w:rPr>
      <w:rFonts w:ascii="Arial" w:hAnsi="Arial"/>
      <w:sz w:val="16"/>
      <w:szCs w:val="16"/>
    </w:rPr>
  </w:style>
  <w:style w:type="paragraph" w:styleId="ListParagraph">
    <w:name w:val="List Paragraph"/>
    <w:basedOn w:val="Normal"/>
    <w:uiPriority w:val="34"/>
    <w:qFormat/>
    <w:rsid w:val="009A1DAD"/>
    <w:pPr>
      <w:spacing w:after="0"/>
      <w:ind w:left="720"/>
      <w:contextualSpacing/>
    </w:pPr>
    <w:rPr>
      <w:rFonts w:ascii="HelveticaNeueLT Std Lt" w:hAnsi="HelveticaNeueLT Std Lt"/>
    </w:rPr>
  </w:style>
  <w:style w:type="paragraph" w:customStyle="1" w:styleId="ACMANumberedList">
    <w:name w:val="ACMA Numbered List"/>
    <w:uiPriority w:val="99"/>
    <w:rsid w:val="009A1DAD"/>
    <w:pPr>
      <w:numPr>
        <w:numId w:val="23"/>
      </w:numPr>
      <w:spacing w:before="20" w:after="2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Details/F2023L00413"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F2018L00721" TargetMode="External"/><Relationship Id="rId33" Type="http://schemas.openxmlformats.org/officeDocument/2006/relationships/hyperlink" Target="https://www.acma.gov.au/privacy-polic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legislation.gov.au/Details/F2023L00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finance.gov.au/government/managing-commonwealth-resources/implementing-charging-framework-rmg-302" TargetMode="External"/><Relationship Id="rId32" Type="http://schemas.openxmlformats.org/officeDocument/2006/relationships/hyperlink" Target="https://www.acma.gov.au/publication-submissions" TargetMode="Externa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egislation.gov.au/Details/F2018L00721" TargetMode="Externa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mailto:costrecoveryteam@acm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2021-10/report/eligible-revenue-assessment-2019-20" TargetMode="External"/><Relationship Id="rId30" Type="http://schemas.openxmlformats.org/officeDocument/2006/relationships/hyperlink" Target="https://www.acma.gov.au/have-your-say"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3327</Words>
  <Characters>18171</Characters>
  <Application>Microsoft Office Word</Application>
  <DocSecurity>0</DocSecurity>
  <Lines>443</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2023-09-15T04:38:00Z</dcterms:created>
  <dcterms:modified xsi:type="dcterms:W3CDTF">2023-09-15T04:39:00Z</dcterms:modified>
  <cp:category/>
</cp:coreProperties>
</file>