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541378C2"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6F5FF8BF">
            <wp:extent cx="1504950" cy="11049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6D69A50C" w:rsidR="00086BF0" w:rsidRDefault="00704FF0" w:rsidP="00086BF0">
      <w:pPr>
        <w:pStyle w:val="ShortT"/>
      </w:pPr>
      <w:r>
        <w:t>Telecommunications (Payment of Annual Carrier Licence Charge) Determination 202</w:t>
      </w:r>
      <w:r w:rsidR="00C61402">
        <w:t>3</w:t>
      </w:r>
    </w:p>
    <w:p w14:paraId="75AA3C11" w14:textId="77777777" w:rsidR="00086BF0" w:rsidRDefault="00086BF0" w:rsidP="00086BF0">
      <w:pPr>
        <w:pStyle w:val="SignCoverPageStart"/>
        <w:spacing w:before="0" w:line="240" w:lineRule="auto"/>
        <w:rPr>
          <w:szCs w:val="22"/>
        </w:rPr>
      </w:pPr>
    </w:p>
    <w:p w14:paraId="1ECF4D11" w14:textId="035DC6A0" w:rsidR="00086BF0" w:rsidRDefault="00086BF0" w:rsidP="00086BF0">
      <w:pPr>
        <w:pStyle w:val="SignCoverPageStart"/>
        <w:spacing w:before="0" w:line="240" w:lineRule="auto"/>
        <w:rPr>
          <w:szCs w:val="22"/>
        </w:rPr>
      </w:pPr>
      <w:r>
        <w:rPr>
          <w:szCs w:val="22"/>
        </w:rPr>
        <w:t xml:space="preserve">The Australian Communications and Media Authority makes the following determination under </w:t>
      </w:r>
      <w:r w:rsidR="00740B31">
        <w:t>subsections 73(3) and (4)</w:t>
      </w:r>
      <w:r>
        <w:t xml:space="preserve"> of the </w:t>
      </w:r>
      <w:r w:rsidR="00740B31">
        <w:rPr>
          <w:i/>
        </w:rPr>
        <w:t>Telecommunications Act 199</w:t>
      </w:r>
      <w:r w:rsidR="00426C6A">
        <w:rPr>
          <w:i/>
        </w:rPr>
        <w:t>7</w:t>
      </w:r>
      <w:r w:rsidR="00740B31">
        <w:rPr>
          <w:i/>
        </w:rPr>
        <w:t>.</w:t>
      </w:r>
    </w:p>
    <w:p w14:paraId="11CC4671" w14:textId="77777777"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64B7188B" w14:textId="77777777" w:rsidR="00086BF0" w:rsidRDefault="00086BF0" w:rsidP="00086BF0">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5F356EE0" w14:textId="77777777" w:rsidR="00086BF0" w:rsidRDefault="00086BF0" w:rsidP="00086BF0">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24354061" w:rsidR="00086BF0" w:rsidRPr="00407470" w:rsidRDefault="00407470" w:rsidP="00407470">
      <w:pPr>
        <w:jc w:val="center"/>
        <w:rPr>
          <w:rFonts w:ascii="Times New Roman" w:hAnsi="Times New Roman" w:cs="Times New Roman"/>
          <w:b/>
          <w:bCs/>
          <w:sz w:val="24"/>
          <w:szCs w:val="24"/>
        </w:rPr>
      </w:pPr>
      <w:r>
        <w:rPr>
          <w:rFonts w:ascii="Times New Roman" w:hAnsi="Times New Roman" w:cs="Times New Roman"/>
          <w:b/>
          <w:bCs/>
          <w:sz w:val="24"/>
          <w:szCs w:val="24"/>
        </w:rPr>
        <w:t>DRAFT – NOT FOR SIGNATURE</w:t>
      </w: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rsidSect="00110570">
          <w:headerReference w:type="default" r:id="rId9"/>
          <w:footerReference w:type="default" r:id="rId10"/>
          <w:pgSz w:w="11906" w:h="16838"/>
          <w:pgMar w:top="1440" w:right="1440" w:bottom="1440" w:left="1440" w:header="708" w:footer="708" w:gutter="0"/>
          <w:pgNumType w:start="1"/>
          <w:cols w:space="720"/>
          <w:titlePg/>
          <w:docGrid w:linePitch="299"/>
        </w:sectPr>
      </w:pPr>
    </w:p>
    <w:p w14:paraId="54781D03" w14:textId="77777777" w:rsidR="00086BF0" w:rsidRDefault="00086BF0" w:rsidP="00086BF0">
      <w:pPr>
        <w:pStyle w:val="ActHead5"/>
        <w:spacing w:before="0"/>
        <w:ind w:left="0" w:firstLine="0"/>
        <w:rPr>
          <w:rStyle w:val="CharSectno"/>
          <w:sz w:val="32"/>
          <w:szCs w:val="32"/>
        </w:rPr>
      </w:pPr>
      <w:bookmarkStart w:id="2" w:name="_Toc444596031"/>
      <w:r>
        <w:rPr>
          <w:rStyle w:val="CharSectno"/>
          <w:sz w:val="32"/>
          <w:szCs w:val="32"/>
        </w:rPr>
        <w:lastRenderedPageBreak/>
        <w:t>Part 1</w:t>
      </w:r>
      <w:r>
        <w:rPr>
          <w:sz w:val="32"/>
          <w:szCs w:val="32"/>
        </w:rPr>
        <w:t>—Preliminary</w:t>
      </w:r>
    </w:p>
    <w:p w14:paraId="1EFDD9FA" w14:textId="77777777" w:rsidR="00086BF0" w:rsidRDefault="00086BF0" w:rsidP="00086BF0">
      <w:pPr>
        <w:pStyle w:val="ActHead5"/>
      </w:pPr>
      <w:r>
        <w:rPr>
          <w:rStyle w:val="CharSectno"/>
        </w:rPr>
        <w:t>1</w:t>
      </w:r>
      <w:r>
        <w:t xml:space="preserve">  Name</w:t>
      </w:r>
    </w:p>
    <w:p w14:paraId="0BA01627" w14:textId="5F15F2A9" w:rsidR="00086BF0" w:rsidRDefault="00086BF0" w:rsidP="00086BF0">
      <w:pPr>
        <w:pStyle w:val="subsection"/>
      </w:pPr>
      <w:r>
        <w:tab/>
      </w:r>
      <w:r>
        <w:tab/>
        <w:t xml:space="preserve">This is the </w:t>
      </w:r>
      <w:bookmarkStart w:id="3" w:name="BKCheck15B_3"/>
      <w:bookmarkEnd w:id="3"/>
      <w:r w:rsidR="000941BF">
        <w:rPr>
          <w:i/>
          <w:iCs/>
        </w:rPr>
        <w:t>Telecommunications (Payment of Annual Carrier Licence Charge) Determination 202</w:t>
      </w:r>
      <w:r w:rsidR="001C0A27">
        <w:rPr>
          <w:i/>
          <w:iCs/>
        </w:rPr>
        <w:t>3</w:t>
      </w:r>
      <w:r>
        <w:t>.</w:t>
      </w:r>
    </w:p>
    <w:p w14:paraId="177E90D7" w14:textId="77777777" w:rsidR="00086BF0" w:rsidRDefault="00086BF0" w:rsidP="00086BF0">
      <w:pPr>
        <w:pStyle w:val="ActHead5"/>
      </w:pPr>
      <w:bookmarkStart w:id="4" w:name="_Toc444596032"/>
      <w:r>
        <w:rPr>
          <w:rStyle w:val="CharSectno"/>
        </w:rPr>
        <w:t>2</w:t>
      </w:r>
      <w:r>
        <w:t xml:space="preserve">  Commencement</w:t>
      </w:r>
      <w:bookmarkEnd w:id="4"/>
    </w:p>
    <w:p w14:paraId="6D874432" w14:textId="77777777" w:rsidR="00086BF0" w:rsidRDefault="00086BF0" w:rsidP="00086BF0">
      <w:pPr>
        <w:pStyle w:val="subsection"/>
      </w:pPr>
      <w:r>
        <w:tab/>
      </w:r>
      <w:r>
        <w:tab/>
        <w:t xml:space="preserve">This instrument commences at the start of the day after the day it is registered on the Federal Register of Legislation. </w:t>
      </w:r>
    </w:p>
    <w:p w14:paraId="795025ED" w14:textId="77777777" w:rsidR="00086BF0" w:rsidRDefault="00086BF0" w:rsidP="00086BF0">
      <w:pPr>
        <w:pStyle w:val="LI-BodyTextNote"/>
        <w:spacing w:before="122"/>
      </w:pPr>
      <w:r>
        <w:t>Note:</w:t>
      </w:r>
      <w:r>
        <w:tab/>
        <w:t xml:space="preserve">The Federal Register of Legislation may be accessed free of charge at </w:t>
      </w:r>
      <w:hyperlink r:id="rId11" w:history="1">
        <w:r>
          <w:rPr>
            <w:rStyle w:val="Hyperlink"/>
            <w:rFonts w:eastAsiaTheme="majorEastAsia"/>
          </w:rPr>
          <w:t>www.legislation.gov.au</w:t>
        </w:r>
      </w:hyperlink>
      <w:r>
        <w:t>.</w:t>
      </w:r>
    </w:p>
    <w:p w14:paraId="12CBE75E" w14:textId="77777777" w:rsidR="00086BF0" w:rsidRDefault="00086BF0" w:rsidP="00086BF0">
      <w:pPr>
        <w:pStyle w:val="ActHead5"/>
      </w:pPr>
      <w:bookmarkStart w:id="5" w:name="_Toc444596033"/>
      <w:r>
        <w:rPr>
          <w:rStyle w:val="CharSectno"/>
        </w:rPr>
        <w:t>3</w:t>
      </w:r>
      <w:r>
        <w:t xml:space="preserve">  Authority</w:t>
      </w:r>
      <w:bookmarkEnd w:id="5"/>
    </w:p>
    <w:p w14:paraId="3377B4C6" w14:textId="4C50317B" w:rsidR="00086BF0" w:rsidRDefault="00086BF0" w:rsidP="00086BF0">
      <w:pPr>
        <w:pStyle w:val="subsection"/>
      </w:pPr>
      <w:r>
        <w:tab/>
      </w:r>
      <w:r>
        <w:tab/>
        <w:t xml:space="preserve">This instrument is made under </w:t>
      </w:r>
      <w:r w:rsidR="0022202F">
        <w:t>subsections 73(3) and (4)</w:t>
      </w:r>
      <w:r>
        <w:t xml:space="preserve"> of the </w:t>
      </w:r>
      <w:r w:rsidR="0022202F">
        <w:rPr>
          <w:i/>
        </w:rPr>
        <w:t>Telecommunications Act 1997</w:t>
      </w:r>
      <w:r>
        <w:t>.</w:t>
      </w:r>
    </w:p>
    <w:p w14:paraId="125EEF8B" w14:textId="06619B7B" w:rsidR="00086BF0" w:rsidRDefault="00086BF0" w:rsidP="00086BF0">
      <w:pPr>
        <w:pStyle w:val="ActHead5"/>
        <w:rPr>
          <w:i/>
        </w:rPr>
      </w:pPr>
      <w:bookmarkStart w:id="6" w:name="_Toc444596034"/>
      <w:r>
        <w:t xml:space="preserve">4  Repeal of the </w:t>
      </w:r>
      <w:r w:rsidR="00D6500F">
        <w:rPr>
          <w:i/>
          <w:iCs/>
        </w:rPr>
        <w:t>Telecommunications (Payment of Annual Carrier Licence Charge) Determination 2014</w:t>
      </w:r>
      <w:r w:rsidR="00D6500F">
        <w:t>.</w:t>
      </w:r>
    </w:p>
    <w:p w14:paraId="5F185247" w14:textId="7C6566CE" w:rsidR="00086BF0" w:rsidRDefault="00086BF0" w:rsidP="00086BF0">
      <w:pPr>
        <w:pStyle w:val="subsection"/>
        <w:rPr>
          <w:rStyle w:val="CharSectno"/>
        </w:rPr>
      </w:pPr>
      <w:r>
        <w:tab/>
      </w:r>
      <w:r>
        <w:tab/>
        <w:t xml:space="preserve">The </w:t>
      </w:r>
      <w:r w:rsidR="00FF578A">
        <w:rPr>
          <w:i/>
          <w:iCs/>
        </w:rPr>
        <w:t>Telecommunications (Payment of Annual Carrier Licence Charge) Determination 20</w:t>
      </w:r>
      <w:r w:rsidR="008C245F">
        <w:rPr>
          <w:i/>
          <w:iCs/>
        </w:rPr>
        <w:t xml:space="preserve">14 </w:t>
      </w:r>
      <w:r w:rsidRPr="008C245F">
        <w:rPr>
          <w:szCs w:val="22"/>
        </w:rPr>
        <w:t>(Registration No</w:t>
      </w:r>
      <w:r w:rsidR="008C245F" w:rsidRPr="008C245F">
        <w:rPr>
          <w:szCs w:val="22"/>
        </w:rPr>
        <w:t xml:space="preserve">. </w:t>
      </w:r>
      <w:r w:rsidR="008C245F" w:rsidRPr="008C245F">
        <w:rPr>
          <w:szCs w:val="22"/>
          <w:shd w:val="clear" w:color="auto" w:fill="FFFFFF"/>
        </w:rPr>
        <w:t>F2014L01215)</w:t>
      </w:r>
      <w:r w:rsidRPr="008C245F">
        <w:t xml:space="preserve"> </w:t>
      </w:r>
      <w:r>
        <w:t xml:space="preserve">is repealed. </w:t>
      </w:r>
    </w:p>
    <w:p w14:paraId="616032F1" w14:textId="1EC1A9CB" w:rsidR="00086BF0" w:rsidRDefault="00DB076C" w:rsidP="00086BF0">
      <w:pPr>
        <w:pStyle w:val="ActHead5"/>
      </w:pPr>
      <w:r>
        <w:rPr>
          <w:rStyle w:val="CharSectno"/>
        </w:rPr>
        <w:t>5</w:t>
      </w:r>
      <w:r w:rsidR="00086BF0">
        <w:t xml:space="preserve">  Definitions</w:t>
      </w:r>
      <w:bookmarkEnd w:id="6"/>
    </w:p>
    <w:p w14:paraId="428F2C2E" w14:textId="15D4C2CB" w:rsidR="00086BF0" w:rsidRDefault="00086BF0" w:rsidP="00086BF0">
      <w:pPr>
        <w:pStyle w:val="subsection"/>
      </w:pPr>
      <w:r>
        <w:tab/>
        <w:t>In this instrument:</w:t>
      </w:r>
    </w:p>
    <w:p w14:paraId="0369CEE2" w14:textId="77777777" w:rsidR="00B85DF8" w:rsidRPr="00B85DF8" w:rsidRDefault="00B85DF8" w:rsidP="00B85DF8">
      <w:pPr>
        <w:pStyle w:val="definition0"/>
        <w:ind w:left="993"/>
        <w:jc w:val="left"/>
        <w:rPr>
          <w:sz w:val="22"/>
          <w:szCs w:val="22"/>
        </w:rPr>
      </w:pPr>
      <w:r w:rsidRPr="00B85DF8">
        <w:rPr>
          <w:b/>
          <w:i/>
          <w:sz w:val="22"/>
          <w:szCs w:val="22"/>
        </w:rPr>
        <w:t>Act</w:t>
      </w:r>
      <w:r w:rsidRPr="00B85DF8">
        <w:rPr>
          <w:sz w:val="22"/>
          <w:szCs w:val="22"/>
        </w:rPr>
        <w:t xml:space="preserve"> means the </w:t>
      </w:r>
      <w:r w:rsidRPr="00B85DF8">
        <w:rPr>
          <w:i/>
          <w:sz w:val="22"/>
          <w:szCs w:val="22"/>
        </w:rPr>
        <w:t>Telecommunications Act 1997</w:t>
      </w:r>
      <w:r w:rsidRPr="00B85DF8">
        <w:rPr>
          <w:sz w:val="22"/>
          <w:szCs w:val="22"/>
        </w:rPr>
        <w:t>.</w:t>
      </w:r>
    </w:p>
    <w:p w14:paraId="0D326B54" w14:textId="77777777" w:rsidR="00B85DF8" w:rsidRPr="00B85DF8" w:rsidRDefault="00B85DF8" w:rsidP="00B85DF8">
      <w:pPr>
        <w:pStyle w:val="definition0"/>
        <w:ind w:left="993"/>
        <w:jc w:val="left"/>
        <w:rPr>
          <w:sz w:val="22"/>
          <w:szCs w:val="22"/>
        </w:rPr>
      </w:pPr>
      <w:r w:rsidRPr="00B85DF8">
        <w:rPr>
          <w:b/>
          <w:i/>
          <w:sz w:val="22"/>
          <w:szCs w:val="22"/>
        </w:rPr>
        <w:t xml:space="preserve">annual charge </w:t>
      </w:r>
      <w:r w:rsidRPr="00B85DF8">
        <w:rPr>
          <w:sz w:val="22"/>
          <w:szCs w:val="22"/>
        </w:rPr>
        <w:t>has the meaning given by subsection 73(1) of the Act.</w:t>
      </w:r>
    </w:p>
    <w:p w14:paraId="624C23F8" w14:textId="3BA9DF1F" w:rsidR="00B85DF8" w:rsidRPr="00367704" w:rsidRDefault="00B85DF8" w:rsidP="00B85DF8">
      <w:pPr>
        <w:pStyle w:val="definition0"/>
        <w:ind w:left="993"/>
        <w:jc w:val="left"/>
        <w:rPr>
          <w:sz w:val="22"/>
          <w:szCs w:val="22"/>
        </w:rPr>
      </w:pPr>
      <w:r w:rsidRPr="00B85DF8">
        <w:rPr>
          <w:b/>
          <w:i/>
          <w:sz w:val="22"/>
          <w:szCs w:val="22"/>
        </w:rPr>
        <w:t>applicant</w:t>
      </w:r>
      <w:r w:rsidRPr="00B85DF8">
        <w:rPr>
          <w:i/>
          <w:sz w:val="22"/>
          <w:szCs w:val="22"/>
        </w:rPr>
        <w:t xml:space="preserve"> </w:t>
      </w:r>
      <w:r w:rsidRPr="00B85DF8">
        <w:rPr>
          <w:sz w:val="22"/>
          <w:szCs w:val="22"/>
        </w:rPr>
        <w:t xml:space="preserve">means a person who has applied for a remission of the whole or a part of an amount of late payment penalty calculated in accordance </w:t>
      </w:r>
      <w:r w:rsidRPr="00367704">
        <w:rPr>
          <w:sz w:val="22"/>
          <w:szCs w:val="22"/>
        </w:rPr>
        <w:t xml:space="preserve">with Part </w:t>
      </w:r>
      <w:r w:rsidR="00E1236F" w:rsidRPr="00367704">
        <w:rPr>
          <w:sz w:val="22"/>
          <w:szCs w:val="22"/>
        </w:rPr>
        <w:t>3</w:t>
      </w:r>
      <w:r w:rsidRPr="00367704">
        <w:rPr>
          <w:sz w:val="22"/>
          <w:szCs w:val="22"/>
        </w:rPr>
        <w:t>.</w:t>
      </w:r>
    </w:p>
    <w:p w14:paraId="60DFD45E" w14:textId="14407D80" w:rsidR="00A45407" w:rsidRPr="00AF4104" w:rsidRDefault="00AF4104" w:rsidP="00B85DF8">
      <w:pPr>
        <w:pStyle w:val="definition0"/>
        <w:ind w:left="993"/>
        <w:jc w:val="left"/>
        <w:rPr>
          <w:bCs/>
          <w:iCs/>
          <w:sz w:val="22"/>
          <w:szCs w:val="22"/>
        </w:rPr>
      </w:pPr>
      <w:r w:rsidRPr="00367704">
        <w:rPr>
          <w:b/>
          <w:i/>
          <w:sz w:val="22"/>
          <w:szCs w:val="22"/>
        </w:rPr>
        <w:t>due date</w:t>
      </w:r>
      <w:r w:rsidRPr="00367704">
        <w:rPr>
          <w:bCs/>
          <w:iCs/>
          <w:sz w:val="22"/>
          <w:szCs w:val="22"/>
        </w:rPr>
        <w:t>: see section 7.</w:t>
      </w:r>
      <w:r>
        <w:rPr>
          <w:bCs/>
          <w:iCs/>
          <w:sz w:val="22"/>
          <w:szCs w:val="22"/>
        </w:rPr>
        <w:t xml:space="preserve"> </w:t>
      </w:r>
    </w:p>
    <w:p w14:paraId="361CB3E2" w14:textId="67F298E1" w:rsidR="00A17E52" w:rsidRPr="005E57B2" w:rsidRDefault="00A17E52" w:rsidP="00B85DF8">
      <w:pPr>
        <w:pStyle w:val="definition0"/>
        <w:ind w:left="993"/>
        <w:jc w:val="left"/>
        <w:rPr>
          <w:iCs/>
          <w:sz w:val="22"/>
          <w:szCs w:val="22"/>
        </w:rPr>
      </w:pPr>
      <w:r w:rsidRPr="005E57B2">
        <w:rPr>
          <w:b/>
          <w:i/>
          <w:sz w:val="22"/>
          <w:szCs w:val="22"/>
        </w:rPr>
        <w:t xml:space="preserve">GIC </w:t>
      </w:r>
      <w:r w:rsidR="00FC2418" w:rsidRPr="005E57B2">
        <w:rPr>
          <w:b/>
          <w:i/>
          <w:sz w:val="22"/>
          <w:szCs w:val="22"/>
        </w:rPr>
        <w:t xml:space="preserve">rate </w:t>
      </w:r>
      <w:r w:rsidRPr="00F97A0B">
        <w:rPr>
          <w:bCs/>
          <w:iCs/>
          <w:sz w:val="22"/>
          <w:szCs w:val="22"/>
        </w:rPr>
        <w:t xml:space="preserve">(short for </w:t>
      </w:r>
      <w:r w:rsidR="00FC2418" w:rsidRPr="00F97A0B">
        <w:rPr>
          <w:bCs/>
          <w:iCs/>
          <w:sz w:val="22"/>
          <w:szCs w:val="22"/>
        </w:rPr>
        <w:t>general interest charge rate)</w:t>
      </w:r>
      <w:r w:rsidR="00FC2418" w:rsidRPr="005E57B2">
        <w:rPr>
          <w:b/>
          <w:i/>
          <w:sz w:val="22"/>
          <w:szCs w:val="22"/>
        </w:rPr>
        <w:t xml:space="preserve"> </w:t>
      </w:r>
      <w:r w:rsidR="00FC2418" w:rsidRPr="005E57B2">
        <w:rPr>
          <w:bCs/>
          <w:iCs/>
          <w:sz w:val="22"/>
          <w:szCs w:val="22"/>
        </w:rPr>
        <w:t>means the rate</w:t>
      </w:r>
      <w:r w:rsidR="00A024A3" w:rsidRPr="005E57B2">
        <w:rPr>
          <w:bCs/>
          <w:iCs/>
          <w:sz w:val="22"/>
          <w:szCs w:val="22"/>
        </w:rPr>
        <w:t xml:space="preserve"> </w:t>
      </w:r>
      <w:r w:rsidR="00FC2418" w:rsidRPr="005E57B2">
        <w:rPr>
          <w:bCs/>
          <w:iCs/>
          <w:sz w:val="22"/>
          <w:szCs w:val="22"/>
        </w:rPr>
        <w:t xml:space="preserve">determined under section 8AAD of the </w:t>
      </w:r>
      <w:r w:rsidR="00A024A3" w:rsidRPr="005E57B2">
        <w:rPr>
          <w:i/>
          <w:sz w:val="22"/>
          <w:szCs w:val="22"/>
        </w:rPr>
        <w:t xml:space="preserve">Taxation Administration Act 1953, </w:t>
      </w:r>
      <w:r w:rsidR="00EB1DD1">
        <w:rPr>
          <w:iCs/>
          <w:sz w:val="22"/>
          <w:szCs w:val="22"/>
        </w:rPr>
        <w:t xml:space="preserve">and </w:t>
      </w:r>
      <w:r w:rsidR="00A024A3" w:rsidRPr="005E57B2">
        <w:rPr>
          <w:iCs/>
          <w:sz w:val="22"/>
          <w:szCs w:val="22"/>
        </w:rPr>
        <w:t xml:space="preserve">published by the Australian Taxation Office. </w:t>
      </w:r>
    </w:p>
    <w:p w14:paraId="6C412897" w14:textId="4B618046" w:rsidR="00BF1AB7" w:rsidRPr="00C75519" w:rsidRDefault="00BF1AB7" w:rsidP="00C75519">
      <w:pPr>
        <w:pStyle w:val="Note"/>
        <w:tabs>
          <w:tab w:val="left" w:pos="1701"/>
        </w:tabs>
        <w:jc w:val="left"/>
        <w:rPr>
          <w:sz w:val="18"/>
          <w:szCs w:val="18"/>
          <w:lang w:eastAsia="en-AU"/>
        </w:rPr>
      </w:pPr>
      <w:r w:rsidRPr="00C75519">
        <w:rPr>
          <w:iCs/>
          <w:sz w:val="18"/>
          <w:szCs w:val="18"/>
        </w:rPr>
        <w:t>Note</w:t>
      </w:r>
      <w:r w:rsidR="005D61F8" w:rsidRPr="00C75519">
        <w:rPr>
          <w:sz w:val="18"/>
          <w:szCs w:val="18"/>
        </w:rPr>
        <w:t>:</w:t>
      </w:r>
      <w:r w:rsidR="005D61F8" w:rsidRPr="00C75519">
        <w:rPr>
          <w:sz w:val="18"/>
          <w:szCs w:val="18"/>
        </w:rPr>
        <w:tab/>
      </w:r>
      <w:r w:rsidRPr="00C75519">
        <w:rPr>
          <w:sz w:val="18"/>
          <w:szCs w:val="18"/>
        </w:rPr>
        <w:t xml:space="preserve">The average of the </w:t>
      </w:r>
      <w:r w:rsidR="00EB1DD1" w:rsidRPr="00C75519">
        <w:rPr>
          <w:sz w:val="18"/>
          <w:szCs w:val="18"/>
        </w:rPr>
        <w:t>GIC</w:t>
      </w:r>
      <w:r w:rsidRPr="00C75519">
        <w:rPr>
          <w:sz w:val="18"/>
          <w:szCs w:val="18"/>
        </w:rPr>
        <w:t xml:space="preserve"> rates determined for each quarter is published by the Australian Taxation Office</w:t>
      </w:r>
      <w:r w:rsidR="00654A4D" w:rsidRPr="00C75519">
        <w:rPr>
          <w:sz w:val="18"/>
          <w:szCs w:val="18"/>
        </w:rPr>
        <w:t xml:space="preserve"> and accessible, free of charge</w:t>
      </w:r>
      <w:r w:rsidRPr="00C75519">
        <w:rPr>
          <w:sz w:val="18"/>
          <w:szCs w:val="18"/>
        </w:rPr>
        <w:t xml:space="preserve"> on its website</w:t>
      </w:r>
      <w:r w:rsidR="00BD7B67" w:rsidRPr="00C75519">
        <w:rPr>
          <w:sz w:val="18"/>
          <w:szCs w:val="18"/>
        </w:rPr>
        <w:t xml:space="preserve"> at</w:t>
      </w:r>
      <w:r w:rsidRPr="00C75519">
        <w:rPr>
          <w:sz w:val="18"/>
          <w:szCs w:val="18"/>
        </w:rPr>
        <w:t xml:space="preserve"> www.ato.gov.au.</w:t>
      </w:r>
    </w:p>
    <w:p w14:paraId="6CF88BA0" w14:textId="6A9D784B" w:rsidR="00B85DF8" w:rsidRPr="00B85DF8" w:rsidRDefault="00B85DF8" w:rsidP="00B85DF8">
      <w:pPr>
        <w:pStyle w:val="definition0"/>
        <w:ind w:left="993"/>
        <w:jc w:val="left"/>
        <w:rPr>
          <w:sz w:val="22"/>
          <w:szCs w:val="22"/>
        </w:rPr>
      </w:pPr>
      <w:r w:rsidRPr="00B85DF8">
        <w:rPr>
          <w:b/>
          <w:i/>
          <w:sz w:val="22"/>
          <w:szCs w:val="22"/>
        </w:rPr>
        <w:t xml:space="preserve">late payment penalty </w:t>
      </w:r>
      <w:r w:rsidRPr="00B85DF8">
        <w:rPr>
          <w:sz w:val="22"/>
          <w:szCs w:val="22"/>
        </w:rPr>
        <w:t>has the meaning given by subsection 73(1) of the Act.</w:t>
      </w:r>
    </w:p>
    <w:p w14:paraId="16117AFB" w14:textId="77777777" w:rsidR="00B85DF8" w:rsidRPr="00B85DF8" w:rsidRDefault="00B85DF8" w:rsidP="00B85DF8">
      <w:pPr>
        <w:pStyle w:val="definition0"/>
        <w:ind w:left="993"/>
        <w:jc w:val="left"/>
        <w:rPr>
          <w:sz w:val="22"/>
          <w:szCs w:val="22"/>
        </w:rPr>
      </w:pPr>
      <w:r w:rsidRPr="00B85DF8">
        <w:rPr>
          <w:b/>
          <w:i/>
          <w:sz w:val="22"/>
          <w:szCs w:val="22"/>
        </w:rPr>
        <w:t>previous financial year average GIC rate</w:t>
      </w:r>
      <w:r w:rsidRPr="00B85DF8">
        <w:rPr>
          <w:sz w:val="22"/>
          <w:szCs w:val="22"/>
        </w:rPr>
        <w:t xml:space="preserve"> means the rate worked out in accordance with Schedule 1.</w:t>
      </w:r>
    </w:p>
    <w:p w14:paraId="65EAF265" w14:textId="77777777" w:rsidR="00DD6202" w:rsidRDefault="00086BF0" w:rsidP="00C75519">
      <w:pPr>
        <w:pStyle w:val="notetext"/>
        <w:ind w:left="1701" w:hanging="708"/>
        <w:sectPr w:rsidR="00DD6202">
          <w:pgSz w:w="11906" w:h="16838"/>
          <w:pgMar w:top="1440" w:right="1440" w:bottom="1440" w:left="1440" w:header="708" w:footer="708" w:gutter="0"/>
          <w:pgNumType w:start="1"/>
          <w:cols w:space="720"/>
        </w:sectPr>
      </w:pPr>
      <w:r>
        <w:t>Note:</w:t>
      </w:r>
      <w:r>
        <w:tab/>
      </w:r>
      <w:r w:rsidR="00CC468A" w:rsidRPr="00727DA0">
        <w:t xml:space="preserve">The </w:t>
      </w:r>
      <w:r w:rsidR="008C75E2" w:rsidRPr="00727DA0">
        <w:t>expression</w:t>
      </w:r>
      <w:r w:rsidR="00CC468A" w:rsidRPr="00727DA0">
        <w:t xml:space="preserve"> ‘ACMA’ </w:t>
      </w:r>
      <w:r w:rsidR="00815B8E" w:rsidRPr="00727DA0">
        <w:t xml:space="preserve">is defined in the Act. </w:t>
      </w:r>
    </w:p>
    <w:p w14:paraId="13C406F7" w14:textId="46E9AD7E" w:rsidR="00086BF0" w:rsidRDefault="00087712" w:rsidP="00086BF0">
      <w:pPr>
        <w:pStyle w:val="ActHead5"/>
      </w:pPr>
      <w:r>
        <w:lastRenderedPageBreak/>
        <w:t>6</w:t>
      </w:r>
      <w:r w:rsidR="00086BF0">
        <w:t xml:space="preserve">  References to other instruments</w:t>
      </w:r>
    </w:p>
    <w:p w14:paraId="624BF9E2" w14:textId="77777777" w:rsidR="00086BF0" w:rsidRDefault="00086BF0" w:rsidP="00086BF0">
      <w:pPr>
        <w:pStyle w:val="subsection"/>
      </w:pPr>
      <w:r>
        <w:tab/>
      </w:r>
      <w:r>
        <w:tab/>
        <w:t>In this instrument, unless the contrary intention appears:</w:t>
      </w:r>
    </w:p>
    <w:p w14:paraId="17BE503C" w14:textId="77777777" w:rsidR="00086BF0" w:rsidRDefault="00086BF0" w:rsidP="00086BF0">
      <w:pPr>
        <w:pStyle w:val="paragraph"/>
      </w:pPr>
      <w:r>
        <w:tab/>
        <w:t>(a)</w:t>
      </w:r>
      <w:r>
        <w:tab/>
        <w:t>a reference to any other legislative instrument is a reference to that other legislative instrument as in force from time to time; and</w:t>
      </w:r>
    </w:p>
    <w:p w14:paraId="7B18CE4F" w14:textId="7AA2280E" w:rsidR="00086BF0" w:rsidRDefault="00086BF0" w:rsidP="00110570">
      <w:pPr>
        <w:pStyle w:val="paragraph"/>
        <w:tabs>
          <w:tab w:val="left" w:pos="2160"/>
          <w:tab w:val="left" w:pos="2880"/>
          <w:tab w:val="left" w:pos="3600"/>
          <w:tab w:val="center" w:pos="4513"/>
        </w:tabs>
        <w:spacing w:before="120"/>
      </w:pPr>
      <w:r>
        <w:tab/>
        <w:t>(b)</w:t>
      </w:r>
      <w:r>
        <w:tab/>
        <w:t xml:space="preserve">a reference to any other kind of instrument is a reference to that other instrument as </w:t>
      </w:r>
      <w:r w:rsidR="00BD7B67">
        <w:t xml:space="preserve">in force or </w:t>
      </w:r>
      <w:r w:rsidR="00EE7876">
        <w:t>existing</w:t>
      </w:r>
      <w:r>
        <w:t xml:space="preserve"> from time to time.</w:t>
      </w:r>
    </w:p>
    <w:p w14:paraId="01AF959A" w14:textId="77777777" w:rsidR="00086BF0" w:rsidRDefault="00086BF0" w:rsidP="00086BF0">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6373E0BE" w:rsidR="00086BF0" w:rsidRDefault="00086BF0" w:rsidP="00086BF0">
      <w:pPr>
        <w:pStyle w:val="notetext"/>
      </w:pPr>
      <w:r>
        <w:t>Note 2:</w:t>
      </w:r>
      <w:r>
        <w:tab/>
        <w:t xml:space="preserve">All Commonwealth Acts and legislative instruments are registered on the Federal Register of Legislation. </w:t>
      </w:r>
    </w:p>
    <w:p w14:paraId="6F81BF86" w14:textId="7356C966" w:rsidR="00BD7B67" w:rsidRDefault="00BD7B67" w:rsidP="00086BF0">
      <w:pPr>
        <w:pStyle w:val="notetext"/>
      </w:pPr>
      <w:r>
        <w:t>Note 3:</w:t>
      </w:r>
      <w:r>
        <w:tab/>
        <w:t>For paragraph (b), see section 589 of the Act.</w:t>
      </w:r>
    </w:p>
    <w:p w14:paraId="67383540" w14:textId="77777777" w:rsidR="00086BF0" w:rsidRDefault="00086BF0" w:rsidP="00086BF0">
      <w:pPr>
        <w:rPr>
          <w:rFonts w:ascii="Times New Roman" w:eastAsia="Times New Roman" w:hAnsi="Times New Roman" w:cs="Times New Roman"/>
          <w:b/>
          <w:kern w:val="28"/>
          <w:sz w:val="24"/>
          <w:szCs w:val="20"/>
          <w:lang w:eastAsia="en-AU"/>
        </w:rPr>
      </w:pPr>
      <w:r>
        <w:br w:type="page"/>
      </w:r>
    </w:p>
    <w:bookmarkEnd w:id="2"/>
    <w:p w14:paraId="725FBC0D" w14:textId="77777777" w:rsidR="00086BF0" w:rsidRDefault="00086BF0" w:rsidP="00086BF0">
      <w:pPr>
        <w:spacing w:after="0"/>
        <w:rPr>
          <w:rFonts w:ascii="Times New Roman" w:hAnsi="Times New Roman" w:cs="Times New Roman"/>
          <w:b/>
          <w:sz w:val="24"/>
          <w:szCs w:val="24"/>
        </w:rPr>
        <w:sectPr w:rsidR="00086BF0">
          <w:pgSz w:w="11906" w:h="16838"/>
          <w:pgMar w:top="1440" w:right="1440" w:bottom="1440" w:left="1440" w:header="708" w:footer="708" w:gutter="0"/>
          <w:pgNumType w:start="1"/>
          <w:cols w:space="720"/>
        </w:sectPr>
      </w:pPr>
    </w:p>
    <w:p w14:paraId="66305F77" w14:textId="47BA4958" w:rsidR="00086BF0" w:rsidRDefault="00086BF0" w:rsidP="00086BF0">
      <w:pPr>
        <w:pStyle w:val="ActHead5"/>
        <w:spacing w:before="0"/>
        <w:ind w:left="0" w:firstLine="0"/>
        <w:rPr>
          <w:sz w:val="32"/>
          <w:szCs w:val="32"/>
        </w:rPr>
      </w:pPr>
      <w:r>
        <w:rPr>
          <w:rStyle w:val="CharSectno"/>
          <w:sz w:val="32"/>
          <w:szCs w:val="32"/>
        </w:rPr>
        <w:lastRenderedPageBreak/>
        <w:t>Part 2</w:t>
      </w:r>
      <w:r>
        <w:rPr>
          <w:sz w:val="32"/>
          <w:szCs w:val="32"/>
        </w:rPr>
        <w:t>—</w:t>
      </w:r>
      <w:r w:rsidR="0022614C">
        <w:rPr>
          <w:sz w:val="32"/>
          <w:szCs w:val="32"/>
        </w:rPr>
        <w:t>Due Date for annual charge</w:t>
      </w:r>
    </w:p>
    <w:p w14:paraId="68CB38E3" w14:textId="31A24ED6" w:rsidR="00086BF0" w:rsidRPr="0022614C" w:rsidRDefault="004F00DD" w:rsidP="00086BF0">
      <w:pPr>
        <w:pStyle w:val="ActHead5"/>
      </w:pPr>
      <w:bookmarkStart w:id="7" w:name="_Toc444596036"/>
      <w:r>
        <w:t>7</w:t>
      </w:r>
      <w:r w:rsidR="00086BF0" w:rsidRPr="0022614C">
        <w:t xml:space="preserve">  </w:t>
      </w:r>
      <w:bookmarkEnd w:id="7"/>
      <w:r w:rsidR="0022614C">
        <w:t xml:space="preserve">When annual charge is due and </w:t>
      </w:r>
      <w:proofErr w:type="gramStart"/>
      <w:r w:rsidR="0022614C">
        <w:t>payable</w:t>
      </w:r>
      <w:proofErr w:type="gramEnd"/>
    </w:p>
    <w:p w14:paraId="060F9225" w14:textId="26BC7FFF" w:rsidR="0022614C" w:rsidRDefault="0022614C" w:rsidP="00F97A0B">
      <w:pPr>
        <w:pStyle w:val="subsection"/>
        <w:tabs>
          <w:tab w:val="left" w:pos="1134"/>
        </w:tabs>
        <w:ind w:left="1021" w:firstLine="0"/>
        <w:sectPr w:rsidR="0022614C">
          <w:pgSz w:w="11906" w:h="16838"/>
          <w:pgMar w:top="1440" w:right="1440" w:bottom="1440" w:left="1440" w:header="708" w:footer="708" w:gutter="0"/>
          <w:cols w:space="720"/>
        </w:sectPr>
      </w:pPr>
      <w:r w:rsidRPr="0022614C">
        <w:rPr>
          <w:szCs w:val="22"/>
        </w:rPr>
        <w:t>For the purposes of subsection 73(3) of the Act, an annual charge is due and payable by a person 30 calendar days after the date specified on an invoice issued to the person by the ACMA</w:t>
      </w:r>
      <w:r w:rsidR="00C741CA">
        <w:rPr>
          <w:szCs w:val="22"/>
        </w:rPr>
        <w:t xml:space="preserve"> (</w:t>
      </w:r>
      <w:r w:rsidR="00C741CA">
        <w:rPr>
          <w:b/>
          <w:bCs/>
          <w:i/>
          <w:iCs/>
          <w:szCs w:val="22"/>
        </w:rPr>
        <w:t>due date</w:t>
      </w:r>
      <w:r w:rsidR="00C741CA">
        <w:rPr>
          <w:szCs w:val="22"/>
        </w:rPr>
        <w:t>)</w:t>
      </w:r>
      <w:r w:rsidRPr="0022614C">
        <w:rPr>
          <w:szCs w:val="22"/>
        </w:rPr>
        <w:t>.</w:t>
      </w:r>
    </w:p>
    <w:p w14:paraId="10220C86" w14:textId="7143F548" w:rsidR="0022614C" w:rsidRDefault="0022614C" w:rsidP="0022614C">
      <w:pPr>
        <w:pStyle w:val="ActHead5"/>
        <w:spacing w:before="0"/>
        <w:ind w:left="0" w:firstLine="0"/>
        <w:rPr>
          <w:sz w:val="32"/>
          <w:szCs w:val="32"/>
        </w:rPr>
      </w:pPr>
      <w:r>
        <w:rPr>
          <w:rStyle w:val="CharSectno"/>
          <w:sz w:val="32"/>
          <w:szCs w:val="32"/>
        </w:rPr>
        <w:lastRenderedPageBreak/>
        <w:t xml:space="preserve">Part </w:t>
      </w:r>
      <w:r w:rsidR="00584E8D">
        <w:rPr>
          <w:rStyle w:val="CharSectno"/>
          <w:sz w:val="32"/>
          <w:szCs w:val="32"/>
        </w:rPr>
        <w:t>3</w:t>
      </w:r>
      <w:r>
        <w:rPr>
          <w:sz w:val="32"/>
          <w:szCs w:val="32"/>
        </w:rPr>
        <w:t>—</w:t>
      </w:r>
      <w:r w:rsidR="008D35E3">
        <w:rPr>
          <w:sz w:val="32"/>
          <w:szCs w:val="32"/>
        </w:rPr>
        <w:t xml:space="preserve">Late payment penalties </w:t>
      </w:r>
    </w:p>
    <w:p w14:paraId="40A14EE3" w14:textId="21A6D676" w:rsidR="00086BF0" w:rsidRPr="0022614C" w:rsidRDefault="004F00DD" w:rsidP="00086BF0">
      <w:pPr>
        <w:pStyle w:val="ActHead5"/>
      </w:pPr>
      <w:bookmarkStart w:id="8" w:name="_Toc444596038"/>
      <w:r>
        <w:t>8</w:t>
      </w:r>
      <w:r w:rsidR="00086BF0" w:rsidRPr="0022614C">
        <w:t xml:space="preserve">  </w:t>
      </w:r>
      <w:r w:rsidR="008D35E3">
        <w:t>Late payment penalty payable</w:t>
      </w:r>
    </w:p>
    <w:p w14:paraId="455D0489" w14:textId="3DE6ADA5" w:rsidR="008D35E3" w:rsidRPr="000B0982" w:rsidRDefault="00086BF0" w:rsidP="008D35E3">
      <w:pPr>
        <w:pStyle w:val="R2"/>
        <w:jc w:val="left"/>
        <w:rPr>
          <w:sz w:val="22"/>
          <w:szCs w:val="22"/>
        </w:rPr>
      </w:pPr>
      <w:r w:rsidRPr="0022614C">
        <w:tab/>
      </w:r>
      <w:r w:rsidR="008D35E3" w:rsidRPr="000B0982">
        <w:rPr>
          <w:sz w:val="22"/>
          <w:szCs w:val="22"/>
        </w:rPr>
        <w:t>(1)</w:t>
      </w:r>
      <w:r w:rsidR="008D35E3" w:rsidRPr="000B0982">
        <w:rPr>
          <w:sz w:val="22"/>
          <w:szCs w:val="22"/>
        </w:rPr>
        <w:tab/>
        <w:t xml:space="preserve">If any annual charge payable by a person remains unpaid after the </w:t>
      </w:r>
      <w:r w:rsidR="005B6875">
        <w:rPr>
          <w:sz w:val="22"/>
          <w:szCs w:val="22"/>
        </w:rPr>
        <w:t>due date</w:t>
      </w:r>
      <w:r w:rsidR="008D35E3" w:rsidRPr="000B0982">
        <w:rPr>
          <w:sz w:val="22"/>
          <w:szCs w:val="22"/>
        </w:rPr>
        <w:t xml:space="preserve">, the person is liable to pay to the Commonwealth, by way of penalty, an amount calculated in accordance with this </w:t>
      </w:r>
      <w:r w:rsidR="00A60F7F">
        <w:rPr>
          <w:sz w:val="22"/>
          <w:szCs w:val="22"/>
        </w:rPr>
        <w:t>section</w:t>
      </w:r>
      <w:r w:rsidR="008D35E3" w:rsidRPr="000B0982">
        <w:rPr>
          <w:sz w:val="22"/>
          <w:szCs w:val="22"/>
        </w:rPr>
        <w:t>.</w:t>
      </w:r>
    </w:p>
    <w:p w14:paraId="1C83E173" w14:textId="2A0E3122" w:rsidR="008D35E3" w:rsidRPr="000B0982" w:rsidRDefault="008D35E3" w:rsidP="008D35E3">
      <w:pPr>
        <w:pStyle w:val="R2"/>
        <w:jc w:val="left"/>
        <w:rPr>
          <w:sz w:val="22"/>
          <w:szCs w:val="22"/>
        </w:rPr>
      </w:pPr>
      <w:r w:rsidRPr="000B0982">
        <w:rPr>
          <w:sz w:val="22"/>
          <w:szCs w:val="22"/>
        </w:rPr>
        <w:tab/>
        <w:t>(2)</w:t>
      </w:r>
      <w:r w:rsidRPr="000B0982">
        <w:rPr>
          <w:sz w:val="22"/>
          <w:szCs w:val="22"/>
        </w:rPr>
        <w:tab/>
        <w:t xml:space="preserve">The amount is calculated, for each day the charge remains unpaid from </w:t>
      </w:r>
      <w:r w:rsidR="00D574E5">
        <w:rPr>
          <w:sz w:val="22"/>
          <w:szCs w:val="22"/>
        </w:rPr>
        <w:t>the due date</w:t>
      </w:r>
      <w:r w:rsidRPr="000B0982">
        <w:rPr>
          <w:sz w:val="22"/>
          <w:szCs w:val="22"/>
        </w:rPr>
        <w:t xml:space="preserve">, by multiplying the daily rate worked out by reference to the rate of late payment penalty mentioned </w:t>
      </w:r>
      <w:r w:rsidRPr="00686463">
        <w:rPr>
          <w:sz w:val="22"/>
          <w:szCs w:val="22"/>
        </w:rPr>
        <w:t xml:space="preserve">in section </w:t>
      </w:r>
      <w:r w:rsidR="00904E04" w:rsidRPr="00686463">
        <w:rPr>
          <w:sz w:val="22"/>
          <w:szCs w:val="22"/>
        </w:rPr>
        <w:t>9</w:t>
      </w:r>
      <w:r w:rsidRPr="000B0982">
        <w:rPr>
          <w:sz w:val="22"/>
          <w:szCs w:val="22"/>
        </w:rPr>
        <w:t xml:space="preserve"> for the day by the sum of so much of the following amounts as remains unpaid:</w:t>
      </w:r>
    </w:p>
    <w:p w14:paraId="0A6CBEEA" w14:textId="77777777" w:rsidR="008D35E3" w:rsidRPr="000B0982" w:rsidRDefault="008D35E3" w:rsidP="008D35E3">
      <w:pPr>
        <w:pStyle w:val="P1"/>
        <w:ind w:hanging="425"/>
        <w:jc w:val="left"/>
        <w:rPr>
          <w:sz w:val="22"/>
          <w:szCs w:val="22"/>
        </w:rPr>
      </w:pPr>
      <w:r w:rsidRPr="000B0982">
        <w:rPr>
          <w:sz w:val="22"/>
          <w:szCs w:val="22"/>
        </w:rPr>
        <w:t>(a)</w:t>
      </w:r>
      <w:r w:rsidRPr="000B0982">
        <w:rPr>
          <w:sz w:val="22"/>
          <w:szCs w:val="22"/>
        </w:rPr>
        <w:tab/>
        <w:t>annual charge; and</w:t>
      </w:r>
    </w:p>
    <w:p w14:paraId="075C215A" w14:textId="448F5240" w:rsidR="008D35E3" w:rsidRPr="000B0982" w:rsidRDefault="008D35E3" w:rsidP="00D318E9">
      <w:pPr>
        <w:pStyle w:val="P1"/>
        <w:spacing w:before="120"/>
        <w:ind w:hanging="425"/>
        <w:jc w:val="left"/>
        <w:rPr>
          <w:sz w:val="22"/>
          <w:szCs w:val="22"/>
        </w:rPr>
      </w:pPr>
      <w:r w:rsidRPr="000B0982">
        <w:rPr>
          <w:sz w:val="22"/>
          <w:szCs w:val="22"/>
        </w:rPr>
        <w:t>(b)</w:t>
      </w:r>
      <w:r w:rsidRPr="000B0982">
        <w:rPr>
          <w:sz w:val="22"/>
          <w:szCs w:val="22"/>
        </w:rPr>
        <w:tab/>
        <w:t>late payment penalty payable from previous days.</w:t>
      </w:r>
    </w:p>
    <w:p w14:paraId="321589E3" w14:textId="50F3EC41" w:rsidR="00086BF0" w:rsidRPr="0022614C" w:rsidRDefault="004F00DD" w:rsidP="00086BF0">
      <w:pPr>
        <w:pStyle w:val="ActHead5"/>
      </w:pPr>
      <w:r>
        <w:t>9</w:t>
      </w:r>
      <w:r w:rsidR="00086BF0" w:rsidRPr="0022614C">
        <w:t xml:space="preserve">  </w:t>
      </w:r>
      <w:bookmarkEnd w:id="8"/>
      <w:r w:rsidR="008D35E3">
        <w:t>Rate of late payment penalty</w:t>
      </w:r>
    </w:p>
    <w:p w14:paraId="68A1F8F4" w14:textId="3A25F2A8" w:rsidR="008D35E3" w:rsidRPr="00CA2C0E" w:rsidRDefault="008D35E3" w:rsidP="008D35E3">
      <w:pPr>
        <w:pStyle w:val="R1"/>
        <w:ind w:firstLine="29"/>
        <w:jc w:val="left"/>
        <w:rPr>
          <w:sz w:val="22"/>
          <w:szCs w:val="22"/>
        </w:rPr>
      </w:pPr>
      <w:r w:rsidRPr="00CA2C0E">
        <w:rPr>
          <w:sz w:val="22"/>
          <w:szCs w:val="22"/>
        </w:rPr>
        <w:t xml:space="preserve">In order to work out the daily rate referred to in subsection </w:t>
      </w:r>
      <w:r w:rsidR="00426771">
        <w:rPr>
          <w:sz w:val="22"/>
          <w:szCs w:val="22"/>
        </w:rPr>
        <w:t>8</w:t>
      </w:r>
      <w:r w:rsidRPr="00CA2C0E">
        <w:rPr>
          <w:sz w:val="22"/>
          <w:szCs w:val="22"/>
        </w:rPr>
        <w:t xml:space="preserve">(2), the rate of late payment penalty is: </w:t>
      </w:r>
    </w:p>
    <w:p w14:paraId="28D88AE0" w14:textId="77777777" w:rsidR="008D35E3" w:rsidRPr="00CA2C0E" w:rsidRDefault="008D35E3" w:rsidP="008D35E3">
      <w:pPr>
        <w:pStyle w:val="R1"/>
        <w:ind w:firstLine="29"/>
        <w:jc w:val="left"/>
        <w:rPr>
          <w:sz w:val="22"/>
          <w:szCs w:val="22"/>
        </w:rPr>
      </w:pPr>
      <w:r w:rsidRPr="00CA2C0E">
        <w:rPr>
          <w:sz w:val="22"/>
          <w:szCs w:val="22"/>
        </w:rPr>
        <w:t>(a)</w:t>
      </w:r>
      <w:r w:rsidRPr="00CA2C0E">
        <w:rPr>
          <w:sz w:val="22"/>
          <w:szCs w:val="22"/>
        </w:rPr>
        <w:tab/>
        <w:t>20% per annum; or</w:t>
      </w:r>
    </w:p>
    <w:p w14:paraId="16546BE0" w14:textId="0217A2DA" w:rsidR="008D35E3" w:rsidRPr="00CA2C0E" w:rsidRDefault="008D35E3" w:rsidP="008D35E3">
      <w:pPr>
        <w:pStyle w:val="R1"/>
        <w:ind w:left="1440" w:hanging="447"/>
        <w:jc w:val="left"/>
        <w:rPr>
          <w:sz w:val="22"/>
          <w:szCs w:val="22"/>
        </w:rPr>
      </w:pPr>
      <w:r w:rsidRPr="00CA2C0E">
        <w:rPr>
          <w:sz w:val="22"/>
          <w:szCs w:val="22"/>
        </w:rPr>
        <w:t>(b)</w:t>
      </w:r>
      <w:r w:rsidRPr="00CA2C0E">
        <w:rPr>
          <w:sz w:val="22"/>
          <w:szCs w:val="22"/>
        </w:rPr>
        <w:tab/>
        <w:t>if, for any day, the previous financial year average GIC rate is less than 20% per annum – the previous financial year average GIC rate.</w:t>
      </w:r>
    </w:p>
    <w:p w14:paraId="3FBB2234" w14:textId="77777777" w:rsidR="008D35E3" w:rsidRPr="00802CB4" w:rsidRDefault="008D35E3" w:rsidP="008D35E3">
      <w:pPr>
        <w:pStyle w:val="PageBreak"/>
      </w:pPr>
    </w:p>
    <w:p w14:paraId="0F4C9EA4" w14:textId="07186853" w:rsidR="00CA2C0E" w:rsidRDefault="00CA2C0E" w:rsidP="00CA2C0E">
      <w:pPr>
        <w:pStyle w:val="ActHead5"/>
      </w:pPr>
      <w:r w:rsidRPr="0022614C">
        <w:t>1</w:t>
      </w:r>
      <w:r w:rsidR="004F00DD">
        <w:t>0</w:t>
      </w:r>
      <w:r w:rsidRPr="0022614C">
        <w:t xml:space="preserve">  </w:t>
      </w:r>
      <w:r w:rsidR="00B740F0">
        <w:t>Remission of Penalty</w:t>
      </w:r>
    </w:p>
    <w:p w14:paraId="44F65A66" w14:textId="3A9C616A" w:rsidR="008D35E3" w:rsidRDefault="003621A5" w:rsidP="0035339D">
      <w:pPr>
        <w:pStyle w:val="subsection"/>
        <w:rPr>
          <w:szCs w:val="22"/>
        </w:rPr>
      </w:pPr>
      <w:r>
        <w:rPr>
          <w:i/>
          <w:iCs/>
        </w:rPr>
        <w:tab/>
      </w:r>
      <w:r>
        <w:rPr>
          <w:i/>
          <w:iCs/>
        </w:rPr>
        <w:tab/>
      </w:r>
      <w:r w:rsidR="008D35E3" w:rsidRPr="00CA2C0E">
        <w:rPr>
          <w:szCs w:val="22"/>
        </w:rPr>
        <w:t>For the purposes of subsection 73(6) of the Act, the ACMA may remit the whole or a part of an amount of late payment penalty payable by a person</w:t>
      </w:r>
      <w:r w:rsidR="00647A8D">
        <w:rPr>
          <w:szCs w:val="22"/>
        </w:rPr>
        <w:t xml:space="preserve">, whether or not the person has applied to the ACMA for the remission. </w:t>
      </w:r>
    </w:p>
    <w:p w14:paraId="40AB375E" w14:textId="625556B9" w:rsidR="0035339D" w:rsidRDefault="0035339D" w:rsidP="0035339D">
      <w:pPr>
        <w:pStyle w:val="ActHead5"/>
      </w:pPr>
      <w:r w:rsidRPr="0093331F">
        <w:t>11  Application for remission of penalty</w:t>
      </w:r>
    </w:p>
    <w:p w14:paraId="0D1332C5" w14:textId="77777777" w:rsidR="00B7528E" w:rsidRDefault="00B7528E" w:rsidP="003621A5">
      <w:pPr>
        <w:ind w:left="960"/>
        <w:rPr>
          <w:rFonts w:ascii="Times New Roman" w:hAnsi="Times New Roman" w:cs="Times New Roman"/>
          <w:i/>
          <w:iCs/>
        </w:rPr>
      </w:pPr>
    </w:p>
    <w:p w14:paraId="2E29BEF6" w14:textId="3E7AEE42" w:rsidR="003621A5" w:rsidRPr="003621A5" w:rsidRDefault="003621A5" w:rsidP="003621A5">
      <w:pPr>
        <w:ind w:left="960"/>
        <w:rPr>
          <w:rFonts w:ascii="Times New Roman" w:hAnsi="Times New Roman" w:cs="Times New Roman"/>
        </w:rPr>
      </w:pPr>
      <w:r>
        <w:rPr>
          <w:rFonts w:ascii="Times New Roman" w:hAnsi="Times New Roman" w:cs="Times New Roman"/>
          <w:i/>
          <w:iCs/>
        </w:rPr>
        <w:t xml:space="preserve">Application </w:t>
      </w:r>
    </w:p>
    <w:p w14:paraId="3D7FA3CC" w14:textId="3B75D45B" w:rsidR="00301AAF" w:rsidRPr="00CA2C0E" w:rsidRDefault="008D35E3" w:rsidP="0071176B">
      <w:pPr>
        <w:pStyle w:val="R2"/>
        <w:spacing w:before="240"/>
        <w:jc w:val="left"/>
        <w:rPr>
          <w:sz w:val="22"/>
          <w:szCs w:val="22"/>
        </w:rPr>
      </w:pPr>
      <w:r w:rsidRPr="00CA2C0E">
        <w:rPr>
          <w:sz w:val="22"/>
          <w:szCs w:val="22"/>
        </w:rPr>
        <w:tab/>
      </w:r>
      <w:r w:rsidR="00F53DD5">
        <w:rPr>
          <w:sz w:val="22"/>
          <w:szCs w:val="22"/>
        </w:rPr>
        <w:t>(1)</w:t>
      </w:r>
      <w:r w:rsidR="00F53DD5">
        <w:rPr>
          <w:sz w:val="22"/>
          <w:szCs w:val="22"/>
        </w:rPr>
        <w:tab/>
      </w:r>
      <w:r w:rsidR="00301AAF">
        <w:rPr>
          <w:sz w:val="22"/>
          <w:szCs w:val="22"/>
        </w:rPr>
        <w:t xml:space="preserve">A person </w:t>
      </w:r>
      <w:r w:rsidR="00301AAF" w:rsidRPr="0071176B">
        <w:rPr>
          <w:sz w:val="22"/>
          <w:szCs w:val="22"/>
        </w:rPr>
        <w:t>may</w:t>
      </w:r>
      <w:r w:rsidR="00301AAF">
        <w:rPr>
          <w:sz w:val="22"/>
          <w:szCs w:val="22"/>
        </w:rPr>
        <w:t xml:space="preserve"> apply to the </w:t>
      </w:r>
      <w:r w:rsidR="00596CB0">
        <w:rPr>
          <w:sz w:val="22"/>
          <w:szCs w:val="22"/>
        </w:rPr>
        <w:t xml:space="preserve">ACMA for remission of an amount of late payment penalty payable by </w:t>
      </w:r>
      <w:r w:rsidR="00FE3FDB">
        <w:rPr>
          <w:sz w:val="22"/>
          <w:szCs w:val="22"/>
        </w:rPr>
        <w:t>the</w:t>
      </w:r>
      <w:r w:rsidR="00596CB0">
        <w:rPr>
          <w:sz w:val="22"/>
          <w:szCs w:val="22"/>
        </w:rPr>
        <w:t xml:space="preserve"> </w:t>
      </w:r>
      <w:r w:rsidR="00FE3FDB">
        <w:rPr>
          <w:sz w:val="22"/>
          <w:szCs w:val="22"/>
        </w:rPr>
        <w:t>person</w:t>
      </w:r>
      <w:r w:rsidR="00997149">
        <w:rPr>
          <w:sz w:val="22"/>
          <w:szCs w:val="22"/>
        </w:rPr>
        <w:t xml:space="preserve"> (</w:t>
      </w:r>
      <w:r w:rsidR="00997149">
        <w:rPr>
          <w:b/>
          <w:bCs/>
          <w:i/>
          <w:iCs/>
          <w:sz w:val="22"/>
          <w:szCs w:val="22"/>
        </w:rPr>
        <w:t xml:space="preserve">the </w:t>
      </w:r>
      <w:r w:rsidR="00997149" w:rsidRPr="0071176B">
        <w:rPr>
          <w:b/>
          <w:bCs/>
          <w:i/>
          <w:iCs/>
          <w:sz w:val="22"/>
          <w:szCs w:val="22"/>
        </w:rPr>
        <w:t>applicant</w:t>
      </w:r>
      <w:r w:rsidR="00997149" w:rsidRPr="0071176B">
        <w:rPr>
          <w:sz w:val="22"/>
          <w:szCs w:val="22"/>
        </w:rPr>
        <w:t>)</w:t>
      </w:r>
      <w:r w:rsidR="00596CB0">
        <w:rPr>
          <w:sz w:val="22"/>
          <w:szCs w:val="22"/>
        </w:rPr>
        <w:t xml:space="preserve">. </w:t>
      </w:r>
    </w:p>
    <w:p w14:paraId="712ECE51" w14:textId="35218AD8" w:rsidR="00BD7B67" w:rsidRDefault="008D35E3" w:rsidP="00BD7B67">
      <w:pPr>
        <w:pStyle w:val="R2"/>
        <w:jc w:val="left"/>
        <w:rPr>
          <w:sz w:val="22"/>
          <w:szCs w:val="22"/>
        </w:rPr>
      </w:pPr>
      <w:r w:rsidRPr="00CA2C0E">
        <w:rPr>
          <w:sz w:val="22"/>
          <w:szCs w:val="22"/>
        </w:rPr>
        <w:tab/>
        <w:t>(</w:t>
      </w:r>
      <w:r w:rsidR="00F53DD5">
        <w:rPr>
          <w:sz w:val="22"/>
          <w:szCs w:val="22"/>
        </w:rPr>
        <w:t>2</w:t>
      </w:r>
      <w:r w:rsidRPr="00CA2C0E">
        <w:rPr>
          <w:sz w:val="22"/>
          <w:szCs w:val="22"/>
        </w:rPr>
        <w:t>)</w:t>
      </w:r>
      <w:r w:rsidRPr="00CA2C0E">
        <w:rPr>
          <w:sz w:val="22"/>
          <w:szCs w:val="22"/>
        </w:rPr>
        <w:tab/>
      </w:r>
      <w:r w:rsidR="003621A5">
        <w:rPr>
          <w:sz w:val="22"/>
          <w:szCs w:val="22"/>
        </w:rPr>
        <w:t xml:space="preserve">An application </w:t>
      </w:r>
      <w:r w:rsidR="0021251D">
        <w:rPr>
          <w:sz w:val="22"/>
          <w:szCs w:val="22"/>
        </w:rPr>
        <w:t xml:space="preserve">for remission </w:t>
      </w:r>
      <w:r w:rsidR="003621A5">
        <w:rPr>
          <w:sz w:val="22"/>
          <w:szCs w:val="22"/>
        </w:rPr>
        <w:t>made under subsection (</w:t>
      </w:r>
      <w:r w:rsidR="00EF6038">
        <w:rPr>
          <w:sz w:val="22"/>
          <w:szCs w:val="22"/>
        </w:rPr>
        <w:t>1</w:t>
      </w:r>
      <w:r w:rsidR="003621A5">
        <w:rPr>
          <w:sz w:val="22"/>
          <w:szCs w:val="22"/>
        </w:rPr>
        <w:t>)</w:t>
      </w:r>
      <w:r w:rsidR="009C76C7">
        <w:rPr>
          <w:sz w:val="22"/>
          <w:szCs w:val="22"/>
        </w:rPr>
        <w:t>:</w:t>
      </w:r>
    </w:p>
    <w:p w14:paraId="62D83DE8" w14:textId="71FFC754" w:rsidR="00BD7B67" w:rsidRDefault="00BD7B67" w:rsidP="00CF73B6">
      <w:pPr>
        <w:pStyle w:val="R2"/>
        <w:numPr>
          <w:ilvl w:val="0"/>
          <w:numId w:val="15"/>
        </w:numPr>
        <w:spacing w:before="120"/>
        <w:ind w:hanging="525"/>
        <w:jc w:val="left"/>
        <w:rPr>
          <w:sz w:val="22"/>
          <w:szCs w:val="22"/>
        </w:rPr>
      </w:pPr>
      <w:r>
        <w:rPr>
          <w:sz w:val="22"/>
          <w:szCs w:val="22"/>
        </w:rPr>
        <w:t>must be in writing;</w:t>
      </w:r>
    </w:p>
    <w:p w14:paraId="7C8ED234" w14:textId="4F72224E" w:rsidR="00BD7B67" w:rsidRDefault="00BD7B67" w:rsidP="00CF73B6">
      <w:pPr>
        <w:pStyle w:val="R2"/>
        <w:numPr>
          <w:ilvl w:val="0"/>
          <w:numId w:val="15"/>
        </w:numPr>
        <w:spacing w:before="120"/>
        <w:ind w:hanging="525"/>
        <w:jc w:val="left"/>
        <w:rPr>
          <w:sz w:val="22"/>
          <w:szCs w:val="22"/>
        </w:rPr>
      </w:pPr>
      <w:r>
        <w:rPr>
          <w:sz w:val="22"/>
          <w:szCs w:val="22"/>
        </w:rPr>
        <w:t>must specify the reasons why the applicant failed to pay the annual charge by the due date; and</w:t>
      </w:r>
    </w:p>
    <w:p w14:paraId="689AE48D" w14:textId="564E3300" w:rsidR="00BD7B67" w:rsidRDefault="00BD7B67" w:rsidP="00CF73B6">
      <w:pPr>
        <w:pStyle w:val="R2"/>
        <w:numPr>
          <w:ilvl w:val="0"/>
          <w:numId w:val="15"/>
        </w:numPr>
        <w:spacing w:before="120"/>
        <w:ind w:hanging="525"/>
        <w:jc w:val="left"/>
        <w:rPr>
          <w:sz w:val="22"/>
          <w:szCs w:val="22"/>
        </w:rPr>
      </w:pPr>
      <w:r>
        <w:rPr>
          <w:sz w:val="22"/>
          <w:szCs w:val="22"/>
        </w:rPr>
        <w:t xml:space="preserve">may include any other information that the applicant considers relevant. </w:t>
      </w:r>
    </w:p>
    <w:p w14:paraId="59D80CB5" w14:textId="36EFDE1F" w:rsidR="00A75B55" w:rsidRPr="00155D25" w:rsidRDefault="00155D25" w:rsidP="00BD7B67">
      <w:pPr>
        <w:pStyle w:val="R2"/>
        <w:ind w:left="851" w:firstLine="0"/>
        <w:jc w:val="left"/>
        <w:rPr>
          <w:i/>
          <w:iCs/>
          <w:sz w:val="22"/>
          <w:szCs w:val="22"/>
        </w:rPr>
      </w:pPr>
      <w:r>
        <w:rPr>
          <w:i/>
          <w:iCs/>
          <w:sz w:val="22"/>
          <w:szCs w:val="22"/>
        </w:rPr>
        <w:t>Request for additional information</w:t>
      </w:r>
    </w:p>
    <w:p w14:paraId="345183F8" w14:textId="335BB928" w:rsidR="00937A18" w:rsidRDefault="00155D25" w:rsidP="008767D1">
      <w:pPr>
        <w:pStyle w:val="P1"/>
        <w:tabs>
          <w:tab w:val="clear" w:pos="1191"/>
          <w:tab w:val="left" w:pos="567"/>
          <w:tab w:val="right" w:pos="709"/>
        </w:tabs>
        <w:spacing w:before="180"/>
        <w:ind w:left="964" w:hanging="1956"/>
        <w:jc w:val="left"/>
        <w:rPr>
          <w:sz w:val="22"/>
          <w:szCs w:val="22"/>
        </w:rPr>
      </w:pPr>
      <w:r>
        <w:rPr>
          <w:sz w:val="22"/>
          <w:szCs w:val="22"/>
        </w:rPr>
        <w:tab/>
        <w:t>(</w:t>
      </w:r>
      <w:r w:rsidR="003555C8">
        <w:rPr>
          <w:sz w:val="22"/>
          <w:szCs w:val="22"/>
        </w:rPr>
        <w:t>3</w:t>
      </w:r>
      <w:r>
        <w:rPr>
          <w:sz w:val="22"/>
          <w:szCs w:val="22"/>
        </w:rPr>
        <w:t>)</w:t>
      </w:r>
      <w:r>
        <w:rPr>
          <w:sz w:val="22"/>
          <w:szCs w:val="22"/>
        </w:rPr>
        <w:tab/>
      </w:r>
      <w:r w:rsidRPr="00EE6C98">
        <w:rPr>
          <w:sz w:val="22"/>
          <w:szCs w:val="22"/>
        </w:rPr>
        <w:t xml:space="preserve">The ACMA may </w:t>
      </w:r>
      <w:r w:rsidR="003E0EBE">
        <w:rPr>
          <w:sz w:val="22"/>
          <w:szCs w:val="22"/>
        </w:rPr>
        <w:t>ask</w:t>
      </w:r>
      <w:r w:rsidRPr="00EE6C98">
        <w:rPr>
          <w:sz w:val="22"/>
          <w:szCs w:val="22"/>
        </w:rPr>
        <w:t xml:space="preserve"> </w:t>
      </w:r>
      <w:r w:rsidR="0071176B">
        <w:rPr>
          <w:sz w:val="22"/>
          <w:szCs w:val="22"/>
        </w:rPr>
        <w:t>the</w:t>
      </w:r>
      <w:r w:rsidRPr="00EE6C98">
        <w:rPr>
          <w:sz w:val="22"/>
          <w:szCs w:val="22"/>
        </w:rPr>
        <w:t xml:space="preserve"> applicant, in writing, to give it additional information to allow it to make a decision in relation to the applicatio</w:t>
      </w:r>
      <w:r w:rsidR="00631962">
        <w:rPr>
          <w:sz w:val="22"/>
          <w:szCs w:val="22"/>
        </w:rPr>
        <w:t>n</w:t>
      </w:r>
      <w:r w:rsidRPr="00EE6C98">
        <w:rPr>
          <w:sz w:val="22"/>
          <w:szCs w:val="22"/>
        </w:rPr>
        <w:t>.</w:t>
      </w:r>
      <w:r w:rsidR="00BC181A">
        <w:rPr>
          <w:sz w:val="22"/>
          <w:szCs w:val="22"/>
        </w:rPr>
        <w:t xml:space="preserve"> </w:t>
      </w:r>
      <w:r w:rsidR="00937A18">
        <w:rPr>
          <w:sz w:val="22"/>
          <w:szCs w:val="22"/>
        </w:rPr>
        <w:tab/>
      </w:r>
    </w:p>
    <w:p w14:paraId="46D59F16" w14:textId="4D3EE9A7" w:rsidR="00937A18" w:rsidRDefault="00937A18" w:rsidP="008767D1">
      <w:pPr>
        <w:pStyle w:val="P1"/>
        <w:tabs>
          <w:tab w:val="clear" w:pos="1191"/>
          <w:tab w:val="left" w:pos="567"/>
          <w:tab w:val="right" w:pos="709"/>
        </w:tabs>
        <w:spacing w:before="180"/>
        <w:ind w:left="964" w:hanging="1956"/>
        <w:jc w:val="left"/>
        <w:rPr>
          <w:sz w:val="22"/>
          <w:szCs w:val="22"/>
        </w:rPr>
        <w:sectPr w:rsidR="00937A18">
          <w:pgSz w:w="11906" w:h="16838"/>
          <w:pgMar w:top="1440" w:right="1440" w:bottom="1440" w:left="1440" w:header="708" w:footer="708" w:gutter="0"/>
          <w:cols w:space="720"/>
        </w:sectPr>
      </w:pPr>
      <w:r>
        <w:rPr>
          <w:sz w:val="22"/>
          <w:szCs w:val="22"/>
        </w:rPr>
        <w:tab/>
        <w:t>(4)</w:t>
      </w:r>
      <w:r>
        <w:rPr>
          <w:sz w:val="22"/>
          <w:szCs w:val="22"/>
        </w:rPr>
        <w:tab/>
      </w:r>
      <w:r w:rsidR="0071176B">
        <w:rPr>
          <w:sz w:val="22"/>
          <w:szCs w:val="22"/>
        </w:rPr>
        <w:t xml:space="preserve">The applicant must comply with a request made under </w:t>
      </w:r>
      <w:r w:rsidR="0071176B" w:rsidRPr="008767D1">
        <w:rPr>
          <w:sz w:val="22"/>
          <w:szCs w:val="22"/>
        </w:rPr>
        <w:t>subsection (</w:t>
      </w:r>
      <w:r w:rsidR="000B5420" w:rsidRPr="008767D1">
        <w:rPr>
          <w:sz w:val="22"/>
          <w:szCs w:val="22"/>
        </w:rPr>
        <w:t>3</w:t>
      </w:r>
      <w:r w:rsidR="00E8344D">
        <w:rPr>
          <w:sz w:val="22"/>
          <w:szCs w:val="22"/>
        </w:rPr>
        <w:t>)</w:t>
      </w:r>
      <w:r w:rsidR="0071176B" w:rsidRPr="008767D1">
        <w:rPr>
          <w:sz w:val="22"/>
          <w:szCs w:val="22"/>
        </w:rPr>
        <w:t>.</w:t>
      </w:r>
      <w:r w:rsidR="0071176B">
        <w:rPr>
          <w:sz w:val="22"/>
          <w:szCs w:val="22"/>
        </w:rPr>
        <w:t xml:space="preserve"> </w:t>
      </w:r>
    </w:p>
    <w:p w14:paraId="2DCA80FA" w14:textId="69A2D41E" w:rsidR="008D35E3" w:rsidRPr="00B83D18" w:rsidRDefault="00687EEF" w:rsidP="005D4439">
      <w:pPr>
        <w:pStyle w:val="P1"/>
        <w:ind w:left="851"/>
        <w:jc w:val="left"/>
        <w:rPr>
          <w:i/>
          <w:iCs/>
          <w:sz w:val="22"/>
          <w:szCs w:val="22"/>
        </w:rPr>
      </w:pPr>
      <w:r>
        <w:rPr>
          <w:i/>
          <w:iCs/>
          <w:sz w:val="22"/>
          <w:szCs w:val="22"/>
        </w:rPr>
        <w:lastRenderedPageBreak/>
        <w:tab/>
      </w:r>
      <w:r>
        <w:rPr>
          <w:i/>
          <w:iCs/>
          <w:sz w:val="22"/>
          <w:szCs w:val="22"/>
        </w:rPr>
        <w:tab/>
      </w:r>
      <w:r w:rsidR="00463588">
        <w:rPr>
          <w:i/>
          <w:iCs/>
          <w:sz w:val="22"/>
          <w:szCs w:val="22"/>
        </w:rPr>
        <w:t>Decision on application</w:t>
      </w:r>
    </w:p>
    <w:p w14:paraId="73ED186D" w14:textId="0F3C4F0F" w:rsidR="008D35E3" w:rsidRPr="00CA686B" w:rsidRDefault="008D35E3" w:rsidP="008D35E3">
      <w:pPr>
        <w:pStyle w:val="R1"/>
        <w:jc w:val="left"/>
        <w:rPr>
          <w:sz w:val="22"/>
          <w:szCs w:val="22"/>
        </w:rPr>
      </w:pPr>
      <w:r>
        <w:tab/>
      </w:r>
      <w:r w:rsidRPr="00EE6C98">
        <w:rPr>
          <w:sz w:val="22"/>
          <w:szCs w:val="22"/>
        </w:rPr>
        <w:t>(</w:t>
      </w:r>
      <w:r w:rsidR="006F67D9">
        <w:rPr>
          <w:sz w:val="22"/>
          <w:szCs w:val="22"/>
        </w:rPr>
        <w:t>5</w:t>
      </w:r>
      <w:r w:rsidRPr="00EE6C98">
        <w:rPr>
          <w:sz w:val="22"/>
          <w:szCs w:val="22"/>
        </w:rPr>
        <w:t>)</w:t>
      </w:r>
      <w:r w:rsidRPr="00EE6C98">
        <w:rPr>
          <w:sz w:val="22"/>
          <w:szCs w:val="22"/>
        </w:rPr>
        <w:tab/>
        <w:t>The ACMA must consider an application for a remission</w:t>
      </w:r>
      <w:r w:rsidR="002362F5">
        <w:rPr>
          <w:sz w:val="22"/>
          <w:szCs w:val="22"/>
        </w:rPr>
        <w:t xml:space="preserve"> made </w:t>
      </w:r>
      <w:r w:rsidR="002362F5" w:rsidRPr="00CA686B">
        <w:rPr>
          <w:sz w:val="22"/>
          <w:szCs w:val="22"/>
        </w:rPr>
        <w:t>under subsection (1)</w:t>
      </w:r>
      <w:r w:rsidRPr="00CA686B">
        <w:rPr>
          <w:sz w:val="22"/>
          <w:szCs w:val="22"/>
        </w:rPr>
        <w:t>, and decide whether to remit the whole or a part of the amount of late payment penalty:</w:t>
      </w:r>
    </w:p>
    <w:p w14:paraId="69CF13DE" w14:textId="49E6D358" w:rsidR="008D35E3" w:rsidRPr="00CA686B" w:rsidRDefault="008D35E3" w:rsidP="008D35E3">
      <w:pPr>
        <w:pStyle w:val="P1"/>
        <w:jc w:val="left"/>
        <w:rPr>
          <w:sz w:val="22"/>
          <w:szCs w:val="22"/>
        </w:rPr>
      </w:pPr>
      <w:r w:rsidRPr="00CA686B">
        <w:rPr>
          <w:sz w:val="22"/>
          <w:szCs w:val="22"/>
        </w:rPr>
        <w:tab/>
        <w:t>(a)</w:t>
      </w:r>
      <w:r w:rsidRPr="00CA686B">
        <w:rPr>
          <w:sz w:val="22"/>
          <w:szCs w:val="22"/>
        </w:rPr>
        <w:tab/>
        <w:t>if the ACMA asks for additional information</w:t>
      </w:r>
      <w:r w:rsidR="00CF73B6">
        <w:rPr>
          <w:sz w:val="22"/>
          <w:szCs w:val="22"/>
        </w:rPr>
        <w:t xml:space="preserve"> under subsection (3) </w:t>
      </w:r>
      <w:r w:rsidRPr="00CA686B">
        <w:rPr>
          <w:sz w:val="22"/>
          <w:szCs w:val="22"/>
        </w:rPr>
        <w:sym w:font="Symbol" w:char="F0BE"/>
      </w:r>
      <w:r w:rsidRPr="00CA686B">
        <w:rPr>
          <w:sz w:val="22"/>
          <w:szCs w:val="22"/>
        </w:rPr>
        <w:t xml:space="preserve"> within 90 days after receiving the information; or</w:t>
      </w:r>
    </w:p>
    <w:p w14:paraId="483A18AB" w14:textId="77777777" w:rsidR="008D35E3" w:rsidRPr="00CA686B" w:rsidRDefault="008D35E3" w:rsidP="008767D1">
      <w:pPr>
        <w:pStyle w:val="P1"/>
        <w:spacing w:before="120"/>
        <w:jc w:val="left"/>
        <w:rPr>
          <w:sz w:val="22"/>
          <w:szCs w:val="22"/>
        </w:rPr>
      </w:pPr>
      <w:r w:rsidRPr="00CA686B">
        <w:rPr>
          <w:sz w:val="22"/>
          <w:szCs w:val="22"/>
        </w:rPr>
        <w:tab/>
        <w:t>(b)</w:t>
      </w:r>
      <w:r w:rsidRPr="00CA686B">
        <w:rPr>
          <w:sz w:val="22"/>
          <w:szCs w:val="22"/>
        </w:rPr>
        <w:tab/>
        <w:t>in any other case </w:t>
      </w:r>
      <w:r w:rsidRPr="00CA686B">
        <w:rPr>
          <w:sz w:val="22"/>
          <w:szCs w:val="22"/>
        </w:rPr>
        <w:sym w:font="Symbol" w:char="F0BE"/>
      </w:r>
      <w:r w:rsidRPr="00CA686B">
        <w:rPr>
          <w:sz w:val="22"/>
          <w:szCs w:val="22"/>
        </w:rPr>
        <w:t xml:space="preserve"> within 90 days after receiving the application.</w:t>
      </w:r>
    </w:p>
    <w:p w14:paraId="77D13CF9" w14:textId="152047CF" w:rsidR="008D35E3" w:rsidRPr="00CA686B" w:rsidRDefault="008D35E3" w:rsidP="008D35E3">
      <w:pPr>
        <w:pStyle w:val="R2"/>
        <w:jc w:val="left"/>
        <w:rPr>
          <w:sz w:val="22"/>
          <w:szCs w:val="22"/>
        </w:rPr>
      </w:pPr>
      <w:r w:rsidRPr="00CA686B">
        <w:rPr>
          <w:sz w:val="22"/>
          <w:szCs w:val="22"/>
        </w:rPr>
        <w:tab/>
        <w:t>(</w:t>
      </w:r>
      <w:r w:rsidR="006F67D9" w:rsidRPr="00CA686B">
        <w:rPr>
          <w:sz w:val="22"/>
          <w:szCs w:val="22"/>
        </w:rPr>
        <w:t>6</w:t>
      </w:r>
      <w:r w:rsidRPr="00CA686B">
        <w:rPr>
          <w:sz w:val="22"/>
          <w:szCs w:val="22"/>
        </w:rPr>
        <w:t>)</w:t>
      </w:r>
      <w:r w:rsidRPr="00CA686B">
        <w:rPr>
          <w:sz w:val="22"/>
          <w:szCs w:val="22"/>
        </w:rPr>
        <w:tab/>
        <w:t xml:space="preserve">The ACMA may remit the whole or a part of the amount </w:t>
      </w:r>
      <w:r w:rsidR="00A14FD2" w:rsidRPr="00CA686B">
        <w:rPr>
          <w:sz w:val="22"/>
          <w:szCs w:val="22"/>
        </w:rPr>
        <w:t xml:space="preserve">only </w:t>
      </w:r>
      <w:r w:rsidRPr="00CA686B">
        <w:rPr>
          <w:sz w:val="22"/>
          <w:szCs w:val="22"/>
        </w:rPr>
        <w:t>if it is satisfied that:</w:t>
      </w:r>
    </w:p>
    <w:p w14:paraId="311D0908" w14:textId="3F3CCBF3" w:rsidR="008D35E3" w:rsidRPr="00CA686B" w:rsidRDefault="008D35E3" w:rsidP="008D35E3">
      <w:pPr>
        <w:pStyle w:val="P1"/>
        <w:jc w:val="left"/>
        <w:rPr>
          <w:sz w:val="22"/>
          <w:szCs w:val="22"/>
        </w:rPr>
      </w:pPr>
      <w:r w:rsidRPr="00CA686B">
        <w:rPr>
          <w:sz w:val="22"/>
          <w:szCs w:val="22"/>
        </w:rPr>
        <w:tab/>
        <w:t>(a)</w:t>
      </w:r>
      <w:r w:rsidRPr="00CA686B">
        <w:rPr>
          <w:sz w:val="22"/>
          <w:szCs w:val="22"/>
        </w:rPr>
        <w:tab/>
        <w:t xml:space="preserve">the failure to pay the annual charge is not because of an act or omission </w:t>
      </w:r>
      <w:r w:rsidR="00305D56">
        <w:rPr>
          <w:sz w:val="22"/>
          <w:szCs w:val="22"/>
        </w:rPr>
        <w:t>within</w:t>
      </w:r>
      <w:r w:rsidR="00305D56" w:rsidRPr="00CA686B">
        <w:rPr>
          <w:sz w:val="22"/>
          <w:szCs w:val="22"/>
        </w:rPr>
        <w:t xml:space="preserve"> </w:t>
      </w:r>
      <w:r w:rsidRPr="00CA686B">
        <w:rPr>
          <w:sz w:val="22"/>
          <w:szCs w:val="22"/>
        </w:rPr>
        <w:t>the applicant’s control; or</w:t>
      </w:r>
    </w:p>
    <w:p w14:paraId="41F03306" w14:textId="77777777" w:rsidR="008D35E3" w:rsidRPr="00CA686B" w:rsidRDefault="008D35E3" w:rsidP="008767D1">
      <w:pPr>
        <w:pStyle w:val="P1"/>
        <w:spacing w:before="120"/>
        <w:jc w:val="left"/>
        <w:rPr>
          <w:sz w:val="22"/>
          <w:szCs w:val="22"/>
        </w:rPr>
      </w:pPr>
      <w:r w:rsidRPr="00CA686B">
        <w:rPr>
          <w:sz w:val="22"/>
          <w:szCs w:val="22"/>
        </w:rPr>
        <w:tab/>
        <w:t>(b)</w:t>
      </w:r>
      <w:r w:rsidRPr="00CA686B">
        <w:rPr>
          <w:sz w:val="22"/>
          <w:szCs w:val="22"/>
        </w:rPr>
        <w:tab/>
        <w:t>recovering the whole or a part of the amount is impractical.</w:t>
      </w:r>
    </w:p>
    <w:p w14:paraId="36E25315" w14:textId="6022F430" w:rsidR="008D35E3" w:rsidRPr="00CA686B" w:rsidRDefault="008D35E3" w:rsidP="008D35E3">
      <w:pPr>
        <w:pStyle w:val="R2"/>
        <w:jc w:val="left"/>
        <w:rPr>
          <w:sz w:val="22"/>
          <w:szCs w:val="22"/>
        </w:rPr>
      </w:pPr>
      <w:r w:rsidRPr="00CA686B">
        <w:rPr>
          <w:sz w:val="22"/>
          <w:szCs w:val="22"/>
        </w:rPr>
        <w:tab/>
        <w:t>(</w:t>
      </w:r>
      <w:r w:rsidR="006F67D9" w:rsidRPr="00CA686B">
        <w:rPr>
          <w:sz w:val="22"/>
          <w:szCs w:val="22"/>
        </w:rPr>
        <w:t>7</w:t>
      </w:r>
      <w:r w:rsidRPr="00CA686B">
        <w:rPr>
          <w:sz w:val="22"/>
          <w:szCs w:val="22"/>
        </w:rPr>
        <w:t>)</w:t>
      </w:r>
      <w:r w:rsidRPr="00CA686B">
        <w:rPr>
          <w:sz w:val="22"/>
          <w:szCs w:val="22"/>
        </w:rPr>
        <w:tab/>
        <w:t>If the ACMA is not satisfied in accordance with subsection (</w:t>
      </w:r>
      <w:r w:rsidR="00CA686B" w:rsidRPr="00CA686B">
        <w:rPr>
          <w:sz w:val="22"/>
          <w:szCs w:val="22"/>
        </w:rPr>
        <w:t>6</w:t>
      </w:r>
      <w:r w:rsidRPr="00CA686B">
        <w:rPr>
          <w:sz w:val="22"/>
          <w:szCs w:val="22"/>
        </w:rPr>
        <w:t>), the ACMA must refuse to remit the whole or a part of the amount.</w:t>
      </w:r>
    </w:p>
    <w:p w14:paraId="067DF5B4" w14:textId="5C2D0D25" w:rsidR="00073055" w:rsidRPr="00CA686B" w:rsidRDefault="00073055" w:rsidP="008D35E3">
      <w:pPr>
        <w:pStyle w:val="R1"/>
        <w:tabs>
          <w:tab w:val="clear" w:pos="794"/>
          <w:tab w:val="right" w:pos="-2268"/>
        </w:tabs>
        <w:ind w:firstLine="0"/>
        <w:jc w:val="left"/>
        <w:rPr>
          <w:i/>
          <w:iCs/>
          <w:sz w:val="22"/>
          <w:szCs w:val="22"/>
        </w:rPr>
      </w:pPr>
      <w:r w:rsidRPr="00CA686B">
        <w:rPr>
          <w:i/>
          <w:iCs/>
          <w:sz w:val="22"/>
          <w:szCs w:val="22"/>
        </w:rPr>
        <w:t>Notification of decision</w:t>
      </w:r>
    </w:p>
    <w:p w14:paraId="6BF09932" w14:textId="41466094" w:rsidR="008D35E3" w:rsidRPr="00EE6C98" w:rsidRDefault="00C10ECA" w:rsidP="008767D1">
      <w:pPr>
        <w:pStyle w:val="R1"/>
        <w:tabs>
          <w:tab w:val="clear" w:pos="794"/>
          <w:tab w:val="right" w:pos="-2268"/>
        </w:tabs>
        <w:ind w:hanging="397"/>
        <w:jc w:val="left"/>
        <w:rPr>
          <w:sz w:val="22"/>
          <w:szCs w:val="22"/>
        </w:rPr>
      </w:pPr>
      <w:r w:rsidRPr="00CA686B">
        <w:rPr>
          <w:sz w:val="22"/>
          <w:szCs w:val="22"/>
        </w:rPr>
        <w:t>(</w:t>
      </w:r>
      <w:r w:rsidR="006F67D9" w:rsidRPr="00CA686B">
        <w:rPr>
          <w:sz w:val="22"/>
          <w:szCs w:val="22"/>
        </w:rPr>
        <w:t>8</w:t>
      </w:r>
      <w:r w:rsidRPr="00CA686B">
        <w:rPr>
          <w:sz w:val="22"/>
          <w:szCs w:val="22"/>
        </w:rPr>
        <w:t>)</w:t>
      </w:r>
      <w:r w:rsidRPr="00CA686B">
        <w:rPr>
          <w:sz w:val="22"/>
          <w:szCs w:val="22"/>
        </w:rPr>
        <w:tab/>
      </w:r>
      <w:r w:rsidR="008D35E3" w:rsidRPr="00CA686B">
        <w:rPr>
          <w:sz w:val="22"/>
          <w:szCs w:val="22"/>
        </w:rPr>
        <w:t xml:space="preserve">If the ACMA makes a decision </w:t>
      </w:r>
      <w:r w:rsidR="00AE433A" w:rsidRPr="00CA686B">
        <w:rPr>
          <w:sz w:val="22"/>
          <w:szCs w:val="22"/>
        </w:rPr>
        <w:t>under subsection (</w:t>
      </w:r>
      <w:r w:rsidR="00CA686B" w:rsidRPr="00CA686B">
        <w:rPr>
          <w:sz w:val="22"/>
          <w:szCs w:val="22"/>
        </w:rPr>
        <w:t>7</w:t>
      </w:r>
      <w:r w:rsidR="00AE433A" w:rsidRPr="00CA686B">
        <w:rPr>
          <w:sz w:val="22"/>
          <w:szCs w:val="22"/>
        </w:rPr>
        <w:t>)</w:t>
      </w:r>
      <w:r w:rsidR="008D35E3" w:rsidRPr="00CA686B">
        <w:rPr>
          <w:sz w:val="22"/>
          <w:szCs w:val="22"/>
        </w:rPr>
        <w:t>, it must give the</w:t>
      </w:r>
      <w:r w:rsidR="008D35E3" w:rsidRPr="00EE6C98">
        <w:rPr>
          <w:sz w:val="22"/>
          <w:szCs w:val="22"/>
        </w:rPr>
        <w:t xml:space="preserve"> applicant a written statement of:</w:t>
      </w:r>
    </w:p>
    <w:p w14:paraId="0831F759" w14:textId="77777777" w:rsidR="008D35E3" w:rsidRPr="00EE6C98" w:rsidRDefault="008D35E3" w:rsidP="008D35E3">
      <w:pPr>
        <w:pStyle w:val="P1"/>
        <w:jc w:val="left"/>
        <w:rPr>
          <w:sz w:val="22"/>
          <w:szCs w:val="22"/>
        </w:rPr>
      </w:pPr>
      <w:r w:rsidRPr="00EE6C98">
        <w:rPr>
          <w:sz w:val="22"/>
          <w:szCs w:val="22"/>
        </w:rPr>
        <w:tab/>
        <w:t>(a)</w:t>
      </w:r>
      <w:r w:rsidRPr="00EE6C98">
        <w:rPr>
          <w:sz w:val="22"/>
          <w:szCs w:val="22"/>
        </w:rPr>
        <w:tab/>
        <w:t>the reasons for the decision; and</w:t>
      </w:r>
    </w:p>
    <w:p w14:paraId="7FEABF42" w14:textId="77777777" w:rsidR="008D35E3" w:rsidRPr="00EE6C98" w:rsidRDefault="008D35E3" w:rsidP="008767D1">
      <w:pPr>
        <w:pStyle w:val="P1"/>
        <w:keepNext/>
        <w:keepLines/>
        <w:spacing w:before="120"/>
        <w:jc w:val="left"/>
        <w:rPr>
          <w:sz w:val="22"/>
          <w:szCs w:val="22"/>
        </w:rPr>
      </w:pPr>
      <w:r w:rsidRPr="00EE6C98">
        <w:rPr>
          <w:sz w:val="22"/>
          <w:szCs w:val="22"/>
        </w:rPr>
        <w:tab/>
        <w:t>(b)</w:t>
      </w:r>
      <w:r w:rsidRPr="00EE6C98">
        <w:rPr>
          <w:sz w:val="22"/>
          <w:szCs w:val="22"/>
        </w:rPr>
        <w:tab/>
        <w:t>the arrangements under the Act for reviewing the decision.</w:t>
      </w:r>
    </w:p>
    <w:p w14:paraId="6BB85470" w14:textId="7F2F872E" w:rsidR="008D35E3" w:rsidRPr="00F63A98" w:rsidRDefault="00F63A98" w:rsidP="008D35E3">
      <w:pPr>
        <w:pStyle w:val="Note"/>
        <w:jc w:val="left"/>
        <w:rPr>
          <w:sz w:val="18"/>
          <w:szCs w:val="18"/>
        </w:rPr>
      </w:pPr>
      <w:r>
        <w:rPr>
          <w:sz w:val="18"/>
          <w:szCs w:val="18"/>
        </w:rPr>
        <w:t>Note:</w:t>
      </w:r>
      <w:r>
        <w:rPr>
          <w:sz w:val="18"/>
          <w:szCs w:val="18"/>
        </w:rPr>
        <w:tab/>
      </w:r>
      <w:r w:rsidR="008D35E3" w:rsidRPr="00F63A98">
        <w:rPr>
          <w:sz w:val="18"/>
          <w:szCs w:val="18"/>
        </w:rPr>
        <w:t>A</w:t>
      </w:r>
      <w:r w:rsidR="00421224" w:rsidRPr="00F63A98">
        <w:rPr>
          <w:sz w:val="18"/>
          <w:szCs w:val="18"/>
        </w:rPr>
        <w:t xml:space="preserve"> person affected by a decision about the remission of the whole or a part of an amount of late payment penalty may apply </w:t>
      </w:r>
      <w:r w:rsidR="008D35E3" w:rsidRPr="00F63A98">
        <w:rPr>
          <w:sz w:val="18"/>
          <w:szCs w:val="18"/>
        </w:rPr>
        <w:t>to the ACMA for reconsideration of</w:t>
      </w:r>
      <w:r w:rsidR="004E77F3" w:rsidRPr="00F63A98">
        <w:rPr>
          <w:sz w:val="18"/>
          <w:szCs w:val="18"/>
        </w:rPr>
        <w:t xml:space="preserve"> that decision</w:t>
      </w:r>
      <w:r w:rsidR="008D35E3" w:rsidRPr="00F63A98">
        <w:rPr>
          <w:sz w:val="18"/>
          <w:szCs w:val="18"/>
        </w:rPr>
        <w:t xml:space="preserve"> (see section</w:t>
      </w:r>
      <w:r w:rsidR="00421224" w:rsidRPr="00F63A98">
        <w:rPr>
          <w:sz w:val="18"/>
          <w:szCs w:val="18"/>
        </w:rPr>
        <w:t>s</w:t>
      </w:r>
      <w:r w:rsidR="008D35E3" w:rsidRPr="00F63A98">
        <w:rPr>
          <w:sz w:val="18"/>
          <w:szCs w:val="18"/>
        </w:rPr>
        <w:t xml:space="preserve"> 555</w:t>
      </w:r>
      <w:r w:rsidR="00421224" w:rsidRPr="00F63A98">
        <w:rPr>
          <w:sz w:val="18"/>
          <w:szCs w:val="18"/>
        </w:rPr>
        <w:t xml:space="preserve"> and 558</w:t>
      </w:r>
      <w:r w:rsidR="008D35E3" w:rsidRPr="00F63A98">
        <w:rPr>
          <w:sz w:val="18"/>
          <w:szCs w:val="18"/>
        </w:rPr>
        <w:t xml:space="preserve"> of the Act and paragraph 1(d) of Schedule 4 to the Act). If the ACMA affirms or varies the original decision under section 559 of the Act, an application may be made to the Administrative Appeals Tribunal for review of the decision (see section 562 of the Act).</w:t>
      </w:r>
    </w:p>
    <w:p w14:paraId="022F4E65" w14:textId="77777777" w:rsidR="008D35E3" w:rsidRDefault="008D35E3" w:rsidP="00086BF0">
      <w:pPr>
        <w:tabs>
          <w:tab w:val="left" w:pos="2664"/>
        </w:tabs>
        <w:rPr>
          <w:lang w:eastAsia="en-AU"/>
        </w:rPr>
      </w:pPr>
    </w:p>
    <w:p w14:paraId="68785EB3" w14:textId="77777777" w:rsidR="00086BF0" w:rsidRDefault="00086BF0" w:rsidP="00086BF0">
      <w:pPr>
        <w:tabs>
          <w:tab w:val="left" w:pos="2664"/>
        </w:tabs>
        <w:rPr>
          <w:lang w:eastAsia="en-AU"/>
        </w:rPr>
      </w:pPr>
      <w:r>
        <w:rPr>
          <w:lang w:eastAsia="en-AU"/>
        </w:rPr>
        <w:tab/>
      </w:r>
    </w:p>
    <w:p w14:paraId="6CD5FA5A" w14:textId="77777777" w:rsidR="00086BF0" w:rsidRDefault="00086BF0" w:rsidP="00086BF0">
      <w:pPr>
        <w:spacing w:after="0"/>
        <w:rPr>
          <w:lang w:eastAsia="en-AU"/>
        </w:rPr>
        <w:sectPr w:rsidR="00086BF0">
          <w:pgSz w:w="11906" w:h="16838"/>
          <w:pgMar w:top="1440" w:right="1440" w:bottom="1440" w:left="1440" w:header="708" w:footer="708" w:gutter="0"/>
          <w:cols w:space="720"/>
        </w:sectPr>
      </w:pPr>
    </w:p>
    <w:p w14:paraId="38F9F6BA" w14:textId="77777777" w:rsidR="002E357E" w:rsidRDefault="002E357E" w:rsidP="002E357E">
      <w:pPr>
        <w:pStyle w:val="Scheduletitle"/>
      </w:pPr>
      <w:bookmarkStart w:id="9" w:name="_Toc102789561"/>
      <w:r w:rsidRPr="00A90EB2">
        <w:rPr>
          <w:rStyle w:val="CharAmSchNo"/>
        </w:rPr>
        <w:lastRenderedPageBreak/>
        <w:t>Schedule 1</w:t>
      </w:r>
      <w:r>
        <w:tab/>
      </w:r>
      <w:r w:rsidRPr="00A90EB2">
        <w:rPr>
          <w:rStyle w:val="CharAmSchText"/>
        </w:rPr>
        <w:t>Calculation of previous financial year average GIC rate</w:t>
      </w:r>
      <w:bookmarkEnd w:id="9"/>
    </w:p>
    <w:p w14:paraId="55E7812F" w14:textId="65260C59" w:rsidR="002E357E" w:rsidRDefault="002E357E" w:rsidP="008767D1">
      <w:pPr>
        <w:pStyle w:val="Schedulereference"/>
      </w:pPr>
      <w:r w:rsidRPr="00DD6202">
        <w:t>(</w:t>
      </w:r>
      <w:proofErr w:type="gramStart"/>
      <w:r w:rsidRPr="00DD6202">
        <w:t>section</w:t>
      </w:r>
      <w:proofErr w:type="gramEnd"/>
      <w:r w:rsidRPr="00DD6202">
        <w:t xml:space="preserve"> </w:t>
      </w:r>
      <w:r w:rsidR="00982A5C" w:rsidRPr="00DD6202">
        <w:t>5</w:t>
      </w:r>
      <w:r w:rsidRPr="00DD6202">
        <w:t>)</w:t>
      </w:r>
    </w:p>
    <w:p w14:paraId="2D53DADE" w14:textId="5F161C40" w:rsidR="002E357E" w:rsidRPr="00B23E87" w:rsidRDefault="00584995" w:rsidP="002E357E">
      <w:pPr>
        <w:pStyle w:val="Schedulepara"/>
        <w:jc w:val="left"/>
        <w:rPr>
          <w:sz w:val="22"/>
          <w:szCs w:val="22"/>
        </w:rPr>
      </w:pPr>
      <w:r>
        <w:rPr>
          <w:b/>
          <w:i/>
          <w:sz w:val="22"/>
          <w:szCs w:val="22"/>
        </w:rPr>
        <w:tab/>
      </w:r>
      <w:r>
        <w:rPr>
          <w:b/>
          <w:i/>
          <w:sz w:val="22"/>
          <w:szCs w:val="22"/>
        </w:rPr>
        <w:tab/>
      </w:r>
      <w:r w:rsidR="000C7895" w:rsidRPr="008767D1">
        <w:rPr>
          <w:bCs/>
          <w:iCs/>
          <w:sz w:val="22"/>
          <w:szCs w:val="22"/>
        </w:rPr>
        <w:t>The</w:t>
      </w:r>
      <w:r w:rsidR="000C7895">
        <w:rPr>
          <w:b/>
          <w:iCs/>
          <w:sz w:val="22"/>
          <w:szCs w:val="22"/>
        </w:rPr>
        <w:t xml:space="preserve"> </w:t>
      </w:r>
      <w:r w:rsidR="00CF73B6">
        <w:rPr>
          <w:b/>
          <w:i/>
          <w:sz w:val="22"/>
          <w:szCs w:val="22"/>
        </w:rPr>
        <w:t>p</w:t>
      </w:r>
      <w:r w:rsidR="002E357E" w:rsidRPr="00B23E87">
        <w:rPr>
          <w:b/>
          <w:i/>
          <w:sz w:val="22"/>
          <w:szCs w:val="22"/>
        </w:rPr>
        <w:t>revious financial year average GIC rate</w:t>
      </w:r>
      <w:r w:rsidR="002E357E" w:rsidRPr="00B23E87">
        <w:rPr>
          <w:sz w:val="22"/>
          <w:szCs w:val="22"/>
        </w:rPr>
        <w:t xml:space="preserve"> is the rate worked out as follows:</w:t>
      </w:r>
    </w:p>
    <w:p w14:paraId="0500349E" w14:textId="3958B5FC" w:rsidR="002E357E" w:rsidRPr="00B23E87" w:rsidRDefault="00584995" w:rsidP="002E357E">
      <w:pPr>
        <w:pStyle w:val="Schedulepara"/>
        <w:jc w:val="left"/>
        <w:rPr>
          <w:sz w:val="22"/>
          <w:szCs w:val="22"/>
        </w:rPr>
      </w:pPr>
      <w:r>
        <w:rPr>
          <w:sz w:val="22"/>
          <w:szCs w:val="22"/>
        </w:rPr>
        <w:tab/>
      </w:r>
      <w:r w:rsidR="00F73123" w:rsidRPr="00B23E87">
        <w:rPr>
          <w:sz w:val="22"/>
          <w:szCs w:val="22"/>
        </w:rPr>
        <w:t>Step 1</w:t>
      </w:r>
      <w:r w:rsidR="002E357E" w:rsidRPr="00B23E87">
        <w:rPr>
          <w:sz w:val="22"/>
          <w:szCs w:val="22"/>
        </w:rPr>
        <w:tab/>
      </w:r>
      <w:r w:rsidR="00BE65EC" w:rsidRPr="00B23E87">
        <w:rPr>
          <w:sz w:val="22"/>
          <w:szCs w:val="22"/>
        </w:rPr>
        <w:t>U</w:t>
      </w:r>
      <w:r w:rsidR="002E357E" w:rsidRPr="00B23E87">
        <w:rPr>
          <w:sz w:val="22"/>
          <w:szCs w:val="22"/>
        </w:rPr>
        <w:t>se the formula:</w:t>
      </w:r>
    </w:p>
    <w:p w14:paraId="73EF4D30" w14:textId="2C298448" w:rsidR="002E357E" w:rsidRPr="00B23E87" w:rsidRDefault="00F162CB" w:rsidP="002E357E">
      <w:pPr>
        <w:pStyle w:val="A1S"/>
        <w:spacing w:after="480"/>
        <w:ind w:firstLine="29"/>
        <w:rPr>
          <w:rFonts w:ascii="Times New Roman" w:hAnsi="Times New Roman"/>
          <w:sz w:val="22"/>
          <w:szCs w:val="22"/>
        </w:rPr>
      </w:pPr>
      <w:r w:rsidRPr="00B23E87">
        <w:rPr>
          <w:rFonts w:ascii="Times New Roman" w:hAnsi="Times New Roman"/>
          <w:position w:val="-24"/>
          <w:sz w:val="22"/>
          <w:szCs w:val="22"/>
        </w:rPr>
        <w:object w:dxaOrig="2200" w:dyaOrig="620" w14:anchorId="60795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1 + Q2 + Q3 + Q4 / 4" style="width:110.25pt;height:30.75pt;mso-position-vertical:absolute" o:ole="">
            <v:imagedata r:id="rId12" o:title=""/>
          </v:shape>
          <o:OLEObject Type="Embed" ProgID="Equation.DSMT4" ShapeID="_x0000_i1025" DrawAspect="Content" ObjectID="_1756292896" r:id="rId13"/>
        </w:object>
      </w:r>
      <w:r w:rsidRPr="00B23E87">
        <w:rPr>
          <w:rFonts w:ascii="Times New Roman" w:hAnsi="Times New Roman"/>
          <w:position w:val="-4"/>
          <w:sz w:val="22"/>
          <w:szCs w:val="22"/>
        </w:rPr>
        <w:object w:dxaOrig="180" w:dyaOrig="279" w14:anchorId="2A88FC28">
          <v:shape id="_x0000_i1026" type="#_x0000_t75" alt="Non-visual character" style="width:9pt;height:14.25pt;mso-position-horizontal:absolute" o:ole="">
            <v:imagedata r:id="rId14" o:title=""/>
          </v:shape>
          <o:OLEObject Type="Embed" ProgID="Equation.DSMT4" ShapeID="_x0000_i1026" DrawAspect="Content" ObjectID="_1756292897" r:id="rId15"/>
        </w:object>
      </w:r>
    </w:p>
    <w:p w14:paraId="3E7128B1" w14:textId="77777777" w:rsidR="002E357E" w:rsidRPr="00B23E87" w:rsidRDefault="002E357E" w:rsidP="002E357E">
      <w:pPr>
        <w:pStyle w:val="Rc"/>
        <w:jc w:val="left"/>
        <w:rPr>
          <w:sz w:val="22"/>
          <w:szCs w:val="22"/>
        </w:rPr>
      </w:pPr>
      <w:r w:rsidRPr="00B23E87">
        <w:rPr>
          <w:sz w:val="22"/>
          <w:szCs w:val="22"/>
        </w:rPr>
        <w:t xml:space="preserve">where: </w:t>
      </w:r>
    </w:p>
    <w:p w14:paraId="1632EAB1" w14:textId="38408FA0" w:rsidR="002E357E" w:rsidRPr="00B23E87" w:rsidRDefault="002E357E" w:rsidP="002E357E">
      <w:pPr>
        <w:pStyle w:val="definition0"/>
        <w:jc w:val="left"/>
        <w:rPr>
          <w:sz w:val="22"/>
          <w:szCs w:val="22"/>
        </w:rPr>
      </w:pPr>
      <w:r w:rsidRPr="00B23E87">
        <w:rPr>
          <w:b/>
          <w:bCs/>
          <w:i/>
          <w:iCs/>
          <w:sz w:val="22"/>
          <w:szCs w:val="22"/>
        </w:rPr>
        <w:t>Q1</w:t>
      </w:r>
      <w:r w:rsidRPr="00B23E87">
        <w:rPr>
          <w:sz w:val="22"/>
          <w:szCs w:val="22"/>
        </w:rPr>
        <w:t xml:space="preserve"> means the average of the </w:t>
      </w:r>
      <w:r w:rsidR="00EC1730" w:rsidRPr="00B23E87">
        <w:rPr>
          <w:sz w:val="22"/>
          <w:szCs w:val="22"/>
        </w:rPr>
        <w:t>GIC</w:t>
      </w:r>
      <w:r w:rsidRPr="00B23E87">
        <w:rPr>
          <w:sz w:val="22"/>
          <w:szCs w:val="22"/>
        </w:rPr>
        <w:t xml:space="preserve"> rates that applied during the first quarter of the financial year that ended most recently before the day for which the rate is being worked out;</w:t>
      </w:r>
    </w:p>
    <w:p w14:paraId="3A623A5B" w14:textId="43E78708" w:rsidR="002E357E" w:rsidRPr="00B23E87" w:rsidRDefault="002E357E" w:rsidP="002E357E">
      <w:pPr>
        <w:pStyle w:val="definition0"/>
        <w:jc w:val="left"/>
        <w:rPr>
          <w:sz w:val="22"/>
          <w:szCs w:val="22"/>
        </w:rPr>
      </w:pPr>
      <w:r w:rsidRPr="00B23E87">
        <w:rPr>
          <w:b/>
          <w:bCs/>
          <w:i/>
          <w:iCs/>
          <w:sz w:val="22"/>
          <w:szCs w:val="22"/>
        </w:rPr>
        <w:t>Q2</w:t>
      </w:r>
      <w:r w:rsidRPr="00B23E87">
        <w:rPr>
          <w:sz w:val="22"/>
          <w:szCs w:val="22"/>
        </w:rPr>
        <w:t xml:space="preserve"> means the average of the </w:t>
      </w:r>
      <w:r w:rsidR="00EC1730" w:rsidRPr="00B23E87">
        <w:rPr>
          <w:sz w:val="22"/>
          <w:szCs w:val="22"/>
        </w:rPr>
        <w:t>GIC rates</w:t>
      </w:r>
      <w:r w:rsidRPr="00B23E87">
        <w:rPr>
          <w:sz w:val="22"/>
          <w:szCs w:val="22"/>
        </w:rPr>
        <w:t xml:space="preserve"> that applied during the second quarter of the financial year that ended most recently before the day for which the rate is being worked out;</w:t>
      </w:r>
    </w:p>
    <w:p w14:paraId="6565756C" w14:textId="4F3B33AD" w:rsidR="002E357E" w:rsidRPr="00B23E87" w:rsidRDefault="002E357E" w:rsidP="002E357E">
      <w:pPr>
        <w:pStyle w:val="definition0"/>
        <w:keepNext/>
        <w:keepLines/>
        <w:jc w:val="left"/>
        <w:rPr>
          <w:sz w:val="22"/>
          <w:szCs w:val="22"/>
        </w:rPr>
      </w:pPr>
      <w:r w:rsidRPr="00B23E87">
        <w:rPr>
          <w:b/>
          <w:bCs/>
          <w:i/>
          <w:iCs/>
          <w:sz w:val="22"/>
          <w:szCs w:val="22"/>
        </w:rPr>
        <w:t>Q3</w:t>
      </w:r>
      <w:r w:rsidRPr="00B23E87">
        <w:rPr>
          <w:sz w:val="22"/>
          <w:szCs w:val="22"/>
        </w:rPr>
        <w:t xml:space="preserve"> means the average of the </w:t>
      </w:r>
      <w:r w:rsidR="00EC1730" w:rsidRPr="00B23E87">
        <w:rPr>
          <w:sz w:val="22"/>
          <w:szCs w:val="22"/>
        </w:rPr>
        <w:t>GIC rates</w:t>
      </w:r>
      <w:r w:rsidRPr="00B23E87">
        <w:rPr>
          <w:sz w:val="22"/>
          <w:szCs w:val="22"/>
        </w:rPr>
        <w:t xml:space="preserve"> that applied during the third quarter of the financial year that ended most recently before the day for which the rate is being worked out; and</w:t>
      </w:r>
    </w:p>
    <w:p w14:paraId="00568B34" w14:textId="6D251459" w:rsidR="002E357E" w:rsidRPr="00B23E87" w:rsidRDefault="002E357E" w:rsidP="002E357E">
      <w:pPr>
        <w:pStyle w:val="definition0"/>
        <w:jc w:val="left"/>
        <w:rPr>
          <w:sz w:val="22"/>
          <w:szCs w:val="22"/>
        </w:rPr>
      </w:pPr>
      <w:r w:rsidRPr="00B23E87">
        <w:rPr>
          <w:b/>
          <w:bCs/>
          <w:i/>
          <w:iCs/>
          <w:sz w:val="22"/>
          <w:szCs w:val="22"/>
        </w:rPr>
        <w:t>Q4</w:t>
      </w:r>
      <w:r w:rsidRPr="00B23E87">
        <w:rPr>
          <w:sz w:val="22"/>
          <w:szCs w:val="22"/>
        </w:rPr>
        <w:t xml:space="preserve"> means the average of the </w:t>
      </w:r>
      <w:r w:rsidR="00EC1730" w:rsidRPr="00B23E87">
        <w:rPr>
          <w:sz w:val="22"/>
          <w:szCs w:val="22"/>
        </w:rPr>
        <w:t>GIC rates</w:t>
      </w:r>
      <w:r w:rsidRPr="00B23E87">
        <w:rPr>
          <w:sz w:val="22"/>
          <w:szCs w:val="22"/>
        </w:rPr>
        <w:t xml:space="preserve"> that applied during the fourth quarter of the financial year that ended most recently before the day for which the rate is being worked out</w:t>
      </w:r>
      <w:r w:rsidR="00BE65EC" w:rsidRPr="00B23E87">
        <w:rPr>
          <w:sz w:val="22"/>
          <w:szCs w:val="22"/>
        </w:rPr>
        <w:t>.</w:t>
      </w:r>
    </w:p>
    <w:p w14:paraId="596E7611" w14:textId="20D2E046" w:rsidR="00EC1730" w:rsidRPr="00B23E87" w:rsidRDefault="00BE65EC" w:rsidP="002E357E">
      <w:pPr>
        <w:pStyle w:val="Schedulepara"/>
        <w:jc w:val="left"/>
        <w:rPr>
          <w:sz w:val="22"/>
          <w:szCs w:val="22"/>
        </w:rPr>
      </w:pPr>
      <w:r w:rsidRPr="00B23E87">
        <w:rPr>
          <w:sz w:val="22"/>
          <w:szCs w:val="22"/>
        </w:rPr>
        <w:t xml:space="preserve">Step </w:t>
      </w:r>
      <w:r w:rsidR="002E357E" w:rsidRPr="00B23E87">
        <w:rPr>
          <w:sz w:val="22"/>
          <w:szCs w:val="22"/>
        </w:rPr>
        <w:t>2.</w:t>
      </w:r>
      <w:r w:rsidR="002E357E" w:rsidRPr="00B23E87">
        <w:rPr>
          <w:sz w:val="22"/>
          <w:szCs w:val="22"/>
        </w:rPr>
        <w:tab/>
      </w:r>
      <w:r w:rsidRPr="00B23E87">
        <w:rPr>
          <w:sz w:val="22"/>
          <w:szCs w:val="22"/>
        </w:rPr>
        <w:t>R</w:t>
      </w:r>
      <w:r w:rsidR="002E357E" w:rsidRPr="00B23E87">
        <w:rPr>
          <w:sz w:val="22"/>
          <w:szCs w:val="22"/>
        </w:rPr>
        <w:t xml:space="preserve">ound the amount obtained using the formula in </w:t>
      </w:r>
      <w:r w:rsidRPr="00B23E87">
        <w:rPr>
          <w:sz w:val="22"/>
          <w:szCs w:val="22"/>
        </w:rPr>
        <w:t>Step</w:t>
      </w:r>
      <w:r w:rsidR="002E357E" w:rsidRPr="00B23E87">
        <w:rPr>
          <w:sz w:val="22"/>
          <w:szCs w:val="22"/>
        </w:rPr>
        <w:t xml:space="preserve"> 1 to the second decimal place</w:t>
      </w:r>
      <w:r w:rsidR="00002F70">
        <w:rPr>
          <w:sz w:val="22"/>
          <w:szCs w:val="22"/>
        </w:rPr>
        <w:t>.</w:t>
      </w:r>
      <w:r w:rsidR="002E357E" w:rsidRPr="00B23E87">
        <w:rPr>
          <w:sz w:val="22"/>
          <w:szCs w:val="22"/>
        </w:rPr>
        <w:t xml:space="preserve"> </w:t>
      </w:r>
    </w:p>
    <w:p w14:paraId="1326EAA3" w14:textId="6E46A208" w:rsidR="002E357E" w:rsidRPr="00B23E87" w:rsidRDefault="00EC1730" w:rsidP="002E357E">
      <w:pPr>
        <w:pStyle w:val="Schedulepara"/>
        <w:jc w:val="left"/>
        <w:rPr>
          <w:sz w:val="20"/>
          <w:szCs w:val="20"/>
        </w:rPr>
      </w:pPr>
      <w:r>
        <w:tab/>
      </w:r>
      <w:r>
        <w:tab/>
      </w:r>
      <w:r w:rsidR="00CF73B6">
        <w:rPr>
          <w:sz w:val="20"/>
          <w:szCs w:val="20"/>
        </w:rPr>
        <w:t>Note</w:t>
      </w:r>
      <w:r w:rsidRPr="00B23E87">
        <w:rPr>
          <w:sz w:val="20"/>
          <w:szCs w:val="20"/>
        </w:rPr>
        <w:t>:</w:t>
      </w:r>
      <w:r w:rsidRPr="00B23E87">
        <w:rPr>
          <w:sz w:val="20"/>
          <w:szCs w:val="20"/>
        </w:rPr>
        <w:tab/>
      </w:r>
      <w:r w:rsidR="00CF73B6">
        <w:rPr>
          <w:sz w:val="20"/>
          <w:szCs w:val="20"/>
        </w:rPr>
        <w:t xml:space="preserve"> For example, </w:t>
      </w:r>
      <w:r w:rsidR="00B23E87" w:rsidRPr="00B23E87">
        <w:rPr>
          <w:sz w:val="20"/>
          <w:szCs w:val="20"/>
        </w:rPr>
        <w:t>‘</w:t>
      </w:r>
      <w:r w:rsidR="002E357E" w:rsidRPr="00B23E87">
        <w:rPr>
          <w:sz w:val="20"/>
          <w:szCs w:val="20"/>
        </w:rPr>
        <w:t>0.005</w:t>
      </w:r>
      <w:r w:rsidR="00B23E87" w:rsidRPr="00B23E87">
        <w:rPr>
          <w:sz w:val="20"/>
          <w:szCs w:val="20"/>
        </w:rPr>
        <w:t>’</w:t>
      </w:r>
      <w:r w:rsidR="002E357E" w:rsidRPr="00B23E87">
        <w:rPr>
          <w:sz w:val="20"/>
          <w:szCs w:val="20"/>
        </w:rPr>
        <w:t xml:space="preserve"> should be rounded upwards.  </w:t>
      </w:r>
    </w:p>
    <w:sectPr w:rsidR="002E357E" w:rsidRPr="00B23E87" w:rsidSect="0095721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5B25" w14:textId="77777777" w:rsidR="008A0824" w:rsidRDefault="008A0824" w:rsidP="0017734A">
      <w:pPr>
        <w:spacing w:after="0" w:line="240" w:lineRule="auto"/>
      </w:pPr>
      <w:r>
        <w:separator/>
      </w:r>
    </w:p>
  </w:endnote>
  <w:endnote w:type="continuationSeparator" w:id="0">
    <w:p w14:paraId="6885296A" w14:textId="77777777" w:rsidR="008A0824" w:rsidRDefault="008A0824"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BE78" w14:textId="7CD02EE6" w:rsidR="00FD3C4C" w:rsidRDefault="00FD3C4C" w:rsidP="006765DE">
    <w:pPr>
      <w:pStyle w:val="Footer"/>
      <w:pBdr>
        <w:bottom w:val="single" w:sz="6" w:space="1" w:color="auto"/>
      </w:pBdr>
      <w:jc w:val="center"/>
      <w:rPr>
        <w:rFonts w:ascii="Times New Roman" w:hAnsi="Times New Roman" w:cs="Times New Roman"/>
        <w:i/>
        <w:iCs/>
        <w:sz w:val="20"/>
        <w:szCs w:val="20"/>
      </w:rPr>
    </w:pPr>
  </w:p>
  <w:p w14:paraId="3891ECF5" w14:textId="4FF15E72" w:rsidR="006765DE" w:rsidRPr="006765DE" w:rsidRDefault="006765DE" w:rsidP="006765DE">
    <w:pPr>
      <w:pStyle w:val="Footer"/>
      <w:jc w:val="center"/>
      <w:rPr>
        <w:rFonts w:ascii="Times New Roman" w:hAnsi="Times New Roman" w:cs="Times New Roman"/>
        <w:i/>
        <w:iCs/>
        <w:sz w:val="20"/>
        <w:szCs w:val="20"/>
      </w:rPr>
    </w:pPr>
    <w:r>
      <w:rPr>
        <w:rFonts w:ascii="Times New Roman" w:hAnsi="Times New Roman" w:cs="Times New Roman"/>
        <w:i/>
        <w:iCs/>
        <w:sz w:val="20"/>
        <w:szCs w:val="20"/>
      </w:rPr>
      <w:t>Telecommunications (Payment of Annual Carrier Licence Charge) Determination 202</w:t>
    </w:r>
    <w:r w:rsidR="00DD6202">
      <w:rPr>
        <w:rFonts w:ascii="Times New Roman" w:hAnsi="Times New Roman" w:cs="Times New Roman"/>
        <w:i/>
        <w:iCs/>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D60C" w14:textId="77777777" w:rsidR="008A0824" w:rsidRDefault="008A0824" w:rsidP="0017734A">
      <w:pPr>
        <w:spacing w:after="0" w:line="240" w:lineRule="auto"/>
      </w:pPr>
      <w:r>
        <w:separator/>
      </w:r>
    </w:p>
  </w:footnote>
  <w:footnote w:type="continuationSeparator" w:id="0">
    <w:p w14:paraId="7C036477" w14:textId="77777777" w:rsidR="008A0824" w:rsidRDefault="008A0824"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CEDC" w14:textId="289EEA5B" w:rsidR="00740B31" w:rsidRPr="0053509F" w:rsidRDefault="00740B31" w:rsidP="00740B31">
    <w:pPr>
      <w:pStyle w:val="Header"/>
      <w:jc w:val="center"/>
      <w:rPr>
        <w:b/>
        <w:bCs/>
        <w:sz w:val="24"/>
        <w:szCs w:val="24"/>
      </w:rPr>
    </w:pPr>
    <w:r w:rsidRPr="0053509F">
      <w:rPr>
        <w:b/>
        <w:bCs/>
        <w:sz w:val="24"/>
        <w:szCs w:val="24"/>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CE46" w14:textId="2B640889" w:rsidR="00E43CFB" w:rsidRPr="000E4E5A" w:rsidRDefault="000E4E5A" w:rsidP="000E4E5A">
    <w:pPr>
      <w:pStyle w:val="Header"/>
      <w:jc w:val="center"/>
      <w:rPr>
        <w:b/>
        <w:bCs/>
        <w:sz w:val="24"/>
        <w:szCs w:val="24"/>
      </w:rPr>
    </w:pPr>
    <w:r w:rsidRPr="000E4E5A">
      <w:rPr>
        <w:b/>
        <w:bCs/>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6A40D0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124E626F"/>
    <w:multiLevelType w:val="hybridMultilevel"/>
    <w:tmpl w:val="0F4C4F30"/>
    <w:lvl w:ilvl="0" w:tplc="3E74617C">
      <w:start w:val="1"/>
      <w:numFmt w:val="lowerLetter"/>
      <w:lvlText w:val="(a)%1"/>
      <w:lvlJc w:val="left"/>
      <w:pPr>
        <w:ind w:left="2958" w:hanging="360"/>
      </w:pPr>
      <w:rPr>
        <w:rFonts w:hint="default"/>
      </w:rPr>
    </w:lvl>
    <w:lvl w:ilvl="1" w:tplc="0C090019" w:tentative="1">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3" w15:restartNumberingAfterBreak="0">
    <w:nsid w:val="1A920E01"/>
    <w:multiLevelType w:val="hybridMultilevel"/>
    <w:tmpl w:val="F002FD88"/>
    <w:lvl w:ilvl="0" w:tplc="A18ABC28">
      <w:start w:val="1"/>
      <w:numFmt w:val="decimal"/>
      <w:lvlText w:val="(%1)"/>
      <w:lvlJc w:val="left"/>
      <w:pPr>
        <w:ind w:left="960" w:hanging="429"/>
      </w:pPr>
      <w:rPr>
        <w:rFonts w:hint="default"/>
      </w:rPr>
    </w:lvl>
    <w:lvl w:ilvl="1" w:tplc="0C090019" w:tentative="1">
      <w:start w:val="1"/>
      <w:numFmt w:val="lowerLetter"/>
      <w:lvlText w:val="%2."/>
      <w:lvlJc w:val="left"/>
      <w:pPr>
        <w:ind w:left="1611" w:hanging="360"/>
      </w:pPr>
    </w:lvl>
    <w:lvl w:ilvl="2" w:tplc="0C09001B" w:tentative="1">
      <w:start w:val="1"/>
      <w:numFmt w:val="lowerRoman"/>
      <w:lvlText w:val="%3."/>
      <w:lvlJc w:val="right"/>
      <w:pPr>
        <w:ind w:left="2331" w:hanging="180"/>
      </w:pPr>
    </w:lvl>
    <w:lvl w:ilvl="3" w:tplc="0C09000F" w:tentative="1">
      <w:start w:val="1"/>
      <w:numFmt w:val="decimal"/>
      <w:lvlText w:val="%4."/>
      <w:lvlJc w:val="left"/>
      <w:pPr>
        <w:ind w:left="3051" w:hanging="360"/>
      </w:pPr>
    </w:lvl>
    <w:lvl w:ilvl="4" w:tplc="0C090019" w:tentative="1">
      <w:start w:val="1"/>
      <w:numFmt w:val="lowerLetter"/>
      <w:lvlText w:val="%5."/>
      <w:lvlJc w:val="left"/>
      <w:pPr>
        <w:ind w:left="3771" w:hanging="360"/>
      </w:pPr>
    </w:lvl>
    <w:lvl w:ilvl="5" w:tplc="0C09001B" w:tentative="1">
      <w:start w:val="1"/>
      <w:numFmt w:val="lowerRoman"/>
      <w:lvlText w:val="%6."/>
      <w:lvlJc w:val="right"/>
      <w:pPr>
        <w:ind w:left="4491" w:hanging="180"/>
      </w:pPr>
    </w:lvl>
    <w:lvl w:ilvl="6" w:tplc="0C09000F" w:tentative="1">
      <w:start w:val="1"/>
      <w:numFmt w:val="decimal"/>
      <w:lvlText w:val="%7."/>
      <w:lvlJc w:val="left"/>
      <w:pPr>
        <w:ind w:left="5211" w:hanging="360"/>
      </w:pPr>
    </w:lvl>
    <w:lvl w:ilvl="7" w:tplc="0C090019" w:tentative="1">
      <w:start w:val="1"/>
      <w:numFmt w:val="lowerLetter"/>
      <w:lvlText w:val="%8."/>
      <w:lvlJc w:val="left"/>
      <w:pPr>
        <w:ind w:left="5931" w:hanging="360"/>
      </w:pPr>
    </w:lvl>
    <w:lvl w:ilvl="8" w:tplc="0C09001B" w:tentative="1">
      <w:start w:val="1"/>
      <w:numFmt w:val="lowerRoman"/>
      <w:lvlText w:val="%9."/>
      <w:lvlJc w:val="right"/>
      <w:pPr>
        <w:ind w:left="6651"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200AF8"/>
    <w:multiLevelType w:val="hybridMultilevel"/>
    <w:tmpl w:val="103C36F6"/>
    <w:lvl w:ilvl="0" w:tplc="6AFA8B64">
      <w:start w:val="1"/>
      <w:numFmt w:val="lowerLetter"/>
      <w:lvlText w:val="(%1)"/>
      <w:lvlJc w:val="left"/>
      <w:pPr>
        <w:ind w:left="151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552E34"/>
    <w:multiLevelType w:val="hybridMultilevel"/>
    <w:tmpl w:val="5524D8F2"/>
    <w:lvl w:ilvl="0" w:tplc="3E74617C">
      <w:start w:val="1"/>
      <w:numFmt w:val="lowerLetter"/>
      <w:lvlText w:val="(a)%1"/>
      <w:lvlJc w:val="left"/>
      <w:pPr>
        <w:ind w:left="1518"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66283A"/>
    <w:multiLevelType w:val="hybridMultilevel"/>
    <w:tmpl w:val="56101116"/>
    <w:lvl w:ilvl="0" w:tplc="511AB3CE">
      <w:start w:val="1"/>
      <w:numFmt w:val="lowerLetter"/>
      <w:lvlText w:val="(%1)"/>
      <w:lvlJc w:val="left"/>
      <w:pPr>
        <w:ind w:left="2354" w:hanging="369"/>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2805441">
    <w:abstractNumId w:val="5"/>
  </w:num>
  <w:num w:numId="2" w16cid:durableId="1820610473">
    <w:abstractNumId w:val="12"/>
  </w:num>
  <w:num w:numId="3" w16cid:durableId="1977487941">
    <w:abstractNumId w:val="7"/>
  </w:num>
  <w:num w:numId="4" w16cid:durableId="1596786247">
    <w:abstractNumId w:val="11"/>
  </w:num>
  <w:num w:numId="5" w16cid:durableId="761681975">
    <w:abstractNumId w:val="6"/>
  </w:num>
  <w:num w:numId="6" w16cid:durableId="26682391">
    <w:abstractNumId w:val="4"/>
  </w:num>
  <w:num w:numId="7" w16cid:durableId="673797920">
    <w:abstractNumId w:val="2"/>
  </w:num>
  <w:num w:numId="8" w16cid:durableId="1016151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422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9665336">
    <w:abstractNumId w:val="0"/>
  </w:num>
  <w:num w:numId="11" w16cid:durableId="1348020914">
    <w:abstractNumId w:val="10"/>
  </w:num>
  <w:num w:numId="12" w16cid:durableId="1872985498">
    <w:abstractNumId w:val="3"/>
  </w:num>
  <w:num w:numId="13" w16cid:durableId="782189507">
    <w:abstractNumId w:val="9"/>
  </w:num>
  <w:num w:numId="14" w16cid:durableId="317733324">
    <w:abstractNumId w:val="1"/>
  </w:num>
  <w:num w:numId="15" w16cid:durableId="29963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F70"/>
    <w:rsid w:val="00013772"/>
    <w:rsid w:val="000340E0"/>
    <w:rsid w:val="00044E44"/>
    <w:rsid w:val="00071572"/>
    <w:rsid w:val="00073055"/>
    <w:rsid w:val="000736EF"/>
    <w:rsid w:val="00086BF0"/>
    <w:rsid w:val="00087712"/>
    <w:rsid w:val="00087F5A"/>
    <w:rsid w:val="00092EB6"/>
    <w:rsid w:val="000941BF"/>
    <w:rsid w:val="00097890"/>
    <w:rsid w:val="000B0982"/>
    <w:rsid w:val="000B5420"/>
    <w:rsid w:val="000C2FD3"/>
    <w:rsid w:val="000C4971"/>
    <w:rsid w:val="000C56B9"/>
    <w:rsid w:val="000C7895"/>
    <w:rsid w:val="000D6066"/>
    <w:rsid w:val="000E1268"/>
    <w:rsid w:val="000E2FD9"/>
    <w:rsid w:val="000E35B9"/>
    <w:rsid w:val="000E4E5A"/>
    <w:rsid w:val="000F1010"/>
    <w:rsid w:val="000F1CE3"/>
    <w:rsid w:val="000F2057"/>
    <w:rsid w:val="00103F7F"/>
    <w:rsid w:val="00110570"/>
    <w:rsid w:val="001160D6"/>
    <w:rsid w:val="00122026"/>
    <w:rsid w:val="00125F35"/>
    <w:rsid w:val="0013103F"/>
    <w:rsid w:val="00141028"/>
    <w:rsid w:val="00152CE6"/>
    <w:rsid w:val="00155AC5"/>
    <w:rsid w:val="00155D25"/>
    <w:rsid w:val="00160F8E"/>
    <w:rsid w:val="001676DB"/>
    <w:rsid w:val="00175F84"/>
    <w:rsid w:val="0017703C"/>
    <w:rsid w:val="0017734A"/>
    <w:rsid w:val="00183F81"/>
    <w:rsid w:val="00184EBC"/>
    <w:rsid w:val="00190FA7"/>
    <w:rsid w:val="001A0C6F"/>
    <w:rsid w:val="001A2B69"/>
    <w:rsid w:val="001A4B39"/>
    <w:rsid w:val="001B2574"/>
    <w:rsid w:val="001C0A27"/>
    <w:rsid w:val="001C3477"/>
    <w:rsid w:val="001D5CD8"/>
    <w:rsid w:val="001E0709"/>
    <w:rsid w:val="001E45EA"/>
    <w:rsid w:val="00204AED"/>
    <w:rsid w:val="0021251D"/>
    <w:rsid w:val="00215E3E"/>
    <w:rsid w:val="0022202F"/>
    <w:rsid w:val="0022614C"/>
    <w:rsid w:val="002332A2"/>
    <w:rsid w:val="002359DE"/>
    <w:rsid w:val="002362F5"/>
    <w:rsid w:val="002569B5"/>
    <w:rsid w:val="002621BB"/>
    <w:rsid w:val="00287C26"/>
    <w:rsid w:val="00291C8D"/>
    <w:rsid w:val="002B34E1"/>
    <w:rsid w:val="002B73D8"/>
    <w:rsid w:val="002D3658"/>
    <w:rsid w:val="002E357E"/>
    <w:rsid w:val="002E5B01"/>
    <w:rsid w:val="002F0E3F"/>
    <w:rsid w:val="002F6C67"/>
    <w:rsid w:val="002F7598"/>
    <w:rsid w:val="00301AAF"/>
    <w:rsid w:val="00305D56"/>
    <w:rsid w:val="003166CF"/>
    <w:rsid w:val="0032539A"/>
    <w:rsid w:val="0035339D"/>
    <w:rsid w:val="003555C8"/>
    <w:rsid w:val="003621A5"/>
    <w:rsid w:val="00367704"/>
    <w:rsid w:val="00367BEB"/>
    <w:rsid w:val="0037270F"/>
    <w:rsid w:val="00372D68"/>
    <w:rsid w:val="003865A1"/>
    <w:rsid w:val="00395204"/>
    <w:rsid w:val="003973D0"/>
    <w:rsid w:val="003A659A"/>
    <w:rsid w:val="003B2C48"/>
    <w:rsid w:val="003B339F"/>
    <w:rsid w:val="003B64CF"/>
    <w:rsid w:val="003C0096"/>
    <w:rsid w:val="003C6E9D"/>
    <w:rsid w:val="003D45F0"/>
    <w:rsid w:val="003D5871"/>
    <w:rsid w:val="003E0EBE"/>
    <w:rsid w:val="003E51EE"/>
    <w:rsid w:val="00407470"/>
    <w:rsid w:val="00412CC6"/>
    <w:rsid w:val="00416D9E"/>
    <w:rsid w:val="00416E07"/>
    <w:rsid w:val="00417B8B"/>
    <w:rsid w:val="00421224"/>
    <w:rsid w:val="00424038"/>
    <w:rsid w:val="00426771"/>
    <w:rsid w:val="00426C6A"/>
    <w:rsid w:val="00430987"/>
    <w:rsid w:val="00434B53"/>
    <w:rsid w:val="004361D9"/>
    <w:rsid w:val="00440610"/>
    <w:rsid w:val="0044089D"/>
    <w:rsid w:val="00442A91"/>
    <w:rsid w:val="004436CF"/>
    <w:rsid w:val="00443CD2"/>
    <w:rsid w:val="00455BE0"/>
    <w:rsid w:val="00462A42"/>
    <w:rsid w:val="00463588"/>
    <w:rsid w:val="004665A9"/>
    <w:rsid w:val="004672F0"/>
    <w:rsid w:val="004734B2"/>
    <w:rsid w:val="00492BAB"/>
    <w:rsid w:val="004A50A2"/>
    <w:rsid w:val="004B4796"/>
    <w:rsid w:val="004D6B79"/>
    <w:rsid w:val="004E3164"/>
    <w:rsid w:val="004E77F3"/>
    <w:rsid w:val="004F00DD"/>
    <w:rsid w:val="00502445"/>
    <w:rsid w:val="00507D03"/>
    <w:rsid w:val="00510AC2"/>
    <w:rsid w:val="00510CAA"/>
    <w:rsid w:val="00527800"/>
    <w:rsid w:val="0053509F"/>
    <w:rsid w:val="00535946"/>
    <w:rsid w:val="00540C17"/>
    <w:rsid w:val="005510FF"/>
    <w:rsid w:val="00583F0E"/>
    <w:rsid w:val="00584995"/>
    <w:rsid w:val="00584E8D"/>
    <w:rsid w:val="005957A6"/>
    <w:rsid w:val="00596CB0"/>
    <w:rsid w:val="005A3582"/>
    <w:rsid w:val="005A6736"/>
    <w:rsid w:val="005B6875"/>
    <w:rsid w:val="005C0555"/>
    <w:rsid w:val="005D43B5"/>
    <w:rsid w:val="005D4439"/>
    <w:rsid w:val="005D61F8"/>
    <w:rsid w:val="005E1F25"/>
    <w:rsid w:val="005E57B2"/>
    <w:rsid w:val="005F28D6"/>
    <w:rsid w:val="005F474D"/>
    <w:rsid w:val="0060280B"/>
    <w:rsid w:val="006133A5"/>
    <w:rsid w:val="00631962"/>
    <w:rsid w:val="00634EE0"/>
    <w:rsid w:val="00640849"/>
    <w:rsid w:val="006437D6"/>
    <w:rsid w:val="006453A3"/>
    <w:rsid w:val="00646E2B"/>
    <w:rsid w:val="00647A8D"/>
    <w:rsid w:val="00654A4D"/>
    <w:rsid w:val="00663FB3"/>
    <w:rsid w:val="00667F54"/>
    <w:rsid w:val="006765DE"/>
    <w:rsid w:val="00681361"/>
    <w:rsid w:val="00686463"/>
    <w:rsid w:val="00687EEF"/>
    <w:rsid w:val="00691837"/>
    <w:rsid w:val="00693D4F"/>
    <w:rsid w:val="0069573E"/>
    <w:rsid w:val="006A05BE"/>
    <w:rsid w:val="006B1AEC"/>
    <w:rsid w:val="006C0251"/>
    <w:rsid w:val="006C3B4C"/>
    <w:rsid w:val="006D36DE"/>
    <w:rsid w:val="006D7EC0"/>
    <w:rsid w:val="006E2ADF"/>
    <w:rsid w:val="006E59DA"/>
    <w:rsid w:val="006E5B82"/>
    <w:rsid w:val="006F5CF2"/>
    <w:rsid w:val="006F662B"/>
    <w:rsid w:val="006F67D9"/>
    <w:rsid w:val="00703828"/>
    <w:rsid w:val="00704AC5"/>
    <w:rsid w:val="00704FF0"/>
    <w:rsid w:val="0071142C"/>
    <w:rsid w:val="0071176B"/>
    <w:rsid w:val="00721966"/>
    <w:rsid w:val="00727DA0"/>
    <w:rsid w:val="00733FB0"/>
    <w:rsid w:val="00740B31"/>
    <w:rsid w:val="00747C27"/>
    <w:rsid w:val="007501D7"/>
    <w:rsid w:val="00763880"/>
    <w:rsid w:val="00770264"/>
    <w:rsid w:val="00776F17"/>
    <w:rsid w:val="00782550"/>
    <w:rsid w:val="00782ADA"/>
    <w:rsid w:val="007D093E"/>
    <w:rsid w:val="007F2F3B"/>
    <w:rsid w:val="007F72EA"/>
    <w:rsid w:val="00800926"/>
    <w:rsid w:val="0081244E"/>
    <w:rsid w:val="00812A22"/>
    <w:rsid w:val="00814838"/>
    <w:rsid w:val="00815B8E"/>
    <w:rsid w:val="008347C5"/>
    <w:rsid w:val="0084013B"/>
    <w:rsid w:val="00854E86"/>
    <w:rsid w:val="0086239F"/>
    <w:rsid w:val="00872296"/>
    <w:rsid w:val="008767D1"/>
    <w:rsid w:val="00877939"/>
    <w:rsid w:val="00877DE8"/>
    <w:rsid w:val="00890CC0"/>
    <w:rsid w:val="00892659"/>
    <w:rsid w:val="0089278F"/>
    <w:rsid w:val="00894A33"/>
    <w:rsid w:val="00895EE2"/>
    <w:rsid w:val="00896A23"/>
    <w:rsid w:val="008A0824"/>
    <w:rsid w:val="008B0A2A"/>
    <w:rsid w:val="008B31EE"/>
    <w:rsid w:val="008C245F"/>
    <w:rsid w:val="008C75E2"/>
    <w:rsid w:val="008D09A3"/>
    <w:rsid w:val="008D35E3"/>
    <w:rsid w:val="008D642E"/>
    <w:rsid w:val="008E13E2"/>
    <w:rsid w:val="008E2454"/>
    <w:rsid w:val="008F00E1"/>
    <w:rsid w:val="008F015D"/>
    <w:rsid w:val="008F0D09"/>
    <w:rsid w:val="008F2B01"/>
    <w:rsid w:val="00901847"/>
    <w:rsid w:val="00903870"/>
    <w:rsid w:val="00904E04"/>
    <w:rsid w:val="0091792E"/>
    <w:rsid w:val="00923D3C"/>
    <w:rsid w:val="0093331F"/>
    <w:rsid w:val="00936E66"/>
    <w:rsid w:val="00937A18"/>
    <w:rsid w:val="00947989"/>
    <w:rsid w:val="00954745"/>
    <w:rsid w:val="00957210"/>
    <w:rsid w:val="00966602"/>
    <w:rsid w:val="00966DA5"/>
    <w:rsid w:val="009741A5"/>
    <w:rsid w:val="00982A5C"/>
    <w:rsid w:val="00987A5F"/>
    <w:rsid w:val="009961FD"/>
    <w:rsid w:val="00997149"/>
    <w:rsid w:val="009B3E70"/>
    <w:rsid w:val="009C76C7"/>
    <w:rsid w:val="009D624F"/>
    <w:rsid w:val="009E0A05"/>
    <w:rsid w:val="009E2417"/>
    <w:rsid w:val="009E6E11"/>
    <w:rsid w:val="009E7D4F"/>
    <w:rsid w:val="009F1319"/>
    <w:rsid w:val="00A024A3"/>
    <w:rsid w:val="00A057F9"/>
    <w:rsid w:val="00A12504"/>
    <w:rsid w:val="00A14FD2"/>
    <w:rsid w:val="00A17E52"/>
    <w:rsid w:val="00A21FA7"/>
    <w:rsid w:val="00A225F4"/>
    <w:rsid w:val="00A24A68"/>
    <w:rsid w:val="00A427E3"/>
    <w:rsid w:val="00A43195"/>
    <w:rsid w:val="00A45407"/>
    <w:rsid w:val="00A533E4"/>
    <w:rsid w:val="00A56323"/>
    <w:rsid w:val="00A60F7F"/>
    <w:rsid w:val="00A75B55"/>
    <w:rsid w:val="00A87309"/>
    <w:rsid w:val="00A91512"/>
    <w:rsid w:val="00A965A3"/>
    <w:rsid w:val="00AB0EDE"/>
    <w:rsid w:val="00AC5FC8"/>
    <w:rsid w:val="00AD0E54"/>
    <w:rsid w:val="00AD14AA"/>
    <w:rsid w:val="00AD1EEA"/>
    <w:rsid w:val="00AE1ECA"/>
    <w:rsid w:val="00AE433A"/>
    <w:rsid w:val="00AE50D5"/>
    <w:rsid w:val="00AF4104"/>
    <w:rsid w:val="00AF5F42"/>
    <w:rsid w:val="00B07A70"/>
    <w:rsid w:val="00B13B65"/>
    <w:rsid w:val="00B22FA4"/>
    <w:rsid w:val="00B23E87"/>
    <w:rsid w:val="00B34A4D"/>
    <w:rsid w:val="00B44F26"/>
    <w:rsid w:val="00B7359B"/>
    <w:rsid w:val="00B740F0"/>
    <w:rsid w:val="00B7528E"/>
    <w:rsid w:val="00B83D18"/>
    <w:rsid w:val="00B85DF8"/>
    <w:rsid w:val="00B90F17"/>
    <w:rsid w:val="00B94518"/>
    <w:rsid w:val="00B958BD"/>
    <w:rsid w:val="00BA4326"/>
    <w:rsid w:val="00BA550D"/>
    <w:rsid w:val="00BA7DB7"/>
    <w:rsid w:val="00BC181A"/>
    <w:rsid w:val="00BC30F7"/>
    <w:rsid w:val="00BC3861"/>
    <w:rsid w:val="00BD56FF"/>
    <w:rsid w:val="00BD77C9"/>
    <w:rsid w:val="00BD7B67"/>
    <w:rsid w:val="00BE095C"/>
    <w:rsid w:val="00BE4BC7"/>
    <w:rsid w:val="00BE65EC"/>
    <w:rsid w:val="00BF1AB7"/>
    <w:rsid w:val="00C04BC4"/>
    <w:rsid w:val="00C10ECA"/>
    <w:rsid w:val="00C10F10"/>
    <w:rsid w:val="00C12A83"/>
    <w:rsid w:val="00C227FB"/>
    <w:rsid w:val="00C25DB4"/>
    <w:rsid w:val="00C34CDB"/>
    <w:rsid w:val="00C404D6"/>
    <w:rsid w:val="00C456C0"/>
    <w:rsid w:val="00C45BEE"/>
    <w:rsid w:val="00C5287B"/>
    <w:rsid w:val="00C61402"/>
    <w:rsid w:val="00C741CA"/>
    <w:rsid w:val="00C75519"/>
    <w:rsid w:val="00C76D9C"/>
    <w:rsid w:val="00C85F34"/>
    <w:rsid w:val="00C9448D"/>
    <w:rsid w:val="00CA2C0E"/>
    <w:rsid w:val="00CA686B"/>
    <w:rsid w:val="00CB7288"/>
    <w:rsid w:val="00CC468A"/>
    <w:rsid w:val="00CC64DD"/>
    <w:rsid w:val="00CD2FCD"/>
    <w:rsid w:val="00CD47EB"/>
    <w:rsid w:val="00CF37DE"/>
    <w:rsid w:val="00CF4A41"/>
    <w:rsid w:val="00CF73B6"/>
    <w:rsid w:val="00D04E9A"/>
    <w:rsid w:val="00D15825"/>
    <w:rsid w:val="00D318E9"/>
    <w:rsid w:val="00D31F3F"/>
    <w:rsid w:val="00D43D90"/>
    <w:rsid w:val="00D510ED"/>
    <w:rsid w:val="00D56CCA"/>
    <w:rsid w:val="00D574E5"/>
    <w:rsid w:val="00D62DCD"/>
    <w:rsid w:val="00D6500F"/>
    <w:rsid w:val="00D65F59"/>
    <w:rsid w:val="00D726BE"/>
    <w:rsid w:val="00D946E4"/>
    <w:rsid w:val="00D952D2"/>
    <w:rsid w:val="00D95BE2"/>
    <w:rsid w:val="00DA2382"/>
    <w:rsid w:val="00DA3F1E"/>
    <w:rsid w:val="00DA578C"/>
    <w:rsid w:val="00DB076C"/>
    <w:rsid w:val="00DB68DD"/>
    <w:rsid w:val="00DC0CDF"/>
    <w:rsid w:val="00DC0FD7"/>
    <w:rsid w:val="00DC31AF"/>
    <w:rsid w:val="00DD2880"/>
    <w:rsid w:val="00DD4540"/>
    <w:rsid w:val="00DD6202"/>
    <w:rsid w:val="00DF736B"/>
    <w:rsid w:val="00E1191F"/>
    <w:rsid w:val="00E1236F"/>
    <w:rsid w:val="00E13491"/>
    <w:rsid w:val="00E14458"/>
    <w:rsid w:val="00E22891"/>
    <w:rsid w:val="00E24292"/>
    <w:rsid w:val="00E318F7"/>
    <w:rsid w:val="00E367C2"/>
    <w:rsid w:val="00E36A05"/>
    <w:rsid w:val="00E43CFB"/>
    <w:rsid w:val="00E458FD"/>
    <w:rsid w:val="00E469AF"/>
    <w:rsid w:val="00E618B6"/>
    <w:rsid w:val="00E7332E"/>
    <w:rsid w:val="00E77166"/>
    <w:rsid w:val="00E8344D"/>
    <w:rsid w:val="00E90B30"/>
    <w:rsid w:val="00E934DA"/>
    <w:rsid w:val="00E971E9"/>
    <w:rsid w:val="00EA7FEC"/>
    <w:rsid w:val="00EB1DD1"/>
    <w:rsid w:val="00EC1730"/>
    <w:rsid w:val="00EC54C3"/>
    <w:rsid w:val="00EC5B45"/>
    <w:rsid w:val="00ED2E8B"/>
    <w:rsid w:val="00EE6C98"/>
    <w:rsid w:val="00EE7876"/>
    <w:rsid w:val="00EF6038"/>
    <w:rsid w:val="00F07A2C"/>
    <w:rsid w:val="00F1306B"/>
    <w:rsid w:val="00F1448E"/>
    <w:rsid w:val="00F162CB"/>
    <w:rsid w:val="00F17C3D"/>
    <w:rsid w:val="00F31EC9"/>
    <w:rsid w:val="00F37934"/>
    <w:rsid w:val="00F53DD5"/>
    <w:rsid w:val="00F54690"/>
    <w:rsid w:val="00F62C1E"/>
    <w:rsid w:val="00F63280"/>
    <w:rsid w:val="00F63A98"/>
    <w:rsid w:val="00F73123"/>
    <w:rsid w:val="00F77DB5"/>
    <w:rsid w:val="00F80071"/>
    <w:rsid w:val="00F83C11"/>
    <w:rsid w:val="00F856A6"/>
    <w:rsid w:val="00F85ED9"/>
    <w:rsid w:val="00F87D34"/>
    <w:rsid w:val="00F90642"/>
    <w:rsid w:val="00F97A0B"/>
    <w:rsid w:val="00FA4DC2"/>
    <w:rsid w:val="00FA5770"/>
    <w:rsid w:val="00FB1145"/>
    <w:rsid w:val="00FB59C1"/>
    <w:rsid w:val="00FC2418"/>
    <w:rsid w:val="00FC69E6"/>
    <w:rsid w:val="00FD0C5A"/>
    <w:rsid w:val="00FD323F"/>
    <w:rsid w:val="00FD3C4C"/>
    <w:rsid w:val="00FD5A55"/>
    <w:rsid w:val="00FE3FDB"/>
    <w:rsid w:val="00FF1346"/>
    <w:rsid w:val="00FF1FE5"/>
    <w:rsid w:val="00FF209D"/>
    <w:rsid w:val="00FF578A"/>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2">
    <w:name w:val="heading 2"/>
    <w:basedOn w:val="Normal"/>
    <w:next w:val="Normal"/>
    <w:link w:val="Heading2Char"/>
    <w:uiPriority w:val="9"/>
    <w:semiHidden/>
    <w:unhideWhenUsed/>
    <w:qFormat/>
    <w:rsid w:val="002E35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PageNumber">
    <w:name w:val="page number"/>
    <w:rsid w:val="002E357E"/>
    <w:rPr>
      <w:rFonts w:ascii="Arial" w:hAnsi="Arial"/>
      <w:sz w:val="22"/>
    </w:rPr>
  </w:style>
  <w:style w:type="paragraph" w:customStyle="1" w:styleId="HeaderLiteEven">
    <w:name w:val="HeaderLiteEven"/>
    <w:basedOn w:val="Normal"/>
    <w:rsid w:val="002E357E"/>
    <w:pPr>
      <w:spacing w:before="60" w:after="0" w:line="240" w:lineRule="auto"/>
    </w:pPr>
    <w:rPr>
      <w:rFonts w:ascii="Arial" w:eastAsia="Times New Roman" w:hAnsi="Arial" w:cs="Times New Roman"/>
      <w:sz w:val="18"/>
      <w:szCs w:val="24"/>
      <w:lang w:eastAsia="en-AU"/>
    </w:rPr>
  </w:style>
  <w:style w:type="paragraph" w:customStyle="1" w:styleId="HeaderLiteOdd">
    <w:name w:val="HeaderLiteOdd"/>
    <w:basedOn w:val="Normal"/>
    <w:rsid w:val="002E357E"/>
    <w:pPr>
      <w:spacing w:before="60" w:after="0" w:line="240" w:lineRule="auto"/>
      <w:jc w:val="right"/>
    </w:pPr>
    <w:rPr>
      <w:rFonts w:ascii="Arial" w:eastAsia="Times New Roman" w:hAnsi="Arial" w:cs="Times New Roman"/>
      <w:sz w:val="18"/>
      <w:szCs w:val="24"/>
      <w:lang w:eastAsia="en-AU"/>
    </w:rPr>
  </w:style>
  <w:style w:type="paragraph" w:customStyle="1" w:styleId="A1S">
    <w:name w:val="A1S"/>
    <w:aliases w:val="1.Schedule Amendment"/>
    <w:basedOn w:val="Normal"/>
    <w:next w:val="Normal"/>
    <w:rsid w:val="002E357E"/>
    <w:pPr>
      <w:keepNext/>
      <w:spacing w:before="480" w:after="0" w:line="260" w:lineRule="exact"/>
      <w:ind w:left="964" w:hanging="964"/>
    </w:pPr>
    <w:rPr>
      <w:rFonts w:ascii="Arial" w:eastAsia="Times New Roman" w:hAnsi="Arial" w:cs="Times New Roman"/>
      <w:b/>
      <w:sz w:val="24"/>
      <w:szCs w:val="24"/>
    </w:rPr>
  </w:style>
  <w:style w:type="character" w:customStyle="1" w:styleId="CharAmSchNo">
    <w:name w:val="CharAmSchNo"/>
    <w:basedOn w:val="DefaultParagraphFont"/>
    <w:rsid w:val="002E357E"/>
  </w:style>
  <w:style w:type="character" w:customStyle="1" w:styleId="CharAmSchText">
    <w:name w:val="CharAmSchText"/>
    <w:basedOn w:val="DefaultParagraphFont"/>
    <w:rsid w:val="002E357E"/>
  </w:style>
  <w:style w:type="character" w:customStyle="1" w:styleId="CharDivNo">
    <w:name w:val="CharDivNo"/>
    <w:basedOn w:val="DefaultParagraphFont"/>
    <w:rsid w:val="002E357E"/>
  </w:style>
  <w:style w:type="character" w:customStyle="1" w:styleId="CharDivText">
    <w:name w:val="CharDivText"/>
    <w:basedOn w:val="DefaultParagraphFont"/>
    <w:rsid w:val="002E357E"/>
  </w:style>
  <w:style w:type="character" w:customStyle="1" w:styleId="CharSchPTNo">
    <w:name w:val="CharSchPTNo"/>
    <w:basedOn w:val="DefaultParagraphFont"/>
    <w:rsid w:val="002E357E"/>
  </w:style>
  <w:style w:type="character" w:customStyle="1" w:styleId="CharSchPTText">
    <w:name w:val="CharSchPTText"/>
    <w:basedOn w:val="DefaultParagraphFont"/>
    <w:rsid w:val="002E357E"/>
  </w:style>
  <w:style w:type="paragraph" w:customStyle="1" w:styleId="definition0">
    <w:name w:val="definition"/>
    <w:basedOn w:val="Normal"/>
    <w:rsid w:val="002E357E"/>
    <w:pPr>
      <w:spacing w:before="80" w:after="0" w:line="260" w:lineRule="exact"/>
      <w:ind w:left="964"/>
      <w:jc w:val="both"/>
    </w:pPr>
    <w:rPr>
      <w:rFonts w:ascii="Times New Roman" w:eastAsia="Times New Roman" w:hAnsi="Times New Roman" w:cs="Times New Roman"/>
      <w:sz w:val="24"/>
      <w:szCs w:val="24"/>
    </w:rPr>
  </w:style>
  <w:style w:type="paragraph" w:customStyle="1" w:styleId="HeaderBoldEven">
    <w:name w:val="HeaderBoldEven"/>
    <w:basedOn w:val="Normal"/>
    <w:rsid w:val="002E357E"/>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2E357E"/>
    <w:pPr>
      <w:spacing w:before="120" w:after="60" w:line="240" w:lineRule="auto"/>
      <w:jc w:val="right"/>
    </w:pPr>
    <w:rPr>
      <w:rFonts w:ascii="Arial" w:eastAsia="Times New Roman" w:hAnsi="Arial" w:cs="Times New Roman"/>
      <w:b/>
      <w:sz w:val="20"/>
      <w:szCs w:val="24"/>
    </w:rPr>
  </w:style>
  <w:style w:type="paragraph" w:customStyle="1" w:styleId="HP">
    <w:name w:val="HP"/>
    <w:aliases w:val="Part Heading"/>
    <w:basedOn w:val="Normal"/>
    <w:next w:val="Normal"/>
    <w:link w:val="HPChar"/>
    <w:rsid w:val="002E357E"/>
    <w:pPr>
      <w:keepNext/>
      <w:spacing w:before="360" w:after="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Normal"/>
    <w:link w:val="HRChar"/>
    <w:rsid w:val="002E357E"/>
    <w:pPr>
      <w:keepNext/>
      <w:spacing w:before="360" w:after="0" w:line="240" w:lineRule="auto"/>
      <w:ind w:left="964" w:hanging="964"/>
    </w:pPr>
    <w:rPr>
      <w:rFonts w:ascii="Arial" w:eastAsia="Times New Roman" w:hAnsi="Arial" w:cs="Times New Roman"/>
      <w:b/>
      <w:sz w:val="24"/>
      <w:szCs w:val="24"/>
    </w:rPr>
  </w:style>
  <w:style w:type="paragraph" w:customStyle="1" w:styleId="Note">
    <w:name w:val="Note"/>
    <w:basedOn w:val="Normal"/>
    <w:rsid w:val="002E357E"/>
    <w:pPr>
      <w:spacing w:before="120" w:after="0" w:line="220" w:lineRule="exact"/>
      <w:ind w:left="964"/>
      <w:jc w:val="both"/>
    </w:pPr>
    <w:rPr>
      <w:rFonts w:ascii="Times New Roman" w:eastAsia="Times New Roman" w:hAnsi="Times New Roman" w:cs="Times New Roman"/>
      <w:sz w:val="20"/>
      <w:szCs w:val="24"/>
    </w:rPr>
  </w:style>
  <w:style w:type="paragraph" w:customStyle="1" w:styleId="P1">
    <w:name w:val="P1"/>
    <w:aliases w:val="(a)"/>
    <w:basedOn w:val="Normal"/>
    <w:rsid w:val="002E357E"/>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1">
    <w:name w:val="R1"/>
    <w:aliases w:val="1. or 1.(1)"/>
    <w:basedOn w:val="Normal"/>
    <w:next w:val="Normal"/>
    <w:rsid w:val="002E357E"/>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R2">
    <w:name w:val="R2"/>
    <w:aliases w:val="(2)"/>
    <w:basedOn w:val="Normal"/>
    <w:rsid w:val="002E357E"/>
    <w:pPr>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Rc">
    <w:name w:val="Rc"/>
    <w:aliases w:val="Rn continued"/>
    <w:basedOn w:val="Normal"/>
    <w:next w:val="R2"/>
    <w:rsid w:val="002E357E"/>
    <w:pPr>
      <w:spacing w:before="60" w:after="0" w:line="260" w:lineRule="exact"/>
      <w:ind w:left="964"/>
      <w:jc w:val="both"/>
    </w:pPr>
    <w:rPr>
      <w:rFonts w:ascii="Times New Roman" w:eastAsia="Times New Roman" w:hAnsi="Times New Roman" w:cs="Times New Roman"/>
      <w:sz w:val="24"/>
      <w:szCs w:val="24"/>
    </w:rPr>
  </w:style>
  <w:style w:type="paragraph" w:styleId="Title">
    <w:name w:val="Title"/>
    <w:basedOn w:val="Normal"/>
    <w:next w:val="Normal"/>
    <w:link w:val="TitleChar"/>
    <w:qFormat/>
    <w:rsid w:val="002E357E"/>
    <w:pPr>
      <w:spacing w:before="480" w:after="0" w:line="240" w:lineRule="auto"/>
    </w:pPr>
    <w:rPr>
      <w:rFonts w:ascii="Arial" w:eastAsia="Times New Roman" w:hAnsi="Arial" w:cs="Arial"/>
      <w:b/>
      <w:bCs/>
      <w:sz w:val="40"/>
      <w:szCs w:val="40"/>
    </w:rPr>
  </w:style>
  <w:style w:type="character" w:customStyle="1" w:styleId="TitleChar">
    <w:name w:val="Title Char"/>
    <w:basedOn w:val="DefaultParagraphFont"/>
    <w:link w:val="Title"/>
    <w:rsid w:val="002E357E"/>
    <w:rPr>
      <w:rFonts w:ascii="Arial" w:eastAsia="Times New Roman" w:hAnsi="Arial" w:cs="Arial"/>
      <w:b/>
      <w:bCs/>
      <w:sz w:val="40"/>
      <w:szCs w:val="40"/>
    </w:rPr>
  </w:style>
  <w:style w:type="paragraph" w:customStyle="1" w:styleId="SchedSectionBreak">
    <w:name w:val="SchedSectionBreak"/>
    <w:basedOn w:val="Normal"/>
    <w:next w:val="Normal"/>
    <w:rsid w:val="002E357E"/>
    <w:pPr>
      <w:spacing w:after="0" w:line="240" w:lineRule="auto"/>
    </w:pPr>
    <w:rPr>
      <w:rFonts w:ascii="Times New Roman" w:eastAsia="Times New Roman" w:hAnsi="Times New Roman" w:cs="Times New Roman"/>
      <w:sz w:val="24"/>
      <w:szCs w:val="24"/>
    </w:rPr>
  </w:style>
  <w:style w:type="paragraph" w:customStyle="1" w:styleId="Schedulepara">
    <w:name w:val="Schedule para"/>
    <w:basedOn w:val="Normal"/>
    <w:rsid w:val="002E357E"/>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Schedulereference">
    <w:name w:val="Schedule reference"/>
    <w:basedOn w:val="Normal"/>
    <w:next w:val="Normal"/>
    <w:rsid w:val="002E357E"/>
    <w:pPr>
      <w:keepNext/>
      <w:keepLines/>
      <w:spacing w:before="60" w:after="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2E357E"/>
    <w:pPr>
      <w:keepNext/>
      <w:keepLines/>
      <w:spacing w:before="480" w:after="0" w:line="240" w:lineRule="auto"/>
      <w:ind w:left="2410" w:hanging="2410"/>
    </w:pPr>
    <w:rPr>
      <w:rFonts w:ascii="Arial" w:eastAsia="Times New Roman" w:hAnsi="Arial" w:cs="Times New Roman"/>
      <w:b/>
      <w:sz w:val="32"/>
      <w:szCs w:val="24"/>
    </w:rPr>
  </w:style>
  <w:style w:type="paragraph" w:customStyle="1" w:styleId="PageBreak">
    <w:name w:val="PageBreak"/>
    <w:aliases w:val="pb"/>
    <w:basedOn w:val="Normal"/>
    <w:next w:val="Heading2"/>
    <w:rsid w:val="002E357E"/>
    <w:pPr>
      <w:spacing w:after="0" w:line="240" w:lineRule="auto"/>
    </w:pPr>
    <w:rPr>
      <w:rFonts w:ascii="Times New Roman" w:eastAsia="Times New Roman" w:hAnsi="Times New Roman" w:cs="Times New Roman"/>
      <w:sz w:val="4"/>
      <w:szCs w:val="20"/>
      <w:lang w:eastAsia="en-AU"/>
    </w:rPr>
  </w:style>
  <w:style w:type="character" w:customStyle="1" w:styleId="HRChar">
    <w:name w:val="HR Char"/>
    <w:aliases w:val="Regulation Heading Char"/>
    <w:link w:val="HR"/>
    <w:rsid w:val="002E357E"/>
    <w:rPr>
      <w:rFonts w:ascii="Arial" w:eastAsia="Times New Roman" w:hAnsi="Arial" w:cs="Times New Roman"/>
      <w:b/>
      <w:sz w:val="24"/>
      <w:szCs w:val="24"/>
    </w:rPr>
  </w:style>
  <w:style w:type="character" w:customStyle="1" w:styleId="HPChar">
    <w:name w:val="HP Char"/>
    <w:aliases w:val="Part Heading Char"/>
    <w:link w:val="HP"/>
    <w:rsid w:val="002E357E"/>
    <w:rPr>
      <w:rFonts w:ascii="Arial" w:eastAsia="Times New Roman" w:hAnsi="Arial" w:cs="Times New Roman"/>
      <w:b/>
      <w:sz w:val="32"/>
      <w:szCs w:val="24"/>
    </w:rPr>
  </w:style>
  <w:style w:type="paragraph" w:customStyle="1" w:styleId="hr0">
    <w:name w:val="hr"/>
    <w:basedOn w:val="Normal"/>
    <w:rsid w:val="002E357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2E35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au"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1290</Words>
  <Characters>6245</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2023-09-15T04:20:00Z</dcterms:created>
  <dcterms:modified xsi:type="dcterms:W3CDTF">2023-09-15T04:22:00Z</dcterms:modified>
</cp:coreProperties>
</file>