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853BC" w14:textId="77777777" w:rsidR="00D13649" w:rsidRPr="00E162C4" w:rsidRDefault="00D13649" w:rsidP="00D13649">
      <w:pPr>
        <w:pStyle w:val="Reporttitle"/>
      </w:pPr>
      <w:r>
        <w:t xml:space="preserve">Proposed changes to VHF maritime mobile channel </w:t>
      </w:r>
      <w:proofErr w:type="gramStart"/>
      <w:r>
        <w:t>arrangements</w:t>
      </w:r>
      <w:proofErr w:type="gramEnd"/>
    </w:p>
    <w:p w14:paraId="21813EF9" w14:textId="77777777" w:rsidR="00D13649" w:rsidRPr="00E162C4" w:rsidRDefault="00D13649" w:rsidP="00D13649">
      <w:pPr>
        <w:pStyle w:val="Reportsubtitle"/>
      </w:pPr>
      <w:r w:rsidRPr="00E162C4">
        <w:t xml:space="preserve">Consultation </w:t>
      </w:r>
      <w:r>
        <w:t>paper</w:t>
      </w:r>
    </w:p>
    <w:p w14:paraId="76598AAE" w14:textId="77777777" w:rsidR="00D13649" w:rsidRPr="00E162C4" w:rsidRDefault="00D13649" w:rsidP="00D13649">
      <w:pPr>
        <w:pStyle w:val="Reportdate"/>
        <w:spacing w:after="720"/>
        <w:rPr>
          <w:rFonts w:cs="Arial"/>
        </w:rPr>
        <w:sectPr w:rsidR="00D13649" w:rsidRPr="00E162C4" w:rsidSect="0021426C">
          <w:headerReference w:type="default" r:id="rId11"/>
          <w:footerReference w:type="default" r:id="rId12"/>
          <w:headerReference w:type="first" r:id="rId13"/>
          <w:pgSz w:w="11906" w:h="16838" w:code="9"/>
          <w:pgMar w:top="3924" w:right="992" w:bottom="1440" w:left="1134" w:header="709" w:footer="454" w:gutter="0"/>
          <w:cols w:space="708"/>
          <w:docGrid w:linePitch="360"/>
        </w:sectPr>
      </w:pPr>
      <w:r>
        <w:t xml:space="preserve">SEPtember </w:t>
      </w:r>
      <w:r w:rsidRPr="00E162C4">
        <w:t>202</w:t>
      </w:r>
      <w:r>
        <w:t>3</w:t>
      </w:r>
    </w:p>
    <w:p w14:paraId="642A2633" w14:textId="77777777" w:rsidR="00D13649" w:rsidRPr="00E162C4" w:rsidRDefault="00D13649" w:rsidP="00D13649">
      <w:pPr>
        <w:pStyle w:val="ACMACorporateAddressHeader"/>
      </w:pPr>
      <w:r w:rsidRPr="00E162C4">
        <w:lastRenderedPageBreak/>
        <w:t>Canberra</w:t>
      </w:r>
    </w:p>
    <w:p w14:paraId="40086F6F" w14:textId="77777777" w:rsidR="00D13649" w:rsidRPr="00E162C4" w:rsidRDefault="00D13649" w:rsidP="00D13649">
      <w:pPr>
        <w:pStyle w:val="ACMACorporateAddresses"/>
      </w:pPr>
      <w:r w:rsidRPr="00E162C4">
        <w:t xml:space="preserve">Red Building </w:t>
      </w:r>
      <w:r w:rsidRPr="00E162C4">
        <w:br/>
        <w:t>Benjamin Offices</w:t>
      </w:r>
      <w:r w:rsidRPr="00E162C4">
        <w:br/>
        <w:t xml:space="preserve">Chan Street </w:t>
      </w:r>
      <w:r w:rsidRPr="00E162C4">
        <w:br/>
        <w:t>Belconnen ACT</w:t>
      </w:r>
    </w:p>
    <w:p w14:paraId="1EA7C74C" w14:textId="77777777" w:rsidR="00D13649" w:rsidRPr="00E162C4" w:rsidRDefault="00D13649" w:rsidP="00D13649">
      <w:pPr>
        <w:pStyle w:val="ACMACorporateAddresses"/>
      </w:pPr>
      <w:r w:rsidRPr="00E162C4">
        <w:t>PO Box 78</w:t>
      </w:r>
      <w:r w:rsidRPr="00E162C4">
        <w:br/>
        <w:t>Belconnen ACT 2616</w:t>
      </w:r>
    </w:p>
    <w:p w14:paraId="25957D83" w14:textId="77777777" w:rsidR="00D13649" w:rsidRPr="00E162C4" w:rsidRDefault="00D13649" w:rsidP="00D13649">
      <w:pPr>
        <w:pStyle w:val="ACMACorporateAddresses"/>
      </w:pPr>
      <w:r w:rsidRPr="00E162C4">
        <w:t>T</w:t>
      </w:r>
      <w:r w:rsidRPr="00E162C4">
        <w:tab/>
        <w:t>+61 2 6219 5555</w:t>
      </w:r>
      <w:r w:rsidRPr="00E162C4">
        <w:br/>
        <w:t>F</w:t>
      </w:r>
      <w:r w:rsidRPr="00E162C4">
        <w:tab/>
        <w:t>+61 2 6219 5353</w:t>
      </w:r>
    </w:p>
    <w:p w14:paraId="72FCC854" w14:textId="77777777" w:rsidR="00D13649" w:rsidRPr="00E162C4" w:rsidRDefault="00D13649" w:rsidP="00D13649">
      <w:pPr>
        <w:pStyle w:val="ACMACorporateAddressHeader"/>
      </w:pPr>
      <w:r w:rsidRPr="00E162C4">
        <w:t>Melbourne</w:t>
      </w:r>
    </w:p>
    <w:p w14:paraId="669E3221" w14:textId="77777777" w:rsidR="00D13649" w:rsidRPr="00E162C4" w:rsidRDefault="00D13649" w:rsidP="00D13649">
      <w:pPr>
        <w:pStyle w:val="ACMACorporateAddresses"/>
      </w:pPr>
      <w:r w:rsidRPr="00E162C4">
        <w:t xml:space="preserve">Level 32 </w:t>
      </w:r>
      <w:r w:rsidRPr="00E162C4">
        <w:br/>
        <w:t>Melbourne Central Tower</w:t>
      </w:r>
      <w:r w:rsidRPr="00E162C4">
        <w:br/>
        <w:t xml:space="preserve">360 Elizabeth Street </w:t>
      </w:r>
      <w:r w:rsidRPr="00E162C4">
        <w:br/>
        <w:t>Melbourne VIC</w:t>
      </w:r>
    </w:p>
    <w:p w14:paraId="5DF60051" w14:textId="77777777" w:rsidR="00D13649" w:rsidRPr="00E162C4" w:rsidRDefault="00D13649" w:rsidP="00D13649">
      <w:pPr>
        <w:pStyle w:val="ACMACorporateAddresses"/>
      </w:pPr>
      <w:r w:rsidRPr="00E162C4">
        <w:t>PO Box 13112</w:t>
      </w:r>
      <w:r w:rsidRPr="00E162C4">
        <w:br/>
        <w:t xml:space="preserve">Law Courts </w:t>
      </w:r>
      <w:r w:rsidRPr="00E162C4">
        <w:br/>
        <w:t>Melbourne VIC 8010</w:t>
      </w:r>
    </w:p>
    <w:p w14:paraId="41770595" w14:textId="77777777" w:rsidR="00D13649" w:rsidRPr="00E162C4" w:rsidRDefault="00D13649" w:rsidP="00D13649">
      <w:pPr>
        <w:pStyle w:val="ACMACorporateAddresses"/>
      </w:pPr>
      <w:r w:rsidRPr="00E162C4">
        <w:t>T</w:t>
      </w:r>
      <w:r w:rsidRPr="00E162C4">
        <w:tab/>
        <w:t>+61 3 9963 6800</w:t>
      </w:r>
      <w:r w:rsidRPr="00E162C4">
        <w:br/>
        <w:t>F</w:t>
      </w:r>
      <w:r w:rsidRPr="00E162C4">
        <w:tab/>
        <w:t>+61 3 9963 6899</w:t>
      </w:r>
    </w:p>
    <w:p w14:paraId="0E1DFD06" w14:textId="77777777" w:rsidR="00D13649" w:rsidRPr="00E162C4" w:rsidRDefault="00D13649" w:rsidP="00D13649">
      <w:pPr>
        <w:pStyle w:val="ACMACorporateAddressHeader"/>
      </w:pPr>
      <w:r w:rsidRPr="00E162C4">
        <w:t>Sydney</w:t>
      </w:r>
    </w:p>
    <w:p w14:paraId="2F808521" w14:textId="77777777" w:rsidR="00D13649" w:rsidRPr="00E162C4" w:rsidRDefault="00D13649" w:rsidP="00D13649">
      <w:pPr>
        <w:pStyle w:val="ACMACorporateAddresses"/>
      </w:pPr>
      <w:r w:rsidRPr="00E162C4">
        <w:t xml:space="preserve">Level 5 </w:t>
      </w:r>
      <w:r w:rsidRPr="00E162C4">
        <w:br/>
        <w:t>The Bay Centre</w:t>
      </w:r>
      <w:r w:rsidRPr="00E162C4">
        <w:br/>
        <w:t xml:space="preserve">65 Pirrama Road </w:t>
      </w:r>
      <w:r w:rsidRPr="00E162C4">
        <w:br/>
        <w:t>Pyrmont NSW</w:t>
      </w:r>
    </w:p>
    <w:p w14:paraId="7080146F" w14:textId="77777777" w:rsidR="00D13649" w:rsidRPr="00E162C4" w:rsidRDefault="00D13649" w:rsidP="00D13649">
      <w:pPr>
        <w:pStyle w:val="ACMACorporateAddresses"/>
      </w:pPr>
      <w:r w:rsidRPr="00E162C4">
        <w:t>PO Box Q500</w:t>
      </w:r>
      <w:r w:rsidRPr="00E162C4">
        <w:br/>
        <w:t xml:space="preserve">Queen Victoria Building </w:t>
      </w:r>
      <w:r w:rsidRPr="00E162C4">
        <w:br/>
        <w:t>NSW 1230</w:t>
      </w:r>
    </w:p>
    <w:p w14:paraId="7C9CD12B" w14:textId="77777777" w:rsidR="00D13649" w:rsidRPr="00E162C4" w:rsidRDefault="00D13649" w:rsidP="00D13649">
      <w:pPr>
        <w:pStyle w:val="ACMACorporateAddresses"/>
      </w:pPr>
      <w:r w:rsidRPr="00E162C4">
        <w:t>T</w:t>
      </w:r>
      <w:r w:rsidRPr="00E162C4">
        <w:tab/>
        <w:t>+61 2 9334 7700 or 1800 226 667</w:t>
      </w:r>
      <w:r w:rsidRPr="00E162C4">
        <w:br/>
        <w:t>F</w:t>
      </w:r>
      <w:r w:rsidRPr="00E162C4">
        <w:tab/>
        <w:t>+61 2 9334 7799</w:t>
      </w:r>
    </w:p>
    <w:p w14:paraId="27115FB9" w14:textId="77777777" w:rsidR="00D13649" w:rsidRPr="00E162C4" w:rsidRDefault="00D13649" w:rsidP="00D13649">
      <w:pPr>
        <w:pStyle w:val="ACMACopyrightHeader"/>
      </w:pPr>
      <w:r w:rsidRPr="00E162C4">
        <w:t>Copyright notice</w:t>
      </w:r>
    </w:p>
    <w:p w14:paraId="609214D8" w14:textId="77777777" w:rsidR="00D13649" w:rsidRPr="00E162C4" w:rsidRDefault="00D13649" w:rsidP="00D13649">
      <w:pPr>
        <w:pStyle w:val="ACMACClogo"/>
      </w:pPr>
      <w:r w:rsidRPr="00E162C4">
        <w:rPr>
          <w:noProof/>
        </w:rPr>
        <w:drawing>
          <wp:inline distT="0" distB="0" distL="0" distR="0" wp14:anchorId="23AE8917" wp14:editId="79CE056D">
            <wp:extent cx="838200" cy="295275"/>
            <wp:effectExtent l="0" t="0" r="0" b="0"/>
            <wp:docPr id="1" name="Picture 1" title="Creative Commons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4"/>
                    </pic:cNvPr>
                    <pic:cNvPicPr>
                      <a:picLocks noChangeAspect="1" noChangeArrowheads="1"/>
                    </pic:cNvPicPr>
                  </pic:nvPicPr>
                  <pic:blipFill>
                    <a:blip r:embed="rId15" cstate="print"/>
                    <a:srcRect/>
                    <a:stretch>
                      <a:fillRect/>
                    </a:stretch>
                  </pic:blipFill>
                  <pic:spPr bwMode="auto">
                    <a:xfrm>
                      <a:off x="0" y="0"/>
                      <a:ext cx="838200" cy="295275"/>
                    </a:xfrm>
                    <a:prstGeom prst="rect">
                      <a:avLst/>
                    </a:prstGeom>
                    <a:noFill/>
                  </pic:spPr>
                </pic:pic>
              </a:graphicData>
            </a:graphic>
          </wp:inline>
        </w:drawing>
      </w:r>
    </w:p>
    <w:p w14:paraId="5F369E19" w14:textId="77777777" w:rsidR="00D13649" w:rsidRPr="00E162C4" w:rsidRDefault="004D1E6F" w:rsidP="00D13649">
      <w:pPr>
        <w:pStyle w:val="ACMACorporateAddresses"/>
        <w:rPr>
          <w:rStyle w:val="Hyperlink"/>
        </w:rPr>
      </w:pPr>
      <w:hyperlink r:id="rId16" w:history="1">
        <w:r w:rsidR="00D13649" w:rsidRPr="00E162C4">
          <w:rPr>
            <w:rStyle w:val="Hyperlink"/>
          </w:rPr>
          <w:t>https://creativecommons.org/licenses/by/4.0/</w:t>
        </w:r>
      </w:hyperlink>
    </w:p>
    <w:p w14:paraId="4D5C1A0B" w14:textId="77777777" w:rsidR="00D13649" w:rsidRPr="00E162C4" w:rsidRDefault="00D13649" w:rsidP="00D13649">
      <w:pPr>
        <w:pStyle w:val="ACMACorporateAddresses"/>
      </w:pPr>
      <w:r w:rsidRPr="00E162C4">
        <w:t xml:space="preserve">With the exception of coats of arms, logos, emblems, images, other third-party material or devices protected by a trademark, this content is made available under the terms of the Creative Commons Attribution 4.0 International (CC BY 4.0) licence. </w:t>
      </w:r>
    </w:p>
    <w:p w14:paraId="61600697" w14:textId="77777777" w:rsidR="00D13649" w:rsidRPr="00E162C4" w:rsidRDefault="00D13649" w:rsidP="00D13649">
      <w:pPr>
        <w:pStyle w:val="ACMACorporateAddresses"/>
      </w:pPr>
      <w:r w:rsidRPr="00E162C4">
        <w:t>We request attribution as © Commonwealth of Australia (Australian Communications and Media Authority) 202</w:t>
      </w:r>
      <w:r>
        <w:t>3</w:t>
      </w:r>
      <w:r w:rsidRPr="00E162C4">
        <w:t>.</w:t>
      </w:r>
    </w:p>
    <w:p w14:paraId="3BE9AC97" w14:textId="77777777" w:rsidR="00D13649" w:rsidRPr="00E162C4" w:rsidRDefault="00D13649" w:rsidP="00D13649">
      <w:pPr>
        <w:pStyle w:val="ACMACorporateAddresses"/>
      </w:pPr>
      <w:r w:rsidRPr="00E162C4">
        <w:t>All other rights are reserved.</w:t>
      </w:r>
    </w:p>
    <w:p w14:paraId="0E8EFF9D" w14:textId="77777777" w:rsidR="00D13649" w:rsidRPr="00E162C4" w:rsidRDefault="00D13649" w:rsidP="00D13649">
      <w:pPr>
        <w:pStyle w:val="ACMACorporateAddresses"/>
      </w:pPr>
      <w:r w:rsidRPr="00E162C4">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1EF0ECF3" w14:textId="77777777" w:rsidR="00D13649" w:rsidRPr="00E162C4" w:rsidRDefault="00D13649" w:rsidP="00D13649">
      <w:pPr>
        <w:pStyle w:val="ACMACorporateAddresses"/>
      </w:pPr>
      <w:r w:rsidRPr="00E162C4">
        <w:t>Written enquiries may be sent to:</w:t>
      </w:r>
    </w:p>
    <w:p w14:paraId="1BBEE1A0" w14:textId="77777777" w:rsidR="00D13649" w:rsidRPr="00E162C4" w:rsidRDefault="00D13649" w:rsidP="00D13649">
      <w:pPr>
        <w:pStyle w:val="ACMACorporateAddresses"/>
        <w:rPr>
          <w:rStyle w:val="Hyperlink"/>
        </w:rPr>
      </w:pPr>
      <w:r w:rsidRPr="00E162C4">
        <w:t>Manager, Editorial Services</w:t>
      </w:r>
      <w:r w:rsidRPr="00E162C4">
        <w:br/>
        <w:t>PO Box 13112</w:t>
      </w:r>
      <w:r w:rsidRPr="00E162C4">
        <w:br/>
        <w:t>Law Courts</w:t>
      </w:r>
      <w:r w:rsidRPr="00E162C4">
        <w:br/>
        <w:t>Melbourne VIC 8010</w:t>
      </w:r>
      <w:r w:rsidRPr="00E162C4">
        <w:br/>
        <w:t xml:space="preserve">Email: </w:t>
      </w:r>
      <w:hyperlink r:id="rId17" w:history="1">
        <w:r w:rsidRPr="00E162C4">
          <w:rPr>
            <w:rStyle w:val="Hyperlink"/>
          </w:rPr>
          <w:t>info@acma.gov.au</w:t>
        </w:r>
      </w:hyperlink>
    </w:p>
    <w:p w14:paraId="04E26536" w14:textId="77777777" w:rsidR="00D13649" w:rsidRPr="00E162C4" w:rsidRDefault="00D13649" w:rsidP="00D13649">
      <w:pPr>
        <w:pStyle w:val="ACMACorporateAddresses"/>
        <w:rPr>
          <w:rStyle w:val="Hyperlink"/>
        </w:rPr>
      </w:pPr>
    </w:p>
    <w:p w14:paraId="7C5170ED" w14:textId="77777777" w:rsidR="00D13649" w:rsidRPr="00E162C4" w:rsidRDefault="00D13649" w:rsidP="00D13649">
      <w:pPr>
        <w:pStyle w:val="ACMACorporateAddresses"/>
        <w:sectPr w:rsidR="00D13649" w:rsidRPr="00E162C4">
          <w:headerReference w:type="even" r:id="rId18"/>
          <w:headerReference w:type="default" r:id="rId19"/>
          <w:footerReference w:type="even" r:id="rId20"/>
          <w:footerReference w:type="default" r:id="rId21"/>
          <w:pgSz w:w="11906" w:h="16838" w:code="9"/>
          <w:pgMar w:top="3924" w:right="1797" w:bottom="697" w:left="1134" w:header="709" w:footer="119" w:gutter="0"/>
          <w:cols w:space="708"/>
          <w:docGrid w:linePitch="360"/>
        </w:sectPr>
      </w:pPr>
    </w:p>
    <w:p w14:paraId="5B6629A9" w14:textId="77777777" w:rsidR="00D13649" w:rsidRDefault="00D13649" w:rsidP="00D13649">
      <w:pPr>
        <w:pStyle w:val="TOC1"/>
        <w:rPr>
          <w:rFonts w:asciiTheme="minorHAnsi" w:eastAsiaTheme="minorEastAsia" w:hAnsiTheme="minorHAnsi" w:cstheme="minorBidi"/>
          <w:b w:val="0"/>
          <w:spacing w:val="0"/>
          <w:sz w:val="22"/>
          <w:szCs w:val="22"/>
        </w:rPr>
      </w:pPr>
      <w:r w:rsidRPr="00E162C4">
        <w:rPr>
          <w:rFonts w:cs="Arial"/>
        </w:rPr>
        <w:fldChar w:fldCharType="begin"/>
      </w:r>
      <w:r w:rsidRPr="00E162C4">
        <w:rPr>
          <w:rFonts w:cs="Arial"/>
        </w:rPr>
        <w:instrText xml:space="preserve"> TOC \o "1-2" \h \z \t "Exec summary heading,1" </w:instrText>
      </w:r>
      <w:r w:rsidRPr="00E162C4">
        <w:rPr>
          <w:rFonts w:cs="Arial"/>
        </w:rPr>
        <w:fldChar w:fldCharType="separate"/>
      </w:r>
      <w:hyperlink w:anchor="_Toc145347975" w:history="1">
        <w:r w:rsidRPr="00936E52">
          <w:rPr>
            <w:rStyle w:val="Hyperlink"/>
          </w:rPr>
          <w:t>Executive summary</w:t>
        </w:r>
        <w:r>
          <w:rPr>
            <w:webHidden/>
          </w:rPr>
          <w:tab/>
        </w:r>
        <w:r>
          <w:rPr>
            <w:webHidden/>
          </w:rPr>
          <w:fldChar w:fldCharType="begin"/>
        </w:r>
        <w:r>
          <w:rPr>
            <w:webHidden/>
          </w:rPr>
          <w:instrText xml:space="preserve"> PAGEREF _Toc145347975 \h </w:instrText>
        </w:r>
        <w:r>
          <w:rPr>
            <w:webHidden/>
          </w:rPr>
        </w:r>
        <w:r>
          <w:rPr>
            <w:webHidden/>
          </w:rPr>
          <w:fldChar w:fldCharType="separate"/>
        </w:r>
        <w:r>
          <w:rPr>
            <w:webHidden/>
          </w:rPr>
          <w:t>1</w:t>
        </w:r>
        <w:r>
          <w:rPr>
            <w:webHidden/>
          </w:rPr>
          <w:fldChar w:fldCharType="end"/>
        </w:r>
      </w:hyperlink>
    </w:p>
    <w:p w14:paraId="79591215" w14:textId="77777777" w:rsidR="00D13649" w:rsidRDefault="004D1E6F" w:rsidP="00D13649">
      <w:pPr>
        <w:pStyle w:val="TOC1"/>
        <w:rPr>
          <w:rFonts w:asciiTheme="minorHAnsi" w:eastAsiaTheme="minorEastAsia" w:hAnsiTheme="minorHAnsi" w:cstheme="minorBidi"/>
          <w:b w:val="0"/>
          <w:spacing w:val="0"/>
          <w:sz w:val="22"/>
          <w:szCs w:val="22"/>
        </w:rPr>
      </w:pPr>
      <w:hyperlink w:anchor="_Toc145347976" w:history="1">
        <w:r w:rsidR="00D13649" w:rsidRPr="00936E52">
          <w:rPr>
            <w:rStyle w:val="Hyperlink"/>
          </w:rPr>
          <w:t>Issues for comment</w:t>
        </w:r>
        <w:r w:rsidR="00D13649">
          <w:rPr>
            <w:webHidden/>
          </w:rPr>
          <w:tab/>
        </w:r>
        <w:r w:rsidR="00D13649">
          <w:rPr>
            <w:webHidden/>
          </w:rPr>
          <w:fldChar w:fldCharType="begin"/>
        </w:r>
        <w:r w:rsidR="00D13649">
          <w:rPr>
            <w:webHidden/>
          </w:rPr>
          <w:instrText xml:space="preserve"> PAGEREF _Toc145347976 \h </w:instrText>
        </w:r>
        <w:r w:rsidR="00D13649">
          <w:rPr>
            <w:webHidden/>
          </w:rPr>
        </w:r>
        <w:r w:rsidR="00D13649">
          <w:rPr>
            <w:webHidden/>
          </w:rPr>
          <w:fldChar w:fldCharType="separate"/>
        </w:r>
        <w:r w:rsidR="00D13649">
          <w:rPr>
            <w:webHidden/>
          </w:rPr>
          <w:t>2</w:t>
        </w:r>
        <w:r w:rsidR="00D13649">
          <w:rPr>
            <w:webHidden/>
          </w:rPr>
          <w:fldChar w:fldCharType="end"/>
        </w:r>
      </w:hyperlink>
    </w:p>
    <w:p w14:paraId="691799BA" w14:textId="77777777" w:rsidR="00D13649" w:rsidRDefault="004D1E6F" w:rsidP="00D13649">
      <w:pPr>
        <w:pStyle w:val="TOC2"/>
        <w:rPr>
          <w:rFonts w:asciiTheme="minorHAnsi" w:eastAsiaTheme="minorEastAsia" w:hAnsiTheme="minorHAnsi" w:cstheme="minorBidi"/>
          <w:spacing w:val="0"/>
          <w:sz w:val="22"/>
          <w:szCs w:val="22"/>
        </w:rPr>
      </w:pPr>
      <w:hyperlink w:anchor="_Toc145347977" w:history="1">
        <w:r w:rsidR="00D13649" w:rsidRPr="00936E52">
          <w:rPr>
            <w:rStyle w:val="Hyperlink"/>
          </w:rPr>
          <w:t>Consultation questions</w:t>
        </w:r>
        <w:r w:rsidR="00D13649">
          <w:rPr>
            <w:webHidden/>
          </w:rPr>
          <w:tab/>
        </w:r>
        <w:r w:rsidR="00D13649">
          <w:rPr>
            <w:webHidden/>
          </w:rPr>
          <w:fldChar w:fldCharType="begin"/>
        </w:r>
        <w:r w:rsidR="00D13649">
          <w:rPr>
            <w:webHidden/>
          </w:rPr>
          <w:instrText xml:space="preserve"> PAGEREF _Toc145347977 \h </w:instrText>
        </w:r>
        <w:r w:rsidR="00D13649">
          <w:rPr>
            <w:webHidden/>
          </w:rPr>
        </w:r>
        <w:r w:rsidR="00D13649">
          <w:rPr>
            <w:webHidden/>
          </w:rPr>
          <w:fldChar w:fldCharType="separate"/>
        </w:r>
        <w:r w:rsidR="00D13649">
          <w:rPr>
            <w:webHidden/>
          </w:rPr>
          <w:t>2</w:t>
        </w:r>
        <w:r w:rsidR="00D13649">
          <w:rPr>
            <w:webHidden/>
          </w:rPr>
          <w:fldChar w:fldCharType="end"/>
        </w:r>
      </w:hyperlink>
    </w:p>
    <w:p w14:paraId="49715634" w14:textId="77777777" w:rsidR="00D13649" w:rsidRDefault="004D1E6F" w:rsidP="00D13649">
      <w:pPr>
        <w:pStyle w:val="TOC1"/>
        <w:rPr>
          <w:rFonts w:asciiTheme="minorHAnsi" w:eastAsiaTheme="minorEastAsia" w:hAnsiTheme="minorHAnsi" w:cstheme="minorBidi"/>
          <w:b w:val="0"/>
          <w:spacing w:val="0"/>
          <w:sz w:val="22"/>
          <w:szCs w:val="22"/>
        </w:rPr>
      </w:pPr>
      <w:hyperlink w:anchor="_Toc145347978" w:history="1">
        <w:r w:rsidR="00D13649" w:rsidRPr="00936E52">
          <w:rPr>
            <w:rStyle w:val="Hyperlink"/>
          </w:rPr>
          <w:t>Introduction</w:t>
        </w:r>
        <w:r w:rsidR="00D13649">
          <w:rPr>
            <w:webHidden/>
          </w:rPr>
          <w:tab/>
        </w:r>
        <w:r w:rsidR="00D13649">
          <w:rPr>
            <w:webHidden/>
          </w:rPr>
          <w:fldChar w:fldCharType="begin"/>
        </w:r>
        <w:r w:rsidR="00D13649">
          <w:rPr>
            <w:webHidden/>
          </w:rPr>
          <w:instrText xml:space="preserve"> PAGEREF _Toc145347978 \h </w:instrText>
        </w:r>
        <w:r w:rsidR="00D13649">
          <w:rPr>
            <w:webHidden/>
          </w:rPr>
        </w:r>
        <w:r w:rsidR="00D13649">
          <w:rPr>
            <w:webHidden/>
          </w:rPr>
          <w:fldChar w:fldCharType="separate"/>
        </w:r>
        <w:r w:rsidR="00D13649">
          <w:rPr>
            <w:webHidden/>
          </w:rPr>
          <w:t>3</w:t>
        </w:r>
        <w:r w:rsidR="00D13649">
          <w:rPr>
            <w:webHidden/>
          </w:rPr>
          <w:fldChar w:fldCharType="end"/>
        </w:r>
      </w:hyperlink>
    </w:p>
    <w:p w14:paraId="1C04D65E" w14:textId="77777777" w:rsidR="00D13649" w:rsidRDefault="004D1E6F" w:rsidP="00D13649">
      <w:pPr>
        <w:pStyle w:val="TOC2"/>
        <w:rPr>
          <w:rFonts w:asciiTheme="minorHAnsi" w:eastAsiaTheme="minorEastAsia" w:hAnsiTheme="minorHAnsi" w:cstheme="minorBidi"/>
          <w:spacing w:val="0"/>
          <w:sz w:val="22"/>
          <w:szCs w:val="22"/>
        </w:rPr>
      </w:pPr>
      <w:hyperlink w:anchor="_Toc145347979" w:history="1">
        <w:r w:rsidR="00D13649" w:rsidRPr="00936E52">
          <w:rPr>
            <w:rStyle w:val="Hyperlink"/>
          </w:rPr>
          <w:t>Maritime radio regulatory arrangements</w:t>
        </w:r>
        <w:r w:rsidR="00D13649">
          <w:rPr>
            <w:webHidden/>
          </w:rPr>
          <w:tab/>
        </w:r>
        <w:r w:rsidR="00D13649">
          <w:rPr>
            <w:webHidden/>
          </w:rPr>
          <w:fldChar w:fldCharType="begin"/>
        </w:r>
        <w:r w:rsidR="00D13649">
          <w:rPr>
            <w:webHidden/>
          </w:rPr>
          <w:instrText xml:space="preserve"> PAGEREF _Toc145347979 \h </w:instrText>
        </w:r>
        <w:r w:rsidR="00D13649">
          <w:rPr>
            <w:webHidden/>
          </w:rPr>
        </w:r>
        <w:r w:rsidR="00D13649">
          <w:rPr>
            <w:webHidden/>
          </w:rPr>
          <w:fldChar w:fldCharType="separate"/>
        </w:r>
        <w:r w:rsidR="00D13649">
          <w:rPr>
            <w:webHidden/>
          </w:rPr>
          <w:t>3</w:t>
        </w:r>
        <w:r w:rsidR="00D13649">
          <w:rPr>
            <w:webHidden/>
          </w:rPr>
          <w:fldChar w:fldCharType="end"/>
        </w:r>
      </w:hyperlink>
    </w:p>
    <w:p w14:paraId="00A0A6F3" w14:textId="77777777" w:rsidR="00D13649" w:rsidRDefault="004D1E6F" w:rsidP="00D13649">
      <w:pPr>
        <w:pStyle w:val="TOC1"/>
        <w:rPr>
          <w:rFonts w:asciiTheme="minorHAnsi" w:eastAsiaTheme="minorEastAsia" w:hAnsiTheme="minorHAnsi" w:cstheme="minorBidi"/>
          <w:b w:val="0"/>
          <w:spacing w:val="0"/>
          <w:sz w:val="22"/>
          <w:szCs w:val="22"/>
        </w:rPr>
      </w:pPr>
      <w:hyperlink w:anchor="_Toc145347980" w:history="1">
        <w:r w:rsidR="00D13649" w:rsidRPr="00936E52">
          <w:rPr>
            <w:rStyle w:val="Hyperlink"/>
          </w:rPr>
          <w:t>Proposal to amend maritime instruments</w:t>
        </w:r>
        <w:r w:rsidR="00D13649">
          <w:rPr>
            <w:webHidden/>
          </w:rPr>
          <w:tab/>
        </w:r>
        <w:r w:rsidR="00D13649">
          <w:rPr>
            <w:webHidden/>
          </w:rPr>
          <w:fldChar w:fldCharType="begin"/>
        </w:r>
        <w:r w:rsidR="00D13649">
          <w:rPr>
            <w:webHidden/>
          </w:rPr>
          <w:instrText xml:space="preserve"> PAGEREF _Toc145347980 \h </w:instrText>
        </w:r>
        <w:r w:rsidR="00D13649">
          <w:rPr>
            <w:webHidden/>
          </w:rPr>
        </w:r>
        <w:r w:rsidR="00D13649">
          <w:rPr>
            <w:webHidden/>
          </w:rPr>
          <w:fldChar w:fldCharType="separate"/>
        </w:r>
        <w:r w:rsidR="00D13649">
          <w:rPr>
            <w:webHidden/>
          </w:rPr>
          <w:t>5</w:t>
        </w:r>
        <w:r w:rsidR="00D13649">
          <w:rPr>
            <w:webHidden/>
          </w:rPr>
          <w:fldChar w:fldCharType="end"/>
        </w:r>
      </w:hyperlink>
    </w:p>
    <w:p w14:paraId="2E3160BD" w14:textId="77777777" w:rsidR="00D13649" w:rsidRDefault="004D1E6F" w:rsidP="00D13649">
      <w:pPr>
        <w:pStyle w:val="TOC2"/>
        <w:rPr>
          <w:rFonts w:asciiTheme="minorHAnsi" w:eastAsiaTheme="minorEastAsia" w:hAnsiTheme="minorHAnsi" w:cstheme="minorBidi"/>
          <w:spacing w:val="0"/>
          <w:sz w:val="22"/>
          <w:szCs w:val="22"/>
        </w:rPr>
      </w:pPr>
      <w:hyperlink w:anchor="_Toc145347981" w:history="1">
        <w:r w:rsidR="00D13649" w:rsidRPr="00936E52">
          <w:rPr>
            <w:rStyle w:val="Hyperlink"/>
          </w:rPr>
          <w:t>WRC-19 outcomes</w:t>
        </w:r>
        <w:r w:rsidR="00D13649">
          <w:rPr>
            <w:webHidden/>
          </w:rPr>
          <w:tab/>
        </w:r>
        <w:r w:rsidR="00D13649">
          <w:rPr>
            <w:webHidden/>
          </w:rPr>
          <w:fldChar w:fldCharType="begin"/>
        </w:r>
        <w:r w:rsidR="00D13649">
          <w:rPr>
            <w:webHidden/>
          </w:rPr>
          <w:instrText xml:space="preserve"> PAGEREF _Toc145347981 \h </w:instrText>
        </w:r>
        <w:r w:rsidR="00D13649">
          <w:rPr>
            <w:webHidden/>
          </w:rPr>
        </w:r>
        <w:r w:rsidR="00D13649">
          <w:rPr>
            <w:webHidden/>
          </w:rPr>
          <w:fldChar w:fldCharType="separate"/>
        </w:r>
        <w:r w:rsidR="00D13649">
          <w:rPr>
            <w:webHidden/>
          </w:rPr>
          <w:t>5</w:t>
        </w:r>
        <w:r w:rsidR="00D13649">
          <w:rPr>
            <w:webHidden/>
          </w:rPr>
          <w:fldChar w:fldCharType="end"/>
        </w:r>
      </w:hyperlink>
    </w:p>
    <w:p w14:paraId="37590FCC" w14:textId="77777777" w:rsidR="00D13649" w:rsidRDefault="004D1E6F" w:rsidP="00D13649">
      <w:pPr>
        <w:pStyle w:val="TOC2"/>
        <w:rPr>
          <w:rFonts w:asciiTheme="minorHAnsi" w:eastAsiaTheme="minorEastAsia" w:hAnsiTheme="minorHAnsi" w:cstheme="minorBidi"/>
          <w:spacing w:val="0"/>
          <w:sz w:val="22"/>
          <w:szCs w:val="22"/>
        </w:rPr>
      </w:pPr>
      <w:hyperlink w:anchor="_Toc145347982" w:history="1">
        <w:r w:rsidR="00D13649" w:rsidRPr="00936E52">
          <w:rPr>
            <w:rStyle w:val="Hyperlink"/>
          </w:rPr>
          <w:t>Support additional satellite systems to the GMDSS</w:t>
        </w:r>
        <w:r w:rsidR="00D13649">
          <w:rPr>
            <w:webHidden/>
          </w:rPr>
          <w:tab/>
        </w:r>
        <w:r w:rsidR="00D13649">
          <w:rPr>
            <w:webHidden/>
          </w:rPr>
          <w:fldChar w:fldCharType="begin"/>
        </w:r>
        <w:r w:rsidR="00D13649">
          <w:rPr>
            <w:webHidden/>
          </w:rPr>
          <w:instrText xml:space="preserve"> PAGEREF _Toc145347982 \h </w:instrText>
        </w:r>
        <w:r w:rsidR="00D13649">
          <w:rPr>
            <w:webHidden/>
          </w:rPr>
        </w:r>
        <w:r w:rsidR="00D13649">
          <w:rPr>
            <w:webHidden/>
          </w:rPr>
          <w:fldChar w:fldCharType="separate"/>
        </w:r>
        <w:r w:rsidR="00D13649">
          <w:rPr>
            <w:webHidden/>
          </w:rPr>
          <w:t>6</w:t>
        </w:r>
        <w:r w:rsidR="00D13649">
          <w:rPr>
            <w:webHidden/>
          </w:rPr>
          <w:fldChar w:fldCharType="end"/>
        </w:r>
      </w:hyperlink>
    </w:p>
    <w:p w14:paraId="6EBFE1FB" w14:textId="77777777" w:rsidR="00D13649" w:rsidRDefault="004D1E6F" w:rsidP="00D13649">
      <w:pPr>
        <w:pStyle w:val="TOC2"/>
        <w:rPr>
          <w:rFonts w:asciiTheme="minorHAnsi" w:eastAsiaTheme="minorEastAsia" w:hAnsiTheme="minorHAnsi" w:cstheme="minorBidi"/>
          <w:spacing w:val="0"/>
          <w:sz w:val="22"/>
          <w:szCs w:val="22"/>
        </w:rPr>
      </w:pPr>
      <w:hyperlink w:anchor="_Toc145347983" w:history="1">
        <w:r w:rsidR="00D13649" w:rsidRPr="00936E52">
          <w:rPr>
            <w:rStyle w:val="Hyperlink"/>
          </w:rPr>
          <w:t>Facilitate use of AMRDs to protect the GMDSS and AIS</w:t>
        </w:r>
        <w:r w:rsidR="00D13649">
          <w:rPr>
            <w:webHidden/>
          </w:rPr>
          <w:tab/>
        </w:r>
        <w:r w:rsidR="00D13649">
          <w:rPr>
            <w:webHidden/>
          </w:rPr>
          <w:fldChar w:fldCharType="begin"/>
        </w:r>
        <w:r w:rsidR="00D13649">
          <w:rPr>
            <w:webHidden/>
          </w:rPr>
          <w:instrText xml:space="preserve"> PAGEREF _Toc145347983 \h </w:instrText>
        </w:r>
        <w:r w:rsidR="00D13649">
          <w:rPr>
            <w:webHidden/>
          </w:rPr>
        </w:r>
        <w:r w:rsidR="00D13649">
          <w:rPr>
            <w:webHidden/>
          </w:rPr>
          <w:fldChar w:fldCharType="separate"/>
        </w:r>
        <w:r w:rsidR="00D13649">
          <w:rPr>
            <w:webHidden/>
          </w:rPr>
          <w:t>6</w:t>
        </w:r>
        <w:r w:rsidR="00D13649">
          <w:rPr>
            <w:webHidden/>
          </w:rPr>
          <w:fldChar w:fldCharType="end"/>
        </w:r>
      </w:hyperlink>
    </w:p>
    <w:p w14:paraId="524D4CAC" w14:textId="77777777" w:rsidR="00D13649" w:rsidRDefault="004D1E6F" w:rsidP="00D13649">
      <w:pPr>
        <w:pStyle w:val="TOC2"/>
        <w:rPr>
          <w:rFonts w:asciiTheme="minorHAnsi" w:eastAsiaTheme="minorEastAsia" w:hAnsiTheme="minorHAnsi" w:cstheme="minorBidi"/>
          <w:spacing w:val="0"/>
          <w:sz w:val="22"/>
          <w:szCs w:val="22"/>
        </w:rPr>
      </w:pPr>
      <w:hyperlink w:anchor="_Toc145347984" w:history="1">
        <w:r w:rsidR="00D13649" w:rsidRPr="00936E52">
          <w:rPr>
            <w:rStyle w:val="Hyperlink"/>
          </w:rPr>
          <w:t>Enable a new VDES satellite component</w:t>
        </w:r>
        <w:r w:rsidR="00D13649">
          <w:rPr>
            <w:webHidden/>
          </w:rPr>
          <w:tab/>
        </w:r>
        <w:r w:rsidR="00D13649">
          <w:rPr>
            <w:webHidden/>
          </w:rPr>
          <w:fldChar w:fldCharType="begin"/>
        </w:r>
        <w:r w:rsidR="00D13649">
          <w:rPr>
            <w:webHidden/>
          </w:rPr>
          <w:instrText xml:space="preserve"> PAGEREF _Toc145347984 \h </w:instrText>
        </w:r>
        <w:r w:rsidR="00D13649">
          <w:rPr>
            <w:webHidden/>
          </w:rPr>
        </w:r>
        <w:r w:rsidR="00D13649">
          <w:rPr>
            <w:webHidden/>
          </w:rPr>
          <w:fldChar w:fldCharType="separate"/>
        </w:r>
        <w:r w:rsidR="00D13649">
          <w:rPr>
            <w:webHidden/>
          </w:rPr>
          <w:t>8</w:t>
        </w:r>
        <w:r w:rsidR="00D13649">
          <w:rPr>
            <w:webHidden/>
          </w:rPr>
          <w:fldChar w:fldCharType="end"/>
        </w:r>
      </w:hyperlink>
    </w:p>
    <w:p w14:paraId="7A83514D" w14:textId="77777777" w:rsidR="00D13649" w:rsidRDefault="004D1E6F" w:rsidP="00D13649">
      <w:pPr>
        <w:pStyle w:val="TOC1"/>
        <w:rPr>
          <w:rFonts w:asciiTheme="minorHAnsi" w:eastAsiaTheme="minorEastAsia" w:hAnsiTheme="minorHAnsi" w:cstheme="minorBidi"/>
          <w:b w:val="0"/>
          <w:spacing w:val="0"/>
          <w:sz w:val="22"/>
          <w:szCs w:val="22"/>
        </w:rPr>
      </w:pPr>
      <w:hyperlink w:anchor="_Toc145347985" w:history="1">
        <w:r w:rsidR="00D13649" w:rsidRPr="00936E52">
          <w:rPr>
            <w:rStyle w:val="Hyperlink"/>
          </w:rPr>
          <w:t>Proposed amendments to maritime instruments</w:t>
        </w:r>
        <w:r w:rsidR="00D13649">
          <w:rPr>
            <w:webHidden/>
          </w:rPr>
          <w:tab/>
        </w:r>
        <w:r w:rsidR="00D13649">
          <w:rPr>
            <w:webHidden/>
          </w:rPr>
          <w:fldChar w:fldCharType="begin"/>
        </w:r>
        <w:r w:rsidR="00D13649">
          <w:rPr>
            <w:webHidden/>
          </w:rPr>
          <w:instrText xml:space="preserve"> PAGEREF _Toc145347985 \h </w:instrText>
        </w:r>
        <w:r w:rsidR="00D13649">
          <w:rPr>
            <w:webHidden/>
          </w:rPr>
        </w:r>
        <w:r w:rsidR="00D13649">
          <w:rPr>
            <w:webHidden/>
          </w:rPr>
          <w:fldChar w:fldCharType="separate"/>
        </w:r>
        <w:r w:rsidR="00D13649">
          <w:rPr>
            <w:webHidden/>
          </w:rPr>
          <w:t>9</w:t>
        </w:r>
        <w:r w:rsidR="00D13649">
          <w:rPr>
            <w:webHidden/>
          </w:rPr>
          <w:fldChar w:fldCharType="end"/>
        </w:r>
      </w:hyperlink>
    </w:p>
    <w:p w14:paraId="1AD2E99E" w14:textId="77777777" w:rsidR="00D13649" w:rsidRDefault="004D1E6F" w:rsidP="00D13649">
      <w:pPr>
        <w:pStyle w:val="TOC1"/>
        <w:rPr>
          <w:rFonts w:asciiTheme="minorHAnsi" w:eastAsiaTheme="minorEastAsia" w:hAnsiTheme="minorHAnsi" w:cstheme="minorBidi"/>
          <w:b w:val="0"/>
          <w:spacing w:val="0"/>
          <w:sz w:val="22"/>
          <w:szCs w:val="22"/>
        </w:rPr>
      </w:pPr>
      <w:hyperlink w:anchor="_Toc145347986" w:history="1">
        <w:r w:rsidR="00D13649" w:rsidRPr="00936E52">
          <w:rPr>
            <w:rStyle w:val="Hyperlink"/>
          </w:rPr>
          <w:t>Next steps</w:t>
        </w:r>
        <w:r w:rsidR="00D13649">
          <w:rPr>
            <w:webHidden/>
          </w:rPr>
          <w:tab/>
        </w:r>
        <w:r w:rsidR="00D13649">
          <w:rPr>
            <w:webHidden/>
          </w:rPr>
          <w:fldChar w:fldCharType="begin"/>
        </w:r>
        <w:r w:rsidR="00D13649">
          <w:rPr>
            <w:webHidden/>
          </w:rPr>
          <w:instrText xml:space="preserve"> PAGEREF _Toc145347986 \h </w:instrText>
        </w:r>
        <w:r w:rsidR="00D13649">
          <w:rPr>
            <w:webHidden/>
          </w:rPr>
        </w:r>
        <w:r w:rsidR="00D13649">
          <w:rPr>
            <w:webHidden/>
          </w:rPr>
          <w:fldChar w:fldCharType="separate"/>
        </w:r>
        <w:r w:rsidR="00D13649">
          <w:rPr>
            <w:webHidden/>
          </w:rPr>
          <w:t>11</w:t>
        </w:r>
        <w:r w:rsidR="00D13649">
          <w:rPr>
            <w:webHidden/>
          </w:rPr>
          <w:fldChar w:fldCharType="end"/>
        </w:r>
      </w:hyperlink>
    </w:p>
    <w:p w14:paraId="28590294" w14:textId="77777777" w:rsidR="00D13649" w:rsidRDefault="004D1E6F" w:rsidP="00D13649">
      <w:pPr>
        <w:pStyle w:val="TOC2"/>
        <w:rPr>
          <w:rFonts w:asciiTheme="minorHAnsi" w:eastAsiaTheme="minorEastAsia" w:hAnsiTheme="minorHAnsi" w:cstheme="minorBidi"/>
          <w:spacing w:val="0"/>
          <w:sz w:val="22"/>
          <w:szCs w:val="22"/>
        </w:rPr>
      </w:pPr>
      <w:hyperlink w:anchor="_Toc145347987" w:history="1">
        <w:r w:rsidR="00D13649" w:rsidRPr="00936E52">
          <w:rPr>
            <w:rStyle w:val="Hyperlink"/>
          </w:rPr>
          <w:t>Sunsetting of maritime radio legislative instruments</w:t>
        </w:r>
        <w:r w:rsidR="00D13649">
          <w:rPr>
            <w:webHidden/>
          </w:rPr>
          <w:tab/>
        </w:r>
        <w:r w:rsidR="00D13649">
          <w:rPr>
            <w:webHidden/>
          </w:rPr>
          <w:fldChar w:fldCharType="begin"/>
        </w:r>
        <w:r w:rsidR="00D13649">
          <w:rPr>
            <w:webHidden/>
          </w:rPr>
          <w:instrText xml:space="preserve"> PAGEREF _Toc145347987 \h </w:instrText>
        </w:r>
        <w:r w:rsidR="00D13649">
          <w:rPr>
            <w:webHidden/>
          </w:rPr>
        </w:r>
        <w:r w:rsidR="00D13649">
          <w:rPr>
            <w:webHidden/>
          </w:rPr>
          <w:fldChar w:fldCharType="separate"/>
        </w:r>
        <w:r w:rsidR="00D13649">
          <w:rPr>
            <w:webHidden/>
          </w:rPr>
          <w:t>11</w:t>
        </w:r>
        <w:r w:rsidR="00D13649">
          <w:rPr>
            <w:webHidden/>
          </w:rPr>
          <w:fldChar w:fldCharType="end"/>
        </w:r>
      </w:hyperlink>
    </w:p>
    <w:p w14:paraId="79C4B9BC" w14:textId="77777777" w:rsidR="00D13649" w:rsidRDefault="004D1E6F" w:rsidP="00D13649">
      <w:pPr>
        <w:pStyle w:val="TOC1"/>
        <w:rPr>
          <w:rFonts w:asciiTheme="minorHAnsi" w:eastAsiaTheme="minorEastAsia" w:hAnsiTheme="minorHAnsi" w:cstheme="minorBidi"/>
          <w:b w:val="0"/>
          <w:spacing w:val="0"/>
          <w:sz w:val="22"/>
          <w:szCs w:val="22"/>
        </w:rPr>
      </w:pPr>
      <w:hyperlink w:anchor="_Toc145347988" w:history="1">
        <w:r w:rsidR="00D13649" w:rsidRPr="00936E52">
          <w:rPr>
            <w:rStyle w:val="Hyperlink"/>
          </w:rPr>
          <w:t>Invitation to comment</w:t>
        </w:r>
        <w:r w:rsidR="00D13649">
          <w:rPr>
            <w:webHidden/>
          </w:rPr>
          <w:tab/>
        </w:r>
        <w:r w:rsidR="00D13649">
          <w:rPr>
            <w:webHidden/>
          </w:rPr>
          <w:fldChar w:fldCharType="begin"/>
        </w:r>
        <w:r w:rsidR="00D13649">
          <w:rPr>
            <w:webHidden/>
          </w:rPr>
          <w:instrText xml:space="preserve"> PAGEREF _Toc145347988 \h </w:instrText>
        </w:r>
        <w:r w:rsidR="00D13649">
          <w:rPr>
            <w:webHidden/>
          </w:rPr>
        </w:r>
        <w:r w:rsidR="00D13649">
          <w:rPr>
            <w:webHidden/>
          </w:rPr>
          <w:fldChar w:fldCharType="separate"/>
        </w:r>
        <w:r w:rsidR="00D13649">
          <w:rPr>
            <w:webHidden/>
          </w:rPr>
          <w:t>12</w:t>
        </w:r>
        <w:r w:rsidR="00D13649">
          <w:rPr>
            <w:webHidden/>
          </w:rPr>
          <w:fldChar w:fldCharType="end"/>
        </w:r>
      </w:hyperlink>
    </w:p>
    <w:p w14:paraId="0B165690" w14:textId="77777777" w:rsidR="00D13649" w:rsidRDefault="004D1E6F" w:rsidP="00D13649">
      <w:pPr>
        <w:pStyle w:val="TOC2"/>
        <w:rPr>
          <w:rFonts w:asciiTheme="minorHAnsi" w:eastAsiaTheme="minorEastAsia" w:hAnsiTheme="minorHAnsi" w:cstheme="minorBidi"/>
          <w:spacing w:val="0"/>
          <w:sz w:val="22"/>
          <w:szCs w:val="22"/>
        </w:rPr>
      </w:pPr>
      <w:hyperlink w:anchor="_Toc145347989" w:history="1">
        <w:r w:rsidR="00D13649" w:rsidRPr="00936E52">
          <w:rPr>
            <w:rStyle w:val="Hyperlink"/>
          </w:rPr>
          <w:t>Making a submission</w:t>
        </w:r>
        <w:r w:rsidR="00D13649">
          <w:rPr>
            <w:webHidden/>
          </w:rPr>
          <w:tab/>
        </w:r>
        <w:r w:rsidR="00D13649">
          <w:rPr>
            <w:webHidden/>
          </w:rPr>
          <w:fldChar w:fldCharType="begin"/>
        </w:r>
        <w:r w:rsidR="00D13649">
          <w:rPr>
            <w:webHidden/>
          </w:rPr>
          <w:instrText xml:space="preserve"> PAGEREF _Toc145347989 \h </w:instrText>
        </w:r>
        <w:r w:rsidR="00D13649">
          <w:rPr>
            <w:webHidden/>
          </w:rPr>
        </w:r>
        <w:r w:rsidR="00D13649">
          <w:rPr>
            <w:webHidden/>
          </w:rPr>
          <w:fldChar w:fldCharType="separate"/>
        </w:r>
        <w:r w:rsidR="00D13649">
          <w:rPr>
            <w:webHidden/>
          </w:rPr>
          <w:t>12</w:t>
        </w:r>
        <w:r w:rsidR="00D13649">
          <w:rPr>
            <w:webHidden/>
          </w:rPr>
          <w:fldChar w:fldCharType="end"/>
        </w:r>
      </w:hyperlink>
    </w:p>
    <w:p w14:paraId="73039020" w14:textId="77777777" w:rsidR="00D13649" w:rsidRPr="00E162C4" w:rsidRDefault="00D13649" w:rsidP="00D13649">
      <w:pPr>
        <w:rPr>
          <w:rFonts w:cs="Arial"/>
        </w:rPr>
        <w:sectPr w:rsidR="00D13649" w:rsidRPr="00E162C4" w:rsidSect="00C77380">
          <w:headerReference w:type="even" r:id="rId22"/>
          <w:headerReference w:type="default" r:id="rId23"/>
          <w:footerReference w:type="even" r:id="rId24"/>
          <w:footerReference w:type="default" r:id="rId25"/>
          <w:footerReference w:type="first" r:id="rId26"/>
          <w:pgSz w:w="11906" w:h="16838" w:code="9"/>
          <w:pgMar w:top="3646" w:right="3101" w:bottom="1134" w:left="1134" w:header="709" w:footer="119" w:gutter="0"/>
          <w:cols w:space="708"/>
          <w:titlePg/>
          <w:docGrid w:linePitch="360"/>
        </w:sectPr>
      </w:pPr>
      <w:r w:rsidRPr="00E162C4">
        <w:rPr>
          <w:rFonts w:cs="Arial"/>
          <w:noProof/>
          <w:spacing w:val="-14"/>
          <w:sz w:val="28"/>
        </w:rPr>
        <w:fldChar w:fldCharType="end"/>
      </w:r>
    </w:p>
    <w:p w14:paraId="6ABD1635" w14:textId="77777777" w:rsidR="00D13649" w:rsidRPr="00E162C4" w:rsidRDefault="00D13649" w:rsidP="00D13649">
      <w:pPr>
        <w:pStyle w:val="Execsummaryheading"/>
      </w:pPr>
      <w:bookmarkStart w:id="0" w:name="_Toc136440421"/>
      <w:bookmarkStart w:id="1" w:name="_Toc145347975"/>
      <w:r w:rsidRPr="00E162C4">
        <w:t>Executive summary</w:t>
      </w:r>
      <w:bookmarkEnd w:id="0"/>
      <w:bookmarkEnd w:id="1"/>
    </w:p>
    <w:p w14:paraId="7309CF62" w14:textId="77777777" w:rsidR="00D13649" w:rsidRDefault="00D13649" w:rsidP="00D13649">
      <w:pPr>
        <w:pStyle w:val="Paragraph"/>
      </w:pPr>
      <w:bookmarkStart w:id="2" w:name="_Toc433122125"/>
      <w:r>
        <w:t xml:space="preserve">In the </w:t>
      </w:r>
      <w:hyperlink r:id="rId27" w:history="1">
        <w:r w:rsidRPr="00955DD7">
          <w:rPr>
            <w:rStyle w:val="Hyperlink"/>
          </w:rPr>
          <w:t>Five-year spectrum outlook 2022</w:t>
        </w:r>
        <w:r w:rsidRPr="00EC65C5">
          <w:rPr>
            <w:rStyle w:val="Hyperlink"/>
          </w:rPr>
          <w:t>–</w:t>
        </w:r>
        <w:r w:rsidRPr="00955DD7">
          <w:rPr>
            <w:rStyle w:val="Hyperlink"/>
          </w:rPr>
          <w:t>27</w:t>
        </w:r>
      </w:hyperlink>
      <w:r>
        <w:t xml:space="preserve">, the ACMA indicated that it would consult on proposed amendments to the Very High Frequency (VHF) maritime mobile channel arrangements set out in our legislative instruments. </w:t>
      </w:r>
    </w:p>
    <w:p w14:paraId="5A65E487" w14:textId="77777777" w:rsidR="00D13649" w:rsidRPr="00240C77" w:rsidRDefault="00D13649" w:rsidP="00D13649">
      <w:pPr>
        <w:spacing w:before="120" w:after="120" w:line="240" w:lineRule="auto"/>
        <w:rPr>
          <w:rFonts w:cs="Arial"/>
          <w:iCs/>
          <w:szCs w:val="20"/>
        </w:rPr>
      </w:pPr>
      <w:r>
        <w:rPr>
          <w:rFonts w:cs="Arial"/>
        </w:rPr>
        <w:t xml:space="preserve">Following the </w:t>
      </w:r>
      <w:r>
        <w:t xml:space="preserve">most recent World Radiocommunications Conference (WRC) in 2019 (WRC-19), the International Telecommunication Union (ITU) updated </w:t>
      </w:r>
      <w:r w:rsidRPr="00EE0197">
        <w:rPr>
          <w:rFonts w:cs="Arial"/>
        </w:rPr>
        <w:t>Appendix 18 (REV.WRC-19)</w:t>
      </w:r>
      <w:r w:rsidRPr="00EE0197">
        <w:rPr>
          <w:rFonts w:cs="Arial"/>
          <w:iCs/>
          <w:szCs w:val="20"/>
        </w:rPr>
        <w:t>—</w:t>
      </w:r>
      <w:r w:rsidRPr="00EE0197">
        <w:rPr>
          <w:rFonts w:cs="Arial"/>
          <w:i/>
          <w:iCs/>
        </w:rPr>
        <w:t>Table of Transmitting frequencies in the VHF maritime</w:t>
      </w:r>
      <w:r w:rsidRPr="004A5099">
        <w:rPr>
          <w:rFonts w:cs="Arial"/>
          <w:i/>
          <w:iCs/>
        </w:rPr>
        <w:t xml:space="preserve"> mobile band</w:t>
      </w:r>
      <w:r>
        <w:rPr>
          <w:rFonts w:cs="Arial"/>
          <w:i/>
          <w:iCs/>
        </w:rPr>
        <w:t xml:space="preserve"> </w:t>
      </w:r>
      <w:r>
        <w:rPr>
          <w:rFonts w:cs="Arial"/>
        </w:rPr>
        <w:t>(Appendix 18) and Appendix 15 (REV.WRC-19</w:t>
      </w:r>
      <w:r w:rsidRPr="0075378E">
        <w:rPr>
          <w:rFonts w:cs="Arial"/>
        </w:rPr>
        <w:t>)</w:t>
      </w:r>
      <w:r w:rsidRPr="0075378E">
        <w:rPr>
          <w:rFonts w:cs="Arial"/>
          <w:iCs/>
          <w:szCs w:val="20"/>
        </w:rPr>
        <w:t>—</w:t>
      </w:r>
      <w:r w:rsidRPr="0075378E">
        <w:rPr>
          <w:rFonts w:cs="Arial"/>
          <w:i/>
          <w:szCs w:val="20"/>
        </w:rPr>
        <w:t>Frequencies for distress and safety communications for th</w:t>
      </w:r>
      <w:r w:rsidRPr="002F0C15">
        <w:rPr>
          <w:rFonts w:cs="Arial"/>
          <w:i/>
          <w:szCs w:val="20"/>
        </w:rPr>
        <w:t xml:space="preserve">e </w:t>
      </w:r>
      <w:r w:rsidRPr="001F258D">
        <w:rPr>
          <w:rFonts w:cs="Arial"/>
          <w:i/>
        </w:rPr>
        <w:t>Global Maritime Distress and Safety</w:t>
      </w:r>
      <w:r w:rsidRPr="00365E6B">
        <w:rPr>
          <w:rFonts w:cs="Arial"/>
          <w:i/>
        </w:rPr>
        <w:t xml:space="preserve"> System</w:t>
      </w:r>
      <w:r w:rsidRPr="00365E6B">
        <w:rPr>
          <w:rFonts w:cs="Arial"/>
          <w:i/>
          <w:szCs w:val="20"/>
        </w:rPr>
        <w:t xml:space="preserve"> </w:t>
      </w:r>
      <w:r>
        <w:rPr>
          <w:rFonts w:cs="Arial"/>
          <w:iCs/>
          <w:szCs w:val="20"/>
        </w:rPr>
        <w:t>(Appendix 15).</w:t>
      </w:r>
      <w:r w:rsidRPr="007E123E">
        <w:rPr>
          <w:rFonts w:cs="Arial"/>
          <w:iCs/>
          <w:szCs w:val="20"/>
        </w:rPr>
        <w:t> </w:t>
      </w:r>
      <w:r>
        <w:rPr>
          <w:rFonts w:cs="Arial"/>
          <w:iCs/>
          <w:szCs w:val="20"/>
        </w:rPr>
        <w:t>Australia signed the Final Acts of WRC-19 and subsequently ratified the treaty implementing the revisions to the ITU Radio Regulations which were agreed at WRC</w:t>
      </w:r>
      <w:r>
        <w:rPr>
          <w:rFonts w:cs="Arial"/>
          <w:iCs/>
          <w:szCs w:val="20"/>
        </w:rPr>
        <w:noBreakHyphen/>
        <w:t xml:space="preserve">19. </w:t>
      </w:r>
    </w:p>
    <w:p w14:paraId="11FCE7B0" w14:textId="77777777" w:rsidR="00D13649" w:rsidRDefault="00D13649" w:rsidP="00D13649">
      <w:pPr>
        <w:rPr>
          <w:rFonts w:cs="Arial"/>
        </w:rPr>
      </w:pPr>
      <w:r>
        <w:rPr>
          <w:rFonts w:cs="Arial"/>
        </w:rPr>
        <w:t xml:space="preserve">The </w:t>
      </w:r>
      <w:hyperlink r:id="rId28" w:history="1">
        <w:r w:rsidRPr="00FB1A22">
          <w:rPr>
            <w:rStyle w:val="Hyperlink"/>
            <w:rFonts w:cs="Arial"/>
          </w:rPr>
          <w:t>Australian Radiofrequency Spectrum Plan 2021</w:t>
        </w:r>
      </w:hyperlink>
      <w:r>
        <w:rPr>
          <w:rFonts w:cs="Arial"/>
        </w:rPr>
        <w:t xml:space="preserve"> (the Spectrum Plan) </w:t>
      </w:r>
      <w:r w:rsidRPr="000F5B8A">
        <w:rPr>
          <w:rFonts w:cs="Arial"/>
        </w:rPr>
        <w:t>reflect</w:t>
      </w:r>
      <w:r>
        <w:rPr>
          <w:rFonts w:cs="Arial"/>
        </w:rPr>
        <w:t>s</w:t>
      </w:r>
      <w:r w:rsidRPr="000F5B8A">
        <w:rPr>
          <w:rFonts w:cs="Arial"/>
        </w:rPr>
        <w:t xml:space="preserve"> the position</w:t>
      </w:r>
      <w:r>
        <w:rPr>
          <w:rFonts w:cs="Arial"/>
        </w:rPr>
        <w:t>s</w:t>
      </w:r>
      <w:r w:rsidRPr="000F5B8A">
        <w:rPr>
          <w:rFonts w:cs="Arial"/>
        </w:rPr>
        <w:t xml:space="preserve"> </w:t>
      </w:r>
      <w:r>
        <w:rPr>
          <w:rFonts w:cs="Arial"/>
        </w:rPr>
        <w:t xml:space="preserve">agreed to by Australia </w:t>
      </w:r>
      <w:r w:rsidRPr="000F5B8A">
        <w:rPr>
          <w:rFonts w:cs="Arial"/>
        </w:rPr>
        <w:t>at WRC</w:t>
      </w:r>
      <w:r>
        <w:rPr>
          <w:rFonts w:cs="Arial"/>
        </w:rPr>
        <w:noBreakHyphen/>
      </w:r>
      <w:r w:rsidRPr="000F5B8A">
        <w:rPr>
          <w:rFonts w:cs="Arial"/>
        </w:rPr>
        <w:t>19</w:t>
      </w:r>
      <w:r>
        <w:rPr>
          <w:rFonts w:cs="Arial"/>
        </w:rPr>
        <w:t xml:space="preserve"> and subsequently ratified</w:t>
      </w:r>
      <w:r w:rsidRPr="000F5B8A">
        <w:rPr>
          <w:rFonts w:cs="Arial"/>
        </w:rPr>
        <w:t xml:space="preserve">. </w:t>
      </w:r>
    </w:p>
    <w:p w14:paraId="2E50F9D8" w14:textId="77777777" w:rsidR="00D13649" w:rsidRDefault="00D13649" w:rsidP="00D13649">
      <w:pPr>
        <w:rPr>
          <w:rFonts w:cs="Arial"/>
        </w:rPr>
      </w:pPr>
      <w:r>
        <w:rPr>
          <w:rFonts w:cs="Arial"/>
        </w:rPr>
        <w:t>We have now reviewed the maritime legislative framework to identify changes that are required to other instruments to implement the</w:t>
      </w:r>
      <w:r w:rsidRPr="000F5B8A">
        <w:rPr>
          <w:rFonts w:cs="Arial"/>
        </w:rPr>
        <w:t xml:space="preserve"> </w:t>
      </w:r>
      <w:r>
        <w:rPr>
          <w:rFonts w:cs="Arial"/>
        </w:rPr>
        <w:t xml:space="preserve">treaty-level changes agreed to at </w:t>
      </w:r>
      <w:r w:rsidRPr="000F5B8A">
        <w:rPr>
          <w:rFonts w:cs="Arial"/>
        </w:rPr>
        <w:t>WRC</w:t>
      </w:r>
      <w:r>
        <w:rPr>
          <w:rFonts w:cs="Arial"/>
        </w:rPr>
        <w:noBreakHyphen/>
      </w:r>
      <w:r w:rsidRPr="000F5B8A">
        <w:rPr>
          <w:rFonts w:cs="Arial"/>
        </w:rPr>
        <w:t xml:space="preserve">19. </w:t>
      </w:r>
    </w:p>
    <w:p w14:paraId="738DA211" w14:textId="77777777" w:rsidR="00D13649" w:rsidRPr="00D243B2" w:rsidRDefault="00D13649" w:rsidP="00D13649">
      <w:pPr>
        <w:rPr>
          <w:rFonts w:cs="Arial"/>
        </w:rPr>
      </w:pPr>
      <w:r>
        <w:rPr>
          <w:rFonts w:cs="Arial"/>
        </w:rPr>
        <w:t xml:space="preserve">We have developed a proposal to amend 3 </w:t>
      </w:r>
      <w:r>
        <w:t xml:space="preserve">maritime legislative instruments to incorporate these changes, which would also be consistent with recent </w:t>
      </w:r>
      <w:r w:rsidRPr="00D243B2">
        <w:rPr>
          <w:rFonts w:cs="Arial"/>
        </w:rPr>
        <w:t>updates</w:t>
      </w:r>
      <w:r>
        <w:rPr>
          <w:rFonts w:cs="Arial"/>
        </w:rPr>
        <w:t xml:space="preserve"> made by the International Maritime Organization (IMO)</w:t>
      </w:r>
      <w:r w:rsidRPr="00D243B2">
        <w:rPr>
          <w:rFonts w:cs="Arial"/>
        </w:rPr>
        <w:t xml:space="preserve"> to the </w:t>
      </w:r>
      <w:hyperlink r:id="rId29" w:history="1">
        <w:r w:rsidRPr="008B2D49">
          <w:rPr>
            <w:rStyle w:val="Hyperlink"/>
            <w:rFonts w:cs="Arial"/>
          </w:rPr>
          <w:t>International Convention for the Safety of Life at Sea</w:t>
        </w:r>
      </w:hyperlink>
      <w:r w:rsidRPr="00D243B2" w:rsidDel="004A2979">
        <w:rPr>
          <w:rFonts w:cs="Arial"/>
        </w:rPr>
        <w:t xml:space="preserve"> </w:t>
      </w:r>
      <w:r w:rsidRPr="00D243B2">
        <w:rPr>
          <w:rFonts w:cs="Arial"/>
        </w:rPr>
        <w:t xml:space="preserve">(the </w:t>
      </w:r>
      <w:r w:rsidRPr="00477B79">
        <w:rPr>
          <w:rFonts w:cs="Arial"/>
        </w:rPr>
        <w:t>SOLAS Convention</w:t>
      </w:r>
      <w:r w:rsidRPr="00D243B2">
        <w:rPr>
          <w:rFonts w:cs="Arial"/>
        </w:rPr>
        <w:t xml:space="preserve">). </w:t>
      </w:r>
    </w:p>
    <w:p w14:paraId="1B8F54C6" w14:textId="77777777" w:rsidR="00D13649" w:rsidRDefault="00D13649" w:rsidP="00D13649">
      <w:pPr>
        <w:pStyle w:val="Paragraph"/>
      </w:pPr>
      <w:r w:rsidRPr="007A186E">
        <w:t>We are also proposing other minor updates to the instruments to remove reference to obsolete ship station terminal equipment, reflect the wording of the ITU Radio Regulations, and clarify notes and table headings.</w:t>
      </w:r>
    </w:p>
    <w:p w14:paraId="64B3E74D" w14:textId="77777777" w:rsidR="00D13649" w:rsidRDefault="00D13649" w:rsidP="00D13649">
      <w:pPr>
        <w:rPr>
          <w:rFonts w:cs="Arial"/>
        </w:rPr>
      </w:pPr>
      <w:r>
        <w:rPr>
          <w:rFonts w:cs="Arial"/>
        </w:rPr>
        <w:t xml:space="preserve">We are now consulting with interested stakeholders on the proposed amendments to the </w:t>
      </w:r>
      <w:hyperlink r:id="rId30" w:history="1">
        <w:r>
          <w:rPr>
            <w:rStyle w:val="Hyperlink"/>
          </w:rPr>
          <w:t>Rad</w:t>
        </w:r>
        <w:r w:rsidRPr="00454DFD">
          <w:rPr>
            <w:rStyle w:val="Hyperlink"/>
          </w:rPr>
          <w:t>iocommunications Maritime Ship Station – 27</w:t>
        </w:r>
        <w:r>
          <w:rPr>
            <w:rStyle w:val="Hyperlink"/>
          </w:rPr>
          <w:t xml:space="preserve"> </w:t>
        </w:r>
        <w:r w:rsidRPr="00454DFD">
          <w:rPr>
            <w:rStyle w:val="Hyperlink"/>
          </w:rPr>
          <w:t>MHz and VHF) Class Licence 2015</w:t>
        </w:r>
      </w:hyperlink>
      <w:r>
        <w:t xml:space="preserve"> </w:t>
      </w:r>
      <w:r w:rsidRPr="00620B99">
        <w:t>(Maritime 27 MHz and VHF Class Licence)</w:t>
      </w:r>
      <w:r>
        <w:t xml:space="preserve">, the </w:t>
      </w:r>
      <w:hyperlink r:id="rId31" w:history="1">
        <w:r w:rsidRPr="00454DFD">
          <w:rPr>
            <w:rStyle w:val="Hyperlink"/>
          </w:rPr>
          <w:t>Radiocommunications Licence Conditions (Maritime Ship Licence) Determination 2015</w:t>
        </w:r>
      </w:hyperlink>
      <w:r>
        <w:t xml:space="preserve"> </w:t>
      </w:r>
      <w:r w:rsidRPr="00620B99">
        <w:t>(Maritime Ship Licence LCD)</w:t>
      </w:r>
      <w:r>
        <w:t xml:space="preserve">, and the </w:t>
      </w:r>
      <w:hyperlink r:id="rId32" w:history="1">
        <w:r w:rsidRPr="003625CF">
          <w:rPr>
            <w:rStyle w:val="Hyperlink"/>
          </w:rPr>
          <w:t xml:space="preserve">Radiocommunications Licence Conditions (Maritime </w:t>
        </w:r>
        <w:r>
          <w:rPr>
            <w:rStyle w:val="Hyperlink"/>
          </w:rPr>
          <w:t>Coast</w:t>
        </w:r>
        <w:r w:rsidRPr="003625CF">
          <w:rPr>
            <w:rStyle w:val="Hyperlink"/>
          </w:rPr>
          <w:t xml:space="preserve"> Licence) Determination 2015</w:t>
        </w:r>
      </w:hyperlink>
      <w:r w:rsidDel="008D2F88">
        <w:t xml:space="preserve"> </w:t>
      </w:r>
      <w:r w:rsidRPr="0053666E">
        <w:t>(Maritime Coast Licence LCD)</w:t>
      </w:r>
      <w:r>
        <w:t>.</w:t>
      </w:r>
    </w:p>
    <w:p w14:paraId="64BD57BA" w14:textId="77777777" w:rsidR="00D13649" w:rsidRPr="00D243B2" w:rsidRDefault="00D13649" w:rsidP="00D13649">
      <w:pPr>
        <w:rPr>
          <w:rFonts w:cs="Arial"/>
        </w:rPr>
      </w:pPr>
      <w:r w:rsidRPr="00D243B2">
        <w:rPr>
          <w:rFonts w:cs="Arial"/>
        </w:rPr>
        <w:t>The</w:t>
      </w:r>
      <w:r>
        <w:rPr>
          <w:rFonts w:cs="Arial"/>
        </w:rPr>
        <w:t xml:space="preserve"> key changes we are proposing wil</w:t>
      </w:r>
      <w:r w:rsidRPr="00D243B2">
        <w:rPr>
          <w:rFonts w:cs="Arial"/>
        </w:rPr>
        <w:t xml:space="preserve">l: </w:t>
      </w:r>
    </w:p>
    <w:p w14:paraId="4EDB63D8" w14:textId="77777777" w:rsidR="00D13649" w:rsidRPr="00D243B2" w:rsidRDefault="00D13649" w:rsidP="00D13649">
      <w:pPr>
        <w:pStyle w:val="ListParagraph"/>
        <w:numPr>
          <w:ilvl w:val="0"/>
          <w:numId w:val="20"/>
        </w:numPr>
        <w:rPr>
          <w:rFonts w:cs="Arial"/>
        </w:rPr>
      </w:pPr>
      <w:r>
        <w:rPr>
          <w:rFonts w:cs="Arial"/>
        </w:rPr>
        <w:t>r</w:t>
      </w:r>
      <w:r w:rsidRPr="00D243B2">
        <w:rPr>
          <w:rFonts w:cs="Arial"/>
        </w:rPr>
        <w:t xml:space="preserve">ecognise additional satellite systems </w:t>
      </w:r>
      <w:r>
        <w:rPr>
          <w:rFonts w:cs="Arial"/>
        </w:rPr>
        <w:t>recognised by the IMO for</w:t>
      </w:r>
      <w:r w:rsidRPr="00D243B2">
        <w:rPr>
          <w:rFonts w:cs="Arial"/>
        </w:rPr>
        <w:t xml:space="preserve"> the Global</w:t>
      </w:r>
      <w:r>
        <w:rPr>
          <w:rFonts w:cs="Arial"/>
        </w:rPr>
        <w:t> </w:t>
      </w:r>
      <w:r w:rsidRPr="00D243B2">
        <w:rPr>
          <w:rFonts w:cs="Arial"/>
        </w:rPr>
        <w:t>Maritime Distress and Safety System (GMDSS)</w:t>
      </w:r>
    </w:p>
    <w:p w14:paraId="5192372D" w14:textId="77777777" w:rsidR="00D13649" w:rsidRPr="00D243B2" w:rsidRDefault="00D13649" w:rsidP="00D13649">
      <w:pPr>
        <w:pStyle w:val="ListParagraph"/>
        <w:numPr>
          <w:ilvl w:val="0"/>
          <w:numId w:val="20"/>
        </w:numPr>
        <w:rPr>
          <w:rFonts w:cs="Arial"/>
        </w:rPr>
      </w:pPr>
      <w:r>
        <w:rPr>
          <w:rFonts w:cs="Arial"/>
        </w:rPr>
        <w:t>f</w:t>
      </w:r>
      <w:r w:rsidRPr="00D243B2">
        <w:rPr>
          <w:rFonts w:cs="Arial"/>
        </w:rPr>
        <w:t xml:space="preserve">acilitate </w:t>
      </w:r>
      <w:r>
        <w:rPr>
          <w:rFonts w:cs="Arial"/>
        </w:rPr>
        <w:t xml:space="preserve">the use of </w:t>
      </w:r>
      <w:r w:rsidRPr="00D243B2">
        <w:rPr>
          <w:rFonts w:cs="Arial"/>
        </w:rPr>
        <w:t>autonomous maritime radio devices (AMRD</w:t>
      </w:r>
      <w:r>
        <w:rPr>
          <w:rFonts w:cs="Arial"/>
        </w:rPr>
        <w:t>s)</w:t>
      </w:r>
    </w:p>
    <w:p w14:paraId="715B8DCA" w14:textId="77777777" w:rsidR="00D13649" w:rsidRPr="00D243B2" w:rsidRDefault="00D13649" w:rsidP="00D13649">
      <w:pPr>
        <w:pStyle w:val="ListParagraph"/>
        <w:numPr>
          <w:ilvl w:val="0"/>
          <w:numId w:val="20"/>
        </w:numPr>
        <w:rPr>
          <w:rFonts w:cs="Arial"/>
        </w:rPr>
      </w:pPr>
      <w:r>
        <w:rPr>
          <w:rFonts w:cs="Arial"/>
        </w:rPr>
        <w:t>e</w:t>
      </w:r>
      <w:r w:rsidRPr="00D243B2">
        <w:rPr>
          <w:rFonts w:cs="Arial"/>
        </w:rPr>
        <w:t>nable a new VHF data exchange system (VDES) satellite component</w:t>
      </w:r>
      <w:r>
        <w:rPr>
          <w:rFonts w:cs="Arial"/>
        </w:rPr>
        <w:t xml:space="preserve">. </w:t>
      </w:r>
      <w:r w:rsidRPr="00D243B2">
        <w:rPr>
          <w:rFonts w:cs="Arial"/>
        </w:rPr>
        <w:t xml:space="preserve"> </w:t>
      </w:r>
    </w:p>
    <w:p w14:paraId="605B736B" w14:textId="77777777" w:rsidR="00D13649" w:rsidRPr="00E162C4" w:rsidRDefault="00D13649" w:rsidP="00D13649">
      <w:pPr>
        <w:pStyle w:val="Heading1"/>
      </w:pPr>
      <w:bookmarkStart w:id="3" w:name="_Toc136440422"/>
      <w:bookmarkStart w:id="4" w:name="_Toc145347976"/>
      <w:r w:rsidRPr="00E162C4">
        <w:t>Issues for comment</w:t>
      </w:r>
      <w:bookmarkEnd w:id="2"/>
      <w:bookmarkEnd w:id="3"/>
      <w:bookmarkEnd w:id="4"/>
    </w:p>
    <w:p w14:paraId="2F67C596" w14:textId="77777777" w:rsidR="00D13649" w:rsidRDefault="00D13649" w:rsidP="00D13649">
      <w:pPr>
        <w:pStyle w:val="Paragraph"/>
      </w:pPr>
      <w:r>
        <w:t>The ACMA invites comments on the questions featured throughout this paper. For ease of reference, the questions are listed below.</w:t>
      </w:r>
    </w:p>
    <w:p w14:paraId="3B13CCAE" w14:textId="77777777" w:rsidR="00D13649" w:rsidRPr="00E162C4" w:rsidRDefault="00D13649" w:rsidP="00D13649">
      <w:pPr>
        <w:pStyle w:val="Paragraph"/>
      </w:pPr>
      <w:r>
        <w:t xml:space="preserve">We also </w:t>
      </w:r>
      <w:r w:rsidRPr="00E162C4">
        <w:t xml:space="preserve">welcome </w:t>
      </w:r>
      <w:r>
        <w:t>feedback</w:t>
      </w:r>
      <w:r w:rsidRPr="00E162C4">
        <w:t xml:space="preserve"> from stakeholders on the </w:t>
      </w:r>
      <w:r>
        <w:t xml:space="preserve">specific changes reflected in the draft amendment instrument.  </w:t>
      </w:r>
    </w:p>
    <w:p w14:paraId="01A00A1A" w14:textId="77777777" w:rsidR="00D13649" w:rsidRDefault="00D13649" w:rsidP="00D13649">
      <w:pPr>
        <w:pStyle w:val="Heading2"/>
      </w:pPr>
      <w:bookmarkStart w:id="5" w:name="_Toc115186550"/>
      <w:bookmarkStart w:id="6" w:name="_Toc145347977"/>
      <w:r>
        <w:t>Consultation questions</w:t>
      </w:r>
      <w:bookmarkEnd w:id="5"/>
      <w:bookmarkEnd w:id="6"/>
    </w:p>
    <w:p w14:paraId="73B04795" w14:textId="77777777" w:rsidR="00D13649" w:rsidRPr="00EB0DEA" w:rsidRDefault="00D13649" w:rsidP="00D13649">
      <w:pPr>
        <w:pStyle w:val="Numberlistlevel1"/>
      </w:pPr>
      <w:r w:rsidRPr="008C5996">
        <w:t xml:space="preserve">What are your views on our proposal to amend the Maritime Ship </w:t>
      </w:r>
      <w:r>
        <w:t>Licence</w:t>
      </w:r>
      <w:r w:rsidRPr="008C5996">
        <w:t xml:space="preserve"> LCD to replace references to ‘Inmarsat’ with ‘recognised mobile satellite service’?</w:t>
      </w:r>
    </w:p>
    <w:p w14:paraId="4CB70B8D" w14:textId="77777777" w:rsidR="00D13649" w:rsidRPr="004F2564" w:rsidRDefault="00D13649" w:rsidP="00D13649">
      <w:pPr>
        <w:pStyle w:val="Numberlistlevel1"/>
      </w:pPr>
      <w:r w:rsidRPr="004F2564">
        <w:t xml:space="preserve">What are your views on our proposal to authorise the operation of AMRDs under the Maritime 27 MHz and VHF Class Licence and </w:t>
      </w:r>
      <w:r>
        <w:t xml:space="preserve">regulate their operation under </w:t>
      </w:r>
      <w:r w:rsidRPr="004F2564">
        <w:t>the Maritime Ship Licence LCD?</w:t>
      </w:r>
    </w:p>
    <w:p w14:paraId="2542FF4F" w14:textId="77777777" w:rsidR="00D13649" w:rsidRPr="004F2564" w:rsidRDefault="00D13649" w:rsidP="00D13649">
      <w:pPr>
        <w:pStyle w:val="Numberlistlevel1"/>
      </w:pPr>
      <w:r w:rsidRPr="004F2564">
        <w:t xml:space="preserve">Are there other scenarios where AMRD Group A stations could be used that would be consistent with the IMO’s designation for MOB purposes? </w:t>
      </w:r>
    </w:p>
    <w:p w14:paraId="1649406F" w14:textId="77777777" w:rsidR="00D13649" w:rsidRPr="004F2564" w:rsidRDefault="00D13649" w:rsidP="00D13649">
      <w:pPr>
        <w:pStyle w:val="Numberlistlevel1"/>
      </w:pPr>
      <w:r>
        <w:t>For w</w:t>
      </w:r>
      <w:r w:rsidRPr="004F2564">
        <w:t>hat purposes are AMRD Group B stations being used? Please provide examples and information on how they operate.</w:t>
      </w:r>
    </w:p>
    <w:p w14:paraId="1339A7C9" w14:textId="77777777" w:rsidR="00D13649" w:rsidRPr="00CE6C37" w:rsidRDefault="00D13649" w:rsidP="00D13649">
      <w:pPr>
        <w:pStyle w:val="Numberlistlevel1"/>
      </w:pPr>
      <w:r w:rsidRPr="004F2564">
        <w:t>Are there purposes, other than those described in ITU-R M.2135-1, that AMRD Group B stations could be used for? Please provide examples and information on how they would operate.</w:t>
      </w:r>
    </w:p>
    <w:p w14:paraId="25E68C1C" w14:textId="77777777" w:rsidR="00D13649" w:rsidRPr="00E162C4" w:rsidRDefault="00D13649" w:rsidP="00D13649">
      <w:pPr>
        <w:pStyle w:val="Numberlistlevel1"/>
      </w:pPr>
      <w:r w:rsidRPr="00CE6C37">
        <w:t>What are your views on our proposed changes to enable a new VDES satellite component?</w:t>
      </w:r>
    </w:p>
    <w:p w14:paraId="1899C998" w14:textId="77777777" w:rsidR="00D13649" w:rsidRPr="00E162C4" w:rsidRDefault="00D13649" w:rsidP="00D13649">
      <w:pPr>
        <w:pStyle w:val="Heading1"/>
      </w:pPr>
      <w:bookmarkStart w:id="7" w:name="_Toc136440423"/>
      <w:bookmarkStart w:id="8" w:name="_Toc145347978"/>
      <w:r>
        <w:t>Introduction</w:t>
      </w:r>
      <w:bookmarkEnd w:id="7"/>
      <w:bookmarkEnd w:id="8"/>
    </w:p>
    <w:p w14:paraId="5ED78144" w14:textId="77777777" w:rsidR="00D13649" w:rsidRPr="00A23541" w:rsidRDefault="00D13649" w:rsidP="00D13649">
      <w:pPr>
        <w:spacing w:before="120" w:line="240" w:lineRule="auto"/>
        <w:rPr>
          <w:rFonts w:cs="Arial"/>
          <w:iCs/>
          <w:szCs w:val="20"/>
        </w:rPr>
      </w:pPr>
      <w:r w:rsidRPr="00F3002D">
        <w:rPr>
          <w:rFonts w:cs="Arial"/>
          <w:iCs/>
          <w:szCs w:val="20"/>
        </w:rPr>
        <w:t>Mar</w:t>
      </w:r>
      <w:r>
        <w:rPr>
          <w:rFonts w:cs="Arial"/>
          <w:iCs/>
          <w:szCs w:val="20"/>
        </w:rPr>
        <w:t>itime</w:t>
      </w:r>
      <w:r w:rsidRPr="00F3002D">
        <w:rPr>
          <w:rFonts w:cs="Arial"/>
          <w:iCs/>
          <w:szCs w:val="20"/>
        </w:rPr>
        <w:t xml:space="preserve"> radio in Australia provides search and rescue assistance to ships in distress while also providing commercial and recreational communications for marine users. Most of the spectrum allocations in the maritime mobile service are in the High</w:t>
      </w:r>
      <w:r>
        <w:rPr>
          <w:rFonts w:cs="Arial"/>
          <w:iCs/>
          <w:szCs w:val="20"/>
        </w:rPr>
        <w:t> </w:t>
      </w:r>
      <w:r w:rsidRPr="00A23541">
        <w:rPr>
          <w:rFonts w:cs="Arial"/>
          <w:iCs/>
          <w:szCs w:val="20"/>
        </w:rPr>
        <w:t>Frequency (HF) and VHF maritime mobile bands.  </w:t>
      </w:r>
    </w:p>
    <w:p w14:paraId="0C86FEA0" w14:textId="77777777" w:rsidR="00D13649" w:rsidRPr="0055121C" w:rsidRDefault="00D13649" w:rsidP="00D13649">
      <w:pPr>
        <w:spacing w:before="120" w:line="240" w:lineRule="auto"/>
        <w:rPr>
          <w:rFonts w:cs="Arial"/>
          <w:iCs/>
          <w:szCs w:val="20"/>
        </w:rPr>
      </w:pPr>
      <w:r w:rsidRPr="0055121C">
        <w:rPr>
          <w:rFonts w:cs="Arial"/>
          <w:iCs/>
          <w:szCs w:val="20"/>
        </w:rPr>
        <w:t xml:space="preserve">The </w:t>
      </w:r>
      <w:r>
        <w:rPr>
          <w:rFonts w:cs="Arial"/>
          <w:iCs/>
          <w:szCs w:val="20"/>
        </w:rPr>
        <w:t>international</w:t>
      </w:r>
      <w:r w:rsidRPr="0055121C">
        <w:rPr>
          <w:rFonts w:cs="Arial"/>
          <w:iCs/>
          <w:szCs w:val="20"/>
        </w:rPr>
        <w:t xml:space="preserve"> framework for maritime radio is established through the </w:t>
      </w:r>
      <w:hyperlink r:id="rId33" w:history="1">
        <w:r w:rsidRPr="000D580B">
          <w:rPr>
            <w:rStyle w:val="Hyperlink"/>
            <w:szCs w:val="20"/>
          </w:rPr>
          <w:t>ITU Radio Regulations</w:t>
        </w:r>
      </w:hyperlink>
      <w:r>
        <w:rPr>
          <w:rStyle w:val="Hyperlink"/>
          <w:szCs w:val="20"/>
        </w:rPr>
        <w:t xml:space="preserve"> and the SOLAS Convention</w:t>
      </w:r>
      <w:r w:rsidRPr="0055121C">
        <w:rPr>
          <w:rFonts w:cs="Arial"/>
          <w:iCs/>
          <w:szCs w:val="20"/>
        </w:rPr>
        <w:t xml:space="preserve">. For most countries, including Australia, </w:t>
      </w:r>
      <w:r>
        <w:rPr>
          <w:rFonts w:cs="Arial"/>
          <w:iCs/>
          <w:szCs w:val="20"/>
        </w:rPr>
        <w:t xml:space="preserve">spectrum and frequency </w:t>
      </w:r>
      <w:r w:rsidRPr="0055121C">
        <w:rPr>
          <w:rFonts w:cs="Arial"/>
          <w:iCs/>
          <w:szCs w:val="20"/>
        </w:rPr>
        <w:t xml:space="preserve">planning </w:t>
      </w:r>
      <w:r>
        <w:rPr>
          <w:rFonts w:cs="Arial"/>
          <w:iCs/>
          <w:szCs w:val="20"/>
        </w:rPr>
        <w:t xml:space="preserve">is informed by </w:t>
      </w:r>
      <w:r w:rsidRPr="0055121C">
        <w:rPr>
          <w:rFonts w:cs="Arial"/>
          <w:iCs/>
          <w:szCs w:val="20"/>
        </w:rPr>
        <w:t xml:space="preserve">participation in the ITU. The frequency allocations for the maritime mobile bands are detailed in </w:t>
      </w:r>
      <w:hyperlink r:id="rId34" w:history="1">
        <w:r w:rsidRPr="000D580B">
          <w:rPr>
            <w:rStyle w:val="Hyperlink"/>
            <w:szCs w:val="20"/>
          </w:rPr>
          <w:t>Article 5 of the ITU Radio Regulations</w:t>
        </w:r>
      </w:hyperlink>
      <w:r w:rsidRPr="0055121C">
        <w:rPr>
          <w:rFonts w:cs="Arial"/>
          <w:iCs/>
          <w:szCs w:val="20"/>
        </w:rPr>
        <w:t xml:space="preserve">. </w:t>
      </w:r>
      <w:r>
        <w:rPr>
          <w:rFonts w:cs="Arial"/>
          <w:iCs/>
          <w:szCs w:val="20"/>
        </w:rPr>
        <w:t xml:space="preserve">Appendix 18 provides the source for the channel structure of the VHF maritime mobile band, defines the channel numbering and specifies the permitted use for each maritime VHF channel on an international basis. Appendix 15 sets out the frequencies and permitted uses for distress and safety communications for the GMDSS. </w:t>
      </w:r>
    </w:p>
    <w:p w14:paraId="31E2E956" w14:textId="77777777" w:rsidR="00D13649" w:rsidRPr="0095645C" w:rsidRDefault="00D13649" w:rsidP="00D13649">
      <w:pPr>
        <w:spacing w:before="120" w:line="240" w:lineRule="auto"/>
        <w:rPr>
          <w:rFonts w:cs="Arial"/>
          <w:iCs/>
          <w:szCs w:val="20"/>
        </w:rPr>
      </w:pPr>
      <w:r w:rsidRPr="003B6EB9">
        <w:rPr>
          <w:rFonts w:cs="Arial"/>
          <w:iCs/>
          <w:szCs w:val="20"/>
        </w:rPr>
        <w:t>Australia is a signatory to the Constitution</w:t>
      </w:r>
      <w:r>
        <w:rPr>
          <w:rFonts w:cs="Arial"/>
          <w:iCs/>
          <w:szCs w:val="20"/>
        </w:rPr>
        <w:t xml:space="preserve"> </w:t>
      </w:r>
      <w:r w:rsidRPr="003B6EB9">
        <w:rPr>
          <w:rFonts w:cs="Arial"/>
          <w:iCs/>
          <w:szCs w:val="20"/>
        </w:rPr>
        <w:t xml:space="preserve">and Convention of the ITU. The ITU Radio Regulations are revised by </w:t>
      </w:r>
      <w:r>
        <w:rPr>
          <w:rFonts w:cs="Arial"/>
          <w:iCs/>
          <w:szCs w:val="20"/>
        </w:rPr>
        <w:t xml:space="preserve">the </w:t>
      </w:r>
      <w:r w:rsidRPr="003B6EB9">
        <w:rPr>
          <w:rFonts w:cs="Arial"/>
          <w:iCs/>
          <w:szCs w:val="20"/>
        </w:rPr>
        <w:t xml:space="preserve">ITU WRCs, normally held every </w:t>
      </w:r>
      <w:r>
        <w:rPr>
          <w:rFonts w:cs="Arial"/>
          <w:iCs/>
          <w:szCs w:val="20"/>
        </w:rPr>
        <w:t>4</w:t>
      </w:r>
      <w:r w:rsidRPr="003B6EB9">
        <w:rPr>
          <w:rFonts w:cs="Arial"/>
          <w:iCs/>
          <w:szCs w:val="20"/>
        </w:rPr>
        <w:t xml:space="preserve"> years</w:t>
      </w:r>
      <w:r>
        <w:rPr>
          <w:rFonts w:cs="Arial"/>
          <w:iCs/>
          <w:szCs w:val="20"/>
        </w:rPr>
        <w:t>, and member states subsequently take binding treaty action to give effect to the changes to the ITU Radio Regulations</w:t>
      </w:r>
      <w:r w:rsidRPr="003B6EB9">
        <w:rPr>
          <w:rFonts w:cs="Arial"/>
          <w:iCs/>
          <w:szCs w:val="20"/>
        </w:rPr>
        <w:t xml:space="preserve">. The ACMA gives effect to </w:t>
      </w:r>
      <w:r>
        <w:rPr>
          <w:rFonts w:cs="Arial"/>
          <w:iCs/>
          <w:szCs w:val="20"/>
        </w:rPr>
        <w:t>ITU</w:t>
      </w:r>
      <w:r w:rsidRPr="003B6EB9">
        <w:rPr>
          <w:rFonts w:cs="Arial"/>
          <w:iCs/>
          <w:szCs w:val="20"/>
        </w:rPr>
        <w:t xml:space="preserve"> Radio Regulations</w:t>
      </w:r>
      <w:r>
        <w:rPr>
          <w:rFonts w:cs="Arial"/>
          <w:iCs/>
          <w:szCs w:val="20"/>
        </w:rPr>
        <w:t xml:space="preserve"> requirements</w:t>
      </w:r>
      <w:r w:rsidRPr="003B6EB9">
        <w:rPr>
          <w:rFonts w:cs="Arial"/>
          <w:iCs/>
          <w:szCs w:val="20"/>
        </w:rPr>
        <w:t xml:space="preserve"> through a number of domestic</w:t>
      </w:r>
      <w:r w:rsidRPr="003B6EB9">
        <w:rPr>
          <w:rFonts w:cs="Arial"/>
          <w:szCs w:val="20"/>
        </w:rPr>
        <w:t xml:space="preserve"> licensing and planning instruments, </w:t>
      </w:r>
      <w:r w:rsidRPr="0095645C">
        <w:rPr>
          <w:rFonts w:cs="Arial"/>
          <w:iCs/>
          <w:szCs w:val="20"/>
        </w:rPr>
        <w:t>including apparatus licence condition determinations and class</w:t>
      </w:r>
      <w:r>
        <w:rPr>
          <w:rFonts w:cs="Arial"/>
          <w:iCs/>
          <w:szCs w:val="20"/>
        </w:rPr>
        <w:t> </w:t>
      </w:r>
      <w:r w:rsidRPr="0095645C">
        <w:rPr>
          <w:rFonts w:cs="Arial"/>
          <w:iCs/>
          <w:szCs w:val="20"/>
        </w:rPr>
        <w:t>licence</w:t>
      </w:r>
      <w:r>
        <w:rPr>
          <w:rFonts w:cs="Arial"/>
          <w:iCs/>
          <w:szCs w:val="20"/>
        </w:rPr>
        <w:t>s</w:t>
      </w:r>
      <w:r w:rsidRPr="0095645C">
        <w:rPr>
          <w:rFonts w:cs="Arial"/>
          <w:iCs/>
          <w:szCs w:val="20"/>
        </w:rPr>
        <w:t xml:space="preserve">. </w:t>
      </w:r>
    </w:p>
    <w:p w14:paraId="691E5E55" w14:textId="77777777" w:rsidR="00D13649" w:rsidRPr="0095645C" w:rsidRDefault="00D13649" w:rsidP="00D13649">
      <w:pPr>
        <w:spacing w:before="120" w:line="240" w:lineRule="auto"/>
        <w:rPr>
          <w:rFonts w:cs="Arial"/>
          <w:iCs/>
          <w:szCs w:val="20"/>
        </w:rPr>
      </w:pPr>
      <w:r w:rsidRPr="0095645C">
        <w:rPr>
          <w:rFonts w:cs="Arial"/>
          <w:iCs/>
          <w:szCs w:val="20"/>
        </w:rPr>
        <w:t xml:space="preserve">The </w:t>
      </w:r>
      <w:r>
        <w:rPr>
          <w:rFonts w:cs="Arial"/>
          <w:iCs/>
          <w:szCs w:val="20"/>
        </w:rPr>
        <w:t xml:space="preserve">IMO, of which Australia is a member state, </w:t>
      </w:r>
      <w:r>
        <w:t>is the United Nations agency with responsibility for the safety and security of shipping and the prevention of marine pollution by ships. The IMO</w:t>
      </w:r>
      <w:r w:rsidRPr="0095645C">
        <w:rPr>
          <w:rFonts w:cs="Arial"/>
          <w:iCs/>
          <w:szCs w:val="20"/>
        </w:rPr>
        <w:t xml:space="preserve"> implements its responsibility for the safety of shipping through the SOLAS Convention</w:t>
      </w:r>
      <w:r>
        <w:rPr>
          <w:rFonts w:cs="Arial"/>
          <w:iCs/>
          <w:szCs w:val="20"/>
        </w:rPr>
        <w:t xml:space="preserve">. The SOLAS Convention is an international maritime treaty that sets minimum safety standards in the </w:t>
      </w:r>
      <w:r w:rsidRPr="0095645C">
        <w:rPr>
          <w:rFonts w:cs="Arial"/>
          <w:iCs/>
          <w:szCs w:val="20"/>
        </w:rPr>
        <w:t>construction, equipment and operation of merchant ships. Australia is also a signatory to the SOLAS Convention.</w:t>
      </w:r>
    </w:p>
    <w:p w14:paraId="4D15D7C4" w14:textId="77777777" w:rsidR="00D13649" w:rsidRDefault="00D13649" w:rsidP="00D13649">
      <w:pPr>
        <w:pStyle w:val="Heading2"/>
      </w:pPr>
      <w:bookmarkStart w:id="9" w:name="_Toc135686384"/>
      <w:bookmarkStart w:id="10" w:name="_Toc136440424"/>
      <w:bookmarkStart w:id="11" w:name="_Toc145347979"/>
      <w:r>
        <w:t>Maritime radio regulatory arrangements</w:t>
      </w:r>
      <w:bookmarkEnd w:id="9"/>
      <w:bookmarkEnd w:id="10"/>
      <w:bookmarkEnd w:id="11"/>
    </w:p>
    <w:p w14:paraId="5A0361D4" w14:textId="77777777" w:rsidR="00D13649" w:rsidRDefault="00D13649" w:rsidP="00D13649">
      <w:pPr>
        <w:rPr>
          <w:rFonts w:cs="Arial"/>
        </w:rPr>
      </w:pPr>
      <w:r>
        <w:rPr>
          <w:rFonts w:cs="Arial"/>
        </w:rPr>
        <w:t xml:space="preserve">As Australia’s spectrum regulator, the ACMA manages the spectrum in accordance with the </w:t>
      </w:r>
      <w:hyperlink r:id="rId35" w:history="1">
        <w:r w:rsidRPr="00440548">
          <w:rPr>
            <w:rStyle w:val="Hyperlink"/>
            <w:rFonts w:cs="Arial"/>
          </w:rPr>
          <w:t>Radiocommunications Act 1992</w:t>
        </w:r>
      </w:hyperlink>
      <w:r>
        <w:rPr>
          <w:rFonts w:cs="Arial"/>
        </w:rPr>
        <w:t xml:space="preserve"> (the Act), which sets out objectives for spectrum management using a range of regulatory tools. These include powers relating to frequency planning, licensing and technical standards. </w:t>
      </w:r>
    </w:p>
    <w:p w14:paraId="4ECCE3DF" w14:textId="77777777" w:rsidR="00D13649" w:rsidRDefault="00D13649" w:rsidP="00D13649">
      <w:pPr>
        <w:spacing w:before="120" w:line="240" w:lineRule="auto"/>
      </w:pPr>
      <w:r>
        <w:rPr>
          <w:rFonts w:cs="Arial"/>
          <w:iCs/>
          <w:szCs w:val="20"/>
        </w:rPr>
        <w:t xml:space="preserve">The </w:t>
      </w:r>
      <w:r>
        <w:t xml:space="preserve">Spectrum Plan, which is made by the ACMA, divides the Australian radiofrequency spectrum into a number of frequency bands and specifies the general purposes for which each of the bands may be used. </w:t>
      </w:r>
    </w:p>
    <w:p w14:paraId="254EC465" w14:textId="77777777" w:rsidR="00D13649" w:rsidRPr="000937C8" w:rsidRDefault="00D13649" w:rsidP="00D13649">
      <w:pPr>
        <w:spacing w:before="120" w:line="240" w:lineRule="auto"/>
        <w:rPr>
          <w:rFonts w:cs="Arial"/>
          <w:iCs/>
          <w:szCs w:val="20"/>
        </w:rPr>
      </w:pPr>
      <w:r w:rsidRPr="000937C8">
        <w:rPr>
          <w:rFonts w:cs="Arial"/>
          <w:iCs/>
          <w:szCs w:val="20"/>
        </w:rPr>
        <w:t>The ACMA manages the allocation of the VHF marine radio channels and specifies use</w:t>
      </w:r>
      <w:r>
        <w:rPr>
          <w:rFonts w:cs="Arial"/>
          <w:iCs/>
          <w:szCs w:val="20"/>
        </w:rPr>
        <w:t>s</w:t>
      </w:r>
      <w:r w:rsidRPr="000937C8">
        <w:rPr>
          <w:rFonts w:cs="Arial"/>
          <w:iCs/>
          <w:szCs w:val="20"/>
        </w:rPr>
        <w:t xml:space="preserve"> via several </w:t>
      </w:r>
      <w:r>
        <w:rPr>
          <w:rFonts w:cs="Arial"/>
          <w:iCs/>
          <w:szCs w:val="20"/>
        </w:rPr>
        <w:t xml:space="preserve">legislative </w:t>
      </w:r>
      <w:r w:rsidRPr="000937C8">
        <w:rPr>
          <w:rFonts w:cs="Arial"/>
          <w:iCs/>
          <w:szCs w:val="20"/>
        </w:rPr>
        <w:t xml:space="preserve">instruments, </w:t>
      </w:r>
      <w:r>
        <w:rPr>
          <w:rFonts w:cs="Arial"/>
          <w:iCs/>
          <w:szCs w:val="20"/>
        </w:rPr>
        <w:t>policy documents and apparatus licences</w:t>
      </w:r>
      <w:r w:rsidRPr="000937C8">
        <w:rPr>
          <w:rFonts w:cs="Arial"/>
          <w:iCs/>
          <w:szCs w:val="20"/>
        </w:rPr>
        <w:t>. In addition to the Spectrum Plan, the ACMA specifies the permitted uses and conditions applicable to the use of the VHF maritime mobile spectrum in the following</w:t>
      </w:r>
      <w:r>
        <w:rPr>
          <w:rFonts w:cs="Arial"/>
          <w:iCs/>
          <w:szCs w:val="20"/>
        </w:rPr>
        <w:t xml:space="preserve"> legislative</w:t>
      </w:r>
      <w:r w:rsidRPr="000937C8">
        <w:rPr>
          <w:rFonts w:cs="Arial"/>
          <w:iCs/>
          <w:szCs w:val="20"/>
        </w:rPr>
        <w:t xml:space="preserve"> instruments and administrative band plan:</w:t>
      </w:r>
    </w:p>
    <w:p w14:paraId="59D11D1F" w14:textId="77777777" w:rsidR="00D13649" w:rsidRPr="000937C8" w:rsidRDefault="004D1E6F" w:rsidP="00D13649">
      <w:pPr>
        <w:pStyle w:val="ListBullet"/>
        <w:numPr>
          <w:ilvl w:val="0"/>
          <w:numId w:val="21"/>
        </w:numPr>
        <w:ind w:left="426"/>
        <w:rPr>
          <w:rFonts w:cs="Arial"/>
          <w:iCs/>
          <w:szCs w:val="20"/>
        </w:rPr>
      </w:pPr>
      <w:hyperlink r:id="rId36" w:history="1">
        <w:r w:rsidR="00D13649" w:rsidRPr="00A573A6">
          <w:rPr>
            <w:rStyle w:val="Hyperlink"/>
            <w:rFonts w:cs="Arial"/>
            <w:iCs/>
            <w:szCs w:val="20"/>
          </w:rPr>
          <w:t>Maritime 27 MHz and VHF Class Licence</w:t>
        </w:r>
      </w:hyperlink>
    </w:p>
    <w:p w14:paraId="46572493" w14:textId="77777777" w:rsidR="00D13649" w:rsidRPr="000937C8" w:rsidRDefault="004D1E6F" w:rsidP="00D13649">
      <w:pPr>
        <w:pStyle w:val="ListBullet"/>
        <w:numPr>
          <w:ilvl w:val="0"/>
          <w:numId w:val="21"/>
        </w:numPr>
        <w:ind w:left="426"/>
        <w:rPr>
          <w:rFonts w:cs="Arial"/>
          <w:iCs/>
          <w:szCs w:val="20"/>
        </w:rPr>
      </w:pPr>
      <w:hyperlink r:id="rId37" w:history="1">
        <w:r w:rsidR="00D13649" w:rsidRPr="00A573A6">
          <w:rPr>
            <w:rStyle w:val="Hyperlink"/>
            <w:rFonts w:cs="Arial"/>
            <w:iCs/>
            <w:szCs w:val="20"/>
          </w:rPr>
          <w:t>Maritime Ship Licence LCD</w:t>
        </w:r>
      </w:hyperlink>
    </w:p>
    <w:p w14:paraId="1822EDFA" w14:textId="77777777" w:rsidR="00D13649" w:rsidRPr="0047227D" w:rsidRDefault="00D13649" w:rsidP="00D13649">
      <w:pPr>
        <w:pStyle w:val="ListBullet"/>
        <w:numPr>
          <w:ilvl w:val="0"/>
          <w:numId w:val="21"/>
        </w:numPr>
        <w:ind w:left="426"/>
        <w:rPr>
          <w:rStyle w:val="Hyperlink"/>
        </w:rPr>
      </w:pPr>
      <w:r>
        <w:rPr>
          <w:rStyle w:val="Hyperlink"/>
        </w:rPr>
        <w:t>Maritime Coast Licence LCD</w:t>
      </w:r>
    </w:p>
    <w:p w14:paraId="0F1049BE" w14:textId="77777777" w:rsidR="00D13649" w:rsidRPr="0047227D" w:rsidRDefault="00D13649" w:rsidP="00D13649">
      <w:pPr>
        <w:pStyle w:val="ListBullet"/>
        <w:numPr>
          <w:ilvl w:val="0"/>
          <w:numId w:val="21"/>
        </w:numPr>
        <w:ind w:left="426"/>
        <w:rPr>
          <w:rStyle w:val="Hyperlink"/>
        </w:rPr>
      </w:pPr>
      <w:r>
        <w:rPr>
          <w:rStyle w:val="Hyperlink"/>
        </w:rPr>
        <w:fldChar w:fldCharType="begin"/>
      </w:r>
      <w:r>
        <w:rPr>
          <w:rStyle w:val="Hyperlink"/>
        </w:rPr>
        <w:instrText xml:space="preserve"> HYPERLINK "https://www.legislation.gov.au/Details/F2017C00901" </w:instrText>
      </w:r>
      <w:r>
        <w:rPr>
          <w:rStyle w:val="Hyperlink"/>
        </w:rPr>
      </w:r>
      <w:r>
        <w:rPr>
          <w:rStyle w:val="Hyperlink"/>
        </w:rPr>
        <w:fldChar w:fldCharType="separate"/>
      </w:r>
      <w:r w:rsidRPr="0047227D">
        <w:rPr>
          <w:rStyle w:val="Hyperlink"/>
        </w:rPr>
        <w:t>Radiocommunications Licence Conditions (Major Coast Receive Licence) Determination 2015)</w:t>
      </w:r>
      <w:r w:rsidRPr="00532362">
        <w:rPr>
          <w:rFonts w:cs="Arial"/>
          <w:iCs/>
          <w:szCs w:val="20"/>
        </w:rPr>
        <w:t xml:space="preserve"> </w:t>
      </w:r>
    </w:p>
    <w:p w14:paraId="7EE9C128" w14:textId="77777777" w:rsidR="00D13649" w:rsidRPr="00DF5997" w:rsidRDefault="00D13649" w:rsidP="00D13649">
      <w:pPr>
        <w:pStyle w:val="ListBullet"/>
        <w:numPr>
          <w:ilvl w:val="0"/>
          <w:numId w:val="21"/>
        </w:numPr>
        <w:ind w:left="426"/>
        <w:rPr>
          <w:szCs w:val="20"/>
        </w:rPr>
      </w:pPr>
      <w:r>
        <w:rPr>
          <w:rStyle w:val="Hyperlink"/>
        </w:rPr>
        <w:fldChar w:fldCharType="end"/>
      </w:r>
      <w:hyperlink r:id="rId38" w:history="1">
        <w:r w:rsidRPr="0047227D">
          <w:rPr>
            <w:rStyle w:val="Hyperlink"/>
          </w:rPr>
          <w:t>RALI: MS42 – Frequency Plan for the VHF Bands 70 – 85.5 MHz and 148 – 174 MHz</w:t>
        </w:r>
      </w:hyperlink>
      <w:r w:rsidRPr="0047227D">
        <w:rPr>
          <w:rStyle w:val="Hyperlink"/>
        </w:rPr>
        <w:t xml:space="preserve"> (RALI MS42)</w:t>
      </w:r>
      <w:r w:rsidRPr="0047227D">
        <w:rPr>
          <w:szCs w:val="20"/>
        </w:rPr>
        <w:t>.</w:t>
      </w:r>
    </w:p>
    <w:p w14:paraId="68A41224" w14:textId="77777777" w:rsidR="00D13649" w:rsidRPr="004468E3" w:rsidRDefault="00D13649" w:rsidP="00D13649">
      <w:pPr>
        <w:spacing w:before="120" w:line="240" w:lineRule="auto"/>
        <w:rPr>
          <w:rFonts w:cs="Arial"/>
          <w:iCs/>
          <w:szCs w:val="20"/>
        </w:rPr>
      </w:pPr>
      <w:r w:rsidRPr="00C1702E">
        <w:rPr>
          <w:rFonts w:cs="Arial"/>
          <w:iCs/>
          <w:szCs w:val="20"/>
        </w:rPr>
        <w:t xml:space="preserve">A number of maritime terms are also defined in the </w:t>
      </w:r>
      <w:hyperlink r:id="rId39" w:history="1">
        <w:r w:rsidRPr="001D0BDE">
          <w:rPr>
            <w:rStyle w:val="Hyperlink"/>
            <w:rFonts w:cs="Arial"/>
            <w:iCs/>
            <w:szCs w:val="20"/>
          </w:rPr>
          <w:t>Radiocommunications (Interpretation) Determination 2015</w:t>
        </w:r>
      </w:hyperlink>
      <w:r w:rsidRPr="004468E3">
        <w:rPr>
          <w:rFonts w:cs="Arial"/>
          <w:iCs/>
          <w:szCs w:val="20"/>
        </w:rPr>
        <w:t>.</w:t>
      </w:r>
    </w:p>
    <w:p w14:paraId="7958DD98" w14:textId="77777777" w:rsidR="00D13649" w:rsidRPr="00C1702E" w:rsidRDefault="00D13649" w:rsidP="00D13649">
      <w:pPr>
        <w:shd w:val="clear" w:color="auto" w:fill="FFFFFF"/>
        <w:spacing w:after="0" w:line="240" w:lineRule="auto"/>
        <w:rPr>
          <w:rFonts w:cs="Arial"/>
          <w:szCs w:val="20"/>
          <w:lang w:val="en-GB"/>
        </w:rPr>
      </w:pPr>
      <w:r w:rsidRPr="00C1702E">
        <w:rPr>
          <w:rFonts w:cs="Arial"/>
          <w:szCs w:val="20"/>
          <w:lang w:val="en-GB"/>
        </w:rPr>
        <w:t xml:space="preserve">Collectively, these </w:t>
      </w:r>
      <w:r>
        <w:rPr>
          <w:rFonts w:cs="Arial"/>
          <w:szCs w:val="20"/>
          <w:lang w:val="en-GB"/>
        </w:rPr>
        <w:t xml:space="preserve">legislative </w:t>
      </w:r>
      <w:r w:rsidRPr="00C1702E">
        <w:rPr>
          <w:rFonts w:cs="Arial"/>
          <w:szCs w:val="20"/>
          <w:lang w:val="en-GB"/>
        </w:rPr>
        <w:t>instruments</w:t>
      </w:r>
      <w:r>
        <w:rPr>
          <w:rFonts w:cs="Arial"/>
          <w:szCs w:val="20"/>
          <w:lang w:val="en-GB"/>
        </w:rPr>
        <w:t xml:space="preserve"> and policy document</w:t>
      </w:r>
      <w:r w:rsidRPr="00C1702E">
        <w:rPr>
          <w:rFonts w:cs="Arial"/>
          <w:szCs w:val="20"/>
          <w:lang w:val="en-GB"/>
        </w:rPr>
        <w:t xml:space="preserve"> ensure that maritime ship stations and coast stations use the appropriate maritime frequencies, transmitter output power and protocols to minimise the potential for interference to maritime radio operation. </w:t>
      </w:r>
    </w:p>
    <w:p w14:paraId="613A0D59" w14:textId="77777777" w:rsidR="00D13649" w:rsidRPr="00F54BA8" w:rsidRDefault="00D13649" w:rsidP="00D13649">
      <w:pPr>
        <w:spacing w:before="120" w:line="240" w:lineRule="auto"/>
        <w:rPr>
          <w:rFonts w:cs="Arial"/>
          <w:iCs/>
          <w:szCs w:val="20"/>
        </w:rPr>
      </w:pPr>
      <w:r w:rsidRPr="00A23541">
        <w:rPr>
          <w:rFonts w:cs="Arial"/>
          <w:iCs/>
          <w:szCs w:val="20"/>
        </w:rPr>
        <w:t xml:space="preserve">The VHF maritime mobile band consists of 59 channels operating in the frequency range 156.000 MHz to 162.050 MHz, apart from those portions within this frequency range that are allocated to the land mobile service. </w:t>
      </w:r>
      <w:r w:rsidRPr="00F54BA8">
        <w:rPr>
          <w:rFonts w:cs="Arial"/>
          <w:iCs/>
          <w:szCs w:val="20"/>
        </w:rPr>
        <w:t xml:space="preserve">These frequency ranges are derived from RALI MS42 when read together with the </w:t>
      </w:r>
      <w:r>
        <w:rPr>
          <w:rFonts w:cs="Arial"/>
          <w:iCs/>
          <w:szCs w:val="20"/>
        </w:rPr>
        <w:t xml:space="preserve">ITU </w:t>
      </w:r>
      <w:r w:rsidRPr="00F54BA8">
        <w:rPr>
          <w:rFonts w:cs="Arial"/>
          <w:iCs/>
          <w:szCs w:val="20"/>
        </w:rPr>
        <w:t>Appendix 18</w:t>
      </w:r>
      <w:r>
        <w:rPr>
          <w:rFonts w:cs="Arial"/>
          <w:iCs/>
          <w:szCs w:val="20"/>
        </w:rPr>
        <w:t>.</w:t>
      </w:r>
    </w:p>
    <w:p w14:paraId="0B1EF65D" w14:textId="77777777" w:rsidR="00D13649" w:rsidRPr="00F00B47" w:rsidRDefault="00D13649" w:rsidP="00D13649">
      <w:pPr>
        <w:spacing w:before="120" w:line="240" w:lineRule="auto"/>
        <w:rPr>
          <w:rFonts w:cs="Arial"/>
          <w:iCs/>
          <w:szCs w:val="20"/>
        </w:rPr>
      </w:pPr>
      <w:r w:rsidRPr="00A23541">
        <w:rPr>
          <w:rFonts w:cs="Arial"/>
          <w:iCs/>
          <w:szCs w:val="20"/>
        </w:rPr>
        <w:t>The channels are a mix of duplex and simplex channels with a 25</w:t>
      </w:r>
      <w:r>
        <w:rPr>
          <w:rFonts w:cs="Arial"/>
          <w:iCs/>
          <w:szCs w:val="20"/>
        </w:rPr>
        <w:t xml:space="preserve"> </w:t>
      </w:r>
      <w:r w:rsidRPr="00A23541">
        <w:rPr>
          <w:rFonts w:cs="Arial"/>
          <w:iCs/>
          <w:szCs w:val="20"/>
        </w:rPr>
        <w:t xml:space="preserve">kHz channel spacing. </w:t>
      </w:r>
      <w:r w:rsidRPr="004F0C36">
        <w:rPr>
          <w:rFonts w:cs="Arial"/>
          <w:iCs/>
          <w:szCs w:val="20"/>
        </w:rPr>
        <w:t xml:space="preserve">VHF </w:t>
      </w:r>
      <w:r>
        <w:rPr>
          <w:rFonts w:cs="Arial"/>
          <w:iCs/>
          <w:szCs w:val="20"/>
        </w:rPr>
        <w:t xml:space="preserve">maritime </w:t>
      </w:r>
      <w:r w:rsidRPr="004F0C36">
        <w:rPr>
          <w:rFonts w:cs="Arial"/>
          <w:iCs/>
          <w:szCs w:val="20"/>
        </w:rPr>
        <w:t>radios mostly use simplex transmission, where communications can only take place in one direction at a time. However, within the VHF maritime mobile band, there are several duplex transmission channels where communication can take place in both directions simultaneously when equipment at both ends allows it. Each</w:t>
      </w:r>
      <w:r w:rsidRPr="00F00B47">
        <w:rPr>
          <w:rFonts w:cs="Arial"/>
          <w:iCs/>
          <w:szCs w:val="20"/>
        </w:rPr>
        <w:t xml:space="preserve"> duplex channel has</w:t>
      </w:r>
      <w:r w:rsidRPr="00F00B47" w:rsidDel="00C1047E">
        <w:rPr>
          <w:rFonts w:cs="Arial"/>
          <w:iCs/>
          <w:szCs w:val="20"/>
        </w:rPr>
        <w:t xml:space="preserve"> </w:t>
      </w:r>
      <w:r>
        <w:rPr>
          <w:rFonts w:cs="Arial"/>
          <w:iCs/>
          <w:szCs w:val="20"/>
        </w:rPr>
        <w:t>2</w:t>
      </w:r>
      <w:r w:rsidRPr="00F00B47">
        <w:rPr>
          <w:rFonts w:cs="Arial"/>
          <w:iCs/>
          <w:szCs w:val="20"/>
        </w:rPr>
        <w:t xml:space="preserve"> frequencies assigned to it.</w:t>
      </w:r>
    </w:p>
    <w:p w14:paraId="3DDDF7E5" w14:textId="77777777" w:rsidR="00D13649" w:rsidRPr="00F3002D" w:rsidRDefault="00D13649" w:rsidP="00D13649">
      <w:pPr>
        <w:spacing w:before="120" w:line="240" w:lineRule="auto"/>
        <w:rPr>
          <w:rFonts w:cs="Arial"/>
          <w:iCs/>
          <w:szCs w:val="20"/>
        </w:rPr>
      </w:pPr>
      <w:r w:rsidRPr="00A23541">
        <w:rPr>
          <w:rFonts w:cs="Arial"/>
          <w:iCs/>
          <w:szCs w:val="20"/>
        </w:rPr>
        <w:t>The maritime radio use of these bands is extremely broad and ranges from ship</w:t>
      </w:r>
      <w:r>
        <w:rPr>
          <w:rFonts w:cs="Arial"/>
          <w:iCs/>
          <w:szCs w:val="20"/>
        </w:rPr>
        <w:noBreakHyphen/>
      </w:r>
      <w:r w:rsidRPr="00A23541">
        <w:rPr>
          <w:rFonts w:cs="Arial"/>
          <w:iCs/>
          <w:szCs w:val="20"/>
        </w:rPr>
        <w:t>to</w:t>
      </w:r>
      <w:r>
        <w:rPr>
          <w:rFonts w:cs="Arial"/>
          <w:iCs/>
          <w:szCs w:val="20"/>
        </w:rPr>
        <w:noBreakHyphen/>
      </w:r>
      <w:r w:rsidRPr="00A23541">
        <w:rPr>
          <w:rFonts w:cs="Arial"/>
          <w:iCs/>
          <w:szCs w:val="20"/>
        </w:rPr>
        <w:t>ship, ship-to-satellite, ship-to-shore and on-board communications.</w:t>
      </w:r>
      <w:r w:rsidRPr="00F3002D">
        <w:rPr>
          <w:rFonts w:cs="Arial"/>
          <w:iCs/>
          <w:szCs w:val="20"/>
        </w:rPr>
        <w:t xml:space="preserve"> </w:t>
      </w:r>
    </w:p>
    <w:p w14:paraId="077BE92E" w14:textId="77777777" w:rsidR="00D13649" w:rsidRDefault="00D13649" w:rsidP="00D13649">
      <w:pPr>
        <w:pStyle w:val="Heading1"/>
      </w:pPr>
      <w:bookmarkStart w:id="12" w:name="_Toc135686387"/>
      <w:bookmarkStart w:id="13" w:name="_Toc136440425"/>
      <w:bookmarkStart w:id="14" w:name="_Toc145347980"/>
      <w:r>
        <w:t xml:space="preserve">Proposal to amend maritime </w:t>
      </w:r>
      <w:proofErr w:type="gramStart"/>
      <w:r>
        <w:t>instruments</w:t>
      </w:r>
      <w:bookmarkEnd w:id="12"/>
      <w:bookmarkEnd w:id="13"/>
      <w:bookmarkEnd w:id="14"/>
      <w:proofErr w:type="gramEnd"/>
    </w:p>
    <w:p w14:paraId="37AD4D26" w14:textId="77777777" w:rsidR="00D13649" w:rsidRPr="00232815" w:rsidRDefault="00D13649" w:rsidP="00D13649">
      <w:pPr>
        <w:spacing w:before="120" w:line="240" w:lineRule="auto"/>
        <w:rPr>
          <w:rFonts w:cs="Arial"/>
          <w:iCs/>
          <w:szCs w:val="20"/>
        </w:rPr>
      </w:pPr>
      <w:r w:rsidRPr="00232815">
        <w:rPr>
          <w:rFonts w:cs="Arial"/>
          <w:iCs/>
          <w:szCs w:val="20"/>
        </w:rPr>
        <w:t xml:space="preserve">We have reviewed our maritime licensing arrangements to identify the changes required to </w:t>
      </w:r>
      <w:r>
        <w:rPr>
          <w:rFonts w:cs="Arial"/>
        </w:rPr>
        <w:t>implement the</w:t>
      </w:r>
      <w:r w:rsidRPr="000F5B8A">
        <w:rPr>
          <w:rFonts w:cs="Arial"/>
        </w:rPr>
        <w:t xml:space="preserve"> </w:t>
      </w:r>
      <w:r>
        <w:rPr>
          <w:rFonts w:cs="Arial"/>
        </w:rPr>
        <w:t xml:space="preserve">treaty-level changes agreed to at </w:t>
      </w:r>
      <w:r w:rsidRPr="000F5B8A">
        <w:rPr>
          <w:rFonts w:cs="Arial"/>
        </w:rPr>
        <w:t>WRC-19</w:t>
      </w:r>
      <w:r>
        <w:rPr>
          <w:rFonts w:cs="Arial"/>
        </w:rPr>
        <w:t xml:space="preserve"> and to align with the Spectrum Plan.</w:t>
      </w:r>
      <w:r w:rsidRPr="00232815">
        <w:rPr>
          <w:rFonts w:cs="Arial"/>
          <w:iCs/>
          <w:szCs w:val="20"/>
        </w:rPr>
        <w:t xml:space="preserve"> Our review found that amendments are required to </w:t>
      </w:r>
      <w:r>
        <w:rPr>
          <w:rFonts w:cs="Arial"/>
          <w:iCs/>
          <w:szCs w:val="20"/>
        </w:rPr>
        <w:t>3</w:t>
      </w:r>
      <w:r w:rsidRPr="00232815">
        <w:rPr>
          <w:rFonts w:cs="Arial"/>
          <w:iCs/>
          <w:szCs w:val="20"/>
        </w:rPr>
        <w:t xml:space="preserve"> maritime instruments</w:t>
      </w:r>
      <w:r>
        <w:rPr>
          <w:rFonts w:cs="Arial"/>
          <w:iCs/>
          <w:szCs w:val="20"/>
        </w:rPr>
        <w:t>:</w:t>
      </w:r>
      <w:r w:rsidRPr="00232815">
        <w:rPr>
          <w:rFonts w:cs="Arial"/>
          <w:iCs/>
          <w:szCs w:val="20"/>
        </w:rPr>
        <w:t xml:space="preserve"> </w:t>
      </w:r>
      <w:r>
        <w:rPr>
          <w:rFonts w:cs="Arial"/>
          <w:iCs/>
          <w:szCs w:val="20"/>
        </w:rPr>
        <w:t xml:space="preserve">the </w:t>
      </w:r>
      <w:r w:rsidRPr="00AB6864">
        <w:rPr>
          <w:rFonts w:cs="Arial"/>
          <w:iCs/>
          <w:szCs w:val="20"/>
        </w:rPr>
        <w:t>Maritime 27 MHz and VHF Class Licence</w:t>
      </w:r>
      <w:r>
        <w:rPr>
          <w:rFonts w:cs="Arial"/>
          <w:iCs/>
          <w:szCs w:val="20"/>
        </w:rPr>
        <w:t xml:space="preserve">, the </w:t>
      </w:r>
      <w:r w:rsidRPr="00AB6864">
        <w:rPr>
          <w:rFonts w:cs="Arial"/>
          <w:iCs/>
          <w:szCs w:val="20"/>
        </w:rPr>
        <w:t>Maritime Ship Licence LCD</w:t>
      </w:r>
      <w:r>
        <w:rPr>
          <w:rFonts w:cs="Arial"/>
          <w:iCs/>
          <w:szCs w:val="20"/>
        </w:rPr>
        <w:t xml:space="preserve">, and the Maritime Coast Licence LCD. </w:t>
      </w:r>
    </w:p>
    <w:p w14:paraId="0E757091" w14:textId="77777777" w:rsidR="00D13649" w:rsidRPr="00105243" w:rsidRDefault="00D13649" w:rsidP="00D13649">
      <w:pPr>
        <w:spacing w:before="120" w:line="240" w:lineRule="auto"/>
        <w:rPr>
          <w:rFonts w:cs="Arial"/>
          <w:iCs/>
          <w:szCs w:val="20"/>
        </w:rPr>
      </w:pPr>
      <w:r w:rsidRPr="00232815">
        <w:rPr>
          <w:rFonts w:cs="Arial"/>
          <w:iCs/>
          <w:szCs w:val="20"/>
        </w:rPr>
        <w:t xml:space="preserve">We also consulted with the Australian Maritime Safety Agency (AMSA) on our proposed amendments. </w:t>
      </w:r>
      <w:r w:rsidRPr="00105243">
        <w:rPr>
          <w:rFonts w:cs="Arial"/>
          <w:iCs/>
          <w:szCs w:val="20"/>
        </w:rPr>
        <w:t xml:space="preserve">AMSA suggested changes to technical conditions, updates to definitions to harmonise the Australian arrangements with the SOLAS Convention, and other minor updates to improve the instruments. </w:t>
      </w:r>
      <w:r>
        <w:rPr>
          <w:rFonts w:cs="Arial"/>
          <w:iCs/>
          <w:szCs w:val="20"/>
        </w:rPr>
        <w:t>We</w:t>
      </w:r>
      <w:r w:rsidRPr="00105243">
        <w:rPr>
          <w:rFonts w:cs="Arial"/>
          <w:iCs/>
          <w:szCs w:val="20"/>
        </w:rPr>
        <w:t xml:space="preserve"> have incorporated AMSA’s suggestions into the draft amendment instruments. </w:t>
      </w:r>
    </w:p>
    <w:p w14:paraId="4A6C2246" w14:textId="77777777" w:rsidR="00D13649" w:rsidRPr="007E7878" w:rsidRDefault="00D13649" w:rsidP="00D13649">
      <w:pPr>
        <w:spacing w:before="120" w:line="240" w:lineRule="auto"/>
      </w:pPr>
      <w:r w:rsidRPr="007E7878">
        <w:t xml:space="preserve">Our proposal </w:t>
      </w:r>
      <w:r>
        <w:t>will bring</w:t>
      </w:r>
      <w:r w:rsidRPr="007E7878">
        <w:t xml:space="preserve"> </w:t>
      </w:r>
      <w:r>
        <w:t xml:space="preserve">into line </w:t>
      </w:r>
      <w:r w:rsidRPr="007E7878">
        <w:t xml:space="preserve">Australian </w:t>
      </w:r>
      <w:r>
        <w:t xml:space="preserve">maritime radio </w:t>
      </w:r>
      <w:r w:rsidRPr="007E7878">
        <w:t xml:space="preserve">licensing requirements </w:t>
      </w:r>
      <w:r>
        <w:t xml:space="preserve">into line </w:t>
      </w:r>
      <w:r w:rsidRPr="007E7878">
        <w:t xml:space="preserve">with agreed international arrangements, provide greater protection for safety of life services in the VHF </w:t>
      </w:r>
      <w:r>
        <w:t xml:space="preserve">maritime </w:t>
      </w:r>
      <w:r w:rsidRPr="007E7878">
        <w:t>radiofrequency channels and provide mari</w:t>
      </w:r>
      <w:r>
        <w:t>tim</w:t>
      </w:r>
      <w:r w:rsidRPr="007E7878">
        <w:t xml:space="preserve">e radio operators with the option of using new </w:t>
      </w:r>
      <w:r>
        <w:t xml:space="preserve">satellite </w:t>
      </w:r>
      <w:r w:rsidRPr="007E7878">
        <w:t>technologies. </w:t>
      </w:r>
      <w:r w:rsidRPr="007E7878" w:rsidDel="00C614B2">
        <w:t xml:space="preserve"> </w:t>
      </w:r>
    </w:p>
    <w:p w14:paraId="316BA8BA" w14:textId="77777777" w:rsidR="00D13649" w:rsidRPr="000E193D" w:rsidRDefault="00D13649" w:rsidP="00D13649">
      <w:pPr>
        <w:pStyle w:val="Heading2"/>
      </w:pPr>
      <w:bookmarkStart w:id="15" w:name="_Toc135686385"/>
      <w:bookmarkStart w:id="16" w:name="_Toc136440426"/>
      <w:bookmarkStart w:id="17" w:name="_Toc145347981"/>
      <w:r>
        <w:t xml:space="preserve">WRC-19 </w:t>
      </w:r>
      <w:bookmarkEnd w:id="15"/>
      <w:bookmarkEnd w:id="16"/>
      <w:r>
        <w:t>outcomes</w:t>
      </w:r>
      <w:bookmarkEnd w:id="17"/>
    </w:p>
    <w:p w14:paraId="0A34C47C" w14:textId="77777777" w:rsidR="00D13649" w:rsidRPr="00794EFB" w:rsidRDefault="00D13649" w:rsidP="00D13649">
      <w:pPr>
        <w:pStyle w:val="Paragraph"/>
        <w:rPr>
          <w:rFonts w:cs="Times New Roman"/>
          <w:szCs w:val="20"/>
        </w:rPr>
      </w:pPr>
      <w:r>
        <w:rPr>
          <w:rFonts w:cs="Times New Roman"/>
          <w:szCs w:val="20"/>
        </w:rPr>
        <w:t xml:space="preserve">Key outcomes from the WRC-19 that were agreed to by Australia are: </w:t>
      </w:r>
    </w:p>
    <w:p w14:paraId="25628584" w14:textId="77777777" w:rsidR="00D13649" w:rsidRPr="00794EFB" w:rsidRDefault="00D13649" w:rsidP="00D13649">
      <w:pPr>
        <w:pStyle w:val="Bulletlevel1"/>
      </w:pPr>
      <w:r>
        <w:t>Agenda Item 1.8 (Issue B): r</w:t>
      </w:r>
      <w:r w:rsidRPr="00794EFB">
        <w:t>ecognition of additional satellite systems to the GMDSS, in accordance with Resolution 359 (WRC-15)</w:t>
      </w:r>
      <w:r>
        <w:t>.</w:t>
      </w:r>
      <w:r>
        <w:rPr>
          <w:rStyle w:val="FootnoteReference"/>
          <w:rFonts w:cs="Times New Roman"/>
          <w:szCs w:val="20"/>
        </w:rPr>
        <w:footnoteReference w:id="2"/>
      </w:r>
      <w:r w:rsidRPr="00794EFB">
        <w:t xml:space="preserve"> Iridium Satellite LLC was nominated and recognised by the IMO to provide GMDSS</w:t>
      </w:r>
      <w:r>
        <w:t>.</w:t>
      </w:r>
      <w:r>
        <w:rPr>
          <w:rStyle w:val="FootnoteReference"/>
          <w:rFonts w:cs="Times New Roman"/>
          <w:szCs w:val="20"/>
        </w:rPr>
        <w:footnoteReference w:id="3"/>
      </w:r>
      <w:r>
        <w:t xml:space="preserve"> </w:t>
      </w:r>
    </w:p>
    <w:p w14:paraId="4FA8E2D5" w14:textId="77777777" w:rsidR="00D13649" w:rsidRPr="00AD4E3A" w:rsidRDefault="00D13649" w:rsidP="00D13649">
      <w:pPr>
        <w:pStyle w:val="Bulletlevel1"/>
      </w:pPr>
      <w:r>
        <w:t>Agenda Item 1.9.1: r</w:t>
      </w:r>
      <w:r w:rsidRPr="00794EFB">
        <w:t xml:space="preserve">egulatory changes to facilitate AMRD, including designating channels for AMRD Group A and B, to protect the GMDSS and </w:t>
      </w:r>
      <w:r>
        <w:t>automatic identification system (</w:t>
      </w:r>
      <w:r w:rsidRPr="00794EFB">
        <w:t>AIS</w:t>
      </w:r>
      <w:r>
        <w:t>)</w:t>
      </w:r>
      <w:r w:rsidRPr="00794EFB">
        <w:t>, in accordance with Resolution 362 (WRC-15)</w:t>
      </w:r>
      <w:r>
        <w:t>.</w:t>
      </w:r>
      <w:r>
        <w:rPr>
          <w:rStyle w:val="FootnoteReference"/>
          <w:rFonts w:cs="Times New Roman"/>
          <w:szCs w:val="20"/>
        </w:rPr>
        <w:footnoteReference w:id="4"/>
      </w:r>
    </w:p>
    <w:p w14:paraId="1D12E2F8" w14:textId="77777777" w:rsidR="00D13649" w:rsidRPr="00794EFB" w:rsidRDefault="00D13649" w:rsidP="00D13649">
      <w:pPr>
        <w:pStyle w:val="Bulletlevel1last"/>
      </w:pPr>
      <w:r>
        <w:t>Agenda Item 1.9.2: r</w:t>
      </w:r>
      <w:r w:rsidRPr="00794EFB">
        <w:t>egulatory changes to enable a new VDES satellite component, while ensuring that this component will not degrade the current terrestrial VDES components, application specific messages and AIS operations and not impose any additional constraints on existing services in these and adjacent frequency bands, in accordance with Resolution 360 (Rev.WRC</w:t>
      </w:r>
      <w:r w:rsidRPr="00794EFB">
        <w:noBreakHyphen/>
        <w:t>15)</w:t>
      </w:r>
      <w:r>
        <w:t>.</w:t>
      </w:r>
      <w:r>
        <w:rPr>
          <w:rStyle w:val="FootnoteReference"/>
          <w:rFonts w:cs="Times New Roman"/>
          <w:szCs w:val="20"/>
        </w:rPr>
        <w:footnoteReference w:id="5"/>
      </w:r>
    </w:p>
    <w:p w14:paraId="7899F28C" w14:textId="77777777" w:rsidR="00D13649" w:rsidRDefault="00D13649" w:rsidP="00D13649">
      <w:pPr>
        <w:spacing w:before="120" w:line="240" w:lineRule="auto"/>
        <w:rPr>
          <w:rFonts w:cs="Arial"/>
          <w:bCs/>
          <w:szCs w:val="20"/>
        </w:rPr>
      </w:pPr>
      <w:r>
        <w:rPr>
          <w:rFonts w:cs="Arial"/>
          <w:bCs/>
          <w:szCs w:val="20"/>
        </w:rPr>
        <w:t>At the conclusion of WRC-19, Australia signed the Final Acts of the conference, which made revisions to the 2015 ITU Radio Regulations, a treaty-level document. Following consideration by the Joint Standing Committee on Treaties, Australia ratified the treaty on 28 March 2022.</w:t>
      </w:r>
      <w:r>
        <w:rPr>
          <w:rStyle w:val="FootnoteReference"/>
          <w:rFonts w:cs="Arial"/>
          <w:bCs/>
          <w:szCs w:val="20"/>
        </w:rPr>
        <w:footnoteReference w:id="6"/>
      </w:r>
    </w:p>
    <w:p w14:paraId="44FAD660" w14:textId="77777777" w:rsidR="00D13649" w:rsidRPr="004E557F" w:rsidRDefault="00D13649" w:rsidP="00D13649">
      <w:pPr>
        <w:spacing w:before="120" w:line="240" w:lineRule="auto"/>
        <w:rPr>
          <w:rFonts w:cs="Arial"/>
          <w:iCs/>
          <w:szCs w:val="20"/>
        </w:rPr>
      </w:pPr>
      <w:bookmarkStart w:id="18" w:name="_Hlk135154566"/>
      <w:r w:rsidRPr="004E557F">
        <w:rPr>
          <w:rStyle w:val="normaltextrun"/>
          <w:rFonts w:cs="Arial"/>
          <w:color w:val="000000"/>
          <w:szCs w:val="20"/>
          <w:shd w:val="clear" w:color="auto" w:fill="FFFFFF"/>
        </w:rPr>
        <w:t>The ACMA</w:t>
      </w:r>
      <w:r>
        <w:rPr>
          <w:rStyle w:val="normaltextrun"/>
          <w:rFonts w:cs="Arial"/>
          <w:color w:val="000000"/>
          <w:szCs w:val="20"/>
          <w:shd w:val="clear" w:color="auto" w:fill="FFFFFF"/>
        </w:rPr>
        <w:t>’s legislative instruments about</w:t>
      </w:r>
      <w:r w:rsidRPr="004E557F">
        <w:rPr>
          <w:rStyle w:val="normaltextrun"/>
          <w:rFonts w:cs="Arial"/>
          <w:color w:val="000000"/>
          <w:szCs w:val="20"/>
          <w:shd w:val="clear" w:color="auto" w:fill="FFFFFF"/>
        </w:rPr>
        <w:t xml:space="preserve"> VHF maritime mobile </w:t>
      </w:r>
      <w:r>
        <w:rPr>
          <w:rStyle w:val="normaltextrun"/>
          <w:rFonts w:cs="Arial"/>
          <w:color w:val="000000"/>
          <w:szCs w:val="20"/>
          <w:shd w:val="clear" w:color="auto" w:fill="FFFFFF"/>
        </w:rPr>
        <w:t xml:space="preserve">use </w:t>
      </w:r>
      <w:r w:rsidRPr="004E557F">
        <w:rPr>
          <w:rStyle w:val="normaltextrun"/>
          <w:rFonts w:cs="Arial"/>
          <w:color w:val="000000"/>
          <w:szCs w:val="20"/>
          <w:shd w:val="clear" w:color="auto" w:fill="FFFFFF"/>
        </w:rPr>
        <w:t xml:space="preserve">are broadly aligned with the ITU requirements as </w:t>
      </w:r>
      <w:r>
        <w:rPr>
          <w:rStyle w:val="normaltextrun"/>
          <w:rFonts w:cs="Arial"/>
          <w:color w:val="000000"/>
          <w:szCs w:val="20"/>
          <w:shd w:val="clear" w:color="auto" w:fill="FFFFFF"/>
        </w:rPr>
        <w:t>set out</w:t>
      </w:r>
      <w:r w:rsidRPr="004E557F">
        <w:rPr>
          <w:rStyle w:val="normaltextrun"/>
          <w:rFonts w:cs="Arial"/>
          <w:color w:val="000000"/>
          <w:szCs w:val="20"/>
          <w:shd w:val="clear" w:color="auto" w:fill="FFFFFF"/>
        </w:rPr>
        <w:t xml:space="preserve"> in Appendix 18. However,</w:t>
      </w:r>
      <w:r w:rsidRPr="004E557F" w:rsidDel="00226B7D">
        <w:rPr>
          <w:rStyle w:val="normaltextrun"/>
          <w:rFonts w:cs="Arial"/>
          <w:color w:val="000000"/>
          <w:szCs w:val="20"/>
          <w:shd w:val="clear" w:color="auto" w:fill="FFFFFF"/>
        </w:rPr>
        <w:t xml:space="preserve"> </w:t>
      </w:r>
      <w:r w:rsidRPr="004E557F">
        <w:rPr>
          <w:rStyle w:val="normaltextrun"/>
          <w:rFonts w:cs="Arial"/>
          <w:color w:val="000000"/>
          <w:szCs w:val="20"/>
          <w:shd w:val="clear" w:color="auto" w:fill="FFFFFF"/>
        </w:rPr>
        <w:t>there are instances where variations exist due to national planning requirements.</w:t>
      </w:r>
      <w:r w:rsidRPr="004E557F">
        <w:rPr>
          <w:rStyle w:val="eop"/>
          <w:rFonts w:cs="Arial"/>
          <w:color w:val="000000"/>
          <w:szCs w:val="20"/>
          <w:shd w:val="clear" w:color="auto" w:fill="FFFFFF"/>
        </w:rPr>
        <w:t> </w:t>
      </w:r>
    </w:p>
    <w:bookmarkEnd w:id="18"/>
    <w:p w14:paraId="65FF01E8" w14:textId="77777777" w:rsidR="00D13649" w:rsidRDefault="00D13649" w:rsidP="00D13649">
      <w:pPr>
        <w:spacing w:before="120" w:line="240" w:lineRule="auto"/>
        <w:rPr>
          <w:rFonts w:cs="Arial"/>
          <w:iCs/>
          <w:szCs w:val="20"/>
        </w:rPr>
      </w:pPr>
      <w:r w:rsidRPr="007E4F91">
        <w:rPr>
          <w:rFonts w:cs="Arial"/>
          <w:iCs/>
          <w:szCs w:val="20"/>
        </w:rPr>
        <w:t>The ACMA typically updates the Spectrum Plan following each WRC. In</w:t>
      </w:r>
      <w:r>
        <w:rPr>
          <w:rFonts w:cs="Arial"/>
          <w:iCs/>
          <w:szCs w:val="20"/>
        </w:rPr>
        <w:t xml:space="preserve"> May 2021</w:t>
      </w:r>
      <w:r w:rsidRPr="007E4F91">
        <w:rPr>
          <w:rFonts w:cs="Arial"/>
          <w:iCs/>
          <w:szCs w:val="20"/>
        </w:rPr>
        <w:t xml:space="preserve">, the ACMA remade the Spectrum Plan to </w:t>
      </w:r>
      <w:r>
        <w:rPr>
          <w:rFonts w:cs="Arial"/>
          <w:iCs/>
          <w:szCs w:val="20"/>
        </w:rPr>
        <w:t xml:space="preserve">include </w:t>
      </w:r>
      <w:r w:rsidRPr="007E4F91">
        <w:rPr>
          <w:rFonts w:cs="Arial"/>
          <w:iCs/>
          <w:szCs w:val="20"/>
        </w:rPr>
        <w:t>the position</w:t>
      </w:r>
      <w:r>
        <w:rPr>
          <w:rFonts w:cs="Arial"/>
          <w:iCs/>
          <w:szCs w:val="20"/>
        </w:rPr>
        <w:t>s agreed to by Australia</w:t>
      </w:r>
      <w:r w:rsidRPr="007E4F91">
        <w:rPr>
          <w:rFonts w:cs="Arial"/>
          <w:iCs/>
          <w:szCs w:val="20"/>
        </w:rPr>
        <w:t xml:space="preserve"> on maritime </w:t>
      </w:r>
      <w:r>
        <w:rPr>
          <w:rFonts w:cs="Arial"/>
          <w:iCs/>
          <w:szCs w:val="20"/>
        </w:rPr>
        <w:t>issues</w:t>
      </w:r>
      <w:r w:rsidRPr="007E4F91">
        <w:rPr>
          <w:rFonts w:cs="Arial"/>
          <w:iCs/>
          <w:szCs w:val="20"/>
        </w:rPr>
        <w:t xml:space="preserve"> discussed at WRC-19.</w:t>
      </w:r>
    </w:p>
    <w:p w14:paraId="02F903BE" w14:textId="77777777" w:rsidR="00D13649" w:rsidRDefault="00D13649" w:rsidP="00D13649">
      <w:pPr>
        <w:spacing w:before="120" w:line="240" w:lineRule="auto"/>
        <w:rPr>
          <w:rFonts w:cs="Arial"/>
          <w:color w:val="000000" w:themeColor="text1"/>
          <w:szCs w:val="18"/>
        </w:rPr>
      </w:pPr>
      <w:r>
        <w:rPr>
          <w:rFonts w:cs="Arial"/>
          <w:color w:val="000000" w:themeColor="text1"/>
          <w:szCs w:val="18"/>
        </w:rPr>
        <w:t>The</w:t>
      </w:r>
      <w:r w:rsidRPr="0098211E">
        <w:rPr>
          <w:rFonts w:cs="Arial"/>
          <w:color w:val="000000" w:themeColor="text1"/>
          <w:szCs w:val="18"/>
        </w:rPr>
        <w:t xml:space="preserve"> Spectrum Plan include</w:t>
      </w:r>
      <w:r>
        <w:rPr>
          <w:rFonts w:cs="Arial"/>
          <w:color w:val="000000" w:themeColor="text1"/>
          <w:szCs w:val="18"/>
        </w:rPr>
        <w:t>s</w:t>
      </w:r>
      <w:r w:rsidRPr="0098211E">
        <w:rPr>
          <w:rFonts w:cs="Arial"/>
          <w:color w:val="000000" w:themeColor="text1"/>
          <w:szCs w:val="18"/>
        </w:rPr>
        <w:t xml:space="preserve"> a secondary allocation to the</w:t>
      </w:r>
      <w:r>
        <w:rPr>
          <w:rFonts w:cs="Arial"/>
          <w:color w:val="000000" w:themeColor="text1"/>
          <w:szCs w:val="18"/>
        </w:rPr>
        <w:t xml:space="preserve"> maritime mobile-satellite service</w:t>
      </w:r>
      <w:r w:rsidRPr="0098211E">
        <w:rPr>
          <w:rFonts w:cs="Arial"/>
          <w:color w:val="000000" w:themeColor="text1"/>
          <w:szCs w:val="18"/>
        </w:rPr>
        <w:t xml:space="preserve"> </w:t>
      </w:r>
      <w:r>
        <w:rPr>
          <w:rFonts w:cs="Arial"/>
          <w:color w:val="000000" w:themeColor="text1"/>
          <w:szCs w:val="18"/>
        </w:rPr>
        <w:t>(MMSS)</w:t>
      </w:r>
      <w:r w:rsidRPr="0098211E">
        <w:rPr>
          <w:rFonts w:cs="Arial"/>
          <w:color w:val="000000" w:themeColor="text1"/>
          <w:szCs w:val="18"/>
        </w:rPr>
        <w:t xml:space="preserve"> in the 157.1875–157.3375 MHz</w:t>
      </w:r>
      <w:r>
        <w:rPr>
          <w:rFonts w:cs="Arial"/>
          <w:color w:val="000000" w:themeColor="text1"/>
          <w:szCs w:val="18"/>
        </w:rPr>
        <w:t xml:space="preserve"> frequency band</w:t>
      </w:r>
      <w:r w:rsidRPr="0098211E">
        <w:rPr>
          <w:rFonts w:cs="Arial"/>
          <w:color w:val="000000" w:themeColor="text1"/>
          <w:szCs w:val="18"/>
        </w:rPr>
        <w:t xml:space="preserve"> satellite systems to enable a new VDES satellite component (as</w:t>
      </w:r>
      <w:r>
        <w:rPr>
          <w:rFonts w:cs="Arial"/>
          <w:color w:val="000000" w:themeColor="text1"/>
          <w:szCs w:val="18"/>
        </w:rPr>
        <w:t> </w:t>
      </w:r>
      <w:r w:rsidRPr="0098211E">
        <w:rPr>
          <w:rFonts w:cs="Arial"/>
          <w:color w:val="000000" w:themeColor="text1"/>
          <w:szCs w:val="18"/>
        </w:rPr>
        <w:t xml:space="preserve">an outcome of WRC-19 Agenda </w:t>
      </w:r>
      <w:r>
        <w:rPr>
          <w:rFonts w:cs="Arial"/>
          <w:color w:val="000000" w:themeColor="text1"/>
          <w:szCs w:val="18"/>
        </w:rPr>
        <w:t>I</w:t>
      </w:r>
      <w:r w:rsidRPr="0098211E">
        <w:rPr>
          <w:rFonts w:cs="Arial"/>
          <w:color w:val="000000" w:themeColor="text1"/>
          <w:szCs w:val="18"/>
        </w:rPr>
        <w:t>tem 1.9.2).</w:t>
      </w:r>
      <w:r>
        <w:rPr>
          <w:rFonts w:cs="Arial"/>
          <w:color w:val="000000" w:themeColor="text1"/>
          <w:szCs w:val="18"/>
        </w:rPr>
        <w:t xml:space="preserve"> T</w:t>
      </w:r>
      <w:r w:rsidRPr="0098211E">
        <w:rPr>
          <w:rFonts w:cs="Arial"/>
          <w:color w:val="000000" w:themeColor="text1"/>
          <w:szCs w:val="18"/>
        </w:rPr>
        <w:t xml:space="preserve">he Spectrum Plan </w:t>
      </w:r>
      <w:r>
        <w:rPr>
          <w:rFonts w:cs="Arial"/>
          <w:color w:val="000000" w:themeColor="text1"/>
          <w:szCs w:val="18"/>
        </w:rPr>
        <w:t>also deals with</w:t>
      </w:r>
      <w:r w:rsidRPr="0098211E">
        <w:rPr>
          <w:rFonts w:cs="Arial"/>
          <w:color w:val="000000" w:themeColor="text1"/>
          <w:szCs w:val="18"/>
        </w:rPr>
        <w:t xml:space="preserve"> the outcome of </w:t>
      </w:r>
      <w:r>
        <w:rPr>
          <w:rFonts w:cs="Arial"/>
          <w:color w:val="000000" w:themeColor="text1"/>
          <w:szCs w:val="18"/>
        </w:rPr>
        <w:t>A</w:t>
      </w:r>
      <w:r w:rsidRPr="0098211E">
        <w:rPr>
          <w:rFonts w:cs="Arial"/>
          <w:color w:val="000000" w:themeColor="text1"/>
          <w:szCs w:val="18"/>
        </w:rPr>
        <w:t xml:space="preserve">genda </w:t>
      </w:r>
      <w:r>
        <w:rPr>
          <w:rFonts w:cs="Arial"/>
          <w:color w:val="000000" w:themeColor="text1"/>
          <w:szCs w:val="18"/>
        </w:rPr>
        <w:t>I</w:t>
      </w:r>
      <w:r w:rsidRPr="0098211E">
        <w:rPr>
          <w:rFonts w:cs="Arial"/>
          <w:color w:val="000000" w:themeColor="text1"/>
          <w:szCs w:val="18"/>
        </w:rPr>
        <w:t>tem 1.8 (</w:t>
      </w:r>
      <w:r>
        <w:rPr>
          <w:rFonts w:cs="Arial"/>
          <w:color w:val="000000" w:themeColor="text1"/>
          <w:szCs w:val="18"/>
        </w:rPr>
        <w:t>I</w:t>
      </w:r>
      <w:r w:rsidRPr="0098211E">
        <w:rPr>
          <w:rFonts w:cs="Arial"/>
          <w:color w:val="000000" w:themeColor="text1"/>
          <w:szCs w:val="18"/>
        </w:rPr>
        <w:t>ssue B)</w:t>
      </w:r>
      <w:r>
        <w:rPr>
          <w:rFonts w:cs="Arial"/>
          <w:color w:val="000000" w:themeColor="text1"/>
          <w:szCs w:val="18"/>
        </w:rPr>
        <w:t>,</w:t>
      </w:r>
      <w:r w:rsidRPr="0098211E">
        <w:rPr>
          <w:rFonts w:cs="Arial"/>
          <w:color w:val="000000" w:themeColor="text1"/>
          <w:szCs w:val="18"/>
        </w:rPr>
        <w:t xml:space="preserve"> which included modifications to footnote 372</w:t>
      </w:r>
      <w:r>
        <w:rPr>
          <w:rFonts w:cs="Arial"/>
          <w:color w:val="000000" w:themeColor="text1"/>
          <w:szCs w:val="18"/>
        </w:rPr>
        <w:t>,</w:t>
      </w:r>
      <w:r w:rsidRPr="0098211E">
        <w:rPr>
          <w:rFonts w:cs="Arial"/>
          <w:color w:val="000000" w:themeColor="text1"/>
          <w:szCs w:val="18"/>
        </w:rPr>
        <w:t xml:space="preserve"> and the table of frequency band allocations was updated to include a primary MMSS allocation in the space-to-Earth direction.</w:t>
      </w:r>
    </w:p>
    <w:p w14:paraId="26113710" w14:textId="77777777" w:rsidR="00D13649" w:rsidRPr="000E193D" w:rsidRDefault="00D13649" w:rsidP="00D13649">
      <w:pPr>
        <w:pStyle w:val="Heading2"/>
      </w:pPr>
      <w:bookmarkStart w:id="19" w:name="_Toc145347982"/>
      <w:r>
        <w:t xml:space="preserve">Support additional satellite systems to the </w:t>
      </w:r>
      <w:proofErr w:type="gramStart"/>
      <w:r>
        <w:t>GMDSS</w:t>
      </w:r>
      <w:bookmarkEnd w:id="19"/>
      <w:proofErr w:type="gramEnd"/>
    </w:p>
    <w:p w14:paraId="7D7A2CA4" w14:textId="77777777" w:rsidR="00D13649" w:rsidRDefault="00D13649" w:rsidP="00D13649">
      <w:pPr>
        <w:spacing w:before="120" w:line="240" w:lineRule="auto"/>
        <w:rPr>
          <w:rFonts w:cs="Arial"/>
          <w:color w:val="000000" w:themeColor="text1"/>
          <w:szCs w:val="18"/>
        </w:rPr>
      </w:pPr>
      <w:r>
        <w:rPr>
          <w:rFonts w:cs="Arial"/>
          <w:color w:val="000000" w:themeColor="text1"/>
          <w:szCs w:val="18"/>
        </w:rPr>
        <w:t>We are proposing changes to the Maritime Ship Licence LCD to ensure any satellite systems recognised by the IMO for the GMDSS can use particular channels.</w:t>
      </w:r>
    </w:p>
    <w:p w14:paraId="530F7987" w14:textId="77777777" w:rsidR="00D13649" w:rsidRDefault="00D13649" w:rsidP="00D13649">
      <w:pPr>
        <w:spacing w:before="120" w:line="240" w:lineRule="auto"/>
        <w:rPr>
          <w:rFonts w:cs="Arial"/>
          <w:color w:val="000000" w:themeColor="text1"/>
          <w:szCs w:val="18"/>
        </w:rPr>
      </w:pPr>
      <w:r w:rsidRPr="00164BDC">
        <w:rPr>
          <w:rFonts w:cs="Arial"/>
          <w:color w:val="000000" w:themeColor="text1"/>
          <w:szCs w:val="18"/>
        </w:rPr>
        <w:t xml:space="preserve">Since the IMO adopted the worldwide system for communication of emergency information in 1988, Inmarsat has been the only </w:t>
      </w:r>
      <w:r>
        <w:rPr>
          <w:rFonts w:cs="Arial"/>
          <w:color w:val="000000" w:themeColor="text1"/>
          <w:szCs w:val="18"/>
        </w:rPr>
        <w:t>recognised</w:t>
      </w:r>
      <w:r w:rsidRPr="00164BDC">
        <w:rPr>
          <w:rFonts w:cs="Arial"/>
          <w:color w:val="000000" w:themeColor="text1"/>
          <w:szCs w:val="18"/>
        </w:rPr>
        <w:t xml:space="preserve"> provider of satellite communication services for the GMDSS. In 2018, the IMO also recogni</w:t>
      </w:r>
      <w:r>
        <w:rPr>
          <w:rFonts w:cs="Arial"/>
          <w:color w:val="000000" w:themeColor="text1"/>
          <w:szCs w:val="18"/>
        </w:rPr>
        <w:t>s</w:t>
      </w:r>
      <w:r w:rsidRPr="00164BDC">
        <w:rPr>
          <w:rFonts w:cs="Arial"/>
          <w:color w:val="000000" w:themeColor="text1"/>
          <w:szCs w:val="18"/>
        </w:rPr>
        <w:t>ed Iridium as a provider of such services</w:t>
      </w:r>
      <w:r>
        <w:rPr>
          <w:rFonts w:cs="Arial"/>
          <w:color w:val="000000" w:themeColor="text1"/>
          <w:szCs w:val="18"/>
        </w:rPr>
        <w:t xml:space="preserve">. </w:t>
      </w:r>
    </w:p>
    <w:p w14:paraId="13B603E4" w14:textId="77777777" w:rsidR="00D13649" w:rsidRDefault="00D13649" w:rsidP="00D13649">
      <w:pPr>
        <w:spacing w:before="120" w:line="240" w:lineRule="auto"/>
        <w:rPr>
          <w:rFonts w:cs="Arial"/>
          <w:color w:val="000000" w:themeColor="text1"/>
          <w:szCs w:val="18"/>
        </w:rPr>
      </w:pPr>
      <w:r w:rsidRPr="00A37D96">
        <w:rPr>
          <w:rFonts w:cs="Arial"/>
          <w:iCs/>
          <w:szCs w:val="20"/>
        </w:rPr>
        <w:t xml:space="preserve">The IMO made changes to the SOLAS Convention that </w:t>
      </w:r>
      <w:r>
        <w:rPr>
          <w:rFonts w:cs="Arial"/>
          <w:iCs/>
          <w:szCs w:val="20"/>
        </w:rPr>
        <w:t>will come</w:t>
      </w:r>
      <w:r w:rsidRPr="00A37D96">
        <w:rPr>
          <w:rFonts w:cs="Arial"/>
          <w:iCs/>
          <w:szCs w:val="20"/>
        </w:rPr>
        <w:t xml:space="preserve"> into effect </w:t>
      </w:r>
      <w:r>
        <w:rPr>
          <w:rFonts w:cs="Arial"/>
          <w:iCs/>
          <w:szCs w:val="20"/>
        </w:rPr>
        <w:t xml:space="preserve">on </w:t>
      </w:r>
      <w:r w:rsidRPr="00A37D96">
        <w:rPr>
          <w:rFonts w:cs="Arial"/>
          <w:iCs/>
          <w:szCs w:val="20"/>
        </w:rPr>
        <w:t>1</w:t>
      </w:r>
      <w:r>
        <w:rPr>
          <w:rFonts w:cs="Arial"/>
          <w:iCs/>
          <w:szCs w:val="20"/>
        </w:rPr>
        <w:t> </w:t>
      </w:r>
      <w:r w:rsidRPr="00A37D96">
        <w:rPr>
          <w:rFonts w:cs="Arial"/>
          <w:iCs/>
          <w:szCs w:val="20"/>
        </w:rPr>
        <w:t xml:space="preserve">January 2024. </w:t>
      </w:r>
      <w:r>
        <w:rPr>
          <w:rFonts w:cs="Arial"/>
          <w:iCs/>
          <w:szCs w:val="20"/>
        </w:rPr>
        <w:t xml:space="preserve">These changes </w:t>
      </w:r>
      <w:proofErr w:type="gramStart"/>
      <w:r>
        <w:rPr>
          <w:rFonts w:cs="Arial"/>
          <w:iCs/>
          <w:szCs w:val="20"/>
        </w:rPr>
        <w:t>include:</w:t>
      </w:r>
      <w:proofErr w:type="gramEnd"/>
      <w:r>
        <w:rPr>
          <w:rFonts w:cs="Arial"/>
          <w:iCs/>
          <w:szCs w:val="20"/>
        </w:rPr>
        <w:t xml:space="preserve"> </w:t>
      </w:r>
      <w:r>
        <w:rPr>
          <w:rFonts w:cs="Arial"/>
          <w:color w:val="000000" w:themeColor="text1"/>
          <w:szCs w:val="18"/>
        </w:rPr>
        <w:t xml:space="preserve">modernising the GMDSS to contain more </w:t>
      </w:r>
      <w:r w:rsidRPr="00164BDC">
        <w:rPr>
          <w:rFonts w:cs="Arial"/>
          <w:color w:val="000000" w:themeColor="text1"/>
          <w:szCs w:val="18"/>
        </w:rPr>
        <w:t>generic requirements independent of specific service providers</w:t>
      </w:r>
      <w:r>
        <w:rPr>
          <w:rFonts w:cs="Arial"/>
          <w:color w:val="000000" w:themeColor="text1"/>
          <w:szCs w:val="18"/>
        </w:rPr>
        <w:t>;</w:t>
      </w:r>
      <w:r w:rsidRPr="00164BDC">
        <w:rPr>
          <w:rFonts w:cs="Arial"/>
          <w:color w:val="000000" w:themeColor="text1"/>
          <w:szCs w:val="18"/>
        </w:rPr>
        <w:t xml:space="preserve"> and remov</w:t>
      </w:r>
      <w:r>
        <w:rPr>
          <w:rFonts w:cs="Arial"/>
          <w:color w:val="000000" w:themeColor="text1"/>
          <w:szCs w:val="18"/>
        </w:rPr>
        <w:t>ing</w:t>
      </w:r>
      <w:r w:rsidRPr="00164BDC">
        <w:rPr>
          <w:rFonts w:cs="Arial"/>
          <w:color w:val="000000" w:themeColor="text1"/>
          <w:szCs w:val="18"/>
        </w:rPr>
        <w:t xml:space="preserve"> carriage requirements for obsolete systems. </w:t>
      </w:r>
      <w:r>
        <w:rPr>
          <w:rFonts w:cs="Arial"/>
          <w:color w:val="000000" w:themeColor="text1"/>
          <w:szCs w:val="18"/>
        </w:rPr>
        <w:t xml:space="preserve">These issues were discussed under Agenda Item 1.8 (Issue B) at WRC-19. </w:t>
      </w:r>
    </w:p>
    <w:p w14:paraId="48BFFF1F" w14:textId="77777777" w:rsidR="00D13649" w:rsidRDefault="00D13649" w:rsidP="00D13649">
      <w:pPr>
        <w:spacing w:before="120" w:line="240" w:lineRule="auto"/>
        <w:rPr>
          <w:rFonts w:cs="Arial"/>
          <w:color w:val="000000" w:themeColor="text1"/>
          <w:szCs w:val="18"/>
        </w:rPr>
      </w:pPr>
      <w:r>
        <w:rPr>
          <w:rFonts w:cs="Arial"/>
          <w:color w:val="000000" w:themeColor="text1"/>
          <w:szCs w:val="18"/>
        </w:rPr>
        <w:t>The IMO’s changes included updates to definitions used in the SOLAS Convention. P</w:t>
      </w:r>
      <w:r w:rsidRPr="00164BDC">
        <w:rPr>
          <w:rFonts w:cs="Arial"/>
          <w:color w:val="000000" w:themeColor="text1"/>
          <w:szCs w:val="18"/>
        </w:rPr>
        <w:t>rovider-specific terms</w:t>
      </w:r>
      <w:r>
        <w:rPr>
          <w:rFonts w:cs="Arial"/>
          <w:color w:val="000000" w:themeColor="text1"/>
          <w:szCs w:val="18"/>
        </w:rPr>
        <w:t xml:space="preserve"> have been replaced with </w:t>
      </w:r>
      <w:r w:rsidRPr="00164BDC">
        <w:rPr>
          <w:rFonts w:cs="Arial"/>
          <w:color w:val="000000" w:themeColor="text1"/>
          <w:szCs w:val="18"/>
        </w:rPr>
        <w:t>more generic</w:t>
      </w:r>
      <w:r>
        <w:rPr>
          <w:rFonts w:cs="Arial"/>
          <w:color w:val="000000" w:themeColor="text1"/>
          <w:szCs w:val="18"/>
        </w:rPr>
        <w:t xml:space="preserve"> terms, such as</w:t>
      </w:r>
      <w:r w:rsidRPr="00164BDC">
        <w:rPr>
          <w:rFonts w:cs="Arial"/>
          <w:color w:val="000000" w:themeColor="text1"/>
          <w:szCs w:val="18"/>
        </w:rPr>
        <w:t xml:space="preserve"> </w:t>
      </w:r>
      <w:r>
        <w:rPr>
          <w:rFonts w:cs="Arial"/>
          <w:color w:val="000000" w:themeColor="text1"/>
          <w:szCs w:val="18"/>
        </w:rPr>
        <w:t>‘</w:t>
      </w:r>
      <w:r w:rsidRPr="00022435">
        <w:rPr>
          <w:rFonts w:cs="Arial"/>
          <w:color w:val="000000" w:themeColor="text1"/>
          <w:szCs w:val="18"/>
        </w:rPr>
        <w:t>recogni</w:t>
      </w:r>
      <w:r>
        <w:rPr>
          <w:rFonts w:cs="Arial"/>
          <w:color w:val="000000" w:themeColor="text1"/>
          <w:szCs w:val="18"/>
        </w:rPr>
        <w:t>s</w:t>
      </w:r>
      <w:r w:rsidRPr="00022435">
        <w:rPr>
          <w:rFonts w:cs="Arial"/>
          <w:color w:val="000000" w:themeColor="text1"/>
          <w:szCs w:val="18"/>
        </w:rPr>
        <w:t>ed mobile satellite service</w:t>
      </w:r>
      <w:r>
        <w:rPr>
          <w:rFonts w:cs="Arial"/>
          <w:color w:val="000000" w:themeColor="text1"/>
          <w:szCs w:val="18"/>
        </w:rPr>
        <w:t xml:space="preserve">’ to replace references to ‘Inmarsat’. We are proposing to also adopt this approach in our proposed amendments, to enable future services recognised by the IMO for use in the GMDSS to be authorised in Australia without the need for further regulatory changes.  </w:t>
      </w:r>
    </w:p>
    <w:p w14:paraId="08AB1212" w14:textId="77777777" w:rsidR="00D13649" w:rsidRPr="004B374F" w:rsidRDefault="00D13649" w:rsidP="00D13649">
      <w:pPr>
        <w:pStyle w:val="Paragraph"/>
        <w:shd w:val="clear" w:color="auto" w:fill="F2F2F2" w:themeFill="background1" w:themeFillShade="F2"/>
        <w:spacing w:after="60"/>
        <w:rPr>
          <w:b/>
          <w:bCs/>
        </w:rPr>
      </w:pPr>
      <w:r w:rsidRPr="004B374F">
        <w:rPr>
          <w:b/>
          <w:bCs/>
        </w:rPr>
        <w:t>Consultation question</w:t>
      </w:r>
      <w:r>
        <w:rPr>
          <w:b/>
          <w:bCs/>
        </w:rPr>
        <w:t xml:space="preserve"> 1</w:t>
      </w:r>
      <w:r w:rsidRPr="004B374F">
        <w:rPr>
          <w:b/>
          <w:bCs/>
        </w:rPr>
        <w:t>:</w:t>
      </w:r>
    </w:p>
    <w:p w14:paraId="25E0ECCB" w14:textId="77777777" w:rsidR="00D13649" w:rsidRDefault="00D13649" w:rsidP="00D13649">
      <w:pPr>
        <w:pStyle w:val="Paragraph"/>
        <w:shd w:val="clear" w:color="auto" w:fill="F2F2F2" w:themeFill="background1" w:themeFillShade="F2"/>
        <w:spacing w:after="60"/>
      </w:pPr>
      <w:r w:rsidRPr="0046617C">
        <w:t xml:space="preserve">What are your views on our proposal to </w:t>
      </w:r>
      <w:r>
        <w:t>amend the Maritime Ship Licence LCD to replace references to ‘Inmarsat’ with ‘recognised mobile satellite service’</w:t>
      </w:r>
      <w:r w:rsidRPr="0046617C">
        <w:t>?</w:t>
      </w:r>
    </w:p>
    <w:p w14:paraId="40E900B0" w14:textId="77777777" w:rsidR="00D13649" w:rsidRPr="0046617C" w:rsidRDefault="00D13649" w:rsidP="00D13649">
      <w:pPr>
        <w:pStyle w:val="Paragraph"/>
        <w:shd w:val="clear" w:color="auto" w:fill="F2F2F2" w:themeFill="background1" w:themeFillShade="F2"/>
        <w:spacing w:after="60"/>
      </w:pPr>
    </w:p>
    <w:p w14:paraId="45CC2AB7" w14:textId="77777777" w:rsidR="00D13649" w:rsidRDefault="00D13649" w:rsidP="00D13649">
      <w:pPr>
        <w:pStyle w:val="Heading2"/>
      </w:pPr>
      <w:bookmarkStart w:id="20" w:name="_Toc145347983"/>
      <w:r>
        <w:t>Facilitate use of AMRDs to protect the GMDSS and AIS</w:t>
      </w:r>
      <w:bookmarkEnd w:id="20"/>
    </w:p>
    <w:p w14:paraId="448F92F6" w14:textId="77777777" w:rsidR="00D13649" w:rsidRDefault="00D13649" w:rsidP="00D13649">
      <w:pPr>
        <w:pStyle w:val="Paragraph"/>
        <w:rPr>
          <w:iCs/>
          <w:szCs w:val="20"/>
        </w:rPr>
      </w:pPr>
      <w:r>
        <w:rPr>
          <w:iCs/>
          <w:szCs w:val="20"/>
        </w:rPr>
        <w:t xml:space="preserve">We are proposing changes to the </w:t>
      </w:r>
      <w:r w:rsidRPr="00AB6864">
        <w:rPr>
          <w:iCs/>
          <w:szCs w:val="20"/>
        </w:rPr>
        <w:t>Maritime 27 MHz and VHF Class Licence</w:t>
      </w:r>
      <w:r>
        <w:rPr>
          <w:iCs/>
          <w:szCs w:val="20"/>
        </w:rPr>
        <w:t xml:space="preserve"> and the </w:t>
      </w:r>
      <w:r w:rsidRPr="00AB6864">
        <w:rPr>
          <w:iCs/>
          <w:szCs w:val="20"/>
        </w:rPr>
        <w:t>Maritime Ship Licence LCD</w:t>
      </w:r>
      <w:r>
        <w:rPr>
          <w:iCs/>
          <w:szCs w:val="20"/>
        </w:rPr>
        <w:t xml:space="preserve"> to facilitate the use of AMRDs under our licensing arrangements. The proposed changes to provide for AMRDs includes new definitions, </w:t>
      </w:r>
      <w:r w:rsidRPr="00794EFB">
        <w:rPr>
          <w:rFonts w:cs="Times New Roman"/>
          <w:szCs w:val="20"/>
        </w:rPr>
        <w:t>design</w:t>
      </w:r>
      <w:r>
        <w:rPr>
          <w:rFonts w:cs="Times New Roman"/>
          <w:szCs w:val="20"/>
        </w:rPr>
        <w:t xml:space="preserve">ation of </w:t>
      </w:r>
      <w:r w:rsidRPr="00794EFB">
        <w:rPr>
          <w:rFonts w:cs="Times New Roman"/>
          <w:szCs w:val="20"/>
        </w:rPr>
        <w:t xml:space="preserve">channels for </w:t>
      </w:r>
      <w:r>
        <w:rPr>
          <w:rFonts w:cs="Times New Roman"/>
          <w:szCs w:val="20"/>
        </w:rPr>
        <w:t>use, and associated technical conditions</w:t>
      </w:r>
      <w:r>
        <w:rPr>
          <w:iCs/>
          <w:szCs w:val="20"/>
        </w:rPr>
        <w:t xml:space="preserve">. </w:t>
      </w:r>
    </w:p>
    <w:p w14:paraId="5305B119" w14:textId="77777777" w:rsidR="00D13649" w:rsidRDefault="00D13649" w:rsidP="00D13649">
      <w:pPr>
        <w:pStyle w:val="Paragraph"/>
      </w:pPr>
      <w:r>
        <w:t xml:space="preserve">The technical and operational characteristics of AMRDs are set out in the ITU Recommendation ITU-R M.2135-1, which describes an AMRD as “a station in the maritime mobile </w:t>
      </w:r>
      <w:proofErr w:type="gramStart"/>
      <w:r>
        <w:t>service</w:t>
      </w:r>
      <w:proofErr w:type="gramEnd"/>
      <w:r>
        <w:t xml:space="preserve"> which is mobile, operates at sea and transmits independently of a ship station or a coast station, which may also be temporarily moored”. </w:t>
      </w:r>
    </w:p>
    <w:p w14:paraId="1C67DBBC" w14:textId="77777777" w:rsidR="00D13649" w:rsidRDefault="00D13649" w:rsidP="00D13649">
      <w:pPr>
        <w:pStyle w:val="Paragraph"/>
      </w:pPr>
      <w:r w:rsidRPr="00A47231">
        <w:t xml:space="preserve">AMRDs are used for various purposes, including to </w:t>
      </w:r>
      <w:r w:rsidRPr="008338FB">
        <w:t xml:space="preserve">receive transmissions from, another device attached to a person or object in the water. </w:t>
      </w:r>
      <w:r>
        <w:t xml:space="preserve">The ITU-R M.2135-1 categorises </w:t>
      </w:r>
      <w:r w:rsidRPr="008338FB">
        <w:t xml:space="preserve">AMRDs into </w:t>
      </w:r>
      <w:r>
        <w:t>two groups:</w:t>
      </w:r>
    </w:p>
    <w:p w14:paraId="576571FE" w14:textId="77777777" w:rsidR="00D13649" w:rsidRPr="00D5148B" w:rsidRDefault="00D13649" w:rsidP="00D13649">
      <w:pPr>
        <w:pStyle w:val="Bulletlevel1"/>
        <w:rPr>
          <w:b/>
          <w:bCs/>
          <w:iCs/>
          <w:szCs w:val="20"/>
        </w:rPr>
      </w:pPr>
      <w:r w:rsidRPr="00D5148B">
        <w:t>Group A</w:t>
      </w:r>
      <w:r>
        <w:rPr>
          <w:bCs/>
          <w:iCs/>
          <w:szCs w:val="20"/>
        </w:rPr>
        <w:t xml:space="preserve">—AMRDs </w:t>
      </w:r>
      <w:r w:rsidRPr="00D5148B">
        <w:rPr>
          <w:bCs/>
          <w:iCs/>
          <w:szCs w:val="20"/>
        </w:rPr>
        <w:t xml:space="preserve">that enhance the safety of </w:t>
      </w:r>
      <w:proofErr w:type="gramStart"/>
      <w:r w:rsidRPr="00D5148B">
        <w:rPr>
          <w:bCs/>
          <w:iCs/>
          <w:szCs w:val="20"/>
        </w:rPr>
        <w:t>navigation</w:t>
      </w:r>
      <w:proofErr w:type="gramEnd"/>
    </w:p>
    <w:p w14:paraId="69D30E0A" w14:textId="77777777" w:rsidR="00D13649" w:rsidRPr="00D5148B" w:rsidRDefault="00D13649" w:rsidP="00D13649">
      <w:pPr>
        <w:pStyle w:val="Bulletlevel1last"/>
        <w:rPr>
          <w:b/>
          <w:iCs/>
          <w:szCs w:val="20"/>
        </w:rPr>
      </w:pPr>
      <w:r w:rsidRPr="00D5148B">
        <w:t>Group B</w:t>
      </w:r>
      <w:r>
        <w:rPr>
          <w:bCs/>
          <w:iCs/>
          <w:szCs w:val="20"/>
        </w:rPr>
        <w:t xml:space="preserve">—AMRDs </w:t>
      </w:r>
      <w:r w:rsidRPr="00D5148B">
        <w:rPr>
          <w:iCs/>
          <w:szCs w:val="20"/>
        </w:rPr>
        <w:t xml:space="preserve">that do not enhance the safety of navigation. </w:t>
      </w:r>
    </w:p>
    <w:p w14:paraId="60CE7DA2" w14:textId="77777777" w:rsidR="00D13649" w:rsidRPr="00E162C4" w:rsidRDefault="00D13649" w:rsidP="00D13649">
      <w:pPr>
        <w:pStyle w:val="Heading3"/>
      </w:pPr>
      <w:r>
        <w:t>AMRD Group A</w:t>
      </w:r>
    </w:p>
    <w:p w14:paraId="6CB68E2F" w14:textId="77777777" w:rsidR="00D13649" w:rsidRDefault="00D13649" w:rsidP="00D13649">
      <w:pPr>
        <w:spacing w:before="120" w:line="240" w:lineRule="auto"/>
        <w:rPr>
          <w:rFonts w:cs="Arial"/>
          <w:iCs/>
          <w:szCs w:val="20"/>
        </w:rPr>
      </w:pPr>
      <w:r>
        <w:rPr>
          <w:rFonts w:cs="Arial"/>
          <w:iCs/>
          <w:szCs w:val="20"/>
        </w:rPr>
        <w:t xml:space="preserve">The IMO is the responsible organisation for the designation of AMRD Group A, which are stations that are used for the sole purpose of enhancing the safety of navigation. AMRD Group A stations are subject to the IMO SOLAS requirements for presentation of information to navigators of vessels.  </w:t>
      </w:r>
    </w:p>
    <w:p w14:paraId="32799537" w14:textId="77777777" w:rsidR="00D13649" w:rsidRDefault="00D13649" w:rsidP="00D13649">
      <w:pPr>
        <w:spacing w:before="120" w:line="240" w:lineRule="auto"/>
        <w:rPr>
          <w:rFonts w:cs="Arial"/>
          <w:iCs/>
          <w:szCs w:val="20"/>
        </w:rPr>
      </w:pPr>
      <w:r>
        <w:rPr>
          <w:rFonts w:cs="Arial"/>
          <w:iCs/>
          <w:szCs w:val="20"/>
        </w:rPr>
        <w:t>The IMO has designated two purposes for the use of AMRD Group A:</w:t>
      </w:r>
    </w:p>
    <w:p w14:paraId="7D5E276F" w14:textId="77777777" w:rsidR="00D13649" w:rsidRDefault="00D13649" w:rsidP="00D13649">
      <w:pPr>
        <w:pStyle w:val="Bulletlevel1"/>
      </w:pPr>
      <w:r w:rsidRPr="00323791">
        <w:t>man-overboard (MOB)</w:t>
      </w:r>
      <w:r>
        <w:t xml:space="preserve"> to assist in localised rescue of a person who has fallen off a </w:t>
      </w:r>
      <w:proofErr w:type="gramStart"/>
      <w:r>
        <w:t>ship</w:t>
      </w:r>
      <w:proofErr w:type="gramEnd"/>
      <w:r w:rsidRPr="00323791">
        <w:t xml:space="preserve"> </w:t>
      </w:r>
    </w:p>
    <w:p w14:paraId="201BBFF7" w14:textId="77777777" w:rsidR="00D13649" w:rsidRPr="00323791" w:rsidRDefault="00D13649" w:rsidP="00D13649">
      <w:pPr>
        <w:pStyle w:val="Bulletlevel1last"/>
      </w:pPr>
      <w:r w:rsidRPr="00323791">
        <w:t>mobile aid to navigation (</w:t>
      </w:r>
      <w:proofErr w:type="spellStart"/>
      <w:r w:rsidRPr="00323791">
        <w:t>MAtoN</w:t>
      </w:r>
      <w:proofErr w:type="spellEnd"/>
      <w:r w:rsidRPr="00323791">
        <w:t>)</w:t>
      </w:r>
      <w:r>
        <w:t xml:space="preserve"> to assist the navigator of a vessel in reducing the risk of collisions, and to track and report on the movement of vessels nearby. </w:t>
      </w:r>
    </w:p>
    <w:p w14:paraId="63A03D45" w14:textId="77777777" w:rsidR="00D13649" w:rsidRPr="00D5148B" w:rsidRDefault="00D13649" w:rsidP="00D13649">
      <w:pPr>
        <w:pStyle w:val="Heading4"/>
      </w:pPr>
      <w:r w:rsidRPr="00D5148B">
        <w:t>MOB purposes</w:t>
      </w:r>
    </w:p>
    <w:p w14:paraId="155B7867" w14:textId="77777777" w:rsidR="00D13649" w:rsidRPr="00C1738E" w:rsidRDefault="00D13649" w:rsidP="00D13649">
      <w:pPr>
        <w:spacing w:before="120" w:line="240" w:lineRule="auto"/>
        <w:rPr>
          <w:rFonts w:cs="Arial"/>
          <w:iCs/>
          <w:szCs w:val="20"/>
        </w:rPr>
      </w:pPr>
      <w:r w:rsidRPr="00C1738E">
        <w:rPr>
          <w:rFonts w:cs="Arial"/>
          <w:iCs/>
          <w:szCs w:val="20"/>
        </w:rPr>
        <w:t xml:space="preserve">An AMRD Group A station communicates with an MOB transmitter that is designed to locate an individual crew member or passenger, in the event </w:t>
      </w:r>
      <w:r>
        <w:rPr>
          <w:rFonts w:cs="Arial"/>
          <w:iCs/>
          <w:szCs w:val="20"/>
        </w:rPr>
        <w:t>that the</w:t>
      </w:r>
      <w:r w:rsidRPr="00C1738E">
        <w:rPr>
          <w:rFonts w:cs="Arial"/>
          <w:iCs/>
          <w:szCs w:val="20"/>
        </w:rPr>
        <w:t xml:space="preserve"> person has fallen overboard. The MOB transmitter is installed on a </w:t>
      </w:r>
      <w:proofErr w:type="gramStart"/>
      <w:r w:rsidRPr="00C1738E">
        <w:rPr>
          <w:rFonts w:cs="Arial"/>
          <w:iCs/>
          <w:szCs w:val="20"/>
        </w:rPr>
        <w:t>life-jacket</w:t>
      </w:r>
      <w:proofErr w:type="gramEnd"/>
      <w:r w:rsidRPr="00C1738E">
        <w:rPr>
          <w:rFonts w:cs="Arial"/>
          <w:iCs/>
          <w:szCs w:val="20"/>
        </w:rPr>
        <w:t xml:space="preserve"> and activates automatically on inflation to communicate with an AIS station onboard the vessel. MOB transmitters use VHF digital selective calling (DSC) Class M and are combined with AIS</w:t>
      </w:r>
      <w:r>
        <w:rPr>
          <w:rStyle w:val="FootnoteReference"/>
          <w:rFonts w:cs="Arial"/>
          <w:iCs/>
          <w:szCs w:val="20"/>
        </w:rPr>
        <w:footnoteReference w:id="7"/>
      </w:r>
      <w:r w:rsidRPr="00C1738E">
        <w:rPr>
          <w:rFonts w:cs="Arial"/>
          <w:iCs/>
          <w:szCs w:val="20"/>
        </w:rPr>
        <w:t xml:space="preserve"> technology. These devices are not monitored by shore stations in Australia. </w:t>
      </w:r>
    </w:p>
    <w:p w14:paraId="7126D651" w14:textId="77777777" w:rsidR="00D13649" w:rsidRPr="00C1738E" w:rsidRDefault="00D13649" w:rsidP="00D13649">
      <w:pPr>
        <w:spacing w:before="120" w:line="240" w:lineRule="auto"/>
        <w:rPr>
          <w:rFonts w:cs="Arial"/>
          <w:iCs/>
          <w:szCs w:val="20"/>
        </w:rPr>
      </w:pPr>
      <w:r w:rsidRPr="00C1738E">
        <w:rPr>
          <w:rFonts w:cs="Arial"/>
          <w:iCs/>
          <w:szCs w:val="20"/>
        </w:rPr>
        <w:t xml:space="preserve">For the purposes of MOB, an MOB transmitter operates as a locating aid, on the 156.525 MHz frequency band, as part of a maritime survivor locating system. The operation of an MOB transmitter is currently authorised under the </w:t>
      </w:r>
      <w:hyperlink r:id="rId40" w:history="1">
        <w:r w:rsidRPr="00C1738E">
          <w:rPr>
            <w:rStyle w:val="Hyperlink"/>
            <w:rFonts w:cs="Arial"/>
            <w:iCs/>
            <w:szCs w:val="20"/>
          </w:rPr>
          <w:t>Radiocommunications (Emergency Locating Devices) Class Licence 2016</w:t>
        </w:r>
      </w:hyperlink>
      <w:r w:rsidRPr="00C1738E">
        <w:rPr>
          <w:rFonts w:cs="Arial"/>
          <w:iCs/>
          <w:szCs w:val="20"/>
        </w:rPr>
        <w:t xml:space="preserve">, as long as the operator complies with the conditions of the class licence. </w:t>
      </w:r>
    </w:p>
    <w:p w14:paraId="79F8C587" w14:textId="77777777" w:rsidR="00D13649" w:rsidRPr="00C1738E" w:rsidRDefault="00D13649" w:rsidP="00D13649">
      <w:pPr>
        <w:spacing w:before="120" w:line="240" w:lineRule="auto"/>
        <w:rPr>
          <w:rFonts w:cs="Arial"/>
          <w:iCs/>
          <w:szCs w:val="20"/>
        </w:rPr>
      </w:pPr>
      <w:r w:rsidRPr="00C1738E">
        <w:rPr>
          <w:rFonts w:cs="Arial"/>
          <w:iCs/>
          <w:szCs w:val="20"/>
        </w:rPr>
        <w:t xml:space="preserve">We are not proposing to make further changes to the licensing arrangements for MOB transmitters that communicate with AMRD Group A stations. </w:t>
      </w:r>
    </w:p>
    <w:p w14:paraId="57BEBFA8" w14:textId="77777777" w:rsidR="00D13649" w:rsidRPr="00250C5F" w:rsidRDefault="00D13649" w:rsidP="00D13649">
      <w:pPr>
        <w:pStyle w:val="Heading4"/>
      </w:pPr>
      <w:proofErr w:type="spellStart"/>
      <w:r w:rsidRPr="00250C5F">
        <w:t>MAToN</w:t>
      </w:r>
      <w:proofErr w:type="spellEnd"/>
      <w:r w:rsidRPr="00250C5F">
        <w:t xml:space="preserve"> purposes</w:t>
      </w:r>
    </w:p>
    <w:p w14:paraId="4BCB745C" w14:textId="77777777" w:rsidR="00D13649" w:rsidRDefault="00D13649" w:rsidP="00D13649">
      <w:pPr>
        <w:spacing w:before="120" w:line="240" w:lineRule="auto"/>
        <w:rPr>
          <w:rFonts w:cs="Arial"/>
          <w:iCs/>
          <w:szCs w:val="20"/>
        </w:rPr>
      </w:pPr>
      <w:r>
        <w:rPr>
          <w:rFonts w:cs="Arial"/>
          <w:iCs/>
          <w:szCs w:val="20"/>
        </w:rPr>
        <w:t xml:space="preserve">AMRD Group A stations are part of a vessel’s navigation safety system. ITU-R M.2135-1 recommends that </w:t>
      </w:r>
      <w:proofErr w:type="spellStart"/>
      <w:r>
        <w:rPr>
          <w:rFonts w:cs="Arial"/>
          <w:iCs/>
          <w:szCs w:val="20"/>
        </w:rPr>
        <w:t>MAToN</w:t>
      </w:r>
      <w:proofErr w:type="spellEnd"/>
      <w:r>
        <w:rPr>
          <w:rFonts w:cs="Arial"/>
          <w:iCs/>
          <w:szCs w:val="20"/>
        </w:rPr>
        <w:t xml:space="preserve"> devices should be operated by the responsible authority of an administration. AMSA will investigate options, in consultation with search and rescue authorities, ports and State marine authorities, for authorisation of </w:t>
      </w:r>
      <w:proofErr w:type="spellStart"/>
      <w:r>
        <w:rPr>
          <w:rFonts w:cs="Arial"/>
          <w:iCs/>
          <w:szCs w:val="20"/>
        </w:rPr>
        <w:t>MAToN</w:t>
      </w:r>
      <w:proofErr w:type="spellEnd"/>
      <w:r>
        <w:rPr>
          <w:rFonts w:cs="Arial"/>
          <w:iCs/>
          <w:szCs w:val="20"/>
        </w:rPr>
        <w:t xml:space="preserve"> devices as it is responsible for authorisation of non-shipborne AIS transmissions in Australia. </w:t>
      </w:r>
    </w:p>
    <w:p w14:paraId="573BCF94" w14:textId="77777777" w:rsidR="00D13649" w:rsidRPr="00E162C4" w:rsidRDefault="00D13649" w:rsidP="00D13649">
      <w:pPr>
        <w:pStyle w:val="Heading3"/>
      </w:pPr>
      <w:r>
        <w:t>AMRD Group B</w:t>
      </w:r>
    </w:p>
    <w:p w14:paraId="2C9738A8" w14:textId="77777777" w:rsidR="00D13649" w:rsidRDefault="00D13649" w:rsidP="00D13649">
      <w:pPr>
        <w:pStyle w:val="Paragraph"/>
        <w:rPr>
          <w:iCs/>
          <w:szCs w:val="20"/>
        </w:rPr>
      </w:pPr>
      <w:r>
        <w:rPr>
          <w:iCs/>
          <w:szCs w:val="20"/>
        </w:rPr>
        <w:t xml:space="preserve">AMRD Group B are devices that do not enhance the safety of navigation—they deliver signals or information that do not concern the navigation of a vessel or do not complement vessel traffic safety in waterways. </w:t>
      </w:r>
      <w:r w:rsidRPr="00874765">
        <w:rPr>
          <w:iCs/>
          <w:szCs w:val="20"/>
        </w:rPr>
        <w:t xml:space="preserve">Group B devices may implement AIS technology or technology other than AIS. Technology other than AIS may be implemented only on an experimental basis, and operational use of such devices is not addressed in the </w:t>
      </w:r>
      <w:r>
        <w:rPr>
          <w:iCs/>
          <w:szCs w:val="20"/>
        </w:rPr>
        <w:t xml:space="preserve">ITU </w:t>
      </w:r>
      <w:r w:rsidRPr="00874765">
        <w:rPr>
          <w:iCs/>
          <w:szCs w:val="20"/>
        </w:rPr>
        <w:t>R</w:t>
      </w:r>
      <w:r>
        <w:rPr>
          <w:iCs/>
          <w:szCs w:val="20"/>
        </w:rPr>
        <w:t xml:space="preserve">adio </w:t>
      </w:r>
      <w:r w:rsidRPr="00874765">
        <w:rPr>
          <w:iCs/>
          <w:szCs w:val="20"/>
        </w:rPr>
        <w:t>R</w:t>
      </w:r>
      <w:r>
        <w:rPr>
          <w:iCs/>
          <w:szCs w:val="20"/>
        </w:rPr>
        <w:t>egulations</w:t>
      </w:r>
      <w:r w:rsidRPr="00874765">
        <w:rPr>
          <w:iCs/>
          <w:szCs w:val="20"/>
        </w:rPr>
        <w:t>.</w:t>
      </w:r>
      <w:r>
        <w:rPr>
          <w:iCs/>
          <w:szCs w:val="20"/>
        </w:rPr>
        <w:t xml:space="preserve"> </w:t>
      </w:r>
    </w:p>
    <w:p w14:paraId="40656158" w14:textId="77777777" w:rsidR="00D13649" w:rsidRDefault="00D13649" w:rsidP="00D13649">
      <w:pPr>
        <w:pStyle w:val="Paragraph"/>
        <w:rPr>
          <w:iCs/>
          <w:szCs w:val="20"/>
        </w:rPr>
      </w:pPr>
      <w:r>
        <w:rPr>
          <w:iCs/>
          <w:szCs w:val="20"/>
        </w:rPr>
        <w:t xml:space="preserve">AMRD Group B stations can be used for purposes other than those designated by the IMO for AMRD Group A. Table 8 of ITU-R M.2135-1 </w:t>
      </w:r>
      <w:r w:rsidRPr="00231873">
        <w:rPr>
          <w:iCs/>
          <w:szCs w:val="20"/>
        </w:rPr>
        <w:t xml:space="preserve">lists the types of AMRD Group B </w:t>
      </w:r>
      <w:r>
        <w:rPr>
          <w:iCs/>
          <w:szCs w:val="20"/>
        </w:rPr>
        <w:t>stations and describes the purposes for which they may be used.</w:t>
      </w:r>
      <w:r w:rsidRPr="00231873">
        <w:rPr>
          <w:iCs/>
          <w:szCs w:val="20"/>
        </w:rPr>
        <w:t xml:space="preserve"> The</w:t>
      </w:r>
      <w:r>
        <w:rPr>
          <w:iCs/>
          <w:szCs w:val="20"/>
        </w:rPr>
        <w:t xml:space="preserve"> purposes</w:t>
      </w:r>
      <w:r w:rsidRPr="00231873">
        <w:rPr>
          <w:iCs/>
          <w:szCs w:val="20"/>
        </w:rPr>
        <w:t xml:space="preserve"> include fishnet marker, diver tracker and barge locator.</w:t>
      </w:r>
      <w:r>
        <w:rPr>
          <w:iCs/>
          <w:szCs w:val="20"/>
        </w:rPr>
        <w:t xml:space="preserve"> </w:t>
      </w:r>
    </w:p>
    <w:p w14:paraId="0C543E6B" w14:textId="77777777" w:rsidR="00D13649" w:rsidRDefault="00D13649" w:rsidP="00D13649">
      <w:pPr>
        <w:pStyle w:val="Paragraph"/>
        <w:rPr>
          <w:iCs/>
          <w:szCs w:val="20"/>
        </w:rPr>
      </w:pPr>
      <w:r>
        <w:rPr>
          <w:iCs/>
          <w:szCs w:val="20"/>
        </w:rPr>
        <w:t xml:space="preserve">We understand that, for these purposes, AMRD Group B stations may operate in a similar manner as AMRD Group A stations for MOB purposes. That is, they would receive transmissions from a marker or tracking transmitter attached to a person or an object in the water. </w:t>
      </w:r>
    </w:p>
    <w:p w14:paraId="16EB535C" w14:textId="77777777" w:rsidR="00D13649" w:rsidRDefault="00D13649" w:rsidP="00D13649">
      <w:pPr>
        <w:pStyle w:val="Paragraph"/>
        <w:rPr>
          <w:iCs/>
          <w:szCs w:val="20"/>
        </w:rPr>
      </w:pPr>
      <w:r>
        <w:rPr>
          <w:iCs/>
          <w:szCs w:val="20"/>
        </w:rPr>
        <w:t>We are seeking information about use-cases for AMRD Group B stations and how they operate. Specifically, we are interested in understanding the purposes AMRD Group B stations are currently being used for. We are also seeking input on what purposes AMRD Group B stations may be used for in the future.</w:t>
      </w:r>
    </w:p>
    <w:p w14:paraId="5CE9A4A5" w14:textId="77777777" w:rsidR="00D13649" w:rsidRDefault="00D13649" w:rsidP="00D13649">
      <w:pPr>
        <w:pStyle w:val="Paragraph"/>
        <w:rPr>
          <w:iCs/>
          <w:szCs w:val="20"/>
        </w:rPr>
      </w:pPr>
      <w:r>
        <w:rPr>
          <w:iCs/>
          <w:szCs w:val="20"/>
        </w:rPr>
        <w:t xml:space="preserve">Following consideration of feedback from consultation, we will investigate options under our licensing arrangements, for authorising the operation of transmitters that may be used to communicate with AMRD Group B stations. </w:t>
      </w:r>
    </w:p>
    <w:p w14:paraId="0A5E3EF0" w14:textId="77777777" w:rsidR="00D13649" w:rsidRPr="004B374F" w:rsidRDefault="00D13649" w:rsidP="00D13649">
      <w:pPr>
        <w:pStyle w:val="Paragraph"/>
        <w:shd w:val="clear" w:color="auto" w:fill="F2F2F2" w:themeFill="background1" w:themeFillShade="F2"/>
        <w:spacing w:after="60"/>
        <w:rPr>
          <w:b/>
          <w:bCs/>
        </w:rPr>
      </w:pPr>
      <w:r w:rsidRPr="004B374F">
        <w:rPr>
          <w:b/>
          <w:bCs/>
        </w:rPr>
        <w:t>Consultation question</w:t>
      </w:r>
      <w:r>
        <w:rPr>
          <w:b/>
          <w:bCs/>
        </w:rPr>
        <w:t xml:space="preserve"> 2</w:t>
      </w:r>
      <w:r w:rsidRPr="004B374F">
        <w:rPr>
          <w:b/>
          <w:bCs/>
        </w:rPr>
        <w:t>:</w:t>
      </w:r>
    </w:p>
    <w:p w14:paraId="5CA12D5D" w14:textId="77777777" w:rsidR="00D13649" w:rsidRDefault="00D13649" w:rsidP="00D13649">
      <w:pPr>
        <w:pStyle w:val="Paragraph"/>
        <w:shd w:val="clear" w:color="auto" w:fill="F2F2F2" w:themeFill="background1" w:themeFillShade="F2"/>
        <w:spacing w:after="60"/>
      </w:pPr>
      <w:r w:rsidRPr="0046617C">
        <w:t xml:space="preserve">What are your views on our proposal to authorise the operation of AMRDs under the Maritime 27 MHz and VHF Class Licence and </w:t>
      </w:r>
      <w:r>
        <w:t xml:space="preserve">regulate their operation under </w:t>
      </w:r>
      <w:r w:rsidRPr="0046617C">
        <w:t>the Maritime Ship Licence LCD?</w:t>
      </w:r>
    </w:p>
    <w:p w14:paraId="2E56411F" w14:textId="77777777" w:rsidR="00D13649" w:rsidRPr="0046617C" w:rsidRDefault="00D13649" w:rsidP="00D13649">
      <w:pPr>
        <w:pStyle w:val="Paragraph"/>
        <w:shd w:val="clear" w:color="auto" w:fill="F2F2F2" w:themeFill="background1" w:themeFillShade="F2"/>
        <w:spacing w:after="60"/>
      </w:pPr>
    </w:p>
    <w:p w14:paraId="3E0D1129" w14:textId="77777777" w:rsidR="00D13649" w:rsidRPr="00D5148B" w:rsidRDefault="00D13649" w:rsidP="00D13649">
      <w:pPr>
        <w:pStyle w:val="Paragraph"/>
        <w:shd w:val="clear" w:color="auto" w:fill="F2F2F2" w:themeFill="background1" w:themeFillShade="F2"/>
        <w:spacing w:after="60"/>
      </w:pPr>
      <w:r w:rsidRPr="00C51E70">
        <w:rPr>
          <w:b/>
          <w:bCs/>
        </w:rPr>
        <w:t>Consultation question</w:t>
      </w:r>
      <w:r>
        <w:rPr>
          <w:b/>
          <w:bCs/>
        </w:rPr>
        <w:t xml:space="preserve"> 3</w:t>
      </w:r>
      <w:r w:rsidRPr="00C51E70">
        <w:rPr>
          <w:b/>
          <w:bCs/>
        </w:rPr>
        <w:t>:</w:t>
      </w:r>
      <w:r w:rsidRPr="00D5148B">
        <w:rPr>
          <w:b/>
          <w:bCs/>
        </w:rPr>
        <w:br/>
      </w:r>
      <w:r w:rsidRPr="0046617C">
        <w:t xml:space="preserve">Are </w:t>
      </w:r>
      <w:proofErr w:type="gramStart"/>
      <w:r w:rsidRPr="0046617C">
        <w:t>there</w:t>
      </w:r>
      <w:proofErr w:type="gramEnd"/>
      <w:r w:rsidRPr="0046617C">
        <w:t xml:space="preserve"> other scenarios where AMRD Group A stations could be used that would be consistent with the IMO’s designation for MOB purposes? </w:t>
      </w:r>
    </w:p>
    <w:p w14:paraId="16583600" w14:textId="77777777" w:rsidR="00D13649" w:rsidRPr="0046617C" w:rsidRDefault="00D13649" w:rsidP="00D13649">
      <w:pPr>
        <w:pStyle w:val="Paragraph"/>
        <w:shd w:val="clear" w:color="auto" w:fill="F2F2F2" w:themeFill="background1" w:themeFillShade="F2"/>
        <w:spacing w:after="60"/>
      </w:pPr>
    </w:p>
    <w:p w14:paraId="511C6B40" w14:textId="77777777" w:rsidR="00D13649" w:rsidRPr="00D5148B" w:rsidRDefault="00D13649" w:rsidP="00D13649">
      <w:pPr>
        <w:pStyle w:val="Paragraph"/>
        <w:shd w:val="clear" w:color="auto" w:fill="F2F2F2" w:themeFill="background1" w:themeFillShade="F2"/>
        <w:spacing w:after="60"/>
      </w:pPr>
      <w:r w:rsidRPr="00C51E70">
        <w:rPr>
          <w:b/>
          <w:bCs/>
        </w:rPr>
        <w:t>Consultation question</w:t>
      </w:r>
      <w:r>
        <w:rPr>
          <w:b/>
          <w:bCs/>
        </w:rPr>
        <w:t xml:space="preserve"> 4</w:t>
      </w:r>
      <w:r w:rsidRPr="00C51E70">
        <w:rPr>
          <w:b/>
          <w:bCs/>
        </w:rPr>
        <w:t>:</w:t>
      </w:r>
      <w:r w:rsidRPr="00D5148B">
        <w:rPr>
          <w:b/>
          <w:bCs/>
        </w:rPr>
        <w:br/>
      </w:r>
      <w:r>
        <w:t>For w</w:t>
      </w:r>
      <w:r w:rsidRPr="0046617C">
        <w:t xml:space="preserve">hat purposes are AMRD Group B stations </w:t>
      </w:r>
      <w:r>
        <w:t xml:space="preserve">currently </w:t>
      </w:r>
      <w:r w:rsidRPr="0046617C">
        <w:t>being used? Please provide examples and information on how they operate.</w:t>
      </w:r>
    </w:p>
    <w:p w14:paraId="4A4B5A81" w14:textId="77777777" w:rsidR="00D13649" w:rsidRPr="0046617C" w:rsidRDefault="00D13649" w:rsidP="00D13649">
      <w:pPr>
        <w:pStyle w:val="Paragraph"/>
        <w:shd w:val="clear" w:color="auto" w:fill="F2F2F2" w:themeFill="background1" w:themeFillShade="F2"/>
        <w:spacing w:after="60"/>
      </w:pPr>
    </w:p>
    <w:p w14:paraId="47DBE20D" w14:textId="77777777" w:rsidR="00D13649" w:rsidRPr="0046617C" w:rsidRDefault="00D13649" w:rsidP="00D13649">
      <w:pPr>
        <w:pStyle w:val="Paragraph"/>
        <w:shd w:val="clear" w:color="auto" w:fill="F2F2F2" w:themeFill="background1" w:themeFillShade="F2"/>
        <w:spacing w:after="60"/>
      </w:pPr>
      <w:r w:rsidRPr="00C51E70">
        <w:rPr>
          <w:b/>
          <w:bCs/>
        </w:rPr>
        <w:t>Consultation question</w:t>
      </w:r>
      <w:r>
        <w:rPr>
          <w:b/>
          <w:bCs/>
        </w:rPr>
        <w:t xml:space="preserve"> 5</w:t>
      </w:r>
      <w:r w:rsidRPr="00C51E70">
        <w:rPr>
          <w:b/>
          <w:bCs/>
        </w:rPr>
        <w:t>:</w:t>
      </w:r>
      <w:r w:rsidRPr="00D5148B">
        <w:rPr>
          <w:b/>
          <w:bCs/>
        </w:rPr>
        <w:br/>
      </w:r>
      <w:r w:rsidRPr="0046617C">
        <w:t xml:space="preserve">Are </w:t>
      </w:r>
      <w:proofErr w:type="gramStart"/>
      <w:r w:rsidRPr="0046617C">
        <w:t>there</w:t>
      </w:r>
      <w:proofErr w:type="gramEnd"/>
      <w:r w:rsidRPr="0046617C">
        <w:t xml:space="preserve"> purposes, other than those described in the ITU-R M.2135-1, that AMRD Group B stations could be used for? Please provide examples and information on how they would operate.</w:t>
      </w:r>
    </w:p>
    <w:p w14:paraId="597BE8BC" w14:textId="77777777" w:rsidR="00D13649" w:rsidRDefault="00D13649" w:rsidP="00D13649">
      <w:pPr>
        <w:pStyle w:val="Heading2"/>
      </w:pPr>
      <w:bookmarkStart w:id="21" w:name="_Toc144219183"/>
      <w:bookmarkStart w:id="22" w:name="_Toc145347984"/>
      <w:r>
        <w:t>Enable a n</w:t>
      </w:r>
      <w:r w:rsidRPr="009F4A12">
        <w:t xml:space="preserve">ew VDES satellite </w:t>
      </w:r>
      <w:proofErr w:type="gramStart"/>
      <w:r w:rsidRPr="009F4A12">
        <w:t>component</w:t>
      </w:r>
      <w:bookmarkEnd w:id="21"/>
      <w:bookmarkEnd w:id="22"/>
      <w:proofErr w:type="gramEnd"/>
    </w:p>
    <w:p w14:paraId="019C503D" w14:textId="77777777" w:rsidR="00D13649" w:rsidRDefault="00D13649" w:rsidP="00D13649">
      <w:pPr>
        <w:pStyle w:val="Paragraph"/>
        <w:rPr>
          <w:rFonts w:eastAsiaTheme="minorHAnsi"/>
          <w:color w:val="44546A"/>
        </w:rPr>
      </w:pPr>
      <w:r>
        <w:rPr>
          <w:szCs w:val="20"/>
        </w:rPr>
        <w:t xml:space="preserve">We are proposing changes to the </w:t>
      </w:r>
      <w:r w:rsidRPr="00AB6864">
        <w:rPr>
          <w:iCs/>
          <w:szCs w:val="20"/>
        </w:rPr>
        <w:t xml:space="preserve">Maritime 27 MHz and </w:t>
      </w:r>
      <w:r w:rsidRPr="00A9604E">
        <w:t xml:space="preserve">VHF Class Licence, the Maritime Ship Licence LCD and the </w:t>
      </w:r>
      <w:r w:rsidRPr="00A025B2">
        <w:t>Maritime Coast Licence LCD</w:t>
      </w:r>
      <w:r w:rsidRPr="00A9604E">
        <w:t xml:space="preserve"> to enable</w:t>
      </w:r>
      <w:r>
        <w:rPr>
          <w:szCs w:val="20"/>
        </w:rPr>
        <w:t xml:space="preserve"> a new VDES satellite component. </w:t>
      </w:r>
    </w:p>
    <w:p w14:paraId="64BEE2C3" w14:textId="77777777" w:rsidR="00D13649" w:rsidRDefault="00D13649" w:rsidP="00D13649">
      <w:pPr>
        <w:pStyle w:val="Paragraph"/>
        <w:rPr>
          <w:szCs w:val="20"/>
        </w:rPr>
      </w:pPr>
      <w:r w:rsidRPr="0083492E">
        <w:rPr>
          <w:szCs w:val="20"/>
        </w:rPr>
        <w:t>VDES provides a variety of means for the exchange of data between maritime stations, ship-to-ship, ship-to-shore, shore-to ship, ship-to-satellite and satellite</w:t>
      </w:r>
      <w:r>
        <w:rPr>
          <w:szCs w:val="20"/>
        </w:rPr>
        <w:noBreakHyphen/>
      </w:r>
      <w:r w:rsidRPr="0083492E">
        <w:rPr>
          <w:szCs w:val="20"/>
        </w:rPr>
        <w:t>to</w:t>
      </w:r>
      <w:r>
        <w:rPr>
          <w:szCs w:val="20"/>
        </w:rPr>
        <w:noBreakHyphen/>
      </w:r>
      <w:r w:rsidRPr="0083492E">
        <w:rPr>
          <w:szCs w:val="20"/>
        </w:rPr>
        <w:t xml:space="preserve">ship. The technical characteristics of VDES are contained in the latest version of Recommendation ITU-R M.2092. </w:t>
      </w:r>
      <w:r>
        <w:rPr>
          <w:szCs w:val="20"/>
        </w:rPr>
        <w:t>VDES</w:t>
      </w:r>
      <w:r w:rsidRPr="0083492E">
        <w:rPr>
          <w:szCs w:val="20"/>
        </w:rPr>
        <w:t xml:space="preserve"> integrates the functions of the </w:t>
      </w:r>
      <w:r>
        <w:rPr>
          <w:szCs w:val="20"/>
        </w:rPr>
        <w:t xml:space="preserve">AIS, </w:t>
      </w:r>
      <w:r w:rsidRPr="0083492E">
        <w:rPr>
          <w:szCs w:val="20"/>
        </w:rPr>
        <w:t>including Application Specific Messages</w:t>
      </w:r>
      <w:r>
        <w:rPr>
          <w:szCs w:val="20"/>
        </w:rPr>
        <w:t xml:space="preserve">, </w:t>
      </w:r>
      <w:r w:rsidRPr="0083492E">
        <w:rPr>
          <w:szCs w:val="20"/>
        </w:rPr>
        <w:t>and a protocol for VHF Data Exchange</w:t>
      </w:r>
      <w:r>
        <w:rPr>
          <w:szCs w:val="20"/>
        </w:rPr>
        <w:t xml:space="preserve"> (VDE).</w:t>
      </w:r>
    </w:p>
    <w:p w14:paraId="0A0E524C" w14:textId="77777777" w:rsidR="00D13649" w:rsidRDefault="00D13649" w:rsidP="00D13649">
      <w:pPr>
        <w:pStyle w:val="Paragraph"/>
      </w:pPr>
      <w:r w:rsidRPr="0083492E">
        <w:rPr>
          <w:szCs w:val="20"/>
        </w:rPr>
        <w:t xml:space="preserve">VDE consists of a terrestrial and a satellite component aiming at worldwide coverage. </w:t>
      </w:r>
    </w:p>
    <w:p w14:paraId="6277EB6C" w14:textId="77777777" w:rsidR="00D13649" w:rsidRPr="00B02A68" w:rsidRDefault="00D13649" w:rsidP="00D13649">
      <w:pPr>
        <w:pStyle w:val="Paragraph"/>
        <w:shd w:val="clear" w:color="auto" w:fill="F2F2F2" w:themeFill="background1" w:themeFillShade="F2"/>
        <w:spacing w:after="60"/>
        <w:rPr>
          <w:b/>
          <w:bCs/>
        </w:rPr>
      </w:pPr>
      <w:r w:rsidRPr="00B02A68">
        <w:rPr>
          <w:b/>
          <w:bCs/>
        </w:rPr>
        <w:t>Consultation question 6:</w:t>
      </w:r>
    </w:p>
    <w:p w14:paraId="2D8F88D2" w14:textId="77777777" w:rsidR="00D13649" w:rsidRPr="00C73CB5" w:rsidRDefault="00D13649" w:rsidP="00D13649">
      <w:pPr>
        <w:pStyle w:val="Paragraph"/>
        <w:shd w:val="clear" w:color="auto" w:fill="F2F2F2" w:themeFill="background1" w:themeFillShade="F2"/>
        <w:spacing w:after="60"/>
      </w:pPr>
      <w:r w:rsidRPr="00CE6C37">
        <w:t>What are your views on our proposed changes to enable a new VDES satellite component?</w:t>
      </w:r>
    </w:p>
    <w:p w14:paraId="76809A0E" w14:textId="77777777" w:rsidR="00D13649" w:rsidRPr="002A3A9E" w:rsidRDefault="00D13649" w:rsidP="00D13649">
      <w:pPr>
        <w:pStyle w:val="Heading1"/>
      </w:pPr>
      <w:bookmarkStart w:id="23" w:name="_Toc135686390"/>
      <w:bookmarkStart w:id="24" w:name="_Toc136440428"/>
      <w:bookmarkStart w:id="25" w:name="_Toc145347985"/>
      <w:r>
        <w:t xml:space="preserve">Proposed amendments to maritime </w:t>
      </w:r>
      <w:proofErr w:type="gramStart"/>
      <w:r>
        <w:t>instruments</w:t>
      </w:r>
      <w:bookmarkEnd w:id="23"/>
      <w:bookmarkEnd w:id="24"/>
      <w:bookmarkEnd w:id="25"/>
      <w:proofErr w:type="gramEnd"/>
      <w:r>
        <w:t xml:space="preserve"> </w:t>
      </w:r>
    </w:p>
    <w:p w14:paraId="3EA30D03" w14:textId="77777777" w:rsidR="00D13649" w:rsidRPr="007E7878" w:rsidRDefault="00D13649" w:rsidP="00D13649">
      <w:pPr>
        <w:pStyle w:val="Paragraphbeforelist"/>
      </w:pPr>
      <w:r w:rsidRPr="007E7878">
        <w:t>Our proposal</w:t>
      </w:r>
      <w:r>
        <w:t>s</w:t>
      </w:r>
      <w:r w:rsidRPr="007E7878">
        <w:t xml:space="preserve"> harmonis</w:t>
      </w:r>
      <w:r>
        <w:t>e</w:t>
      </w:r>
      <w:r w:rsidRPr="007E7878">
        <w:t xml:space="preserve"> Australian licensing requirements with agreed international arrangements, provide greater protection for safety of life services in the maritime VHF radiofrequency channels and provide marine radio operators with the option of using the new technologies. </w:t>
      </w:r>
      <w:r w:rsidRPr="007E7878" w:rsidDel="00C614B2">
        <w:t xml:space="preserve"> </w:t>
      </w:r>
    </w:p>
    <w:p w14:paraId="103704BC" w14:textId="77777777" w:rsidR="00D13649" w:rsidRDefault="00D13649" w:rsidP="00D13649">
      <w:pPr>
        <w:pStyle w:val="Paragraphbeforelist"/>
      </w:pPr>
      <w:r w:rsidRPr="00CD4096">
        <w:t xml:space="preserve">We are consulting on the draft Radiocommunications (Maritime </w:t>
      </w:r>
      <w:r>
        <w:t>Licensing</w:t>
      </w:r>
      <w:r w:rsidRPr="00CD4096">
        <w:t xml:space="preserve">) </w:t>
      </w:r>
      <w:r>
        <w:t xml:space="preserve">Amendment Instrument </w:t>
      </w:r>
      <w:r w:rsidRPr="00CD4096">
        <w:t>202</w:t>
      </w:r>
      <w:r>
        <w:t>4</w:t>
      </w:r>
      <w:r w:rsidRPr="00CD4096">
        <w:t xml:space="preserve"> (No.1) (draft amendment instrument). You can find the draft amendment instrument in the key documents section of this consultation. The draft amendment instrument reflects the specific changes we are proposing to the Maritime Ship 27 MHz and VHF Class Licence, the Maritime Ship Licence LCD and the </w:t>
      </w:r>
      <w:r w:rsidRPr="00A025B2">
        <w:t>Maritime Coast Licence LCD</w:t>
      </w:r>
      <w:r w:rsidRPr="00CD4096">
        <w:t>.</w:t>
      </w:r>
    </w:p>
    <w:p w14:paraId="29BD4F34" w14:textId="77777777" w:rsidR="00D13649" w:rsidRPr="00B760A0" w:rsidRDefault="00D13649" w:rsidP="00D13649">
      <w:pPr>
        <w:pStyle w:val="Paragraphbeforelist"/>
      </w:pPr>
      <w:r>
        <w:t>A summary of the proposed changes is also set out below.</w:t>
      </w:r>
    </w:p>
    <w:p w14:paraId="5E944C7D" w14:textId="77777777" w:rsidR="00D13649" w:rsidRPr="00B760A0" w:rsidRDefault="00D13649" w:rsidP="00D13649">
      <w:pPr>
        <w:spacing w:before="120" w:line="240" w:lineRule="auto"/>
        <w:rPr>
          <w:szCs w:val="20"/>
        </w:rPr>
      </w:pPr>
      <w:r w:rsidRPr="00B760A0">
        <w:rPr>
          <w:szCs w:val="20"/>
        </w:rPr>
        <w:t xml:space="preserve">The </w:t>
      </w:r>
      <w:r>
        <w:rPr>
          <w:szCs w:val="20"/>
        </w:rPr>
        <w:t xml:space="preserve">proposed amendments to the </w:t>
      </w:r>
      <w:r w:rsidRPr="00B760A0">
        <w:rPr>
          <w:szCs w:val="20"/>
        </w:rPr>
        <w:t>Maritime 27</w:t>
      </w:r>
      <w:r>
        <w:rPr>
          <w:szCs w:val="20"/>
        </w:rPr>
        <w:t xml:space="preserve"> </w:t>
      </w:r>
      <w:r w:rsidRPr="00B760A0">
        <w:rPr>
          <w:szCs w:val="20"/>
        </w:rPr>
        <w:t xml:space="preserve">MHz and VHF Class Licence </w:t>
      </w:r>
      <w:r>
        <w:rPr>
          <w:szCs w:val="20"/>
        </w:rPr>
        <w:t>will</w:t>
      </w:r>
      <w:r w:rsidRPr="00B760A0">
        <w:rPr>
          <w:szCs w:val="20"/>
        </w:rPr>
        <w:t>:</w:t>
      </w:r>
    </w:p>
    <w:p w14:paraId="7A474600" w14:textId="77777777" w:rsidR="00D13649" w:rsidRPr="001964C8" w:rsidRDefault="00D13649" w:rsidP="00D13649">
      <w:pPr>
        <w:pStyle w:val="Bulletlevel1"/>
      </w:pPr>
      <w:r w:rsidRPr="001964C8">
        <w:t>Facilitate</w:t>
      </w:r>
      <w:r>
        <w:t xml:space="preserve"> the use of</w:t>
      </w:r>
      <w:r w:rsidRPr="001964C8">
        <w:t xml:space="preserve"> new and existing AMRD</w:t>
      </w:r>
      <w:r>
        <w:t>s</w:t>
      </w:r>
      <w:r w:rsidRPr="001964C8">
        <w:t xml:space="preserve"> and designate channels for AMRD Group A and </w:t>
      </w:r>
      <w:r>
        <w:t xml:space="preserve">AMRD Group </w:t>
      </w:r>
      <w:r w:rsidRPr="001964C8">
        <w:t xml:space="preserve">B </w:t>
      </w:r>
      <w:r>
        <w:t>by</w:t>
      </w:r>
      <w:r w:rsidRPr="001964C8">
        <w:t>:</w:t>
      </w:r>
    </w:p>
    <w:p w14:paraId="1B55721A" w14:textId="77777777" w:rsidR="00D13649" w:rsidRPr="00A5454E" w:rsidRDefault="00D13649" w:rsidP="00D13649">
      <w:pPr>
        <w:pStyle w:val="Bulletlevel2"/>
      </w:pPr>
      <w:r>
        <w:t>a</w:t>
      </w:r>
      <w:r w:rsidRPr="001964C8">
        <w:t>dd</w:t>
      </w:r>
      <w:r>
        <w:t xml:space="preserve">ing </w:t>
      </w:r>
      <w:r w:rsidRPr="001964C8">
        <w:t>definitions for AMRD</w:t>
      </w:r>
      <w:r>
        <w:t>s</w:t>
      </w:r>
      <w:r w:rsidRPr="001964C8">
        <w:t>, AMRD Group A and AMRD Group B</w:t>
      </w:r>
      <w:r>
        <w:t>, based on ITU-R M.2135-1</w:t>
      </w:r>
    </w:p>
    <w:p w14:paraId="38070BEA" w14:textId="77777777" w:rsidR="00D13649" w:rsidRPr="001964C8" w:rsidRDefault="00D13649" w:rsidP="00D13649">
      <w:pPr>
        <w:pStyle w:val="Bulletlevel2"/>
      </w:pPr>
      <w:r>
        <w:t>making changes</w:t>
      </w:r>
      <w:r w:rsidRPr="001964C8">
        <w:t xml:space="preserve"> to</w:t>
      </w:r>
      <w:r>
        <w:t xml:space="preserve"> </w:t>
      </w:r>
      <w:r w:rsidRPr="001964C8">
        <w:t>Schedule 2</w:t>
      </w:r>
      <w:r>
        <w:t>, Part 2.2 “Distress, urgency, safety and calling communications” table to allow</w:t>
      </w:r>
      <w:r w:rsidRPr="001964C8">
        <w:t xml:space="preserve"> communication with AMRD Group</w:t>
      </w:r>
      <w:r>
        <w:t> </w:t>
      </w:r>
      <w:r w:rsidRPr="001964C8">
        <w:t>A and designat</w:t>
      </w:r>
      <w:r>
        <w:t>e</w:t>
      </w:r>
      <w:r w:rsidRPr="001964C8">
        <w:t xml:space="preserve"> channels 70, AIS 1 and AIS 2</w:t>
      </w:r>
    </w:p>
    <w:p w14:paraId="0160D9E4" w14:textId="77777777" w:rsidR="00D13649" w:rsidRDefault="00D13649" w:rsidP="00D13649">
      <w:pPr>
        <w:pStyle w:val="Bulletlevel2"/>
      </w:pPr>
      <w:r>
        <w:t>making changes to</w:t>
      </w:r>
      <w:r w:rsidRPr="001964C8">
        <w:t xml:space="preserve"> Schedule 2</w:t>
      </w:r>
      <w:r>
        <w:t>, Part 2.2 “Distress, urgency, safety and calling communications” table</w:t>
      </w:r>
      <w:r w:rsidRPr="001964C8">
        <w:t xml:space="preserve"> to allow communication with AMRD</w:t>
      </w:r>
      <w:r>
        <w:t> </w:t>
      </w:r>
      <w:r w:rsidRPr="001964C8">
        <w:t>Group</w:t>
      </w:r>
      <w:r>
        <w:t> </w:t>
      </w:r>
      <w:r w:rsidRPr="001964C8">
        <w:t>B</w:t>
      </w:r>
      <w:r>
        <w:t>;</w:t>
      </w:r>
      <w:r w:rsidRPr="001964C8">
        <w:t xml:space="preserve"> designate channel 2006 with </w:t>
      </w:r>
      <w:r>
        <w:t>maximum transmitter</w:t>
      </w:r>
      <w:r w:rsidRPr="001964C8">
        <w:t xml:space="preserve"> </w:t>
      </w:r>
      <w:r>
        <w:t>output power of</w:t>
      </w:r>
      <w:r w:rsidRPr="001964C8">
        <w:t xml:space="preserve"> </w:t>
      </w:r>
      <w:r w:rsidRPr="001964C8" w:rsidDel="001464CD">
        <w:t>100mW EIRP</w:t>
      </w:r>
      <w:r>
        <w:t>,</w:t>
      </w:r>
      <w:r w:rsidRPr="001964C8">
        <w:t xml:space="preserve"> </w:t>
      </w:r>
      <w:r>
        <w:t>and add limitations of</w:t>
      </w:r>
      <w:r w:rsidRPr="001964C8" w:rsidDel="001464CD">
        <w:t xml:space="preserve"> </w:t>
      </w:r>
      <w:r w:rsidRPr="001964C8">
        <w:t>AIS only and the antenna height must not exceed 1 metre above the surface of the sea</w:t>
      </w:r>
      <w:r>
        <w:t>.</w:t>
      </w:r>
    </w:p>
    <w:p w14:paraId="7B93B70C" w14:textId="77777777" w:rsidR="00D13649" w:rsidRDefault="00D13649" w:rsidP="00D13649">
      <w:pPr>
        <w:pStyle w:val="Bulletlevel1"/>
      </w:pPr>
      <w:r w:rsidRPr="006A0924">
        <w:t xml:space="preserve">Enable the use of a new VDES </w:t>
      </w:r>
      <w:r>
        <w:t xml:space="preserve">satellite </w:t>
      </w:r>
      <w:r w:rsidRPr="006A0924">
        <w:t>component</w:t>
      </w:r>
      <w:r>
        <w:t xml:space="preserve"> that </w:t>
      </w:r>
      <w:r w:rsidRPr="006A0924">
        <w:t>is limited to non</w:t>
      </w:r>
      <w:r>
        <w:noBreakHyphen/>
      </w:r>
      <w:r w:rsidRPr="009C7FC3">
        <w:t xml:space="preserve">geosynchronous orbit </w:t>
      </w:r>
      <w:r>
        <w:t xml:space="preserve">(non-GSO) satellite systems, operating in accordance with Appendix 18, by: </w:t>
      </w:r>
    </w:p>
    <w:p w14:paraId="6CE2428A" w14:textId="77777777" w:rsidR="00D13649" w:rsidRDefault="00D13649" w:rsidP="00D13649">
      <w:pPr>
        <w:pStyle w:val="Bulletlevel1"/>
        <w:tabs>
          <w:tab w:val="clear" w:pos="295"/>
          <w:tab w:val="num" w:pos="579"/>
        </w:tabs>
        <w:ind w:left="579"/>
      </w:pPr>
      <w:r>
        <w:t>r</w:t>
      </w:r>
      <w:r w:rsidRPr="00B77E48">
        <w:t xml:space="preserve">eplacing the current “Schedule 2, Part 2.11 VHF Data Exchange System (VDES)” with a new table that incorporates changes to the </w:t>
      </w:r>
      <w:r>
        <w:t xml:space="preserve">current </w:t>
      </w:r>
      <w:r w:rsidRPr="00B77E48">
        <w:t>frequency bands, channels, purpose and limitations for the new VDES</w:t>
      </w:r>
      <w:r>
        <w:t xml:space="preserve"> satellite</w:t>
      </w:r>
      <w:r w:rsidRPr="00B77E48">
        <w:t xml:space="preserve"> </w:t>
      </w:r>
      <w:proofErr w:type="gramStart"/>
      <w:r>
        <w:t>component</w:t>
      </w:r>
      <w:proofErr w:type="gramEnd"/>
    </w:p>
    <w:p w14:paraId="3F1FA530" w14:textId="77777777" w:rsidR="00D13649" w:rsidRPr="00666926" w:rsidRDefault="00D13649" w:rsidP="00D13649">
      <w:pPr>
        <w:pStyle w:val="Bulletlevel1"/>
        <w:tabs>
          <w:tab w:val="clear" w:pos="295"/>
          <w:tab w:val="num" w:pos="579"/>
        </w:tabs>
        <w:ind w:left="579"/>
      </w:pPr>
      <w:r>
        <w:t xml:space="preserve">replacing the notes under the VDES table with information in the “purpose” column of the table and a new section on channel use. </w:t>
      </w:r>
    </w:p>
    <w:p w14:paraId="3C11026C" w14:textId="77777777" w:rsidR="00D13649" w:rsidRPr="009F116D" w:rsidRDefault="00D13649" w:rsidP="00D13649">
      <w:pPr>
        <w:spacing w:before="120" w:line="240" w:lineRule="auto"/>
        <w:rPr>
          <w:szCs w:val="20"/>
        </w:rPr>
      </w:pPr>
      <w:r w:rsidRPr="009F116D">
        <w:rPr>
          <w:szCs w:val="20"/>
        </w:rPr>
        <w:t xml:space="preserve">The </w:t>
      </w:r>
      <w:r>
        <w:rPr>
          <w:szCs w:val="20"/>
        </w:rPr>
        <w:t>proposed amendments to</w:t>
      </w:r>
      <w:r w:rsidRPr="009F116D">
        <w:rPr>
          <w:szCs w:val="20"/>
        </w:rPr>
        <w:t xml:space="preserve"> the </w:t>
      </w:r>
      <w:r>
        <w:t>Maritime Ship Licence LCD</w:t>
      </w:r>
      <w:r w:rsidRPr="009F116D">
        <w:rPr>
          <w:szCs w:val="20"/>
        </w:rPr>
        <w:t xml:space="preserve"> </w:t>
      </w:r>
      <w:r>
        <w:rPr>
          <w:szCs w:val="20"/>
        </w:rPr>
        <w:t>will</w:t>
      </w:r>
      <w:r w:rsidRPr="009F116D">
        <w:rPr>
          <w:szCs w:val="20"/>
        </w:rPr>
        <w:t>:</w:t>
      </w:r>
    </w:p>
    <w:p w14:paraId="7396B6DB" w14:textId="77777777" w:rsidR="00D13649" w:rsidRDefault="00D13649" w:rsidP="00D13649">
      <w:pPr>
        <w:pStyle w:val="Bulletlevel1"/>
      </w:pPr>
      <w:r>
        <w:t xml:space="preserve">Recognise additional satellite systems for the GMDSS by: </w:t>
      </w:r>
    </w:p>
    <w:p w14:paraId="77F1F6A7" w14:textId="77777777" w:rsidR="00D13649" w:rsidRDefault="00D13649" w:rsidP="00D13649">
      <w:pPr>
        <w:pStyle w:val="Bulletlevel1"/>
        <w:tabs>
          <w:tab w:val="clear" w:pos="295"/>
          <w:tab w:val="num" w:pos="579"/>
        </w:tabs>
        <w:ind w:left="579"/>
      </w:pPr>
      <w:r w:rsidRPr="00081D82">
        <w:t>removing</w:t>
      </w:r>
      <w:r>
        <w:t xml:space="preserve"> the definition of ‘</w:t>
      </w:r>
      <w:r w:rsidRPr="00440548">
        <w:t>Inmarsat</w:t>
      </w:r>
      <w:r>
        <w:t>’</w:t>
      </w:r>
      <w:r w:rsidRPr="00EC44E3">
        <w:t xml:space="preserve"> </w:t>
      </w:r>
      <w:r>
        <w:t>and all references to Inmarsat</w:t>
      </w:r>
      <w:r w:rsidRPr="00081D82">
        <w:t>, including removal of</w:t>
      </w:r>
      <w:r>
        <w:t xml:space="preserve"> the definition of ‘</w:t>
      </w:r>
      <w:r w:rsidRPr="00440548">
        <w:t>Enhanced Group Calling</w:t>
      </w:r>
      <w:r>
        <w:t xml:space="preserve">’ </w:t>
      </w:r>
    </w:p>
    <w:p w14:paraId="189051B1" w14:textId="77777777" w:rsidR="00D13649" w:rsidRDefault="00D13649" w:rsidP="00D13649">
      <w:pPr>
        <w:pStyle w:val="Bulletlevel1"/>
        <w:tabs>
          <w:tab w:val="clear" w:pos="295"/>
          <w:tab w:val="num" w:pos="579"/>
        </w:tabs>
        <w:ind w:left="579"/>
      </w:pPr>
      <w:r>
        <w:t>adding a definition for ‘</w:t>
      </w:r>
      <w:r w:rsidRPr="00440548">
        <w:t xml:space="preserve">general </w:t>
      </w:r>
      <w:r>
        <w:t>transmission’</w:t>
      </w:r>
      <w:r w:rsidRPr="00440548">
        <w:t>,</w:t>
      </w:r>
      <w:r>
        <w:t xml:space="preserve"> to replace reference to Inmarsat and be consistent with the SOLAS Convention</w:t>
      </w:r>
    </w:p>
    <w:p w14:paraId="739AB1DD" w14:textId="77777777" w:rsidR="00D13649" w:rsidRPr="00F1414E" w:rsidRDefault="00D13649" w:rsidP="00D13649">
      <w:pPr>
        <w:pStyle w:val="Bulletlevel1"/>
        <w:tabs>
          <w:tab w:val="clear" w:pos="295"/>
          <w:tab w:val="num" w:pos="579"/>
        </w:tabs>
        <w:ind w:left="579"/>
      </w:pPr>
      <w:r>
        <w:t>adding a definition of ‘</w:t>
      </w:r>
      <w:r w:rsidRPr="00440548">
        <w:t>recognised mobile satellite service</w:t>
      </w:r>
      <w:r>
        <w:t xml:space="preserve">’ to recognise Iridium to provide GMDSS MMSS and to enable recognition of future satellite systems licensed in </w:t>
      </w:r>
      <w:proofErr w:type="gramStart"/>
      <w:r w:rsidRPr="00F1414E">
        <w:t>Australia</w:t>
      </w:r>
      <w:proofErr w:type="gramEnd"/>
    </w:p>
    <w:p w14:paraId="10A65ED4" w14:textId="77777777" w:rsidR="00D13649" w:rsidRDefault="00D13649" w:rsidP="00D13649">
      <w:pPr>
        <w:pStyle w:val="Bulletlevel1"/>
        <w:tabs>
          <w:tab w:val="clear" w:pos="295"/>
          <w:tab w:val="num" w:pos="579"/>
        </w:tabs>
        <w:ind w:left="579"/>
      </w:pPr>
      <w:r w:rsidRPr="00F1414E">
        <w:t>adding an additional frequency band of 1621.35 –1626.5</w:t>
      </w:r>
      <w:r>
        <w:t xml:space="preserve"> </w:t>
      </w:r>
      <w:r w:rsidRPr="00FE04A8">
        <w:t>MHz</w:t>
      </w:r>
      <w:r>
        <w:t xml:space="preserve"> in </w:t>
      </w:r>
      <w:r w:rsidRPr="001964C8">
        <w:t>Schedule</w:t>
      </w:r>
      <w:r>
        <w:t> </w:t>
      </w:r>
      <w:r w:rsidRPr="001964C8">
        <w:t>2</w:t>
      </w:r>
      <w:r>
        <w:t>, Part 2 “VHF and UHF communications for distress, urgency, safety or calling” table to enable the use of recognised mobile satellite service provider systems to communicate with earth stations and maritime ship stations for GMDSS.</w:t>
      </w:r>
    </w:p>
    <w:p w14:paraId="5990A216" w14:textId="77777777" w:rsidR="00D13649" w:rsidRPr="001964C8" w:rsidRDefault="00D13649" w:rsidP="00D13649">
      <w:pPr>
        <w:pStyle w:val="Bulletlevel1"/>
      </w:pPr>
      <w:r w:rsidRPr="001964C8">
        <w:t>Facilitate</w:t>
      </w:r>
      <w:r>
        <w:t xml:space="preserve"> the use of</w:t>
      </w:r>
      <w:r w:rsidRPr="001964C8">
        <w:t xml:space="preserve"> new and existing AMRD</w:t>
      </w:r>
      <w:r>
        <w:t>s</w:t>
      </w:r>
      <w:r w:rsidRPr="001964C8">
        <w:t xml:space="preserve"> and designate channels for AMRD Group A and </w:t>
      </w:r>
      <w:r>
        <w:t xml:space="preserve">AMRD Group </w:t>
      </w:r>
      <w:r w:rsidRPr="001964C8">
        <w:t xml:space="preserve">B </w:t>
      </w:r>
      <w:r>
        <w:t>by</w:t>
      </w:r>
      <w:r w:rsidRPr="001964C8">
        <w:t>:</w:t>
      </w:r>
    </w:p>
    <w:p w14:paraId="1CA7133D" w14:textId="77777777" w:rsidR="00D13649" w:rsidRPr="001877BF" w:rsidRDefault="00D13649" w:rsidP="00D13649">
      <w:pPr>
        <w:pStyle w:val="Bulletlevel1"/>
        <w:tabs>
          <w:tab w:val="clear" w:pos="295"/>
          <w:tab w:val="num" w:pos="579"/>
        </w:tabs>
        <w:ind w:left="579"/>
      </w:pPr>
      <w:r>
        <w:t>a</w:t>
      </w:r>
      <w:r w:rsidRPr="001964C8">
        <w:t>dd</w:t>
      </w:r>
      <w:r>
        <w:t xml:space="preserve">ing </w:t>
      </w:r>
      <w:r w:rsidRPr="001964C8">
        <w:t>definitions for AMRD</w:t>
      </w:r>
      <w:r>
        <w:t>s</w:t>
      </w:r>
      <w:r w:rsidRPr="001964C8">
        <w:t>, AMRD Group A and AMRD Group B</w:t>
      </w:r>
      <w:r>
        <w:t>, based on ITU-R Recommendation M.2135-1</w:t>
      </w:r>
    </w:p>
    <w:p w14:paraId="5099DE8E" w14:textId="77777777" w:rsidR="00D13649" w:rsidRPr="001964C8" w:rsidRDefault="00D13649" w:rsidP="00D13649">
      <w:pPr>
        <w:pStyle w:val="Bulletlevel1"/>
        <w:tabs>
          <w:tab w:val="clear" w:pos="295"/>
          <w:tab w:val="num" w:pos="579"/>
        </w:tabs>
        <w:ind w:left="579"/>
      </w:pPr>
      <w:r>
        <w:t>making changes</w:t>
      </w:r>
      <w:r w:rsidRPr="001964C8">
        <w:t xml:space="preserve"> to</w:t>
      </w:r>
      <w:r>
        <w:t xml:space="preserve"> </w:t>
      </w:r>
      <w:r w:rsidRPr="001964C8">
        <w:t>Schedule 2</w:t>
      </w:r>
      <w:r>
        <w:t>, Part 2 “VHF and UHF communications for distress, urgency, safety or calling” table to allow</w:t>
      </w:r>
      <w:r w:rsidRPr="001964C8">
        <w:t xml:space="preserve"> communication with AMRD Group A and designat</w:t>
      </w:r>
      <w:r>
        <w:t>e</w:t>
      </w:r>
      <w:r w:rsidRPr="001964C8">
        <w:t xml:space="preserve"> channels 70, AIS 1 and AIS 2</w:t>
      </w:r>
      <w:r>
        <w:t xml:space="preserve"> </w:t>
      </w:r>
    </w:p>
    <w:p w14:paraId="39FBCDCB" w14:textId="77777777" w:rsidR="00D13649" w:rsidRDefault="00D13649" w:rsidP="00D13649">
      <w:pPr>
        <w:pStyle w:val="Bulletlevel1"/>
        <w:tabs>
          <w:tab w:val="clear" w:pos="295"/>
          <w:tab w:val="num" w:pos="579"/>
        </w:tabs>
        <w:ind w:left="579"/>
      </w:pPr>
      <w:r>
        <w:t>making changes to</w:t>
      </w:r>
      <w:r w:rsidRPr="001964C8">
        <w:t xml:space="preserve"> Schedule 2</w:t>
      </w:r>
      <w:r>
        <w:t>, Part 2 “VHF and UHF communications for distress, urgency, safety or calling” table to allow</w:t>
      </w:r>
      <w:r w:rsidRPr="001964C8">
        <w:t xml:space="preserve"> communication with AMRD Group B</w:t>
      </w:r>
      <w:r>
        <w:t>;</w:t>
      </w:r>
      <w:r w:rsidRPr="001964C8">
        <w:t xml:space="preserve"> designate channel 2006 with </w:t>
      </w:r>
      <w:r>
        <w:t>maximum transmitter output power of</w:t>
      </w:r>
      <w:r w:rsidRPr="001964C8">
        <w:t xml:space="preserve"> 100mW EIRP</w:t>
      </w:r>
      <w:r>
        <w:t xml:space="preserve"> and limitation that </w:t>
      </w:r>
      <w:r w:rsidRPr="001964C8">
        <w:t xml:space="preserve">the antenna height must not exceed 1 metre above the surface of the sea. </w:t>
      </w:r>
    </w:p>
    <w:p w14:paraId="0C12C748" w14:textId="77777777" w:rsidR="00D13649" w:rsidRDefault="00D13649" w:rsidP="00D13649">
      <w:pPr>
        <w:pStyle w:val="Bulletlevel1"/>
      </w:pPr>
      <w:r w:rsidRPr="006A0924">
        <w:t xml:space="preserve">Enable the use of a new VDES </w:t>
      </w:r>
      <w:r>
        <w:t xml:space="preserve">satellite </w:t>
      </w:r>
      <w:r w:rsidRPr="006A0924">
        <w:t>component</w:t>
      </w:r>
      <w:r>
        <w:t xml:space="preserve"> that </w:t>
      </w:r>
      <w:r w:rsidRPr="006A0924">
        <w:t>is limited to non</w:t>
      </w:r>
      <w:r>
        <w:t>-GSO satellite systems, operating in accordance with Appendix 18, by:</w:t>
      </w:r>
    </w:p>
    <w:p w14:paraId="4773C329" w14:textId="77777777" w:rsidR="00D13649" w:rsidRDefault="00D13649" w:rsidP="00D13649">
      <w:pPr>
        <w:pStyle w:val="Bulletlevel1"/>
        <w:tabs>
          <w:tab w:val="clear" w:pos="295"/>
          <w:tab w:val="num" w:pos="579"/>
        </w:tabs>
        <w:ind w:left="579"/>
      </w:pPr>
      <w:r>
        <w:t xml:space="preserve">replacing the current “Schedule 2, Part 12 VHF Data Exchange System (VDES)” with a new table that incorporates changes to the current frequency bands, channels, purpose and limitations for the new VDES satellite </w:t>
      </w:r>
      <w:proofErr w:type="gramStart"/>
      <w:r>
        <w:t>component</w:t>
      </w:r>
      <w:proofErr w:type="gramEnd"/>
    </w:p>
    <w:p w14:paraId="3F12E9F7" w14:textId="77777777" w:rsidR="00D13649" w:rsidRPr="00666926" w:rsidRDefault="00D13649" w:rsidP="00D13649">
      <w:pPr>
        <w:pStyle w:val="Bulletlevel1"/>
        <w:tabs>
          <w:tab w:val="clear" w:pos="295"/>
          <w:tab w:val="num" w:pos="579"/>
        </w:tabs>
        <w:ind w:left="579"/>
      </w:pPr>
      <w:r>
        <w:t xml:space="preserve">replacing the notes under the VDES table with information in the “purpose” column of the table and a new section on channel use. </w:t>
      </w:r>
    </w:p>
    <w:p w14:paraId="53A67C0D" w14:textId="77777777" w:rsidR="00D13649" w:rsidRDefault="00D13649" w:rsidP="00D13649">
      <w:pPr>
        <w:pStyle w:val="Bulletlevel1"/>
      </w:pPr>
      <w:r>
        <w:t>R</w:t>
      </w:r>
      <w:r w:rsidRPr="003C24F3">
        <w:t>eplac</w:t>
      </w:r>
      <w:r>
        <w:t>e</w:t>
      </w:r>
      <w:r w:rsidRPr="003C24F3">
        <w:t xml:space="preserve"> Schedule 2, Part 3, item 350 to remove references to obsolete ship station terminal types A, B and M previously operated by Inmarsat that are no longer in operation</w:t>
      </w:r>
      <w:r>
        <w:t>.</w:t>
      </w:r>
    </w:p>
    <w:p w14:paraId="34F1D7F7" w14:textId="77777777" w:rsidR="00D13649" w:rsidRPr="004B7D78" w:rsidRDefault="00D13649" w:rsidP="00D13649">
      <w:pPr>
        <w:pStyle w:val="Bulletlevel1last"/>
      </w:pPr>
      <w:r>
        <w:t xml:space="preserve">Repeal Item 356 from “Schedule 2 Part 3 </w:t>
      </w:r>
      <w:r w:rsidRPr="00821B0D">
        <w:t>Public correspondence by radiotelephony</w:t>
      </w:r>
      <w:r>
        <w:t>”, which duplicates Item 350.</w:t>
      </w:r>
    </w:p>
    <w:p w14:paraId="3CF6DF05" w14:textId="77777777" w:rsidR="00D13649" w:rsidRDefault="00D13649" w:rsidP="00D13649">
      <w:pPr>
        <w:spacing w:after="160" w:line="259" w:lineRule="auto"/>
        <w:rPr>
          <w:rFonts w:cs="Arial"/>
          <w:color w:val="000000"/>
          <w:szCs w:val="20"/>
        </w:rPr>
      </w:pPr>
      <w:r>
        <w:rPr>
          <w:rFonts w:cs="Arial"/>
          <w:color w:val="000000"/>
          <w:szCs w:val="20"/>
        </w:rPr>
        <w:t>The proposed amendments to the Maritime Coast Licence LCD will:</w:t>
      </w:r>
    </w:p>
    <w:p w14:paraId="65D696CF" w14:textId="77777777" w:rsidR="00D13649" w:rsidRDefault="00D13649" w:rsidP="00D13649">
      <w:pPr>
        <w:pStyle w:val="Bulletlevel1"/>
      </w:pPr>
      <w:r w:rsidRPr="006A0924">
        <w:t xml:space="preserve">Enable the use of a new VDES </w:t>
      </w:r>
      <w:r>
        <w:t xml:space="preserve">satellite </w:t>
      </w:r>
      <w:r w:rsidRPr="006A0924">
        <w:t>component</w:t>
      </w:r>
      <w:r>
        <w:t xml:space="preserve"> that </w:t>
      </w:r>
      <w:r w:rsidRPr="006A0924">
        <w:t xml:space="preserve">is limited to </w:t>
      </w:r>
      <w:r>
        <w:t xml:space="preserve">non-GSO satellite systems, operating in accordance with Appendix 18, by: </w:t>
      </w:r>
    </w:p>
    <w:p w14:paraId="746474CA" w14:textId="77777777" w:rsidR="00D13649" w:rsidRPr="00666926" w:rsidRDefault="00D13649" w:rsidP="00D13649">
      <w:pPr>
        <w:pStyle w:val="Bulletlevel1"/>
      </w:pPr>
      <w:r>
        <w:t xml:space="preserve">adding a new section 6.15 to allow ship station Class B </w:t>
      </w:r>
      <w:proofErr w:type="spellStart"/>
      <w:r>
        <w:t>non assigned</w:t>
      </w:r>
      <w:proofErr w:type="spellEnd"/>
      <w:r>
        <w:t xml:space="preserve"> stations to use the new VDES satellite </w:t>
      </w:r>
      <w:proofErr w:type="gramStart"/>
      <w:r>
        <w:t>component</w:t>
      </w:r>
      <w:proofErr w:type="gramEnd"/>
    </w:p>
    <w:p w14:paraId="4CE1514F" w14:textId="77777777" w:rsidR="00D13649" w:rsidRDefault="00D13649" w:rsidP="00D13649">
      <w:pPr>
        <w:pStyle w:val="Bulletlevel2"/>
      </w:pPr>
      <w:r>
        <w:t xml:space="preserve">adding a new table in </w:t>
      </w:r>
      <w:r w:rsidRPr="00B77E48">
        <w:t xml:space="preserve">Schedule </w:t>
      </w:r>
      <w:r>
        <w:t xml:space="preserve">9 that sets out the technical conditions, such as frequency bands, channels and maximum transmitter power output, for the new VDES satellite </w:t>
      </w:r>
      <w:proofErr w:type="gramStart"/>
      <w:r>
        <w:t>component</w:t>
      </w:r>
      <w:proofErr w:type="gramEnd"/>
    </w:p>
    <w:p w14:paraId="7AF91B23" w14:textId="77777777" w:rsidR="00D13649" w:rsidRDefault="00D13649" w:rsidP="00D13649">
      <w:pPr>
        <w:pStyle w:val="Bulletlevel2"/>
      </w:pPr>
      <w:r>
        <w:t>adding a new section under the VDES table on channel use.</w:t>
      </w:r>
    </w:p>
    <w:p w14:paraId="41930CF1" w14:textId="77777777" w:rsidR="00D13649" w:rsidRPr="00CA2886" w:rsidRDefault="00D13649" w:rsidP="00D13649">
      <w:pPr>
        <w:spacing w:before="120" w:line="240" w:lineRule="auto"/>
        <w:rPr>
          <w:rFonts w:cs="Arial"/>
          <w:iCs/>
          <w:szCs w:val="20"/>
          <w:u w:val="single"/>
        </w:rPr>
      </w:pPr>
      <w:r w:rsidRPr="00CA2886">
        <w:rPr>
          <w:rFonts w:cs="Arial"/>
          <w:color w:val="000000"/>
          <w:szCs w:val="20"/>
        </w:rPr>
        <w:t xml:space="preserve">The </w:t>
      </w:r>
      <w:r>
        <w:rPr>
          <w:rFonts w:cs="Arial"/>
          <w:color w:val="000000"/>
          <w:szCs w:val="20"/>
        </w:rPr>
        <w:t xml:space="preserve">draft amendment </w:t>
      </w:r>
      <w:r w:rsidRPr="00CA2886">
        <w:rPr>
          <w:rFonts w:cs="Arial"/>
          <w:color w:val="000000"/>
          <w:szCs w:val="20"/>
        </w:rPr>
        <w:t xml:space="preserve">instrument </w:t>
      </w:r>
      <w:r>
        <w:rPr>
          <w:rFonts w:cs="Arial"/>
          <w:color w:val="000000"/>
          <w:szCs w:val="20"/>
        </w:rPr>
        <w:t xml:space="preserve">also propose minor updates to </w:t>
      </w:r>
      <w:r>
        <w:rPr>
          <w:rFonts w:cs="Arial"/>
          <w:iCs/>
          <w:szCs w:val="20"/>
        </w:rPr>
        <w:t>the 3</w:t>
      </w:r>
      <w:r w:rsidRPr="00CA2886">
        <w:rPr>
          <w:rFonts w:cs="Arial"/>
          <w:iCs/>
          <w:szCs w:val="20"/>
        </w:rPr>
        <w:t xml:space="preserve"> instruments to reflect </w:t>
      </w:r>
      <w:r>
        <w:rPr>
          <w:rFonts w:cs="Arial"/>
          <w:iCs/>
          <w:szCs w:val="20"/>
        </w:rPr>
        <w:t xml:space="preserve">the </w:t>
      </w:r>
      <w:r w:rsidRPr="00CA2886">
        <w:rPr>
          <w:rFonts w:cs="Arial"/>
          <w:iCs/>
          <w:szCs w:val="20"/>
        </w:rPr>
        <w:t>wording of ITU Radio Regulations, and clarify notes and table headings.</w:t>
      </w:r>
    </w:p>
    <w:p w14:paraId="416463E0" w14:textId="77777777" w:rsidR="00D13649" w:rsidRPr="002A3A9E" w:rsidRDefault="00D13649" w:rsidP="00D13649">
      <w:pPr>
        <w:pStyle w:val="Heading1"/>
      </w:pPr>
      <w:bookmarkStart w:id="26" w:name="_Toc136440429"/>
      <w:bookmarkStart w:id="27" w:name="_Toc145347986"/>
      <w:r>
        <w:t>Next steps</w:t>
      </w:r>
      <w:bookmarkEnd w:id="26"/>
      <w:bookmarkEnd w:id="27"/>
    </w:p>
    <w:p w14:paraId="4358588C" w14:textId="77777777" w:rsidR="00D13649" w:rsidRDefault="00D13649" w:rsidP="00D13649">
      <w:pPr>
        <w:spacing w:before="120" w:line="240" w:lineRule="auto"/>
      </w:pPr>
      <w:r>
        <w:rPr>
          <w:rFonts w:cs="Arial"/>
          <w:color w:val="000000"/>
          <w:szCs w:val="20"/>
        </w:rPr>
        <w:t xml:space="preserve">Subject to the outcomes of this consultation, the ACMA intends to implement the proposed amendments to the </w:t>
      </w:r>
      <w:r>
        <w:t xml:space="preserve">Maritime 27 MHz and VHF Class Licence, Maritime Ship Licence LCD and </w:t>
      </w:r>
      <w:r>
        <w:rPr>
          <w:rFonts w:cs="Arial"/>
          <w:color w:val="000000"/>
          <w:szCs w:val="20"/>
        </w:rPr>
        <w:t xml:space="preserve">Maritime Coast Licence LCD </w:t>
      </w:r>
      <w:r>
        <w:t>in Q1 2024 to implement the key outcomes agreed to by Australia from WRC</w:t>
      </w:r>
      <w:r>
        <w:noBreakHyphen/>
        <w:t xml:space="preserve">19. </w:t>
      </w:r>
    </w:p>
    <w:p w14:paraId="2F49DA56" w14:textId="77777777" w:rsidR="00D13649" w:rsidRDefault="00D13649" w:rsidP="00D13649">
      <w:pPr>
        <w:spacing w:before="120" w:line="240" w:lineRule="auto"/>
      </w:pPr>
      <w:r>
        <w:t>The ACMA will consider feedback from stakeholders to determine whether further changes are required to authorise MOB transmitters used with AMRD Group A stations, and to identify the most appropriate licensing option to authorise transmitters used with AMRD Group B stations. We will update stakeholders on the timing for making these changes in Q1 2024.</w:t>
      </w:r>
    </w:p>
    <w:p w14:paraId="3F49E92A" w14:textId="77777777" w:rsidR="00D13649" w:rsidRPr="000E193D" w:rsidRDefault="00D13649" w:rsidP="00D13649">
      <w:pPr>
        <w:pStyle w:val="Heading2"/>
      </w:pPr>
      <w:bookmarkStart w:id="28" w:name="_Toc136440430"/>
      <w:bookmarkStart w:id="29" w:name="_Toc145347987"/>
      <w:r>
        <w:t>Sunsetting of maritime radio legislative instruments</w:t>
      </w:r>
      <w:bookmarkEnd w:id="28"/>
      <w:bookmarkEnd w:id="29"/>
    </w:p>
    <w:p w14:paraId="1182B485" w14:textId="77777777" w:rsidR="00D13649" w:rsidRDefault="00D13649" w:rsidP="00D13649">
      <w:pPr>
        <w:spacing w:before="120" w:line="240" w:lineRule="auto"/>
      </w:pPr>
      <w:r>
        <w:t xml:space="preserve">Under the </w:t>
      </w:r>
      <w:r w:rsidRPr="00440548">
        <w:t>Legislation Act 2003</w:t>
      </w:r>
      <w:r>
        <w:t xml:space="preserve">, most legislative instruments are automatically repealed after 10 years. The purpose of sunsetting is to ensure that legislative instruments are kept up-to-date and only remain in force as long as is necessary. </w:t>
      </w:r>
    </w:p>
    <w:p w14:paraId="5E541800" w14:textId="77777777" w:rsidR="00D13649" w:rsidRDefault="00D13649" w:rsidP="00D13649">
      <w:pPr>
        <w:spacing w:before="120" w:line="240" w:lineRule="auto"/>
      </w:pPr>
      <w:r>
        <w:t>The ACMA</w:t>
      </w:r>
      <w:r w:rsidDel="00E25DE7">
        <w:t>’s</w:t>
      </w:r>
      <w:r>
        <w:t xml:space="preserve"> maritime radio legislative instruments are due to sunset in April and October 2025. We expect that these instruments will continue to be required after their respective sunset dates, and we intend to remake them before April 2025. As part of this process, we will consider whether updates to the instruments are required, including requests made by maritime stakeholders and amendments arising from the upcoming WRC in late 2023. A further consultation process will occur closer to that time.</w:t>
      </w:r>
    </w:p>
    <w:p w14:paraId="5B298EFE" w14:textId="77777777" w:rsidR="00D13649" w:rsidRPr="00E162C4" w:rsidRDefault="00D13649" w:rsidP="00D13649">
      <w:pPr>
        <w:pStyle w:val="Heading1"/>
      </w:pPr>
      <w:bookmarkStart w:id="30" w:name="_Toc136440431"/>
      <w:bookmarkStart w:id="31" w:name="_Toc145347988"/>
      <w:r w:rsidRPr="00E162C4">
        <w:t xml:space="preserve">Invitation to </w:t>
      </w:r>
      <w:proofErr w:type="gramStart"/>
      <w:r w:rsidRPr="00E162C4">
        <w:t>comment</w:t>
      </w:r>
      <w:bookmarkEnd w:id="30"/>
      <w:bookmarkEnd w:id="31"/>
      <w:proofErr w:type="gramEnd"/>
    </w:p>
    <w:p w14:paraId="645F7BB1" w14:textId="77777777" w:rsidR="00D13649" w:rsidRPr="00E162C4" w:rsidRDefault="00D13649" w:rsidP="00D13649">
      <w:pPr>
        <w:pStyle w:val="Heading2"/>
      </w:pPr>
      <w:bookmarkStart w:id="32" w:name="_Toc433122131"/>
      <w:bookmarkStart w:id="33" w:name="_Toc348105637"/>
      <w:bookmarkStart w:id="34" w:name="_Toc300909556"/>
      <w:bookmarkStart w:id="35" w:name="_Toc298924673"/>
      <w:bookmarkStart w:id="36" w:name="_Toc136440432"/>
      <w:bookmarkStart w:id="37" w:name="_Toc145347989"/>
      <w:bookmarkStart w:id="38" w:name="_Toc348105638"/>
      <w:bookmarkStart w:id="39" w:name="_Toc300909557"/>
      <w:bookmarkStart w:id="40" w:name="_Toc298924674"/>
      <w:bookmarkStart w:id="41" w:name="_Toc274296357"/>
      <w:r w:rsidRPr="00E162C4">
        <w:t>Making a submission</w:t>
      </w:r>
      <w:bookmarkEnd w:id="32"/>
      <w:bookmarkEnd w:id="33"/>
      <w:bookmarkEnd w:id="34"/>
      <w:bookmarkEnd w:id="35"/>
      <w:bookmarkEnd w:id="36"/>
      <w:bookmarkEnd w:id="37"/>
    </w:p>
    <w:p w14:paraId="3E1911D6" w14:textId="77777777" w:rsidR="00D13649" w:rsidRPr="00E162C4" w:rsidRDefault="00D13649" w:rsidP="00D13649">
      <w:r w:rsidRPr="00E162C4">
        <w:t xml:space="preserve">We invite comments on the issues set out in this </w:t>
      </w:r>
      <w:r>
        <w:t>consultation</w:t>
      </w:r>
      <w:r w:rsidRPr="00E162C4">
        <w:t xml:space="preserve"> paper. </w:t>
      </w:r>
    </w:p>
    <w:p w14:paraId="62CE2518" w14:textId="77777777" w:rsidR="00D13649" w:rsidRPr="00E162C4" w:rsidRDefault="004D1E6F" w:rsidP="00D13649">
      <w:pPr>
        <w:pStyle w:val="Bulletlevel1"/>
      </w:pPr>
      <w:hyperlink r:id="rId41" w:history="1">
        <w:r w:rsidR="00D13649" w:rsidRPr="00E162C4">
          <w:rPr>
            <w:rStyle w:val="Hyperlink"/>
          </w:rPr>
          <w:t>Online submissions</w:t>
        </w:r>
      </w:hyperlink>
      <w:r w:rsidR="00D13649" w:rsidRPr="00E162C4">
        <w:t xml:space="preserve"> can be made by uploading a document. Submissions in PDF, Microsoft Word or Rich Text Format are preferred.</w:t>
      </w:r>
    </w:p>
    <w:p w14:paraId="1971E835" w14:textId="77777777" w:rsidR="00D13649" w:rsidRPr="00E162C4" w:rsidRDefault="00D13649" w:rsidP="00D13649">
      <w:pPr>
        <w:pStyle w:val="Bulletlevel1"/>
      </w:pPr>
      <w:r w:rsidRPr="00E162C4">
        <w:t xml:space="preserve">Submissions by post can be sent to: </w:t>
      </w:r>
    </w:p>
    <w:p w14:paraId="41E5EE9A" w14:textId="77777777" w:rsidR="00D13649" w:rsidRPr="006015A1" w:rsidRDefault="00D13649" w:rsidP="00D13649">
      <w:pPr>
        <w:pStyle w:val="ListBullet"/>
        <w:numPr>
          <w:ilvl w:val="0"/>
          <w:numId w:val="0"/>
        </w:numPr>
        <w:ind w:left="284"/>
      </w:pPr>
      <w:r w:rsidRPr="006015A1">
        <w:t>The Manager</w:t>
      </w:r>
    </w:p>
    <w:p w14:paraId="2CFF7060" w14:textId="77777777" w:rsidR="00D13649" w:rsidRPr="006015A1" w:rsidRDefault="00D13649" w:rsidP="00D13649">
      <w:pPr>
        <w:pStyle w:val="ListBullet"/>
        <w:numPr>
          <w:ilvl w:val="0"/>
          <w:numId w:val="0"/>
        </w:numPr>
        <w:ind w:left="284"/>
      </w:pPr>
      <w:r w:rsidRPr="006015A1">
        <w:t>Spectrum Licensing Policy Section</w:t>
      </w:r>
    </w:p>
    <w:p w14:paraId="5E86D1F7" w14:textId="77777777" w:rsidR="00D13649" w:rsidRPr="006015A1" w:rsidRDefault="00D13649" w:rsidP="00D13649">
      <w:pPr>
        <w:pStyle w:val="ListBullet"/>
        <w:numPr>
          <w:ilvl w:val="0"/>
          <w:numId w:val="0"/>
        </w:numPr>
        <w:ind w:left="284"/>
      </w:pPr>
      <w:r w:rsidRPr="006015A1">
        <w:t>Australian Communications and Media Authority</w:t>
      </w:r>
    </w:p>
    <w:p w14:paraId="7531C852" w14:textId="77777777" w:rsidR="00D13649" w:rsidRPr="006015A1" w:rsidRDefault="00D13649" w:rsidP="00D13649">
      <w:pPr>
        <w:pStyle w:val="ListBullet"/>
        <w:numPr>
          <w:ilvl w:val="0"/>
          <w:numId w:val="0"/>
        </w:numPr>
        <w:ind w:left="284"/>
      </w:pPr>
      <w:r w:rsidRPr="006015A1">
        <w:t>PO Box 13112 Law Courts</w:t>
      </w:r>
    </w:p>
    <w:p w14:paraId="11DED898" w14:textId="77777777" w:rsidR="00D13649" w:rsidRPr="00E162C4" w:rsidRDefault="00D13649" w:rsidP="00D13649">
      <w:pPr>
        <w:pStyle w:val="ListBullet"/>
        <w:numPr>
          <w:ilvl w:val="0"/>
          <w:numId w:val="0"/>
        </w:numPr>
        <w:ind w:left="284"/>
      </w:pPr>
      <w:r w:rsidRPr="006015A1">
        <w:t>Melbourne VIC 8010</w:t>
      </w:r>
    </w:p>
    <w:p w14:paraId="2D27FACA" w14:textId="77777777" w:rsidR="00D13649" w:rsidRPr="00E162C4" w:rsidRDefault="00D13649" w:rsidP="00D13649">
      <w:r w:rsidRPr="00E162C4">
        <w:t xml:space="preserve">The closing date for submissions is COB, </w:t>
      </w:r>
      <w:r w:rsidRPr="004D1E6F">
        <w:rPr>
          <w:b/>
          <w:bCs/>
        </w:rPr>
        <w:t>Friday 3 November 2023</w:t>
      </w:r>
      <w:r w:rsidRPr="004D1E6F">
        <w:t>.</w:t>
      </w:r>
    </w:p>
    <w:p w14:paraId="71CCDA5E" w14:textId="77777777" w:rsidR="00D13649" w:rsidRPr="00E162C4" w:rsidRDefault="00D13649" w:rsidP="00D13649">
      <w:pPr>
        <w:rPr>
          <w:szCs w:val="20"/>
        </w:rPr>
      </w:pPr>
      <w:r w:rsidRPr="00E162C4">
        <w:t xml:space="preserve">Consultation enquiries can be emailed </w:t>
      </w:r>
      <w:r w:rsidRPr="00E162C4">
        <w:rPr>
          <w:szCs w:val="20"/>
        </w:rPr>
        <w:t>to</w:t>
      </w:r>
      <w:r>
        <w:rPr>
          <w:szCs w:val="20"/>
        </w:rPr>
        <w:t xml:space="preserve"> </w:t>
      </w:r>
      <w:hyperlink r:id="rId42" w:history="1">
        <w:r w:rsidRPr="008F1E1E">
          <w:rPr>
            <w:rStyle w:val="Hyperlink"/>
          </w:rPr>
          <w:t>SLPSConsultations@acma.gov.au</w:t>
        </w:r>
      </w:hyperlink>
      <w:r>
        <w:t xml:space="preserve">. </w:t>
      </w:r>
      <w:r w:rsidRPr="00E162C4">
        <w:rPr>
          <w:szCs w:val="20"/>
        </w:rPr>
        <w:t xml:space="preserve"> </w:t>
      </w:r>
    </w:p>
    <w:p w14:paraId="5AE230D2" w14:textId="77777777" w:rsidR="00D13649" w:rsidRPr="00E162C4" w:rsidRDefault="00D13649" w:rsidP="00D13649">
      <w:pPr>
        <w:pStyle w:val="Heading4"/>
      </w:pPr>
      <w:bookmarkStart w:id="42" w:name="_Toc348105639"/>
      <w:bookmarkStart w:id="43" w:name="_Toc300909558"/>
      <w:bookmarkStart w:id="44" w:name="_Hlk59627494"/>
      <w:bookmarkEnd w:id="38"/>
      <w:bookmarkEnd w:id="39"/>
      <w:r w:rsidRPr="00E162C4">
        <w:t>Publication of submissions</w:t>
      </w:r>
      <w:bookmarkEnd w:id="40"/>
      <w:bookmarkEnd w:id="41"/>
      <w:bookmarkEnd w:id="42"/>
      <w:bookmarkEnd w:id="43"/>
    </w:p>
    <w:p w14:paraId="3277DF0D" w14:textId="77777777" w:rsidR="00D13649" w:rsidRPr="00E162C4" w:rsidRDefault="00D13649" w:rsidP="00D13649">
      <w:bookmarkStart w:id="45" w:name="_Toc348105640"/>
      <w:bookmarkStart w:id="46" w:name="_Toc300909559"/>
      <w:bookmarkStart w:id="47" w:name="_Toc265246234"/>
      <w:r w:rsidRPr="00E162C4">
        <w:t>We publish submissions on our website</w:t>
      </w:r>
      <w:r w:rsidRPr="00E162C4">
        <w:rPr>
          <w:rFonts w:cs="Arial"/>
        </w:rPr>
        <w:t>, including personal information (such as names and contact details)</w:t>
      </w:r>
      <w:r w:rsidRPr="00E162C4">
        <w:t xml:space="preserve">, except for information that you have claimed (and we have accepted) is confidential. </w:t>
      </w:r>
    </w:p>
    <w:p w14:paraId="3BB4CBBE" w14:textId="77777777" w:rsidR="00D13649" w:rsidRPr="00E162C4" w:rsidRDefault="00D13649" w:rsidP="00D13649">
      <w:r w:rsidRPr="00E162C4">
        <w:t>Confidential information will not be published or otherwise released unless required or authorised by law.</w:t>
      </w:r>
    </w:p>
    <w:p w14:paraId="21F8FF95" w14:textId="77777777" w:rsidR="00D13649" w:rsidRPr="00E162C4" w:rsidRDefault="00D13649" w:rsidP="00D13649">
      <w:pPr>
        <w:pStyle w:val="Heading4"/>
      </w:pPr>
      <w:r w:rsidRPr="00E162C4">
        <w:t>Privacy</w:t>
      </w:r>
    </w:p>
    <w:p w14:paraId="6871BC83" w14:textId="77777777" w:rsidR="00D13649" w:rsidRPr="00E162C4" w:rsidRDefault="00D13649" w:rsidP="00D13649">
      <w:pPr>
        <w:pStyle w:val="Paragraph"/>
      </w:pPr>
      <w:r w:rsidRPr="00E162C4">
        <w:t xml:space="preserve">View information about our policy on the </w:t>
      </w:r>
      <w:hyperlink r:id="rId43" w:history="1">
        <w:r w:rsidRPr="00E162C4">
          <w:rPr>
            <w:rStyle w:val="Hyperlink"/>
          </w:rPr>
          <w:t>publication of submissions</w:t>
        </w:r>
      </w:hyperlink>
      <w:r w:rsidRPr="00E162C4">
        <w:t>, including collection of personal information during consultation and how we handle that information.</w:t>
      </w:r>
    </w:p>
    <w:bookmarkEnd w:id="45"/>
    <w:bookmarkEnd w:id="46"/>
    <w:bookmarkEnd w:id="47"/>
    <w:p w14:paraId="6E59CF12" w14:textId="77777777" w:rsidR="00D13649" w:rsidRPr="00E162C4" w:rsidRDefault="00D13649" w:rsidP="00D13649">
      <w:pPr>
        <w:pStyle w:val="Paragraph"/>
      </w:pPr>
      <w:r w:rsidRPr="00E162C4">
        <w:t xml:space="preserve">Information on the </w:t>
      </w:r>
      <w:r w:rsidRPr="00E162C4">
        <w:rPr>
          <w:i/>
        </w:rPr>
        <w:t xml:space="preserve">Privacy Act 1988, </w:t>
      </w:r>
      <w:r w:rsidRPr="00E162C4">
        <w:t xml:space="preserve">how to access or correct personal information, how to make a privacy complaint and how we will deal with any complaints, is available in our </w:t>
      </w:r>
      <w:hyperlink r:id="rId44" w:history="1">
        <w:r w:rsidRPr="00E162C4">
          <w:rPr>
            <w:rStyle w:val="Hyperlink"/>
          </w:rPr>
          <w:t>privacy policy</w:t>
        </w:r>
      </w:hyperlink>
      <w:r w:rsidRPr="00E162C4">
        <w:t xml:space="preserve">. </w:t>
      </w:r>
    </w:p>
    <w:bookmarkEnd w:id="44"/>
    <w:p w14:paraId="0669CB72" w14:textId="77777777" w:rsidR="00D13649" w:rsidRPr="00E162C4" w:rsidRDefault="00D13649" w:rsidP="00D13649"/>
    <w:p w14:paraId="24547C8D" w14:textId="4A65FCA5" w:rsidR="00FF3C69" w:rsidRPr="00D13649" w:rsidRDefault="00FF3C69" w:rsidP="00D13649"/>
    <w:sectPr w:rsidR="00FF3C69" w:rsidRPr="00D13649" w:rsidSect="00C77380">
      <w:headerReference w:type="even" r:id="rId45"/>
      <w:headerReference w:type="default" r:id="rId46"/>
      <w:footerReference w:type="even" r:id="rId47"/>
      <w:footerReference w:type="default" r:id="rId48"/>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7C4E6" w14:textId="77777777" w:rsidR="0016081A" w:rsidRDefault="0016081A">
      <w:r>
        <w:separator/>
      </w:r>
    </w:p>
  </w:endnote>
  <w:endnote w:type="continuationSeparator" w:id="0">
    <w:p w14:paraId="22FF308F" w14:textId="77777777" w:rsidR="0016081A" w:rsidRDefault="0016081A">
      <w:r>
        <w:continuationSeparator/>
      </w:r>
    </w:p>
  </w:endnote>
  <w:endnote w:type="continuationNotice" w:id="1">
    <w:p w14:paraId="3D321AD9" w14:textId="77777777" w:rsidR="0016081A" w:rsidRDefault="001608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7088" w14:textId="77777777" w:rsidR="00D13649" w:rsidRDefault="00D13649" w:rsidP="005E250B">
    <w:pPr>
      <w:pStyle w:val="Footer"/>
      <w:jc w:val="right"/>
    </w:pPr>
    <w:r w:rsidRPr="005E250B">
      <w:rPr>
        <w:noProof/>
        <w:vertAlign w:val="subscript"/>
      </w:rPr>
      <w:drawing>
        <wp:inline distT="0" distB="0" distL="0" distR="0" wp14:anchorId="5F2E6A71" wp14:editId="12B6481F">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026E" w14:textId="77777777" w:rsidR="00D13649" w:rsidRDefault="00D136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42C3" w14:textId="77777777" w:rsidR="00D13649" w:rsidRDefault="00D136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B276" w14:textId="77777777" w:rsidR="00D13649" w:rsidRPr="00622A3B" w:rsidRDefault="00D13649"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399F1EC7" w14:textId="77777777" w:rsidR="00D13649" w:rsidRPr="00A5474E" w:rsidRDefault="00D13649"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F712" w14:textId="77777777" w:rsidR="00D13649" w:rsidRPr="00622A3B" w:rsidRDefault="00D13649"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2FCA4B33" w14:textId="77777777" w:rsidR="00D13649" w:rsidRPr="00A5474E" w:rsidRDefault="00D13649"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4D75" w14:textId="77777777" w:rsidR="00D13649" w:rsidRPr="00622A3B" w:rsidRDefault="00D13649"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560B62D6" w14:textId="77777777" w:rsidR="00D13649" w:rsidRPr="00A5474E" w:rsidRDefault="00D13649"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0950"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7E762018"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2A46"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20648A36"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952B5" w14:textId="77777777" w:rsidR="0016081A" w:rsidRDefault="0016081A" w:rsidP="00EA0969">
      <w:pPr>
        <w:spacing w:after="0"/>
      </w:pPr>
      <w:r>
        <w:separator/>
      </w:r>
    </w:p>
  </w:footnote>
  <w:footnote w:type="continuationSeparator" w:id="0">
    <w:p w14:paraId="7A53DEA6" w14:textId="77777777" w:rsidR="0016081A" w:rsidRDefault="0016081A">
      <w:r>
        <w:continuationSeparator/>
      </w:r>
    </w:p>
  </w:footnote>
  <w:footnote w:type="continuationNotice" w:id="1">
    <w:p w14:paraId="2C7B192A" w14:textId="77777777" w:rsidR="0016081A" w:rsidRDefault="0016081A">
      <w:pPr>
        <w:spacing w:after="0" w:line="240" w:lineRule="auto"/>
      </w:pPr>
    </w:p>
  </w:footnote>
  <w:footnote w:id="2">
    <w:p w14:paraId="6FB33123" w14:textId="77777777" w:rsidR="00D13649" w:rsidRDefault="00D13649" w:rsidP="00D13649">
      <w:pPr>
        <w:pStyle w:val="FootnoteText"/>
      </w:pPr>
      <w:r>
        <w:rPr>
          <w:rStyle w:val="FootnoteReference"/>
        </w:rPr>
        <w:footnoteRef/>
      </w:r>
      <w:r>
        <w:t xml:space="preserve"> Detailed at </w:t>
      </w:r>
      <w:hyperlink r:id="rId1" w:history="1">
        <w:r w:rsidRPr="00773743">
          <w:rPr>
            <w:rStyle w:val="Hyperlink"/>
          </w:rPr>
          <w:t>https://www.itu.int/dms_pub/itu-r/oth/0c/0a/R0C0A00000C0008PDFE.pdf</w:t>
        </w:r>
      </w:hyperlink>
      <w:r>
        <w:t>.</w:t>
      </w:r>
    </w:p>
  </w:footnote>
  <w:footnote w:id="3">
    <w:p w14:paraId="4871065F" w14:textId="77777777" w:rsidR="00D13649" w:rsidRDefault="00D13649" w:rsidP="00D13649">
      <w:pPr>
        <w:pStyle w:val="FootnoteText"/>
      </w:pPr>
      <w:r>
        <w:rPr>
          <w:rStyle w:val="FootnoteReference"/>
        </w:rPr>
        <w:footnoteRef/>
      </w:r>
      <w:r>
        <w:t xml:space="preserve"> </w:t>
      </w:r>
      <w:r w:rsidRPr="00794EFB">
        <w:rPr>
          <w:szCs w:val="20"/>
        </w:rPr>
        <w:t>The ACMA’s instruments currently specify Inmarsat as the only satellite system in the GMDSS.</w:t>
      </w:r>
    </w:p>
  </w:footnote>
  <w:footnote w:id="4">
    <w:p w14:paraId="330E51B0" w14:textId="77777777" w:rsidR="00D13649" w:rsidRDefault="00D13649" w:rsidP="00D13649">
      <w:pPr>
        <w:pStyle w:val="FootnoteText"/>
      </w:pPr>
      <w:r>
        <w:rPr>
          <w:rStyle w:val="FootnoteReference"/>
        </w:rPr>
        <w:footnoteRef/>
      </w:r>
      <w:r>
        <w:t xml:space="preserve"> Detailed at </w:t>
      </w:r>
      <w:hyperlink r:id="rId2" w:history="1">
        <w:r w:rsidRPr="001F5AA9">
          <w:rPr>
            <w:rStyle w:val="Hyperlink"/>
          </w:rPr>
          <w:t>https://www.itu.int/dms_pub/itu-r/oth/0c/0a/R0C0A00000C0009PDFE.pdf</w:t>
        </w:r>
      </w:hyperlink>
      <w:r>
        <w:t>.</w:t>
      </w:r>
    </w:p>
  </w:footnote>
  <w:footnote w:id="5">
    <w:p w14:paraId="4760AB59" w14:textId="77777777" w:rsidR="00D13649" w:rsidRDefault="00D13649" w:rsidP="00D13649">
      <w:pPr>
        <w:pStyle w:val="FootnoteText"/>
      </w:pPr>
      <w:r>
        <w:rPr>
          <w:rStyle w:val="FootnoteReference"/>
        </w:rPr>
        <w:footnoteRef/>
      </w:r>
      <w:r>
        <w:t xml:space="preserve"> Detailed at </w:t>
      </w:r>
      <w:hyperlink r:id="rId3" w:history="1">
        <w:r w:rsidRPr="003F4EA6">
          <w:rPr>
            <w:rStyle w:val="Hyperlink"/>
          </w:rPr>
          <w:t>https://www.itu.int/dms_pub/itu-r/oth/0c/0a/R0C0A00000C0010PDFE.pdf</w:t>
        </w:r>
      </w:hyperlink>
    </w:p>
  </w:footnote>
  <w:footnote w:id="6">
    <w:p w14:paraId="629A4A13" w14:textId="77777777" w:rsidR="00D13649" w:rsidRDefault="00D13649" w:rsidP="00D13649">
      <w:pPr>
        <w:pStyle w:val="FootnoteText"/>
      </w:pPr>
      <w:r>
        <w:rPr>
          <w:rStyle w:val="FootnoteReference"/>
        </w:rPr>
        <w:footnoteRef/>
      </w:r>
      <w:r>
        <w:t xml:space="preserve"> Detailed at </w:t>
      </w:r>
      <w:hyperlink r:id="rId4" w:history="1">
        <w:r w:rsidRPr="008E040E">
          <w:rPr>
            <w:rStyle w:val="Hyperlink"/>
          </w:rPr>
          <w:t>https://www.info.dfat.gov.au/Info/Treaties/treaties.nsf/3328431b218f8d59ca256ae1000029b8/32ade3c19f298695ca258621007fde49?OpenDocument</w:t>
        </w:r>
      </w:hyperlink>
    </w:p>
  </w:footnote>
  <w:footnote w:id="7">
    <w:p w14:paraId="5418A573" w14:textId="77777777" w:rsidR="00D13649" w:rsidRDefault="00D13649" w:rsidP="00D13649">
      <w:pPr>
        <w:pStyle w:val="FootnoteText"/>
      </w:pPr>
      <w:r>
        <w:rPr>
          <w:rStyle w:val="FootnoteReference"/>
        </w:rPr>
        <w:footnoteRef/>
      </w:r>
      <w:r>
        <w:t xml:space="preserve"> </w:t>
      </w:r>
      <w:r w:rsidRPr="0006699B">
        <w:rPr>
          <w:szCs w:val="20"/>
        </w:rPr>
        <w:t>These devices should operate in accordance with Recommendations ITU-R M.493, ITU-R M.541 and ITU-R M.1371.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11DB" w14:textId="77777777" w:rsidR="00D13649" w:rsidRPr="00A5474E" w:rsidRDefault="00D13649" w:rsidP="00A5474E">
    <w:pPr>
      <w:pStyle w:val="Header"/>
    </w:pPr>
    <w:r>
      <w:rPr>
        <w:noProof/>
      </w:rPr>
      <w:drawing>
        <wp:inline distT="0" distB="0" distL="0" distR="0" wp14:anchorId="39589A09" wp14:editId="171A1899">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790A" w14:textId="77777777" w:rsidR="00D13649" w:rsidRPr="00A5474E" w:rsidRDefault="00D13649"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A4D9" w14:textId="77777777" w:rsidR="00D13649" w:rsidRDefault="00D136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E377" w14:textId="77777777" w:rsidR="00D13649" w:rsidRDefault="00D136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D13649" w14:paraId="489002DE" w14:textId="77777777">
      <w:trPr>
        <w:trHeight w:hRule="exact" w:val="988"/>
      </w:trPr>
      <w:tc>
        <w:tcPr>
          <w:tcW w:w="7678" w:type="dxa"/>
          <w:shd w:val="clear" w:color="auto" w:fill="auto"/>
        </w:tcPr>
        <w:p w14:paraId="5129B84B" w14:textId="77777777" w:rsidR="00D13649" w:rsidRDefault="00D13649" w:rsidP="00971914">
          <w:pPr>
            <w:pStyle w:val="Header"/>
          </w:pPr>
        </w:p>
      </w:tc>
    </w:tr>
    <w:tr w:rsidR="00D13649" w14:paraId="1A61B649" w14:textId="77777777">
      <w:tc>
        <w:tcPr>
          <w:tcW w:w="7678" w:type="dxa"/>
          <w:shd w:val="clear" w:color="auto" w:fill="auto"/>
        </w:tcPr>
        <w:p w14:paraId="57CACE85" w14:textId="77777777" w:rsidR="00D13649" w:rsidRDefault="00D13649" w:rsidP="00971914">
          <w:pPr>
            <w:pStyle w:val="GridTable31"/>
          </w:pPr>
          <w:r>
            <w:t xml:space="preserve">Contents </w:t>
          </w:r>
          <w:r w:rsidRPr="00915B1C">
            <w:rPr>
              <w:b w:val="0"/>
              <w:spacing w:val="0"/>
              <w:sz w:val="28"/>
              <w:szCs w:val="28"/>
            </w:rPr>
            <w:t>(Continued)</w:t>
          </w:r>
        </w:p>
      </w:tc>
    </w:tr>
    <w:tr w:rsidR="00D13649" w14:paraId="1AA67314" w14:textId="77777777">
      <w:trPr>
        <w:trHeight w:val="1220"/>
      </w:trPr>
      <w:tc>
        <w:tcPr>
          <w:tcW w:w="7678" w:type="dxa"/>
          <w:shd w:val="clear" w:color="auto" w:fill="auto"/>
        </w:tcPr>
        <w:p w14:paraId="319ACC90" w14:textId="77777777" w:rsidR="00D13649" w:rsidRDefault="00D13649" w:rsidP="00971914"/>
      </w:tc>
    </w:tr>
  </w:tbl>
  <w:p w14:paraId="7E9973AB" w14:textId="77777777" w:rsidR="00D13649" w:rsidRDefault="00D13649"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D13649" w14:paraId="6AC08BC1" w14:textId="77777777">
      <w:trPr>
        <w:trHeight w:hRule="exact" w:val="988"/>
      </w:trPr>
      <w:tc>
        <w:tcPr>
          <w:tcW w:w="7678" w:type="dxa"/>
          <w:shd w:val="clear" w:color="auto" w:fill="auto"/>
        </w:tcPr>
        <w:p w14:paraId="31B0E7FC" w14:textId="77777777" w:rsidR="00D13649" w:rsidRDefault="00D13649" w:rsidP="00971914">
          <w:pPr>
            <w:pStyle w:val="Header"/>
          </w:pPr>
        </w:p>
      </w:tc>
    </w:tr>
    <w:tr w:rsidR="00D13649" w14:paraId="5EEE56AF" w14:textId="77777777">
      <w:tc>
        <w:tcPr>
          <w:tcW w:w="7678" w:type="dxa"/>
          <w:shd w:val="clear" w:color="auto" w:fill="auto"/>
        </w:tcPr>
        <w:p w14:paraId="77BE69D0" w14:textId="77777777" w:rsidR="00D13649" w:rsidRDefault="00D13649" w:rsidP="00971914">
          <w:pPr>
            <w:pStyle w:val="GridTable31"/>
          </w:pPr>
          <w:r>
            <w:t xml:space="preserve">Contents </w:t>
          </w:r>
          <w:r w:rsidRPr="00915B1C">
            <w:rPr>
              <w:b w:val="0"/>
              <w:spacing w:val="0"/>
              <w:sz w:val="28"/>
              <w:szCs w:val="28"/>
            </w:rPr>
            <w:t>(Continued)</w:t>
          </w:r>
        </w:p>
      </w:tc>
    </w:tr>
    <w:tr w:rsidR="00D13649" w14:paraId="6E8F17DE" w14:textId="77777777">
      <w:trPr>
        <w:trHeight w:val="1220"/>
      </w:trPr>
      <w:tc>
        <w:tcPr>
          <w:tcW w:w="7678" w:type="dxa"/>
          <w:shd w:val="clear" w:color="auto" w:fill="auto"/>
        </w:tcPr>
        <w:p w14:paraId="788056CE" w14:textId="77777777" w:rsidR="00D13649" w:rsidRDefault="00D13649" w:rsidP="00971914"/>
      </w:tc>
    </w:tr>
  </w:tbl>
  <w:p w14:paraId="02938362" w14:textId="77777777" w:rsidR="00D13649" w:rsidRPr="00A5474E" w:rsidRDefault="00D13649"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E74E"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A963"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989C280C"/>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A62485"/>
    <w:multiLevelType w:val="hybridMultilevel"/>
    <w:tmpl w:val="9266B898"/>
    <w:lvl w:ilvl="0" w:tplc="44EEC084">
      <w:start w:val="1"/>
      <w:numFmt w:val="bullet"/>
      <w:lvlText w:val="&gt;"/>
      <w:lvlJc w:val="left"/>
      <w:pPr>
        <w:ind w:left="1080" w:hanging="360"/>
      </w:pPr>
      <w:rPr>
        <w:rFonts w:ascii="HelveticaNeueLT Std" w:hAnsi="HelveticaNeueLT Std"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CC2970"/>
    <w:multiLevelType w:val="hybridMultilevel"/>
    <w:tmpl w:val="CCDA413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1558BF"/>
    <w:multiLevelType w:val="hybridMultilevel"/>
    <w:tmpl w:val="C75EF22C"/>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37020905"/>
    <w:multiLevelType w:val="hybridMultilevel"/>
    <w:tmpl w:val="6B841AC6"/>
    <w:lvl w:ilvl="0" w:tplc="82767B70">
      <w:start w:val="1"/>
      <w:numFmt w:val="decimal"/>
      <w:lvlText w:val="%1."/>
      <w:lvlJc w:val="left"/>
      <w:pPr>
        <w:ind w:left="360" w:hanging="360"/>
      </w:pPr>
      <w:rPr>
        <w:rFonts w:ascii="Arial" w:hAnsi="Arial" w:cs="Arial" w:hint="default"/>
        <w:b w:val="0"/>
        <w:bCs w:val="0"/>
        <w:sz w:val="22"/>
        <w:szCs w:val="22"/>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A3C5789"/>
    <w:multiLevelType w:val="hybridMultilevel"/>
    <w:tmpl w:val="C99A96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5E769F2"/>
    <w:multiLevelType w:val="hybridMultilevel"/>
    <w:tmpl w:val="605C4912"/>
    <w:lvl w:ilvl="0" w:tplc="6C0C7732">
      <w:start w:val="1"/>
      <w:numFmt w:val="bullet"/>
      <w:lvlText w:val="&gt;"/>
      <w:lvlJc w:val="left"/>
      <w:pPr>
        <w:ind w:left="720" w:hanging="360"/>
      </w:pPr>
      <w:rPr>
        <w:rFonts w:ascii="HelveticaNeueLT Std" w:hAnsi="HelveticaNeueLT Std"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332243"/>
    <w:multiLevelType w:val="hybridMultilevel"/>
    <w:tmpl w:val="35BE400C"/>
    <w:lvl w:ilvl="0" w:tplc="6C0C7732">
      <w:start w:val="1"/>
      <w:numFmt w:val="bullet"/>
      <w:lvlText w:val="&gt;"/>
      <w:lvlJc w:val="left"/>
      <w:pPr>
        <w:ind w:left="720" w:hanging="360"/>
      </w:pPr>
      <w:rPr>
        <w:rFonts w:ascii="HelveticaNeueLT Std" w:hAnsi="HelveticaNeueLT Std"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6C2356"/>
    <w:multiLevelType w:val="hybridMultilevel"/>
    <w:tmpl w:val="C3E80F62"/>
    <w:lvl w:ilvl="0" w:tplc="44EEC084">
      <w:start w:val="1"/>
      <w:numFmt w:val="bullet"/>
      <w:lvlText w:val="&gt;"/>
      <w:lvlJc w:val="left"/>
      <w:pPr>
        <w:ind w:left="780" w:hanging="360"/>
      </w:pPr>
      <w:rPr>
        <w:rFonts w:ascii="HelveticaNeueLT Std" w:hAnsi="HelveticaNeueLT Std"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BC3917"/>
    <w:multiLevelType w:val="hybridMultilevel"/>
    <w:tmpl w:val="AFBE99A6"/>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DA2E45"/>
    <w:multiLevelType w:val="hybridMultilevel"/>
    <w:tmpl w:val="1D965B6A"/>
    <w:lvl w:ilvl="0" w:tplc="6C0C7732">
      <w:start w:val="1"/>
      <w:numFmt w:val="bullet"/>
      <w:lvlText w:val="&gt;"/>
      <w:lvlJc w:val="left"/>
      <w:pPr>
        <w:ind w:left="1015" w:hanging="360"/>
      </w:pPr>
      <w:rPr>
        <w:rFonts w:ascii="HelveticaNeueLT Std" w:hAnsi="HelveticaNeueLT Std" w:hint="default"/>
        <w:color w:val="auto"/>
      </w:rPr>
    </w:lvl>
    <w:lvl w:ilvl="1" w:tplc="FFFFFFFF" w:tentative="1">
      <w:start w:val="1"/>
      <w:numFmt w:val="bullet"/>
      <w:lvlText w:val="o"/>
      <w:lvlJc w:val="left"/>
      <w:pPr>
        <w:ind w:left="1735" w:hanging="360"/>
      </w:pPr>
      <w:rPr>
        <w:rFonts w:ascii="Courier New" w:hAnsi="Courier New" w:cs="Courier New" w:hint="default"/>
      </w:rPr>
    </w:lvl>
    <w:lvl w:ilvl="2" w:tplc="FFFFFFFF" w:tentative="1">
      <w:start w:val="1"/>
      <w:numFmt w:val="bullet"/>
      <w:lvlText w:val=""/>
      <w:lvlJc w:val="left"/>
      <w:pPr>
        <w:ind w:left="2455" w:hanging="360"/>
      </w:pPr>
      <w:rPr>
        <w:rFonts w:ascii="Wingdings" w:hAnsi="Wingdings" w:hint="default"/>
      </w:rPr>
    </w:lvl>
    <w:lvl w:ilvl="3" w:tplc="FFFFFFFF" w:tentative="1">
      <w:start w:val="1"/>
      <w:numFmt w:val="bullet"/>
      <w:lvlText w:val=""/>
      <w:lvlJc w:val="left"/>
      <w:pPr>
        <w:ind w:left="3175" w:hanging="360"/>
      </w:pPr>
      <w:rPr>
        <w:rFonts w:ascii="Symbol" w:hAnsi="Symbol" w:hint="default"/>
      </w:rPr>
    </w:lvl>
    <w:lvl w:ilvl="4" w:tplc="FFFFFFFF" w:tentative="1">
      <w:start w:val="1"/>
      <w:numFmt w:val="bullet"/>
      <w:lvlText w:val="o"/>
      <w:lvlJc w:val="left"/>
      <w:pPr>
        <w:ind w:left="3895" w:hanging="360"/>
      </w:pPr>
      <w:rPr>
        <w:rFonts w:ascii="Courier New" w:hAnsi="Courier New" w:cs="Courier New" w:hint="default"/>
      </w:rPr>
    </w:lvl>
    <w:lvl w:ilvl="5" w:tplc="FFFFFFFF" w:tentative="1">
      <w:start w:val="1"/>
      <w:numFmt w:val="bullet"/>
      <w:lvlText w:val=""/>
      <w:lvlJc w:val="left"/>
      <w:pPr>
        <w:ind w:left="4615" w:hanging="360"/>
      </w:pPr>
      <w:rPr>
        <w:rFonts w:ascii="Wingdings" w:hAnsi="Wingdings" w:hint="default"/>
      </w:rPr>
    </w:lvl>
    <w:lvl w:ilvl="6" w:tplc="FFFFFFFF" w:tentative="1">
      <w:start w:val="1"/>
      <w:numFmt w:val="bullet"/>
      <w:lvlText w:val=""/>
      <w:lvlJc w:val="left"/>
      <w:pPr>
        <w:ind w:left="5335" w:hanging="360"/>
      </w:pPr>
      <w:rPr>
        <w:rFonts w:ascii="Symbol" w:hAnsi="Symbol" w:hint="default"/>
      </w:rPr>
    </w:lvl>
    <w:lvl w:ilvl="7" w:tplc="FFFFFFFF" w:tentative="1">
      <w:start w:val="1"/>
      <w:numFmt w:val="bullet"/>
      <w:lvlText w:val="o"/>
      <w:lvlJc w:val="left"/>
      <w:pPr>
        <w:ind w:left="6055" w:hanging="360"/>
      </w:pPr>
      <w:rPr>
        <w:rFonts w:ascii="Courier New" w:hAnsi="Courier New" w:cs="Courier New" w:hint="default"/>
      </w:rPr>
    </w:lvl>
    <w:lvl w:ilvl="8" w:tplc="FFFFFFFF" w:tentative="1">
      <w:start w:val="1"/>
      <w:numFmt w:val="bullet"/>
      <w:lvlText w:val=""/>
      <w:lvlJc w:val="left"/>
      <w:pPr>
        <w:ind w:left="6775" w:hanging="360"/>
      </w:pPr>
      <w:rPr>
        <w:rFonts w:ascii="Wingdings" w:hAnsi="Wingdings" w:hint="default"/>
      </w:rPr>
    </w:lvl>
  </w:abstractNum>
  <w:abstractNum w:abstractNumId="22"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D17E4F"/>
    <w:multiLevelType w:val="hybridMultilevel"/>
    <w:tmpl w:val="B9FEB712"/>
    <w:lvl w:ilvl="0" w:tplc="44EEC084">
      <w:start w:val="1"/>
      <w:numFmt w:val="bullet"/>
      <w:lvlText w:val="&gt;"/>
      <w:lvlJc w:val="left"/>
      <w:pPr>
        <w:ind w:left="720" w:hanging="360"/>
      </w:pPr>
      <w:rPr>
        <w:rFonts w:ascii="HelveticaNeueLT Std" w:hAnsi="HelveticaNeueLT Std" w:hint="default"/>
      </w:rPr>
    </w:lvl>
    <w:lvl w:ilvl="1" w:tplc="44EEC084">
      <w:start w:val="1"/>
      <w:numFmt w:val="bullet"/>
      <w:lvlText w:val="&gt;"/>
      <w:lvlJc w:val="left"/>
      <w:pPr>
        <w:ind w:left="1440" w:hanging="360"/>
      </w:pPr>
      <w:rPr>
        <w:rFonts w:ascii="HelveticaNeueLT Std" w:hAnsi="HelveticaNeueLT Std"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B743BB"/>
    <w:multiLevelType w:val="hybridMultilevel"/>
    <w:tmpl w:val="14E4EFDC"/>
    <w:lvl w:ilvl="0" w:tplc="44EEC084">
      <w:start w:val="1"/>
      <w:numFmt w:val="bullet"/>
      <w:lvlText w:val="&gt;"/>
      <w:lvlJc w:val="left"/>
      <w:pPr>
        <w:ind w:left="1080" w:hanging="360"/>
      </w:pPr>
      <w:rPr>
        <w:rFonts w:ascii="HelveticaNeueLT Std" w:hAnsi="HelveticaNeueLT Std"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940794340">
    <w:abstractNumId w:val="3"/>
  </w:num>
  <w:num w:numId="2" w16cid:durableId="961808067">
    <w:abstractNumId w:val="1"/>
  </w:num>
  <w:num w:numId="3" w16cid:durableId="823132573">
    <w:abstractNumId w:val="2"/>
  </w:num>
  <w:num w:numId="4" w16cid:durableId="1435860948">
    <w:abstractNumId w:val="0"/>
  </w:num>
  <w:num w:numId="5" w16cid:durableId="1458793115">
    <w:abstractNumId w:val="10"/>
  </w:num>
  <w:num w:numId="6" w16cid:durableId="1170756036">
    <w:abstractNumId w:val="20"/>
  </w:num>
  <w:num w:numId="7" w16cid:durableId="1179462982">
    <w:abstractNumId w:val="17"/>
  </w:num>
  <w:num w:numId="8" w16cid:durableId="2010865431">
    <w:abstractNumId w:val="19"/>
  </w:num>
  <w:num w:numId="9" w16cid:durableId="153958827">
    <w:abstractNumId w:val="22"/>
  </w:num>
  <w:num w:numId="10" w16cid:durableId="770122694">
    <w:abstractNumId w:val="6"/>
  </w:num>
  <w:num w:numId="11" w16cid:durableId="1981958685">
    <w:abstractNumId w:val="4"/>
  </w:num>
  <w:num w:numId="12" w16cid:durableId="454564071">
    <w:abstractNumId w:val="3"/>
  </w:num>
  <w:num w:numId="13" w16cid:durableId="1550874486">
    <w:abstractNumId w:val="2"/>
    <w:lvlOverride w:ilvl="0">
      <w:startOverride w:val="1"/>
    </w:lvlOverride>
  </w:num>
  <w:num w:numId="14" w16cid:durableId="825971527">
    <w:abstractNumId w:val="2"/>
    <w:lvlOverride w:ilvl="0">
      <w:startOverride w:val="1"/>
    </w:lvlOverride>
  </w:num>
  <w:num w:numId="15" w16cid:durableId="889999444">
    <w:abstractNumId w:val="2"/>
    <w:lvlOverride w:ilvl="0">
      <w:startOverride w:val="1"/>
    </w:lvlOverride>
  </w:num>
  <w:num w:numId="16" w16cid:durableId="271406163">
    <w:abstractNumId w:val="11"/>
  </w:num>
  <w:num w:numId="17" w16cid:durableId="1271475918">
    <w:abstractNumId w:val="2"/>
    <w:lvlOverride w:ilvl="0">
      <w:startOverride w:val="1"/>
    </w:lvlOverride>
  </w:num>
  <w:num w:numId="18" w16cid:durableId="2118475825">
    <w:abstractNumId w:val="3"/>
  </w:num>
  <w:num w:numId="19" w16cid:durableId="1206605668">
    <w:abstractNumId w:val="3"/>
  </w:num>
  <w:num w:numId="20" w16cid:durableId="1241981682">
    <w:abstractNumId w:val="8"/>
  </w:num>
  <w:num w:numId="21" w16cid:durableId="66072250">
    <w:abstractNumId w:val="21"/>
  </w:num>
  <w:num w:numId="22" w16cid:durableId="667488138">
    <w:abstractNumId w:val="16"/>
  </w:num>
  <w:num w:numId="23" w16cid:durableId="2063628884">
    <w:abstractNumId w:val="5"/>
  </w:num>
  <w:num w:numId="24" w16cid:durableId="195435477">
    <w:abstractNumId w:val="7"/>
  </w:num>
  <w:num w:numId="25" w16cid:durableId="1696032588">
    <w:abstractNumId w:val="23"/>
  </w:num>
  <w:num w:numId="26" w16cid:durableId="85006962">
    <w:abstractNumId w:val="24"/>
  </w:num>
  <w:num w:numId="27" w16cid:durableId="1558054129">
    <w:abstractNumId w:val="9"/>
  </w:num>
  <w:num w:numId="28" w16cid:durableId="1113137420">
    <w:abstractNumId w:val="12"/>
  </w:num>
  <w:num w:numId="29" w16cid:durableId="375352341">
    <w:abstractNumId w:val="3"/>
  </w:num>
  <w:num w:numId="30" w16cid:durableId="505827200">
    <w:abstractNumId w:val="3"/>
  </w:num>
  <w:num w:numId="31" w16cid:durableId="181676059">
    <w:abstractNumId w:val="14"/>
  </w:num>
  <w:num w:numId="32" w16cid:durableId="555167815">
    <w:abstractNumId w:val="15"/>
  </w:num>
  <w:num w:numId="33" w16cid:durableId="7148607">
    <w:abstractNumId w:val="18"/>
  </w:num>
  <w:num w:numId="34" w16cid:durableId="1943487995">
    <w:abstractNumId w:val="13"/>
  </w:num>
  <w:num w:numId="35" w16cid:durableId="1202668733">
    <w:abstractNumId w:val="3"/>
  </w:num>
  <w:num w:numId="36" w16cid:durableId="1634753056">
    <w:abstractNumId w:val="3"/>
  </w:num>
  <w:num w:numId="37" w16cid:durableId="868373274">
    <w:abstractNumId w:val="3"/>
  </w:num>
  <w:num w:numId="38" w16cid:durableId="182809131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savePreviewPicture/>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B4"/>
    <w:rsid w:val="0000260C"/>
    <w:rsid w:val="000028D3"/>
    <w:rsid w:val="00004B2F"/>
    <w:rsid w:val="00010667"/>
    <w:rsid w:val="0001191D"/>
    <w:rsid w:val="000121A0"/>
    <w:rsid w:val="000129D5"/>
    <w:rsid w:val="00013D1A"/>
    <w:rsid w:val="00015AE7"/>
    <w:rsid w:val="000160C4"/>
    <w:rsid w:val="00016227"/>
    <w:rsid w:val="00016E21"/>
    <w:rsid w:val="0001719C"/>
    <w:rsid w:val="00020907"/>
    <w:rsid w:val="00021E16"/>
    <w:rsid w:val="0002224E"/>
    <w:rsid w:val="00022435"/>
    <w:rsid w:val="000224AE"/>
    <w:rsid w:val="000229B8"/>
    <w:rsid w:val="000232CD"/>
    <w:rsid w:val="000235C4"/>
    <w:rsid w:val="000236B2"/>
    <w:rsid w:val="00023A36"/>
    <w:rsid w:val="000245E5"/>
    <w:rsid w:val="00026E43"/>
    <w:rsid w:val="00026F91"/>
    <w:rsid w:val="0002749F"/>
    <w:rsid w:val="000277E5"/>
    <w:rsid w:val="00031576"/>
    <w:rsid w:val="000321E3"/>
    <w:rsid w:val="00032621"/>
    <w:rsid w:val="000342C2"/>
    <w:rsid w:val="0003789C"/>
    <w:rsid w:val="000406AA"/>
    <w:rsid w:val="00041414"/>
    <w:rsid w:val="0004439B"/>
    <w:rsid w:val="00044700"/>
    <w:rsid w:val="0004536A"/>
    <w:rsid w:val="00045878"/>
    <w:rsid w:val="00045F92"/>
    <w:rsid w:val="0004722E"/>
    <w:rsid w:val="0004764C"/>
    <w:rsid w:val="0005011A"/>
    <w:rsid w:val="0005045A"/>
    <w:rsid w:val="00051C1E"/>
    <w:rsid w:val="000539F9"/>
    <w:rsid w:val="00053DE8"/>
    <w:rsid w:val="00054AD1"/>
    <w:rsid w:val="00054C27"/>
    <w:rsid w:val="00055D7A"/>
    <w:rsid w:val="00055EC3"/>
    <w:rsid w:val="000563CE"/>
    <w:rsid w:val="000575A0"/>
    <w:rsid w:val="000610DC"/>
    <w:rsid w:val="0006195A"/>
    <w:rsid w:val="000629B9"/>
    <w:rsid w:val="000659B6"/>
    <w:rsid w:val="0006686F"/>
    <w:rsid w:val="0006722A"/>
    <w:rsid w:val="00067BE6"/>
    <w:rsid w:val="00071034"/>
    <w:rsid w:val="000732CF"/>
    <w:rsid w:val="00073355"/>
    <w:rsid w:val="00074EB5"/>
    <w:rsid w:val="00075B96"/>
    <w:rsid w:val="0007794B"/>
    <w:rsid w:val="0008196A"/>
    <w:rsid w:val="00081D14"/>
    <w:rsid w:val="00081D82"/>
    <w:rsid w:val="00085DD4"/>
    <w:rsid w:val="00087D93"/>
    <w:rsid w:val="000903BD"/>
    <w:rsid w:val="00090BEF"/>
    <w:rsid w:val="00091122"/>
    <w:rsid w:val="000915ED"/>
    <w:rsid w:val="00091B0E"/>
    <w:rsid w:val="0009209D"/>
    <w:rsid w:val="00092386"/>
    <w:rsid w:val="000925CB"/>
    <w:rsid w:val="0009463C"/>
    <w:rsid w:val="000947C7"/>
    <w:rsid w:val="0009536D"/>
    <w:rsid w:val="000969BD"/>
    <w:rsid w:val="000969BF"/>
    <w:rsid w:val="00097E73"/>
    <w:rsid w:val="00097FD6"/>
    <w:rsid w:val="000A033F"/>
    <w:rsid w:val="000A0B07"/>
    <w:rsid w:val="000A0C22"/>
    <w:rsid w:val="000A1400"/>
    <w:rsid w:val="000A208F"/>
    <w:rsid w:val="000A3AFF"/>
    <w:rsid w:val="000A3C43"/>
    <w:rsid w:val="000A4A51"/>
    <w:rsid w:val="000A5D2B"/>
    <w:rsid w:val="000B055E"/>
    <w:rsid w:val="000B14BF"/>
    <w:rsid w:val="000B3828"/>
    <w:rsid w:val="000B3D70"/>
    <w:rsid w:val="000B4664"/>
    <w:rsid w:val="000B556F"/>
    <w:rsid w:val="000B5DE3"/>
    <w:rsid w:val="000C0839"/>
    <w:rsid w:val="000C0A57"/>
    <w:rsid w:val="000C10C4"/>
    <w:rsid w:val="000C17CD"/>
    <w:rsid w:val="000C230C"/>
    <w:rsid w:val="000C46B9"/>
    <w:rsid w:val="000C6AB4"/>
    <w:rsid w:val="000D3A94"/>
    <w:rsid w:val="000D71D9"/>
    <w:rsid w:val="000D76E0"/>
    <w:rsid w:val="000D7E8B"/>
    <w:rsid w:val="000E050A"/>
    <w:rsid w:val="000E0F70"/>
    <w:rsid w:val="000E2021"/>
    <w:rsid w:val="000E271F"/>
    <w:rsid w:val="000E2DD3"/>
    <w:rsid w:val="000E3CA1"/>
    <w:rsid w:val="000E4449"/>
    <w:rsid w:val="000E4D43"/>
    <w:rsid w:val="000E6097"/>
    <w:rsid w:val="000E660D"/>
    <w:rsid w:val="000E6D4D"/>
    <w:rsid w:val="000F175F"/>
    <w:rsid w:val="000F3BF2"/>
    <w:rsid w:val="000F4156"/>
    <w:rsid w:val="000F4533"/>
    <w:rsid w:val="000F7CF6"/>
    <w:rsid w:val="0010004D"/>
    <w:rsid w:val="001006FE"/>
    <w:rsid w:val="001019DA"/>
    <w:rsid w:val="00103829"/>
    <w:rsid w:val="00104382"/>
    <w:rsid w:val="00105243"/>
    <w:rsid w:val="00107F20"/>
    <w:rsid w:val="00111531"/>
    <w:rsid w:val="001119AD"/>
    <w:rsid w:val="00111B82"/>
    <w:rsid w:val="00111FCE"/>
    <w:rsid w:val="00113514"/>
    <w:rsid w:val="00113F63"/>
    <w:rsid w:val="001148FD"/>
    <w:rsid w:val="00117C33"/>
    <w:rsid w:val="00120044"/>
    <w:rsid w:val="001229A5"/>
    <w:rsid w:val="00123297"/>
    <w:rsid w:val="0012413F"/>
    <w:rsid w:val="001246C8"/>
    <w:rsid w:val="0012489B"/>
    <w:rsid w:val="00125B82"/>
    <w:rsid w:val="001270CC"/>
    <w:rsid w:val="001274D4"/>
    <w:rsid w:val="00130017"/>
    <w:rsid w:val="00130CD2"/>
    <w:rsid w:val="00130F91"/>
    <w:rsid w:val="001317F1"/>
    <w:rsid w:val="001320D3"/>
    <w:rsid w:val="001329C2"/>
    <w:rsid w:val="001338A5"/>
    <w:rsid w:val="001349ED"/>
    <w:rsid w:val="00135613"/>
    <w:rsid w:val="00136B64"/>
    <w:rsid w:val="00137424"/>
    <w:rsid w:val="00140318"/>
    <w:rsid w:val="00140363"/>
    <w:rsid w:val="0014132D"/>
    <w:rsid w:val="00141AD9"/>
    <w:rsid w:val="00141B32"/>
    <w:rsid w:val="001422DD"/>
    <w:rsid w:val="001441DC"/>
    <w:rsid w:val="00144932"/>
    <w:rsid w:val="001459B8"/>
    <w:rsid w:val="00145E4F"/>
    <w:rsid w:val="001464CD"/>
    <w:rsid w:val="00146CE6"/>
    <w:rsid w:val="00147FDC"/>
    <w:rsid w:val="00150398"/>
    <w:rsid w:val="00151C01"/>
    <w:rsid w:val="00152903"/>
    <w:rsid w:val="001534BA"/>
    <w:rsid w:val="00153C4A"/>
    <w:rsid w:val="00153FD5"/>
    <w:rsid w:val="00155762"/>
    <w:rsid w:val="0015614F"/>
    <w:rsid w:val="00156E75"/>
    <w:rsid w:val="001577C2"/>
    <w:rsid w:val="0016081A"/>
    <w:rsid w:val="001608C0"/>
    <w:rsid w:val="00160BB7"/>
    <w:rsid w:val="001633C4"/>
    <w:rsid w:val="00163BB4"/>
    <w:rsid w:val="00164C5F"/>
    <w:rsid w:val="0016612C"/>
    <w:rsid w:val="001670CC"/>
    <w:rsid w:val="001704D5"/>
    <w:rsid w:val="00170F2A"/>
    <w:rsid w:val="00171591"/>
    <w:rsid w:val="001721AF"/>
    <w:rsid w:val="00173981"/>
    <w:rsid w:val="00174166"/>
    <w:rsid w:val="00174430"/>
    <w:rsid w:val="0017617D"/>
    <w:rsid w:val="0017719D"/>
    <w:rsid w:val="00183DF7"/>
    <w:rsid w:val="00183FD7"/>
    <w:rsid w:val="0018470B"/>
    <w:rsid w:val="00185CAB"/>
    <w:rsid w:val="001875B7"/>
    <w:rsid w:val="001877BF"/>
    <w:rsid w:val="00187CB3"/>
    <w:rsid w:val="0019050A"/>
    <w:rsid w:val="001910D4"/>
    <w:rsid w:val="00194F6F"/>
    <w:rsid w:val="001957F3"/>
    <w:rsid w:val="001958CA"/>
    <w:rsid w:val="001965FD"/>
    <w:rsid w:val="00197064"/>
    <w:rsid w:val="001976E3"/>
    <w:rsid w:val="001A0517"/>
    <w:rsid w:val="001A0F60"/>
    <w:rsid w:val="001A44EC"/>
    <w:rsid w:val="001A5AE0"/>
    <w:rsid w:val="001B2D97"/>
    <w:rsid w:val="001B58AA"/>
    <w:rsid w:val="001B7D62"/>
    <w:rsid w:val="001B7E48"/>
    <w:rsid w:val="001C016E"/>
    <w:rsid w:val="001C17CE"/>
    <w:rsid w:val="001C19ED"/>
    <w:rsid w:val="001C25E1"/>
    <w:rsid w:val="001C322C"/>
    <w:rsid w:val="001C36CA"/>
    <w:rsid w:val="001C44D1"/>
    <w:rsid w:val="001C525D"/>
    <w:rsid w:val="001C5EB1"/>
    <w:rsid w:val="001C6AEE"/>
    <w:rsid w:val="001C744E"/>
    <w:rsid w:val="001C7630"/>
    <w:rsid w:val="001C7F8C"/>
    <w:rsid w:val="001D00E0"/>
    <w:rsid w:val="001D0BDE"/>
    <w:rsid w:val="001D13F4"/>
    <w:rsid w:val="001D2D0E"/>
    <w:rsid w:val="001D43F8"/>
    <w:rsid w:val="001D6D15"/>
    <w:rsid w:val="001E1509"/>
    <w:rsid w:val="001E1D19"/>
    <w:rsid w:val="001E2EDA"/>
    <w:rsid w:val="001E3D97"/>
    <w:rsid w:val="001E60B7"/>
    <w:rsid w:val="001E74A9"/>
    <w:rsid w:val="001F09A9"/>
    <w:rsid w:val="001F0FE0"/>
    <w:rsid w:val="001F258D"/>
    <w:rsid w:val="001F2757"/>
    <w:rsid w:val="001F3726"/>
    <w:rsid w:val="001F50F7"/>
    <w:rsid w:val="001F5AA9"/>
    <w:rsid w:val="001F6D5B"/>
    <w:rsid w:val="001F71B7"/>
    <w:rsid w:val="001F7558"/>
    <w:rsid w:val="00201EE2"/>
    <w:rsid w:val="00205B57"/>
    <w:rsid w:val="002077AB"/>
    <w:rsid w:val="002078A3"/>
    <w:rsid w:val="00211953"/>
    <w:rsid w:val="00213418"/>
    <w:rsid w:val="002141FB"/>
    <w:rsid w:val="0021426C"/>
    <w:rsid w:val="002157E0"/>
    <w:rsid w:val="002158EE"/>
    <w:rsid w:val="00216047"/>
    <w:rsid w:val="00216117"/>
    <w:rsid w:val="00216A57"/>
    <w:rsid w:val="00217263"/>
    <w:rsid w:val="00217448"/>
    <w:rsid w:val="00217EA1"/>
    <w:rsid w:val="00220240"/>
    <w:rsid w:val="00220E30"/>
    <w:rsid w:val="00221923"/>
    <w:rsid w:val="00222EFE"/>
    <w:rsid w:val="0022334F"/>
    <w:rsid w:val="00224997"/>
    <w:rsid w:val="00226819"/>
    <w:rsid w:val="00226B7D"/>
    <w:rsid w:val="00231873"/>
    <w:rsid w:val="0023274A"/>
    <w:rsid w:val="00232815"/>
    <w:rsid w:val="00233101"/>
    <w:rsid w:val="0023338F"/>
    <w:rsid w:val="002336E9"/>
    <w:rsid w:val="00233817"/>
    <w:rsid w:val="0023539A"/>
    <w:rsid w:val="002357AB"/>
    <w:rsid w:val="002367FF"/>
    <w:rsid w:val="00236BBE"/>
    <w:rsid w:val="00240CE9"/>
    <w:rsid w:val="00241AF6"/>
    <w:rsid w:val="00241FE9"/>
    <w:rsid w:val="002434BA"/>
    <w:rsid w:val="00245223"/>
    <w:rsid w:val="00245CE1"/>
    <w:rsid w:val="00246089"/>
    <w:rsid w:val="00246093"/>
    <w:rsid w:val="00246702"/>
    <w:rsid w:val="00247C59"/>
    <w:rsid w:val="00247F2E"/>
    <w:rsid w:val="00250ADC"/>
    <w:rsid w:val="00250B07"/>
    <w:rsid w:val="00250ECA"/>
    <w:rsid w:val="0025270C"/>
    <w:rsid w:val="002531E8"/>
    <w:rsid w:val="00256BC1"/>
    <w:rsid w:val="00257553"/>
    <w:rsid w:val="0026026C"/>
    <w:rsid w:val="00260FB2"/>
    <w:rsid w:val="00262128"/>
    <w:rsid w:val="0026475D"/>
    <w:rsid w:val="0026583D"/>
    <w:rsid w:val="0026704F"/>
    <w:rsid w:val="00267064"/>
    <w:rsid w:val="00267F15"/>
    <w:rsid w:val="00271498"/>
    <w:rsid w:val="0027165D"/>
    <w:rsid w:val="00273CEB"/>
    <w:rsid w:val="002747EA"/>
    <w:rsid w:val="00276159"/>
    <w:rsid w:val="0027737C"/>
    <w:rsid w:val="00277BB2"/>
    <w:rsid w:val="00277D64"/>
    <w:rsid w:val="00281C89"/>
    <w:rsid w:val="0028252A"/>
    <w:rsid w:val="0028282F"/>
    <w:rsid w:val="0028307A"/>
    <w:rsid w:val="002831F4"/>
    <w:rsid w:val="00283EA0"/>
    <w:rsid w:val="002868BD"/>
    <w:rsid w:val="00293E7A"/>
    <w:rsid w:val="002950A8"/>
    <w:rsid w:val="0029593B"/>
    <w:rsid w:val="00296612"/>
    <w:rsid w:val="00297FC5"/>
    <w:rsid w:val="002A0417"/>
    <w:rsid w:val="002A16D8"/>
    <w:rsid w:val="002A1BC8"/>
    <w:rsid w:val="002A3EF2"/>
    <w:rsid w:val="002B0DC2"/>
    <w:rsid w:val="002B0DED"/>
    <w:rsid w:val="002B119F"/>
    <w:rsid w:val="002B16A4"/>
    <w:rsid w:val="002B19A2"/>
    <w:rsid w:val="002B1D59"/>
    <w:rsid w:val="002B332A"/>
    <w:rsid w:val="002B381A"/>
    <w:rsid w:val="002B4244"/>
    <w:rsid w:val="002B4FCC"/>
    <w:rsid w:val="002B637E"/>
    <w:rsid w:val="002B6597"/>
    <w:rsid w:val="002B7408"/>
    <w:rsid w:val="002B7CFD"/>
    <w:rsid w:val="002C04C6"/>
    <w:rsid w:val="002C0530"/>
    <w:rsid w:val="002C1EFB"/>
    <w:rsid w:val="002C210F"/>
    <w:rsid w:val="002C4693"/>
    <w:rsid w:val="002C5169"/>
    <w:rsid w:val="002C5C08"/>
    <w:rsid w:val="002C674D"/>
    <w:rsid w:val="002C7F5B"/>
    <w:rsid w:val="002D3600"/>
    <w:rsid w:val="002D6A1D"/>
    <w:rsid w:val="002D6FB0"/>
    <w:rsid w:val="002D70F9"/>
    <w:rsid w:val="002D7F71"/>
    <w:rsid w:val="002D7FA1"/>
    <w:rsid w:val="002E0DC2"/>
    <w:rsid w:val="002E0E22"/>
    <w:rsid w:val="002E0FF5"/>
    <w:rsid w:val="002E23C0"/>
    <w:rsid w:val="002E344B"/>
    <w:rsid w:val="002E46C4"/>
    <w:rsid w:val="002E4DDC"/>
    <w:rsid w:val="002E4EC0"/>
    <w:rsid w:val="002E5D6A"/>
    <w:rsid w:val="002F03AB"/>
    <w:rsid w:val="002F04B1"/>
    <w:rsid w:val="002F0C15"/>
    <w:rsid w:val="002F2199"/>
    <w:rsid w:val="002F2F51"/>
    <w:rsid w:val="002F4FD0"/>
    <w:rsid w:val="002F5DF6"/>
    <w:rsid w:val="00300AFD"/>
    <w:rsid w:val="0030155F"/>
    <w:rsid w:val="003019F3"/>
    <w:rsid w:val="00302480"/>
    <w:rsid w:val="00302758"/>
    <w:rsid w:val="00313271"/>
    <w:rsid w:val="003136DD"/>
    <w:rsid w:val="00313A17"/>
    <w:rsid w:val="003148BD"/>
    <w:rsid w:val="00316353"/>
    <w:rsid w:val="003165E6"/>
    <w:rsid w:val="003167D7"/>
    <w:rsid w:val="00317209"/>
    <w:rsid w:val="00317793"/>
    <w:rsid w:val="0032014E"/>
    <w:rsid w:val="003215B5"/>
    <w:rsid w:val="00321949"/>
    <w:rsid w:val="003221CF"/>
    <w:rsid w:val="00322C56"/>
    <w:rsid w:val="003233ED"/>
    <w:rsid w:val="00323791"/>
    <w:rsid w:val="00324D9F"/>
    <w:rsid w:val="00325075"/>
    <w:rsid w:val="0032516B"/>
    <w:rsid w:val="003253EE"/>
    <w:rsid w:val="0032743F"/>
    <w:rsid w:val="00327825"/>
    <w:rsid w:val="00327948"/>
    <w:rsid w:val="0033000F"/>
    <w:rsid w:val="003305EA"/>
    <w:rsid w:val="00330D60"/>
    <w:rsid w:val="00332011"/>
    <w:rsid w:val="00332518"/>
    <w:rsid w:val="00332925"/>
    <w:rsid w:val="00332E3F"/>
    <w:rsid w:val="003332ED"/>
    <w:rsid w:val="0033658D"/>
    <w:rsid w:val="003368DC"/>
    <w:rsid w:val="00336E9B"/>
    <w:rsid w:val="0033793A"/>
    <w:rsid w:val="00337962"/>
    <w:rsid w:val="00337FB0"/>
    <w:rsid w:val="003431E6"/>
    <w:rsid w:val="0034490B"/>
    <w:rsid w:val="00345927"/>
    <w:rsid w:val="00346CFA"/>
    <w:rsid w:val="00347E08"/>
    <w:rsid w:val="00350584"/>
    <w:rsid w:val="00351857"/>
    <w:rsid w:val="00352278"/>
    <w:rsid w:val="00354298"/>
    <w:rsid w:val="003545E8"/>
    <w:rsid w:val="00354FE4"/>
    <w:rsid w:val="00356138"/>
    <w:rsid w:val="00357BC9"/>
    <w:rsid w:val="00360DEC"/>
    <w:rsid w:val="003610E1"/>
    <w:rsid w:val="00361F84"/>
    <w:rsid w:val="003625CF"/>
    <w:rsid w:val="0036578F"/>
    <w:rsid w:val="00365862"/>
    <w:rsid w:val="00365E6B"/>
    <w:rsid w:val="0036714F"/>
    <w:rsid w:val="003671BE"/>
    <w:rsid w:val="00371A39"/>
    <w:rsid w:val="00372485"/>
    <w:rsid w:val="00372FB6"/>
    <w:rsid w:val="00373200"/>
    <w:rsid w:val="00375EF5"/>
    <w:rsid w:val="003767A5"/>
    <w:rsid w:val="00377EB9"/>
    <w:rsid w:val="003803BD"/>
    <w:rsid w:val="00381D15"/>
    <w:rsid w:val="00382CB6"/>
    <w:rsid w:val="003842F6"/>
    <w:rsid w:val="00385254"/>
    <w:rsid w:val="00385B21"/>
    <w:rsid w:val="00387244"/>
    <w:rsid w:val="003900A5"/>
    <w:rsid w:val="00390D91"/>
    <w:rsid w:val="003933E8"/>
    <w:rsid w:val="00394031"/>
    <w:rsid w:val="00395870"/>
    <w:rsid w:val="00396DC2"/>
    <w:rsid w:val="003979BB"/>
    <w:rsid w:val="003A04DB"/>
    <w:rsid w:val="003A1811"/>
    <w:rsid w:val="003A223B"/>
    <w:rsid w:val="003A30FB"/>
    <w:rsid w:val="003A39A9"/>
    <w:rsid w:val="003A3D3C"/>
    <w:rsid w:val="003A4098"/>
    <w:rsid w:val="003A5F5B"/>
    <w:rsid w:val="003A6201"/>
    <w:rsid w:val="003A789A"/>
    <w:rsid w:val="003A78D9"/>
    <w:rsid w:val="003B12EC"/>
    <w:rsid w:val="003B2112"/>
    <w:rsid w:val="003B441A"/>
    <w:rsid w:val="003B580A"/>
    <w:rsid w:val="003B5C51"/>
    <w:rsid w:val="003B6A56"/>
    <w:rsid w:val="003C03B8"/>
    <w:rsid w:val="003C04C1"/>
    <w:rsid w:val="003C20F2"/>
    <w:rsid w:val="003C24F3"/>
    <w:rsid w:val="003C2BAB"/>
    <w:rsid w:val="003C30BB"/>
    <w:rsid w:val="003C3DA4"/>
    <w:rsid w:val="003C4462"/>
    <w:rsid w:val="003C716C"/>
    <w:rsid w:val="003C77E0"/>
    <w:rsid w:val="003D17D7"/>
    <w:rsid w:val="003D183C"/>
    <w:rsid w:val="003D2678"/>
    <w:rsid w:val="003D3405"/>
    <w:rsid w:val="003D3620"/>
    <w:rsid w:val="003D6590"/>
    <w:rsid w:val="003D71A3"/>
    <w:rsid w:val="003D7B33"/>
    <w:rsid w:val="003E215F"/>
    <w:rsid w:val="003E2B8A"/>
    <w:rsid w:val="003E4AE8"/>
    <w:rsid w:val="003E6029"/>
    <w:rsid w:val="003E63F3"/>
    <w:rsid w:val="003E7F5B"/>
    <w:rsid w:val="003F10EE"/>
    <w:rsid w:val="003F16F6"/>
    <w:rsid w:val="003F2851"/>
    <w:rsid w:val="003F4DC7"/>
    <w:rsid w:val="003F4EA6"/>
    <w:rsid w:val="003F5235"/>
    <w:rsid w:val="003F6989"/>
    <w:rsid w:val="00400387"/>
    <w:rsid w:val="004021D0"/>
    <w:rsid w:val="0040274B"/>
    <w:rsid w:val="004027E4"/>
    <w:rsid w:val="0040395A"/>
    <w:rsid w:val="00404158"/>
    <w:rsid w:val="00406CB9"/>
    <w:rsid w:val="00406F6F"/>
    <w:rsid w:val="0040748A"/>
    <w:rsid w:val="0041071D"/>
    <w:rsid w:val="00410D45"/>
    <w:rsid w:val="00411439"/>
    <w:rsid w:val="00412097"/>
    <w:rsid w:val="00412A38"/>
    <w:rsid w:val="004139FB"/>
    <w:rsid w:val="00414AFC"/>
    <w:rsid w:val="004151A7"/>
    <w:rsid w:val="00415310"/>
    <w:rsid w:val="00416ECE"/>
    <w:rsid w:val="0041721A"/>
    <w:rsid w:val="004173F1"/>
    <w:rsid w:val="00417CF9"/>
    <w:rsid w:val="004207B9"/>
    <w:rsid w:val="00420E42"/>
    <w:rsid w:val="00421709"/>
    <w:rsid w:val="0042258E"/>
    <w:rsid w:val="0042357E"/>
    <w:rsid w:val="00423763"/>
    <w:rsid w:val="00423E7A"/>
    <w:rsid w:val="00425B94"/>
    <w:rsid w:val="00425DE2"/>
    <w:rsid w:val="00427409"/>
    <w:rsid w:val="0042762F"/>
    <w:rsid w:val="00427D9B"/>
    <w:rsid w:val="00427DC7"/>
    <w:rsid w:val="00431613"/>
    <w:rsid w:val="00431792"/>
    <w:rsid w:val="004324CC"/>
    <w:rsid w:val="0043297A"/>
    <w:rsid w:val="00432EB2"/>
    <w:rsid w:val="00433290"/>
    <w:rsid w:val="004353A7"/>
    <w:rsid w:val="00435D42"/>
    <w:rsid w:val="00435FEB"/>
    <w:rsid w:val="0043714F"/>
    <w:rsid w:val="00437CAD"/>
    <w:rsid w:val="0044045A"/>
    <w:rsid w:val="00440548"/>
    <w:rsid w:val="00442453"/>
    <w:rsid w:val="00442BF0"/>
    <w:rsid w:val="004438B5"/>
    <w:rsid w:val="004468E3"/>
    <w:rsid w:val="00447037"/>
    <w:rsid w:val="0044744F"/>
    <w:rsid w:val="00450FD1"/>
    <w:rsid w:val="0045124D"/>
    <w:rsid w:val="00451E67"/>
    <w:rsid w:val="00454596"/>
    <w:rsid w:val="00455CD9"/>
    <w:rsid w:val="0045605D"/>
    <w:rsid w:val="0045759A"/>
    <w:rsid w:val="00457A68"/>
    <w:rsid w:val="0046135B"/>
    <w:rsid w:val="00461D2C"/>
    <w:rsid w:val="00461D47"/>
    <w:rsid w:val="00461E56"/>
    <w:rsid w:val="004638A1"/>
    <w:rsid w:val="004641A4"/>
    <w:rsid w:val="0046434D"/>
    <w:rsid w:val="00464D5D"/>
    <w:rsid w:val="00464EAA"/>
    <w:rsid w:val="0046511A"/>
    <w:rsid w:val="00466028"/>
    <w:rsid w:val="0046617C"/>
    <w:rsid w:val="004666B9"/>
    <w:rsid w:val="004718CC"/>
    <w:rsid w:val="00471BC6"/>
    <w:rsid w:val="0047227D"/>
    <w:rsid w:val="00472A7C"/>
    <w:rsid w:val="0047471A"/>
    <w:rsid w:val="004750CA"/>
    <w:rsid w:val="004773C5"/>
    <w:rsid w:val="0048130E"/>
    <w:rsid w:val="00481695"/>
    <w:rsid w:val="00481F6B"/>
    <w:rsid w:val="004834C7"/>
    <w:rsid w:val="00483581"/>
    <w:rsid w:val="00486CB3"/>
    <w:rsid w:val="00486FF6"/>
    <w:rsid w:val="00490856"/>
    <w:rsid w:val="00492DA1"/>
    <w:rsid w:val="00493EFB"/>
    <w:rsid w:val="00495A96"/>
    <w:rsid w:val="00495BB3"/>
    <w:rsid w:val="004A2979"/>
    <w:rsid w:val="004A3649"/>
    <w:rsid w:val="004A56BB"/>
    <w:rsid w:val="004A6FFF"/>
    <w:rsid w:val="004A70D6"/>
    <w:rsid w:val="004B1751"/>
    <w:rsid w:val="004B3F64"/>
    <w:rsid w:val="004B4EE3"/>
    <w:rsid w:val="004B50FA"/>
    <w:rsid w:val="004B56BC"/>
    <w:rsid w:val="004B7D78"/>
    <w:rsid w:val="004C0253"/>
    <w:rsid w:val="004C07B3"/>
    <w:rsid w:val="004C322B"/>
    <w:rsid w:val="004C3A4D"/>
    <w:rsid w:val="004C3C66"/>
    <w:rsid w:val="004C45FA"/>
    <w:rsid w:val="004C4CCA"/>
    <w:rsid w:val="004C53A9"/>
    <w:rsid w:val="004C722B"/>
    <w:rsid w:val="004C73E1"/>
    <w:rsid w:val="004C7808"/>
    <w:rsid w:val="004D1E6F"/>
    <w:rsid w:val="004D444B"/>
    <w:rsid w:val="004D56FF"/>
    <w:rsid w:val="004E002C"/>
    <w:rsid w:val="004E0128"/>
    <w:rsid w:val="004E1A9A"/>
    <w:rsid w:val="004E39D3"/>
    <w:rsid w:val="004E508A"/>
    <w:rsid w:val="004E616D"/>
    <w:rsid w:val="004E644C"/>
    <w:rsid w:val="004E6CFA"/>
    <w:rsid w:val="004E76B9"/>
    <w:rsid w:val="004E7B0C"/>
    <w:rsid w:val="004F1BDE"/>
    <w:rsid w:val="004F2564"/>
    <w:rsid w:val="004F2CEE"/>
    <w:rsid w:val="004F37DF"/>
    <w:rsid w:val="004F556E"/>
    <w:rsid w:val="004F591C"/>
    <w:rsid w:val="004F5999"/>
    <w:rsid w:val="004F7190"/>
    <w:rsid w:val="004F7196"/>
    <w:rsid w:val="004F7F44"/>
    <w:rsid w:val="00500455"/>
    <w:rsid w:val="005006C9"/>
    <w:rsid w:val="00501918"/>
    <w:rsid w:val="005037B4"/>
    <w:rsid w:val="00505AD8"/>
    <w:rsid w:val="005079BF"/>
    <w:rsid w:val="0051269A"/>
    <w:rsid w:val="005157AA"/>
    <w:rsid w:val="00516AD3"/>
    <w:rsid w:val="00517141"/>
    <w:rsid w:val="00517B5B"/>
    <w:rsid w:val="00520AF3"/>
    <w:rsid w:val="005219E7"/>
    <w:rsid w:val="005233A2"/>
    <w:rsid w:val="00523D60"/>
    <w:rsid w:val="005249C0"/>
    <w:rsid w:val="00524A75"/>
    <w:rsid w:val="00527765"/>
    <w:rsid w:val="00531B9A"/>
    <w:rsid w:val="00531D15"/>
    <w:rsid w:val="00532362"/>
    <w:rsid w:val="005341DB"/>
    <w:rsid w:val="00534856"/>
    <w:rsid w:val="0053666E"/>
    <w:rsid w:val="00537216"/>
    <w:rsid w:val="00537604"/>
    <w:rsid w:val="0054218A"/>
    <w:rsid w:val="00542377"/>
    <w:rsid w:val="00542840"/>
    <w:rsid w:val="00545EA6"/>
    <w:rsid w:val="00545FC8"/>
    <w:rsid w:val="005476EB"/>
    <w:rsid w:val="00547A8B"/>
    <w:rsid w:val="005500F9"/>
    <w:rsid w:val="00551782"/>
    <w:rsid w:val="00551B13"/>
    <w:rsid w:val="00552EBE"/>
    <w:rsid w:val="0055426B"/>
    <w:rsid w:val="00557C4F"/>
    <w:rsid w:val="0056178A"/>
    <w:rsid w:val="0056361D"/>
    <w:rsid w:val="00563EF1"/>
    <w:rsid w:val="0056401E"/>
    <w:rsid w:val="00565FCF"/>
    <w:rsid w:val="00566AB4"/>
    <w:rsid w:val="00567C6E"/>
    <w:rsid w:val="00570F53"/>
    <w:rsid w:val="0057355C"/>
    <w:rsid w:val="00573812"/>
    <w:rsid w:val="005740C6"/>
    <w:rsid w:val="00575AC5"/>
    <w:rsid w:val="0057605D"/>
    <w:rsid w:val="005806E7"/>
    <w:rsid w:val="00580C8B"/>
    <w:rsid w:val="005811AB"/>
    <w:rsid w:val="00581347"/>
    <w:rsid w:val="00581AC9"/>
    <w:rsid w:val="005849F8"/>
    <w:rsid w:val="00584B51"/>
    <w:rsid w:val="005870B9"/>
    <w:rsid w:val="00587224"/>
    <w:rsid w:val="005872F6"/>
    <w:rsid w:val="005911BC"/>
    <w:rsid w:val="005931CE"/>
    <w:rsid w:val="0059329C"/>
    <w:rsid w:val="0059330C"/>
    <w:rsid w:val="005938DF"/>
    <w:rsid w:val="00593D32"/>
    <w:rsid w:val="005943F8"/>
    <w:rsid w:val="00594E9C"/>
    <w:rsid w:val="00596003"/>
    <w:rsid w:val="00597AFC"/>
    <w:rsid w:val="005A0540"/>
    <w:rsid w:val="005A099B"/>
    <w:rsid w:val="005A0C75"/>
    <w:rsid w:val="005A1249"/>
    <w:rsid w:val="005A2D9C"/>
    <w:rsid w:val="005A402B"/>
    <w:rsid w:val="005A55FE"/>
    <w:rsid w:val="005A68A0"/>
    <w:rsid w:val="005A68AA"/>
    <w:rsid w:val="005A6A11"/>
    <w:rsid w:val="005A7AB5"/>
    <w:rsid w:val="005B1E1F"/>
    <w:rsid w:val="005B2F0D"/>
    <w:rsid w:val="005B33C9"/>
    <w:rsid w:val="005B3DA6"/>
    <w:rsid w:val="005B4AED"/>
    <w:rsid w:val="005B5A64"/>
    <w:rsid w:val="005B7A98"/>
    <w:rsid w:val="005C01F6"/>
    <w:rsid w:val="005C118A"/>
    <w:rsid w:val="005C1218"/>
    <w:rsid w:val="005C1D86"/>
    <w:rsid w:val="005C2EDA"/>
    <w:rsid w:val="005C34EF"/>
    <w:rsid w:val="005C3632"/>
    <w:rsid w:val="005C4615"/>
    <w:rsid w:val="005C541F"/>
    <w:rsid w:val="005D2151"/>
    <w:rsid w:val="005D2502"/>
    <w:rsid w:val="005D40BB"/>
    <w:rsid w:val="005D47F3"/>
    <w:rsid w:val="005D49BF"/>
    <w:rsid w:val="005D4AA5"/>
    <w:rsid w:val="005D5C05"/>
    <w:rsid w:val="005D6F4E"/>
    <w:rsid w:val="005D77D4"/>
    <w:rsid w:val="005D7C73"/>
    <w:rsid w:val="005E0AC4"/>
    <w:rsid w:val="005E12FB"/>
    <w:rsid w:val="005E1891"/>
    <w:rsid w:val="005E250B"/>
    <w:rsid w:val="005E2B6D"/>
    <w:rsid w:val="005E3ACD"/>
    <w:rsid w:val="005E4A87"/>
    <w:rsid w:val="005E7226"/>
    <w:rsid w:val="005E737A"/>
    <w:rsid w:val="005E7A57"/>
    <w:rsid w:val="005F1467"/>
    <w:rsid w:val="005F24B0"/>
    <w:rsid w:val="005F2CF9"/>
    <w:rsid w:val="005F51C5"/>
    <w:rsid w:val="005F5333"/>
    <w:rsid w:val="005F55DB"/>
    <w:rsid w:val="005F7145"/>
    <w:rsid w:val="005F7B01"/>
    <w:rsid w:val="006006E2"/>
    <w:rsid w:val="006016AB"/>
    <w:rsid w:val="00604315"/>
    <w:rsid w:val="00604E26"/>
    <w:rsid w:val="0060523F"/>
    <w:rsid w:val="006052CF"/>
    <w:rsid w:val="0060730B"/>
    <w:rsid w:val="00607B8D"/>
    <w:rsid w:val="00610406"/>
    <w:rsid w:val="00611693"/>
    <w:rsid w:val="00611F5C"/>
    <w:rsid w:val="0061332B"/>
    <w:rsid w:val="00614846"/>
    <w:rsid w:val="00616E09"/>
    <w:rsid w:val="00620B99"/>
    <w:rsid w:val="00620CF6"/>
    <w:rsid w:val="00620F8B"/>
    <w:rsid w:val="00621895"/>
    <w:rsid w:val="00622A3B"/>
    <w:rsid w:val="00622EEA"/>
    <w:rsid w:val="0062396C"/>
    <w:rsid w:val="00623A1D"/>
    <w:rsid w:val="00623FF9"/>
    <w:rsid w:val="0062437D"/>
    <w:rsid w:val="00627D4E"/>
    <w:rsid w:val="00627FB2"/>
    <w:rsid w:val="00632372"/>
    <w:rsid w:val="00632B89"/>
    <w:rsid w:val="0063346D"/>
    <w:rsid w:val="00634478"/>
    <w:rsid w:val="00634CE7"/>
    <w:rsid w:val="006415B2"/>
    <w:rsid w:val="00642912"/>
    <w:rsid w:val="006432C8"/>
    <w:rsid w:val="00643465"/>
    <w:rsid w:val="00643C67"/>
    <w:rsid w:val="00644351"/>
    <w:rsid w:val="00644373"/>
    <w:rsid w:val="00645915"/>
    <w:rsid w:val="00646CC4"/>
    <w:rsid w:val="006519C3"/>
    <w:rsid w:val="00651A9A"/>
    <w:rsid w:val="00652A0F"/>
    <w:rsid w:val="00652B30"/>
    <w:rsid w:val="00653408"/>
    <w:rsid w:val="00655338"/>
    <w:rsid w:val="00655B41"/>
    <w:rsid w:val="00656345"/>
    <w:rsid w:val="00656DC6"/>
    <w:rsid w:val="006570BF"/>
    <w:rsid w:val="0065722D"/>
    <w:rsid w:val="00660EC6"/>
    <w:rsid w:val="00664110"/>
    <w:rsid w:val="00664D17"/>
    <w:rsid w:val="00666520"/>
    <w:rsid w:val="00667C5B"/>
    <w:rsid w:val="00673DE9"/>
    <w:rsid w:val="00675AE8"/>
    <w:rsid w:val="00675E3C"/>
    <w:rsid w:val="00676407"/>
    <w:rsid w:val="00680112"/>
    <w:rsid w:val="00680E18"/>
    <w:rsid w:val="00683744"/>
    <w:rsid w:val="006841F4"/>
    <w:rsid w:val="006848C5"/>
    <w:rsid w:val="006856D4"/>
    <w:rsid w:val="00691EB8"/>
    <w:rsid w:val="00692CDE"/>
    <w:rsid w:val="00693073"/>
    <w:rsid w:val="00696176"/>
    <w:rsid w:val="00696449"/>
    <w:rsid w:val="006977FF"/>
    <w:rsid w:val="006A01FA"/>
    <w:rsid w:val="006A0E9E"/>
    <w:rsid w:val="006A20CD"/>
    <w:rsid w:val="006A25C7"/>
    <w:rsid w:val="006A262B"/>
    <w:rsid w:val="006A39F0"/>
    <w:rsid w:val="006A3ECF"/>
    <w:rsid w:val="006A4AAD"/>
    <w:rsid w:val="006A4CCA"/>
    <w:rsid w:val="006A6197"/>
    <w:rsid w:val="006A6DA2"/>
    <w:rsid w:val="006A7AB2"/>
    <w:rsid w:val="006A7D93"/>
    <w:rsid w:val="006B0765"/>
    <w:rsid w:val="006B0912"/>
    <w:rsid w:val="006B1855"/>
    <w:rsid w:val="006B2874"/>
    <w:rsid w:val="006B3E03"/>
    <w:rsid w:val="006B52DE"/>
    <w:rsid w:val="006B5717"/>
    <w:rsid w:val="006B582F"/>
    <w:rsid w:val="006B5BFF"/>
    <w:rsid w:val="006B5EB2"/>
    <w:rsid w:val="006B6BB6"/>
    <w:rsid w:val="006C0CEB"/>
    <w:rsid w:val="006C1631"/>
    <w:rsid w:val="006C1ED9"/>
    <w:rsid w:val="006C3B05"/>
    <w:rsid w:val="006C3B1E"/>
    <w:rsid w:val="006C47FD"/>
    <w:rsid w:val="006C5C19"/>
    <w:rsid w:val="006C5F3E"/>
    <w:rsid w:val="006C5FD4"/>
    <w:rsid w:val="006C70A0"/>
    <w:rsid w:val="006D0002"/>
    <w:rsid w:val="006D0AFD"/>
    <w:rsid w:val="006D27CB"/>
    <w:rsid w:val="006D2F08"/>
    <w:rsid w:val="006D3AD6"/>
    <w:rsid w:val="006D3D5E"/>
    <w:rsid w:val="006D576C"/>
    <w:rsid w:val="006D5865"/>
    <w:rsid w:val="006E0626"/>
    <w:rsid w:val="006E0B1B"/>
    <w:rsid w:val="006E151A"/>
    <w:rsid w:val="006E3A6D"/>
    <w:rsid w:val="006E4B1B"/>
    <w:rsid w:val="006E5445"/>
    <w:rsid w:val="006E56F0"/>
    <w:rsid w:val="006E7D93"/>
    <w:rsid w:val="006F1CCA"/>
    <w:rsid w:val="006F2213"/>
    <w:rsid w:val="006F4012"/>
    <w:rsid w:val="006F47AB"/>
    <w:rsid w:val="006F4B6D"/>
    <w:rsid w:val="006F67F4"/>
    <w:rsid w:val="006F6DEF"/>
    <w:rsid w:val="006F7FD5"/>
    <w:rsid w:val="0070133D"/>
    <w:rsid w:val="00701643"/>
    <w:rsid w:val="007029A3"/>
    <w:rsid w:val="00702EB0"/>
    <w:rsid w:val="007037F9"/>
    <w:rsid w:val="00705393"/>
    <w:rsid w:val="00706E4E"/>
    <w:rsid w:val="007078B6"/>
    <w:rsid w:val="0070791C"/>
    <w:rsid w:val="00711AF4"/>
    <w:rsid w:val="00711F0F"/>
    <w:rsid w:val="00712045"/>
    <w:rsid w:val="00712FBB"/>
    <w:rsid w:val="0071383C"/>
    <w:rsid w:val="007141A7"/>
    <w:rsid w:val="0071554A"/>
    <w:rsid w:val="00715722"/>
    <w:rsid w:val="00715BAF"/>
    <w:rsid w:val="00716825"/>
    <w:rsid w:val="00721032"/>
    <w:rsid w:val="00721B55"/>
    <w:rsid w:val="00723AA2"/>
    <w:rsid w:val="00725100"/>
    <w:rsid w:val="00725339"/>
    <w:rsid w:val="0072593F"/>
    <w:rsid w:val="00726CE4"/>
    <w:rsid w:val="00731725"/>
    <w:rsid w:val="00734143"/>
    <w:rsid w:val="0073565E"/>
    <w:rsid w:val="00736068"/>
    <w:rsid w:val="00736892"/>
    <w:rsid w:val="00736E5C"/>
    <w:rsid w:val="00737E47"/>
    <w:rsid w:val="007409F7"/>
    <w:rsid w:val="00740EAC"/>
    <w:rsid w:val="0074293F"/>
    <w:rsid w:val="00743DE1"/>
    <w:rsid w:val="00744956"/>
    <w:rsid w:val="007449BF"/>
    <w:rsid w:val="007451A6"/>
    <w:rsid w:val="00745A5C"/>
    <w:rsid w:val="0074605F"/>
    <w:rsid w:val="007474BD"/>
    <w:rsid w:val="00747E94"/>
    <w:rsid w:val="007507EE"/>
    <w:rsid w:val="0075378E"/>
    <w:rsid w:val="00753F7A"/>
    <w:rsid w:val="00754AF4"/>
    <w:rsid w:val="00754C83"/>
    <w:rsid w:val="00755128"/>
    <w:rsid w:val="0075589A"/>
    <w:rsid w:val="007565F2"/>
    <w:rsid w:val="00756914"/>
    <w:rsid w:val="00760FAC"/>
    <w:rsid w:val="00761E5C"/>
    <w:rsid w:val="00762DC6"/>
    <w:rsid w:val="00763AF5"/>
    <w:rsid w:val="00764504"/>
    <w:rsid w:val="00764F52"/>
    <w:rsid w:val="00765DF8"/>
    <w:rsid w:val="00766749"/>
    <w:rsid w:val="00767949"/>
    <w:rsid w:val="00767C1B"/>
    <w:rsid w:val="00767C8D"/>
    <w:rsid w:val="007702CC"/>
    <w:rsid w:val="00770B3F"/>
    <w:rsid w:val="007714A9"/>
    <w:rsid w:val="007714FE"/>
    <w:rsid w:val="00772CDC"/>
    <w:rsid w:val="00773743"/>
    <w:rsid w:val="00774F88"/>
    <w:rsid w:val="00774FDB"/>
    <w:rsid w:val="007751A8"/>
    <w:rsid w:val="00777124"/>
    <w:rsid w:val="00777B5A"/>
    <w:rsid w:val="00777BA2"/>
    <w:rsid w:val="00780843"/>
    <w:rsid w:val="0078110C"/>
    <w:rsid w:val="00781408"/>
    <w:rsid w:val="00781E1E"/>
    <w:rsid w:val="00783080"/>
    <w:rsid w:val="00784F7F"/>
    <w:rsid w:val="007878BD"/>
    <w:rsid w:val="007879F3"/>
    <w:rsid w:val="007905CB"/>
    <w:rsid w:val="00795269"/>
    <w:rsid w:val="00796271"/>
    <w:rsid w:val="00796F25"/>
    <w:rsid w:val="007A07B5"/>
    <w:rsid w:val="007A186E"/>
    <w:rsid w:val="007A2E98"/>
    <w:rsid w:val="007A3BA3"/>
    <w:rsid w:val="007A4211"/>
    <w:rsid w:val="007A6CC0"/>
    <w:rsid w:val="007A7EC0"/>
    <w:rsid w:val="007A7FEC"/>
    <w:rsid w:val="007B1499"/>
    <w:rsid w:val="007B1BBF"/>
    <w:rsid w:val="007B1ED1"/>
    <w:rsid w:val="007B2432"/>
    <w:rsid w:val="007B2960"/>
    <w:rsid w:val="007B355D"/>
    <w:rsid w:val="007B631A"/>
    <w:rsid w:val="007B7980"/>
    <w:rsid w:val="007C0C96"/>
    <w:rsid w:val="007C0DEF"/>
    <w:rsid w:val="007C1AF4"/>
    <w:rsid w:val="007C22AE"/>
    <w:rsid w:val="007C240E"/>
    <w:rsid w:val="007C2AC9"/>
    <w:rsid w:val="007C35B9"/>
    <w:rsid w:val="007C49A7"/>
    <w:rsid w:val="007C5D5A"/>
    <w:rsid w:val="007C607F"/>
    <w:rsid w:val="007C79DD"/>
    <w:rsid w:val="007C7AE7"/>
    <w:rsid w:val="007D04B9"/>
    <w:rsid w:val="007D0C4E"/>
    <w:rsid w:val="007D13F9"/>
    <w:rsid w:val="007D1A97"/>
    <w:rsid w:val="007D2CD6"/>
    <w:rsid w:val="007D3063"/>
    <w:rsid w:val="007D3CEB"/>
    <w:rsid w:val="007D6D52"/>
    <w:rsid w:val="007D783C"/>
    <w:rsid w:val="007D7F7C"/>
    <w:rsid w:val="007E06B8"/>
    <w:rsid w:val="007E0F80"/>
    <w:rsid w:val="007E24CE"/>
    <w:rsid w:val="007E275C"/>
    <w:rsid w:val="007E3232"/>
    <w:rsid w:val="007E4128"/>
    <w:rsid w:val="007E5B7A"/>
    <w:rsid w:val="007E6AAF"/>
    <w:rsid w:val="007E7683"/>
    <w:rsid w:val="007E7878"/>
    <w:rsid w:val="007F0E5E"/>
    <w:rsid w:val="007F1AF5"/>
    <w:rsid w:val="007F2D2F"/>
    <w:rsid w:val="007F49FA"/>
    <w:rsid w:val="007F54C4"/>
    <w:rsid w:val="007F6E9A"/>
    <w:rsid w:val="007F6FD7"/>
    <w:rsid w:val="007F79F8"/>
    <w:rsid w:val="007F7AE5"/>
    <w:rsid w:val="00800CCD"/>
    <w:rsid w:val="008011F8"/>
    <w:rsid w:val="00801FEB"/>
    <w:rsid w:val="00803052"/>
    <w:rsid w:val="008044D4"/>
    <w:rsid w:val="0080535B"/>
    <w:rsid w:val="00805CFE"/>
    <w:rsid w:val="00810798"/>
    <w:rsid w:val="00810AB4"/>
    <w:rsid w:val="008133FA"/>
    <w:rsid w:val="00816840"/>
    <w:rsid w:val="00817B56"/>
    <w:rsid w:val="00821341"/>
    <w:rsid w:val="0082179D"/>
    <w:rsid w:val="00821A88"/>
    <w:rsid w:val="00821B0D"/>
    <w:rsid w:val="00822022"/>
    <w:rsid w:val="00822FEC"/>
    <w:rsid w:val="0082322E"/>
    <w:rsid w:val="0082495D"/>
    <w:rsid w:val="008272D2"/>
    <w:rsid w:val="00830B44"/>
    <w:rsid w:val="00831AC3"/>
    <w:rsid w:val="0083306D"/>
    <w:rsid w:val="00834277"/>
    <w:rsid w:val="008352B2"/>
    <w:rsid w:val="00835EF7"/>
    <w:rsid w:val="00836FCE"/>
    <w:rsid w:val="0084011E"/>
    <w:rsid w:val="008408FF"/>
    <w:rsid w:val="0084782E"/>
    <w:rsid w:val="008500E5"/>
    <w:rsid w:val="00851F3F"/>
    <w:rsid w:val="00852FB3"/>
    <w:rsid w:val="00854621"/>
    <w:rsid w:val="00856A26"/>
    <w:rsid w:val="00856EDC"/>
    <w:rsid w:val="00857795"/>
    <w:rsid w:val="008623B5"/>
    <w:rsid w:val="0086320C"/>
    <w:rsid w:val="00863A9E"/>
    <w:rsid w:val="00870ABA"/>
    <w:rsid w:val="00870D5D"/>
    <w:rsid w:val="008710E1"/>
    <w:rsid w:val="008716E5"/>
    <w:rsid w:val="00873E42"/>
    <w:rsid w:val="00874765"/>
    <w:rsid w:val="0087660F"/>
    <w:rsid w:val="008773F3"/>
    <w:rsid w:val="008811BA"/>
    <w:rsid w:val="00881CA9"/>
    <w:rsid w:val="00882AFA"/>
    <w:rsid w:val="00883628"/>
    <w:rsid w:val="008852B7"/>
    <w:rsid w:val="00885544"/>
    <w:rsid w:val="00885D17"/>
    <w:rsid w:val="00885F55"/>
    <w:rsid w:val="0088614C"/>
    <w:rsid w:val="0088634E"/>
    <w:rsid w:val="00891DC1"/>
    <w:rsid w:val="00893AB8"/>
    <w:rsid w:val="008943B0"/>
    <w:rsid w:val="00897518"/>
    <w:rsid w:val="008A02CF"/>
    <w:rsid w:val="008A04C8"/>
    <w:rsid w:val="008A4066"/>
    <w:rsid w:val="008A47E3"/>
    <w:rsid w:val="008A6913"/>
    <w:rsid w:val="008B3CD9"/>
    <w:rsid w:val="008B4ED6"/>
    <w:rsid w:val="008B57D3"/>
    <w:rsid w:val="008B70F3"/>
    <w:rsid w:val="008B71C4"/>
    <w:rsid w:val="008B76DF"/>
    <w:rsid w:val="008B7F7C"/>
    <w:rsid w:val="008C0645"/>
    <w:rsid w:val="008C10F4"/>
    <w:rsid w:val="008C5996"/>
    <w:rsid w:val="008C5B25"/>
    <w:rsid w:val="008C64D0"/>
    <w:rsid w:val="008C65F7"/>
    <w:rsid w:val="008C764B"/>
    <w:rsid w:val="008C7B64"/>
    <w:rsid w:val="008D09BE"/>
    <w:rsid w:val="008D26C2"/>
    <w:rsid w:val="008D2989"/>
    <w:rsid w:val="008D2F88"/>
    <w:rsid w:val="008D4C50"/>
    <w:rsid w:val="008D7299"/>
    <w:rsid w:val="008E040E"/>
    <w:rsid w:val="008E0428"/>
    <w:rsid w:val="008E4767"/>
    <w:rsid w:val="008E52D1"/>
    <w:rsid w:val="008E5711"/>
    <w:rsid w:val="008E7A8C"/>
    <w:rsid w:val="008F0441"/>
    <w:rsid w:val="008F0F99"/>
    <w:rsid w:val="008F1D40"/>
    <w:rsid w:val="008F292C"/>
    <w:rsid w:val="008F59CD"/>
    <w:rsid w:val="008F6B5E"/>
    <w:rsid w:val="008F7BCD"/>
    <w:rsid w:val="0090203B"/>
    <w:rsid w:val="00903285"/>
    <w:rsid w:val="00903B91"/>
    <w:rsid w:val="009061FF"/>
    <w:rsid w:val="00906936"/>
    <w:rsid w:val="00906F40"/>
    <w:rsid w:val="0090731E"/>
    <w:rsid w:val="0090766C"/>
    <w:rsid w:val="0090799E"/>
    <w:rsid w:val="00910527"/>
    <w:rsid w:val="00910815"/>
    <w:rsid w:val="009109DB"/>
    <w:rsid w:val="00911151"/>
    <w:rsid w:val="00915B1C"/>
    <w:rsid w:val="00915F80"/>
    <w:rsid w:val="009174F3"/>
    <w:rsid w:val="0091797D"/>
    <w:rsid w:val="009179AD"/>
    <w:rsid w:val="00917A70"/>
    <w:rsid w:val="00920DF1"/>
    <w:rsid w:val="009212DD"/>
    <w:rsid w:val="0092196F"/>
    <w:rsid w:val="0092209B"/>
    <w:rsid w:val="00923CBA"/>
    <w:rsid w:val="009251CD"/>
    <w:rsid w:val="00926266"/>
    <w:rsid w:val="00926703"/>
    <w:rsid w:val="00927436"/>
    <w:rsid w:val="00927691"/>
    <w:rsid w:val="00927A5F"/>
    <w:rsid w:val="00930510"/>
    <w:rsid w:val="0093143C"/>
    <w:rsid w:val="0093193F"/>
    <w:rsid w:val="009322C2"/>
    <w:rsid w:val="00935B63"/>
    <w:rsid w:val="009363D9"/>
    <w:rsid w:val="00936E95"/>
    <w:rsid w:val="0094078F"/>
    <w:rsid w:val="00940FA3"/>
    <w:rsid w:val="00941663"/>
    <w:rsid w:val="00941FB0"/>
    <w:rsid w:val="009426D4"/>
    <w:rsid w:val="009434A7"/>
    <w:rsid w:val="009458EC"/>
    <w:rsid w:val="009470FE"/>
    <w:rsid w:val="0094747B"/>
    <w:rsid w:val="00947573"/>
    <w:rsid w:val="00947F25"/>
    <w:rsid w:val="00950159"/>
    <w:rsid w:val="0095490B"/>
    <w:rsid w:val="00955DD7"/>
    <w:rsid w:val="0095645C"/>
    <w:rsid w:val="00957C26"/>
    <w:rsid w:val="00957F9E"/>
    <w:rsid w:val="00960A33"/>
    <w:rsid w:val="00961FE6"/>
    <w:rsid w:val="00962044"/>
    <w:rsid w:val="00962D2F"/>
    <w:rsid w:val="00965ECB"/>
    <w:rsid w:val="009671AE"/>
    <w:rsid w:val="00967521"/>
    <w:rsid w:val="00967FF4"/>
    <w:rsid w:val="00971914"/>
    <w:rsid w:val="0097231E"/>
    <w:rsid w:val="00972A97"/>
    <w:rsid w:val="00973511"/>
    <w:rsid w:val="00974363"/>
    <w:rsid w:val="009755E3"/>
    <w:rsid w:val="00981898"/>
    <w:rsid w:val="00981FB0"/>
    <w:rsid w:val="00985275"/>
    <w:rsid w:val="00986ED8"/>
    <w:rsid w:val="00987862"/>
    <w:rsid w:val="00991F6B"/>
    <w:rsid w:val="009931B2"/>
    <w:rsid w:val="0099331A"/>
    <w:rsid w:val="0099577C"/>
    <w:rsid w:val="00997353"/>
    <w:rsid w:val="00997562"/>
    <w:rsid w:val="009A021C"/>
    <w:rsid w:val="009A0961"/>
    <w:rsid w:val="009A0972"/>
    <w:rsid w:val="009A25CC"/>
    <w:rsid w:val="009A378C"/>
    <w:rsid w:val="009A395C"/>
    <w:rsid w:val="009A4C03"/>
    <w:rsid w:val="009A5B0D"/>
    <w:rsid w:val="009A7CBC"/>
    <w:rsid w:val="009B0465"/>
    <w:rsid w:val="009B0D32"/>
    <w:rsid w:val="009B2225"/>
    <w:rsid w:val="009B24A5"/>
    <w:rsid w:val="009B2560"/>
    <w:rsid w:val="009B2601"/>
    <w:rsid w:val="009B4E9E"/>
    <w:rsid w:val="009B6E6A"/>
    <w:rsid w:val="009C1690"/>
    <w:rsid w:val="009C2480"/>
    <w:rsid w:val="009C44F8"/>
    <w:rsid w:val="009C6881"/>
    <w:rsid w:val="009C7759"/>
    <w:rsid w:val="009C7FC3"/>
    <w:rsid w:val="009D043D"/>
    <w:rsid w:val="009D07C8"/>
    <w:rsid w:val="009D0FBD"/>
    <w:rsid w:val="009D2339"/>
    <w:rsid w:val="009D3CDA"/>
    <w:rsid w:val="009D45E3"/>
    <w:rsid w:val="009D4C85"/>
    <w:rsid w:val="009D6C71"/>
    <w:rsid w:val="009E0631"/>
    <w:rsid w:val="009E16D0"/>
    <w:rsid w:val="009E1B67"/>
    <w:rsid w:val="009E2051"/>
    <w:rsid w:val="009E29E4"/>
    <w:rsid w:val="009E38FD"/>
    <w:rsid w:val="009E3FAC"/>
    <w:rsid w:val="009E4479"/>
    <w:rsid w:val="009E63DE"/>
    <w:rsid w:val="009F13D6"/>
    <w:rsid w:val="009F4B86"/>
    <w:rsid w:val="009F4C6B"/>
    <w:rsid w:val="009F5A8C"/>
    <w:rsid w:val="009F78A8"/>
    <w:rsid w:val="00A017E0"/>
    <w:rsid w:val="00A025B2"/>
    <w:rsid w:val="00A02AD6"/>
    <w:rsid w:val="00A05C23"/>
    <w:rsid w:val="00A05FD8"/>
    <w:rsid w:val="00A07096"/>
    <w:rsid w:val="00A07318"/>
    <w:rsid w:val="00A07E2A"/>
    <w:rsid w:val="00A11370"/>
    <w:rsid w:val="00A116FF"/>
    <w:rsid w:val="00A129E7"/>
    <w:rsid w:val="00A12CC7"/>
    <w:rsid w:val="00A135B2"/>
    <w:rsid w:val="00A13AB2"/>
    <w:rsid w:val="00A150E3"/>
    <w:rsid w:val="00A159E6"/>
    <w:rsid w:val="00A215FB"/>
    <w:rsid w:val="00A224CE"/>
    <w:rsid w:val="00A22522"/>
    <w:rsid w:val="00A248E0"/>
    <w:rsid w:val="00A24AFD"/>
    <w:rsid w:val="00A24F5C"/>
    <w:rsid w:val="00A26CC4"/>
    <w:rsid w:val="00A26DE3"/>
    <w:rsid w:val="00A26EE5"/>
    <w:rsid w:val="00A314A8"/>
    <w:rsid w:val="00A32F96"/>
    <w:rsid w:val="00A33462"/>
    <w:rsid w:val="00A35008"/>
    <w:rsid w:val="00A36130"/>
    <w:rsid w:val="00A36D2A"/>
    <w:rsid w:val="00A40871"/>
    <w:rsid w:val="00A40A42"/>
    <w:rsid w:val="00A411F8"/>
    <w:rsid w:val="00A412AB"/>
    <w:rsid w:val="00A4193E"/>
    <w:rsid w:val="00A423D3"/>
    <w:rsid w:val="00A42730"/>
    <w:rsid w:val="00A440E0"/>
    <w:rsid w:val="00A442EF"/>
    <w:rsid w:val="00A45F8D"/>
    <w:rsid w:val="00A51D1A"/>
    <w:rsid w:val="00A537F9"/>
    <w:rsid w:val="00A5418D"/>
    <w:rsid w:val="00A5454E"/>
    <w:rsid w:val="00A5474E"/>
    <w:rsid w:val="00A56E69"/>
    <w:rsid w:val="00A573A6"/>
    <w:rsid w:val="00A61157"/>
    <w:rsid w:val="00A612E2"/>
    <w:rsid w:val="00A6263E"/>
    <w:rsid w:val="00A629B1"/>
    <w:rsid w:val="00A6330B"/>
    <w:rsid w:val="00A635B6"/>
    <w:rsid w:val="00A637C1"/>
    <w:rsid w:val="00A63D42"/>
    <w:rsid w:val="00A63D91"/>
    <w:rsid w:val="00A64234"/>
    <w:rsid w:val="00A671C5"/>
    <w:rsid w:val="00A70307"/>
    <w:rsid w:val="00A70ADF"/>
    <w:rsid w:val="00A71466"/>
    <w:rsid w:val="00A71654"/>
    <w:rsid w:val="00A74B5E"/>
    <w:rsid w:val="00A74E9D"/>
    <w:rsid w:val="00A75F4D"/>
    <w:rsid w:val="00A779CD"/>
    <w:rsid w:val="00A81BED"/>
    <w:rsid w:val="00A81EC4"/>
    <w:rsid w:val="00A824E8"/>
    <w:rsid w:val="00A82661"/>
    <w:rsid w:val="00A8390B"/>
    <w:rsid w:val="00A83D7E"/>
    <w:rsid w:val="00A85722"/>
    <w:rsid w:val="00A85C35"/>
    <w:rsid w:val="00A93070"/>
    <w:rsid w:val="00A9355D"/>
    <w:rsid w:val="00A9604E"/>
    <w:rsid w:val="00A967FD"/>
    <w:rsid w:val="00AA05A7"/>
    <w:rsid w:val="00AA2DE5"/>
    <w:rsid w:val="00AA2EEB"/>
    <w:rsid w:val="00AA3983"/>
    <w:rsid w:val="00AA4EF0"/>
    <w:rsid w:val="00AA6072"/>
    <w:rsid w:val="00AB156C"/>
    <w:rsid w:val="00AB1632"/>
    <w:rsid w:val="00AB2FFB"/>
    <w:rsid w:val="00AB4BCA"/>
    <w:rsid w:val="00AB6814"/>
    <w:rsid w:val="00AC04BA"/>
    <w:rsid w:val="00AC0AD1"/>
    <w:rsid w:val="00AC0E39"/>
    <w:rsid w:val="00AC17FF"/>
    <w:rsid w:val="00AC2AE6"/>
    <w:rsid w:val="00AC2DD0"/>
    <w:rsid w:val="00AC6B1A"/>
    <w:rsid w:val="00AD0DBF"/>
    <w:rsid w:val="00AD3082"/>
    <w:rsid w:val="00AD32B4"/>
    <w:rsid w:val="00AD4239"/>
    <w:rsid w:val="00AD4AD0"/>
    <w:rsid w:val="00AD4E3A"/>
    <w:rsid w:val="00AD52EC"/>
    <w:rsid w:val="00AD5436"/>
    <w:rsid w:val="00AD60CD"/>
    <w:rsid w:val="00AD6C8C"/>
    <w:rsid w:val="00AE0745"/>
    <w:rsid w:val="00AE091D"/>
    <w:rsid w:val="00AE3423"/>
    <w:rsid w:val="00AE3B60"/>
    <w:rsid w:val="00AE50F3"/>
    <w:rsid w:val="00AE53A1"/>
    <w:rsid w:val="00AE6361"/>
    <w:rsid w:val="00AE68A7"/>
    <w:rsid w:val="00AE70A1"/>
    <w:rsid w:val="00AF1D4F"/>
    <w:rsid w:val="00AF2484"/>
    <w:rsid w:val="00AF3554"/>
    <w:rsid w:val="00AF63E7"/>
    <w:rsid w:val="00AF6405"/>
    <w:rsid w:val="00AF6E17"/>
    <w:rsid w:val="00B0048A"/>
    <w:rsid w:val="00B0165D"/>
    <w:rsid w:val="00B01882"/>
    <w:rsid w:val="00B01B60"/>
    <w:rsid w:val="00B02A68"/>
    <w:rsid w:val="00B031F3"/>
    <w:rsid w:val="00B052A4"/>
    <w:rsid w:val="00B064A8"/>
    <w:rsid w:val="00B119A9"/>
    <w:rsid w:val="00B125DE"/>
    <w:rsid w:val="00B13FDD"/>
    <w:rsid w:val="00B14282"/>
    <w:rsid w:val="00B14D0B"/>
    <w:rsid w:val="00B14F33"/>
    <w:rsid w:val="00B14FFA"/>
    <w:rsid w:val="00B16EB3"/>
    <w:rsid w:val="00B17BC9"/>
    <w:rsid w:val="00B204B8"/>
    <w:rsid w:val="00B22EB2"/>
    <w:rsid w:val="00B23B90"/>
    <w:rsid w:val="00B26810"/>
    <w:rsid w:val="00B27442"/>
    <w:rsid w:val="00B31167"/>
    <w:rsid w:val="00B329D8"/>
    <w:rsid w:val="00B32BB9"/>
    <w:rsid w:val="00B330E8"/>
    <w:rsid w:val="00B33AE1"/>
    <w:rsid w:val="00B3408E"/>
    <w:rsid w:val="00B3459C"/>
    <w:rsid w:val="00B349E7"/>
    <w:rsid w:val="00B34FAC"/>
    <w:rsid w:val="00B35F40"/>
    <w:rsid w:val="00B36DF6"/>
    <w:rsid w:val="00B3748F"/>
    <w:rsid w:val="00B37C38"/>
    <w:rsid w:val="00B37C3F"/>
    <w:rsid w:val="00B4283C"/>
    <w:rsid w:val="00B4288C"/>
    <w:rsid w:val="00B43262"/>
    <w:rsid w:val="00B43464"/>
    <w:rsid w:val="00B44100"/>
    <w:rsid w:val="00B44B46"/>
    <w:rsid w:val="00B465A5"/>
    <w:rsid w:val="00B46CBA"/>
    <w:rsid w:val="00B46F94"/>
    <w:rsid w:val="00B54365"/>
    <w:rsid w:val="00B5592E"/>
    <w:rsid w:val="00B5661C"/>
    <w:rsid w:val="00B6003C"/>
    <w:rsid w:val="00B6102E"/>
    <w:rsid w:val="00B6119A"/>
    <w:rsid w:val="00B61479"/>
    <w:rsid w:val="00B61F03"/>
    <w:rsid w:val="00B621D1"/>
    <w:rsid w:val="00B622F4"/>
    <w:rsid w:val="00B626E4"/>
    <w:rsid w:val="00B64CB7"/>
    <w:rsid w:val="00B65950"/>
    <w:rsid w:val="00B66128"/>
    <w:rsid w:val="00B66BE2"/>
    <w:rsid w:val="00B71834"/>
    <w:rsid w:val="00B72AF6"/>
    <w:rsid w:val="00B72F4A"/>
    <w:rsid w:val="00B77544"/>
    <w:rsid w:val="00B8201A"/>
    <w:rsid w:val="00B83659"/>
    <w:rsid w:val="00B83B4E"/>
    <w:rsid w:val="00B83C27"/>
    <w:rsid w:val="00B84BC3"/>
    <w:rsid w:val="00B84BDD"/>
    <w:rsid w:val="00B90FA2"/>
    <w:rsid w:val="00B91A44"/>
    <w:rsid w:val="00B92812"/>
    <w:rsid w:val="00B949DF"/>
    <w:rsid w:val="00B94EAF"/>
    <w:rsid w:val="00B95DC8"/>
    <w:rsid w:val="00BA0F58"/>
    <w:rsid w:val="00BA1D4A"/>
    <w:rsid w:val="00BA20BD"/>
    <w:rsid w:val="00BA408E"/>
    <w:rsid w:val="00BA646C"/>
    <w:rsid w:val="00BA66BC"/>
    <w:rsid w:val="00BA6B8E"/>
    <w:rsid w:val="00BB1140"/>
    <w:rsid w:val="00BB3206"/>
    <w:rsid w:val="00BB45A1"/>
    <w:rsid w:val="00BB59C7"/>
    <w:rsid w:val="00BB6335"/>
    <w:rsid w:val="00BB6480"/>
    <w:rsid w:val="00BB7686"/>
    <w:rsid w:val="00BB7802"/>
    <w:rsid w:val="00BC04F6"/>
    <w:rsid w:val="00BC16ED"/>
    <w:rsid w:val="00BC23F9"/>
    <w:rsid w:val="00BC3421"/>
    <w:rsid w:val="00BC35D5"/>
    <w:rsid w:val="00BC4F45"/>
    <w:rsid w:val="00BC6E73"/>
    <w:rsid w:val="00BC732C"/>
    <w:rsid w:val="00BD12D2"/>
    <w:rsid w:val="00BD1F95"/>
    <w:rsid w:val="00BD2778"/>
    <w:rsid w:val="00BD31FC"/>
    <w:rsid w:val="00BD4298"/>
    <w:rsid w:val="00BD4421"/>
    <w:rsid w:val="00BD4CE4"/>
    <w:rsid w:val="00BD552F"/>
    <w:rsid w:val="00BD71B6"/>
    <w:rsid w:val="00BD7B15"/>
    <w:rsid w:val="00BD7B7D"/>
    <w:rsid w:val="00BE1896"/>
    <w:rsid w:val="00BE2485"/>
    <w:rsid w:val="00BE2580"/>
    <w:rsid w:val="00BE266D"/>
    <w:rsid w:val="00BE3938"/>
    <w:rsid w:val="00BE4C11"/>
    <w:rsid w:val="00BE4D68"/>
    <w:rsid w:val="00BE62CC"/>
    <w:rsid w:val="00BE6338"/>
    <w:rsid w:val="00BE71C0"/>
    <w:rsid w:val="00BE72A2"/>
    <w:rsid w:val="00BE74B0"/>
    <w:rsid w:val="00BF09A8"/>
    <w:rsid w:val="00BF130C"/>
    <w:rsid w:val="00BF2534"/>
    <w:rsid w:val="00BF4402"/>
    <w:rsid w:val="00BF610C"/>
    <w:rsid w:val="00BF7667"/>
    <w:rsid w:val="00C0060B"/>
    <w:rsid w:val="00C01A6C"/>
    <w:rsid w:val="00C0277D"/>
    <w:rsid w:val="00C02F26"/>
    <w:rsid w:val="00C053A1"/>
    <w:rsid w:val="00C1047E"/>
    <w:rsid w:val="00C11449"/>
    <w:rsid w:val="00C13CA7"/>
    <w:rsid w:val="00C14063"/>
    <w:rsid w:val="00C14870"/>
    <w:rsid w:val="00C16198"/>
    <w:rsid w:val="00C1738E"/>
    <w:rsid w:val="00C17CAB"/>
    <w:rsid w:val="00C201D2"/>
    <w:rsid w:val="00C2083D"/>
    <w:rsid w:val="00C20E52"/>
    <w:rsid w:val="00C2185B"/>
    <w:rsid w:val="00C221D6"/>
    <w:rsid w:val="00C22D2E"/>
    <w:rsid w:val="00C23D0F"/>
    <w:rsid w:val="00C24466"/>
    <w:rsid w:val="00C24A53"/>
    <w:rsid w:val="00C24AA2"/>
    <w:rsid w:val="00C312BE"/>
    <w:rsid w:val="00C32E02"/>
    <w:rsid w:val="00C340A9"/>
    <w:rsid w:val="00C3431E"/>
    <w:rsid w:val="00C34761"/>
    <w:rsid w:val="00C347CC"/>
    <w:rsid w:val="00C34A05"/>
    <w:rsid w:val="00C35CCE"/>
    <w:rsid w:val="00C365CA"/>
    <w:rsid w:val="00C4032F"/>
    <w:rsid w:val="00C4096E"/>
    <w:rsid w:val="00C41F21"/>
    <w:rsid w:val="00C44047"/>
    <w:rsid w:val="00C44A9B"/>
    <w:rsid w:val="00C45155"/>
    <w:rsid w:val="00C4573D"/>
    <w:rsid w:val="00C51E70"/>
    <w:rsid w:val="00C54901"/>
    <w:rsid w:val="00C5498F"/>
    <w:rsid w:val="00C54D75"/>
    <w:rsid w:val="00C55235"/>
    <w:rsid w:val="00C60049"/>
    <w:rsid w:val="00C60B32"/>
    <w:rsid w:val="00C64CD0"/>
    <w:rsid w:val="00C652B6"/>
    <w:rsid w:val="00C65F61"/>
    <w:rsid w:val="00C6684F"/>
    <w:rsid w:val="00C674C2"/>
    <w:rsid w:val="00C709EC"/>
    <w:rsid w:val="00C70E70"/>
    <w:rsid w:val="00C72327"/>
    <w:rsid w:val="00C7322B"/>
    <w:rsid w:val="00C74C3A"/>
    <w:rsid w:val="00C75DA1"/>
    <w:rsid w:val="00C75F8D"/>
    <w:rsid w:val="00C76A7A"/>
    <w:rsid w:val="00C77380"/>
    <w:rsid w:val="00C80AFB"/>
    <w:rsid w:val="00C8476E"/>
    <w:rsid w:val="00C85B4B"/>
    <w:rsid w:val="00C85BDD"/>
    <w:rsid w:val="00C85E03"/>
    <w:rsid w:val="00C86E05"/>
    <w:rsid w:val="00C872EB"/>
    <w:rsid w:val="00C87590"/>
    <w:rsid w:val="00C87E8A"/>
    <w:rsid w:val="00C913D6"/>
    <w:rsid w:val="00C91604"/>
    <w:rsid w:val="00C96F2D"/>
    <w:rsid w:val="00C97736"/>
    <w:rsid w:val="00CA06A4"/>
    <w:rsid w:val="00CA2B5D"/>
    <w:rsid w:val="00CA3224"/>
    <w:rsid w:val="00CA345A"/>
    <w:rsid w:val="00CA6B3F"/>
    <w:rsid w:val="00CA6E24"/>
    <w:rsid w:val="00CA7F1D"/>
    <w:rsid w:val="00CB1E82"/>
    <w:rsid w:val="00CB2F80"/>
    <w:rsid w:val="00CB37C6"/>
    <w:rsid w:val="00CB3982"/>
    <w:rsid w:val="00CB4BA8"/>
    <w:rsid w:val="00CB52D7"/>
    <w:rsid w:val="00CB5B63"/>
    <w:rsid w:val="00CB688F"/>
    <w:rsid w:val="00CB768F"/>
    <w:rsid w:val="00CC35BD"/>
    <w:rsid w:val="00CC592A"/>
    <w:rsid w:val="00CC5A1B"/>
    <w:rsid w:val="00CC6573"/>
    <w:rsid w:val="00CC6732"/>
    <w:rsid w:val="00CD1593"/>
    <w:rsid w:val="00CD27E9"/>
    <w:rsid w:val="00CD4096"/>
    <w:rsid w:val="00CD4B2D"/>
    <w:rsid w:val="00CD5FD2"/>
    <w:rsid w:val="00CD6AB3"/>
    <w:rsid w:val="00CD6ACF"/>
    <w:rsid w:val="00CE2877"/>
    <w:rsid w:val="00CE312F"/>
    <w:rsid w:val="00CE3C96"/>
    <w:rsid w:val="00CE4ADC"/>
    <w:rsid w:val="00CE51A8"/>
    <w:rsid w:val="00CE6C37"/>
    <w:rsid w:val="00CE76EC"/>
    <w:rsid w:val="00CF0BFE"/>
    <w:rsid w:val="00CF369B"/>
    <w:rsid w:val="00CF3A97"/>
    <w:rsid w:val="00CF42B4"/>
    <w:rsid w:val="00CF674C"/>
    <w:rsid w:val="00CF6CA4"/>
    <w:rsid w:val="00D00E28"/>
    <w:rsid w:val="00D0269E"/>
    <w:rsid w:val="00D028DB"/>
    <w:rsid w:val="00D03276"/>
    <w:rsid w:val="00D05D6C"/>
    <w:rsid w:val="00D13649"/>
    <w:rsid w:val="00D13820"/>
    <w:rsid w:val="00D15810"/>
    <w:rsid w:val="00D15F4D"/>
    <w:rsid w:val="00D16339"/>
    <w:rsid w:val="00D16D4E"/>
    <w:rsid w:val="00D16FE3"/>
    <w:rsid w:val="00D22C30"/>
    <w:rsid w:val="00D23301"/>
    <w:rsid w:val="00D245A2"/>
    <w:rsid w:val="00D24E6B"/>
    <w:rsid w:val="00D256B4"/>
    <w:rsid w:val="00D260BA"/>
    <w:rsid w:val="00D26710"/>
    <w:rsid w:val="00D27F41"/>
    <w:rsid w:val="00D3181B"/>
    <w:rsid w:val="00D32BAE"/>
    <w:rsid w:val="00D32BE9"/>
    <w:rsid w:val="00D36441"/>
    <w:rsid w:val="00D4064E"/>
    <w:rsid w:val="00D4314A"/>
    <w:rsid w:val="00D43B47"/>
    <w:rsid w:val="00D44E9B"/>
    <w:rsid w:val="00D454B8"/>
    <w:rsid w:val="00D46569"/>
    <w:rsid w:val="00D46843"/>
    <w:rsid w:val="00D47AEB"/>
    <w:rsid w:val="00D50134"/>
    <w:rsid w:val="00D50DB9"/>
    <w:rsid w:val="00D51302"/>
    <w:rsid w:val="00D5148B"/>
    <w:rsid w:val="00D51C4B"/>
    <w:rsid w:val="00D52C43"/>
    <w:rsid w:val="00D60355"/>
    <w:rsid w:val="00D60E22"/>
    <w:rsid w:val="00D61243"/>
    <w:rsid w:val="00D648DE"/>
    <w:rsid w:val="00D6507F"/>
    <w:rsid w:val="00D6582C"/>
    <w:rsid w:val="00D672A2"/>
    <w:rsid w:val="00D71907"/>
    <w:rsid w:val="00D730BC"/>
    <w:rsid w:val="00D732CD"/>
    <w:rsid w:val="00D73912"/>
    <w:rsid w:val="00D74925"/>
    <w:rsid w:val="00D75103"/>
    <w:rsid w:val="00D75AE1"/>
    <w:rsid w:val="00D75C0D"/>
    <w:rsid w:val="00D762F5"/>
    <w:rsid w:val="00D765AE"/>
    <w:rsid w:val="00D77D01"/>
    <w:rsid w:val="00D83C78"/>
    <w:rsid w:val="00D83EDF"/>
    <w:rsid w:val="00D85226"/>
    <w:rsid w:val="00D85888"/>
    <w:rsid w:val="00D85A69"/>
    <w:rsid w:val="00D87B94"/>
    <w:rsid w:val="00D90B9C"/>
    <w:rsid w:val="00D92D49"/>
    <w:rsid w:val="00D92EC1"/>
    <w:rsid w:val="00D947A4"/>
    <w:rsid w:val="00D95AE7"/>
    <w:rsid w:val="00D96DEA"/>
    <w:rsid w:val="00D976EC"/>
    <w:rsid w:val="00DA1DF7"/>
    <w:rsid w:val="00DA2B82"/>
    <w:rsid w:val="00DA3EEC"/>
    <w:rsid w:val="00DA4E41"/>
    <w:rsid w:val="00DA6F5A"/>
    <w:rsid w:val="00DB117A"/>
    <w:rsid w:val="00DB3FA0"/>
    <w:rsid w:val="00DB5173"/>
    <w:rsid w:val="00DB652E"/>
    <w:rsid w:val="00DB7873"/>
    <w:rsid w:val="00DB7988"/>
    <w:rsid w:val="00DB7F0D"/>
    <w:rsid w:val="00DB7F3B"/>
    <w:rsid w:val="00DC187B"/>
    <w:rsid w:val="00DC1F97"/>
    <w:rsid w:val="00DC2241"/>
    <w:rsid w:val="00DC2283"/>
    <w:rsid w:val="00DC6F2D"/>
    <w:rsid w:val="00DD1A43"/>
    <w:rsid w:val="00DD3B16"/>
    <w:rsid w:val="00DD7001"/>
    <w:rsid w:val="00DD73C2"/>
    <w:rsid w:val="00DE22CE"/>
    <w:rsid w:val="00DE319B"/>
    <w:rsid w:val="00DE4C79"/>
    <w:rsid w:val="00DF0CC6"/>
    <w:rsid w:val="00DF188E"/>
    <w:rsid w:val="00DF34FE"/>
    <w:rsid w:val="00DF504B"/>
    <w:rsid w:val="00DF55DF"/>
    <w:rsid w:val="00DF56AA"/>
    <w:rsid w:val="00DF56AF"/>
    <w:rsid w:val="00DF5D66"/>
    <w:rsid w:val="00DF78E7"/>
    <w:rsid w:val="00E004DF"/>
    <w:rsid w:val="00E0229E"/>
    <w:rsid w:val="00E02AEE"/>
    <w:rsid w:val="00E044A2"/>
    <w:rsid w:val="00E10359"/>
    <w:rsid w:val="00E10597"/>
    <w:rsid w:val="00E110E0"/>
    <w:rsid w:val="00E11290"/>
    <w:rsid w:val="00E11EC8"/>
    <w:rsid w:val="00E1451C"/>
    <w:rsid w:val="00E15371"/>
    <w:rsid w:val="00E162C4"/>
    <w:rsid w:val="00E16521"/>
    <w:rsid w:val="00E17E1C"/>
    <w:rsid w:val="00E20903"/>
    <w:rsid w:val="00E21056"/>
    <w:rsid w:val="00E21AC2"/>
    <w:rsid w:val="00E22748"/>
    <w:rsid w:val="00E24104"/>
    <w:rsid w:val="00E24407"/>
    <w:rsid w:val="00E25DE7"/>
    <w:rsid w:val="00E26366"/>
    <w:rsid w:val="00E27B5A"/>
    <w:rsid w:val="00E302D0"/>
    <w:rsid w:val="00E30E87"/>
    <w:rsid w:val="00E3304C"/>
    <w:rsid w:val="00E35707"/>
    <w:rsid w:val="00E358E8"/>
    <w:rsid w:val="00E36690"/>
    <w:rsid w:val="00E36AA1"/>
    <w:rsid w:val="00E36ADE"/>
    <w:rsid w:val="00E40022"/>
    <w:rsid w:val="00E40ECC"/>
    <w:rsid w:val="00E41ECB"/>
    <w:rsid w:val="00E42676"/>
    <w:rsid w:val="00E43723"/>
    <w:rsid w:val="00E46A19"/>
    <w:rsid w:val="00E536BF"/>
    <w:rsid w:val="00E5426D"/>
    <w:rsid w:val="00E54FDB"/>
    <w:rsid w:val="00E5617D"/>
    <w:rsid w:val="00E563D7"/>
    <w:rsid w:val="00E565B7"/>
    <w:rsid w:val="00E60B71"/>
    <w:rsid w:val="00E61FE5"/>
    <w:rsid w:val="00E623C8"/>
    <w:rsid w:val="00E62E79"/>
    <w:rsid w:val="00E63260"/>
    <w:rsid w:val="00E6527F"/>
    <w:rsid w:val="00E663F4"/>
    <w:rsid w:val="00E666F2"/>
    <w:rsid w:val="00E6680D"/>
    <w:rsid w:val="00E66C11"/>
    <w:rsid w:val="00E66CA8"/>
    <w:rsid w:val="00E66D07"/>
    <w:rsid w:val="00E66DD4"/>
    <w:rsid w:val="00E7089F"/>
    <w:rsid w:val="00E71822"/>
    <w:rsid w:val="00E71872"/>
    <w:rsid w:val="00E7464F"/>
    <w:rsid w:val="00E748CC"/>
    <w:rsid w:val="00E74F15"/>
    <w:rsid w:val="00E75415"/>
    <w:rsid w:val="00E7602A"/>
    <w:rsid w:val="00E775B1"/>
    <w:rsid w:val="00E77682"/>
    <w:rsid w:val="00E80153"/>
    <w:rsid w:val="00E80C44"/>
    <w:rsid w:val="00E810A7"/>
    <w:rsid w:val="00E8152A"/>
    <w:rsid w:val="00E82A19"/>
    <w:rsid w:val="00E90E32"/>
    <w:rsid w:val="00E9207E"/>
    <w:rsid w:val="00E93629"/>
    <w:rsid w:val="00E93B5C"/>
    <w:rsid w:val="00E94CEC"/>
    <w:rsid w:val="00E95B79"/>
    <w:rsid w:val="00E964AC"/>
    <w:rsid w:val="00E9764D"/>
    <w:rsid w:val="00EA00B9"/>
    <w:rsid w:val="00EA04EF"/>
    <w:rsid w:val="00EA0663"/>
    <w:rsid w:val="00EA0969"/>
    <w:rsid w:val="00EA12AA"/>
    <w:rsid w:val="00EA217A"/>
    <w:rsid w:val="00EA2958"/>
    <w:rsid w:val="00EA2AC2"/>
    <w:rsid w:val="00EA53C3"/>
    <w:rsid w:val="00EA6C79"/>
    <w:rsid w:val="00EA6F19"/>
    <w:rsid w:val="00EB0DEA"/>
    <w:rsid w:val="00EB1845"/>
    <w:rsid w:val="00EB1DF3"/>
    <w:rsid w:val="00EB232F"/>
    <w:rsid w:val="00EB3118"/>
    <w:rsid w:val="00EB7090"/>
    <w:rsid w:val="00EB7B6A"/>
    <w:rsid w:val="00EB7DC1"/>
    <w:rsid w:val="00EC1428"/>
    <w:rsid w:val="00EC1BBE"/>
    <w:rsid w:val="00EC2B68"/>
    <w:rsid w:val="00EC3327"/>
    <w:rsid w:val="00EC3AEF"/>
    <w:rsid w:val="00EC44E3"/>
    <w:rsid w:val="00EC5093"/>
    <w:rsid w:val="00EC5CD7"/>
    <w:rsid w:val="00EC65C5"/>
    <w:rsid w:val="00EC7F95"/>
    <w:rsid w:val="00ED7237"/>
    <w:rsid w:val="00EE0197"/>
    <w:rsid w:val="00EE16CE"/>
    <w:rsid w:val="00EE2459"/>
    <w:rsid w:val="00EE5FB3"/>
    <w:rsid w:val="00EE64D3"/>
    <w:rsid w:val="00EE7B46"/>
    <w:rsid w:val="00EE7F79"/>
    <w:rsid w:val="00EF0DD0"/>
    <w:rsid w:val="00EF10CB"/>
    <w:rsid w:val="00EF13EE"/>
    <w:rsid w:val="00EF5028"/>
    <w:rsid w:val="00EF715A"/>
    <w:rsid w:val="00F034AD"/>
    <w:rsid w:val="00F0663C"/>
    <w:rsid w:val="00F06E14"/>
    <w:rsid w:val="00F1049C"/>
    <w:rsid w:val="00F10C1E"/>
    <w:rsid w:val="00F125C4"/>
    <w:rsid w:val="00F12CE0"/>
    <w:rsid w:val="00F1414E"/>
    <w:rsid w:val="00F14E2C"/>
    <w:rsid w:val="00F16C0E"/>
    <w:rsid w:val="00F179D4"/>
    <w:rsid w:val="00F22A23"/>
    <w:rsid w:val="00F22D65"/>
    <w:rsid w:val="00F24052"/>
    <w:rsid w:val="00F24566"/>
    <w:rsid w:val="00F24804"/>
    <w:rsid w:val="00F2651C"/>
    <w:rsid w:val="00F271B7"/>
    <w:rsid w:val="00F27210"/>
    <w:rsid w:val="00F2754D"/>
    <w:rsid w:val="00F30070"/>
    <w:rsid w:val="00F33864"/>
    <w:rsid w:val="00F33C56"/>
    <w:rsid w:val="00F347C7"/>
    <w:rsid w:val="00F34848"/>
    <w:rsid w:val="00F361D7"/>
    <w:rsid w:val="00F37CAB"/>
    <w:rsid w:val="00F37FFC"/>
    <w:rsid w:val="00F4054B"/>
    <w:rsid w:val="00F40C02"/>
    <w:rsid w:val="00F40E46"/>
    <w:rsid w:val="00F429E9"/>
    <w:rsid w:val="00F42D46"/>
    <w:rsid w:val="00F4496C"/>
    <w:rsid w:val="00F44F3A"/>
    <w:rsid w:val="00F46D9D"/>
    <w:rsid w:val="00F47C9F"/>
    <w:rsid w:val="00F506A9"/>
    <w:rsid w:val="00F51CC2"/>
    <w:rsid w:val="00F51F10"/>
    <w:rsid w:val="00F529A5"/>
    <w:rsid w:val="00F52CE0"/>
    <w:rsid w:val="00F5310D"/>
    <w:rsid w:val="00F55395"/>
    <w:rsid w:val="00F562C0"/>
    <w:rsid w:val="00F5764E"/>
    <w:rsid w:val="00F578EC"/>
    <w:rsid w:val="00F60F00"/>
    <w:rsid w:val="00F614C0"/>
    <w:rsid w:val="00F61E66"/>
    <w:rsid w:val="00F649B8"/>
    <w:rsid w:val="00F657B1"/>
    <w:rsid w:val="00F67A8D"/>
    <w:rsid w:val="00F70CF6"/>
    <w:rsid w:val="00F72C0A"/>
    <w:rsid w:val="00F74DCE"/>
    <w:rsid w:val="00F75726"/>
    <w:rsid w:val="00F8005D"/>
    <w:rsid w:val="00F805B0"/>
    <w:rsid w:val="00F80995"/>
    <w:rsid w:val="00F829B1"/>
    <w:rsid w:val="00F83848"/>
    <w:rsid w:val="00F85189"/>
    <w:rsid w:val="00F872C8"/>
    <w:rsid w:val="00F90121"/>
    <w:rsid w:val="00F91B04"/>
    <w:rsid w:val="00F94DCA"/>
    <w:rsid w:val="00F96154"/>
    <w:rsid w:val="00F975E9"/>
    <w:rsid w:val="00F978D6"/>
    <w:rsid w:val="00F97902"/>
    <w:rsid w:val="00FA1B7D"/>
    <w:rsid w:val="00FA2F37"/>
    <w:rsid w:val="00FA4532"/>
    <w:rsid w:val="00FB03AF"/>
    <w:rsid w:val="00FB17B7"/>
    <w:rsid w:val="00FB1A22"/>
    <w:rsid w:val="00FB2254"/>
    <w:rsid w:val="00FB52A7"/>
    <w:rsid w:val="00FB5F8D"/>
    <w:rsid w:val="00FB7CA4"/>
    <w:rsid w:val="00FC07B9"/>
    <w:rsid w:val="00FC2129"/>
    <w:rsid w:val="00FC47D6"/>
    <w:rsid w:val="00FC4E21"/>
    <w:rsid w:val="00FC5F6D"/>
    <w:rsid w:val="00FC678A"/>
    <w:rsid w:val="00FD0107"/>
    <w:rsid w:val="00FD01A3"/>
    <w:rsid w:val="00FD02A6"/>
    <w:rsid w:val="00FD06DE"/>
    <w:rsid w:val="00FD0893"/>
    <w:rsid w:val="00FD2C2F"/>
    <w:rsid w:val="00FD3B31"/>
    <w:rsid w:val="00FD433F"/>
    <w:rsid w:val="00FD5F6C"/>
    <w:rsid w:val="00FD74DE"/>
    <w:rsid w:val="00FD7F7D"/>
    <w:rsid w:val="00FE04A8"/>
    <w:rsid w:val="00FE085D"/>
    <w:rsid w:val="00FE1823"/>
    <w:rsid w:val="00FE487A"/>
    <w:rsid w:val="00FE4F87"/>
    <w:rsid w:val="00FE5107"/>
    <w:rsid w:val="00FE521E"/>
    <w:rsid w:val="00FE5255"/>
    <w:rsid w:val="00FE67F3"/>
    <w:rsid w:val="00FE6E9C"/>
    <w:rsid w:val="00FE7EC3"/>
    <w:rsid w:val="00FF0415"/>
    <w:rsid w:val="00FF0569"/>
    <w:rsid w:val="00FF1E10"/>
    <w:rsid w:val="00FF206E"/>
    <w:rsid w:val="00FF2264"/>
    <w:rsid w:val="00FF2F92"/>
    <w:rsid w:val="00FF3156"/>
    <w:rsid w:val="00FF3C69"/>
    <w:rsid w:val="00FF52EC"/>
    <w:rsid w:val="00FF5A87"/>
    <w:rsid w:val="00FF5B49"/>
    <w:rsid w:val="00FF6E0A"/>
    <w:rsid w:val="00FF73F0"/>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3009C4E7"/>
  <w15:docId w15:val="{AE102214-B73A-4FBE-8D55-A31F1B73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3649"/>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9"/>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link w:val="Heading4Char"/>
    <w:uiPriority w:val="3"/>
    <w:qFormat/>
    <w:rsid w:val="005B2F0D"/>
    <w:pPr>
      <w:outlineLvl w:val="3"/>
    </w:pPr>
    <w:rPr>
      <w:rFonts w:cs="Arial"/>
    </w:rPr>
  </w:style>
  <w:style w:type="paragraph" w:styleId="Heading5">
    <w:name w:val="heading 5"/>
    <w:basedOn w:val="Normal"/>
    <w:next w:val="Normal"/>
    <w:link w:val="Heading5Char"/>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link w:val="Heading6Char"/>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link w:val="Heading8Char"/>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link w:val="Heading9Char"/>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Appel note de bas de p1,Appel note de bas de p2,Appel note de bas de p3,Footnote Reference/,(NECG) Footnote Reference,(NECG) Footnote Reference1,o,Style 12"/>
    <w:basedOn w:val="DefaultParagraphFont"/>
    <w:qFormat/>
    <w:rsid w:val="00566AB4"/>
    <w:rPr>
      <w:rFonts w:ascii="Arial" w:hAnsi="Arial"/>
      <w:vertAlign w:val="superscript"/>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qFormat/>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9"/>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D256B4"/>
    <w:pPr>
      <w:ind w:left="720"/>
      <w:contextualSpacing/>
    </w:p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link w:val="ListParagraph"/>
    <w:uiPriority w:val="34"/>
    <w:locked/>
    <w:rsid w:val="00D256B4"/>
    <w:rPr>
      <w:rFonts w:ascii="Arial" w:hAnsi="Arial"/>
      <w:sz w:val="20"/>
    </w:rPr>
  </w:style>
  <w:style w:type="character" w:customStyle="1" w:styleId="normaltextrun">
    <w:name w:val="normaltextrun"/>
    <w:basedOn w:val="DefaultParagraphFont"/>
    <w:rsid w:val="00466028"/>
  </w:style>
  <w:style w:type="character" w:customStyle="1" w:styleId="eop">
    <w:name w:val="eop"/>
    <w:basedOn w:val="DefaultParagraphFont"/>
    <w:rsid w:val="00147FDC"/>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qFormat/>
    <w:rsid w:val="001670CC"/>
    <w:rPr>
      <w:rFonts w:ascii="Arial" w:hAnsi="Arial"/>
      <w:sz w:val="16"/>
      <w:szCs w:val="16"/>
    </w:rPr>
  </w:style>
  <w:style w:type="paragraph" w:customStyle="1" w:styleId="ACMANumberedList">
    <w:name w:val="ACMA Numbered List"/>
    <w:rsid w:val="007E7878"/>
    <w:pPr>
      <w:numPr>
        <w:numId w:val="27"/>
      </w:numPr>
      <w:spacing w:before="20" w:after="20"/>
    </w:pPr>
    <w:rPr>
      <w:szCs w:val="20"/>
      <w:lang w:eastAsia="en-US"/>
    </w:rPr>
  </w:style>
  <w:style w:type="character" w:styleId="Mention">
    <w:name w:val="Mention"/>
    <w:basedOn w:val="DefaultParagraphFont"/>
    <w:uiPriority w:val="99"/>
    <w:unhideWhenUsed/>
    <w:rsid w:val="00BF09A8"/>
    <w:rPr>
      <w:color w:val="2B579A"/>
      <w:shd w:val="clear" w:color="auto" w:fill="E1DFDD"/>
    </w:rPr>
  </w:style>
  <w:style w:type="character" w:customStyle="1" w:styleId="Heading4Char">
    <w:name w:val="Heading 4 Char"/>
    <w:basedOn w:val="DefaultParagraphFont"/>
    <w:link w:val="Heading4"/>
    <w:uiPriority w:val="3"/>
    <w:rsid w:val="00D13649"/>
    <w:rPr>
      <w:rFonts w:ascii="Arial" w:hAnsi="Arial" w:cs="Arial"/>
      <w:b/>
      <w:i/>
      <w:sz w:val="20"/>
    </w:rPr>
  </w:style>
  <w:style w:type="character" w:customStyle="1" w:styleId="Heading5Char">
    <w:name w:val="Heading 5 Char"/>
    <w:basedOn w:val="DefaultParagraphFont"/>
    <w:link w:val="Heading5"/>
    <w:semiHidden/>
    <w:rsid w:val="00D13649"/>
    <w:rPr>
      <w:rFonts w:ascii="Arial" w:hAnsi="Arial"/>
      <w:b/>
      <w:bCs/>
      <w:i/>
      <w:iCs/>
      <w:sz w:val="26"/>
      <w:szCs w:val="26"/>
    </w:rPr>
  </w:style>
  <w:style w:type="character" w:customStyle="1" w:styleId="Heading6Char">
    <w:name w:val="Heading 6 Char"/>
    <w:basedOn w:val="DefaultParagraphFont"/>
    <w:link w:val="Heading6"/>
    <w:semiHidden/>
    <w:rsid w:val="00D13649"/>
    <w:rPr>
      <w:b/>
      <w:bCs/>
      <w:sz w:val="22"/>
      <w:szCs w:val="22"/>
    </w:rPr>
  </w:style>
  <w:style w:type="character" w:customStyle="1" w:styleId="Heading7Char">
    <w:name w:val="Heading 7 Char"/>
    <w:basedOn w:val="DefaultParagraphFont"/>
    <w:link w:val="Heading7"/>
    <w:semiHidden/>
    <w:rsid w:val="00D13649"/>
  </w:style>
  <w:style w:type="character" w:customStyle="1" w:styleId="Heading8Char">
    <w:name w:val="Heading 8 Char"/>
    <w:basedOn w:val="DefaultParagraphFont"/>
    <w:link w:val="Heading8"/>
    <w:semiHidden/>
    <w:rsid w:val="00D13649"/>
    <w:rPr>
      <w:i/>
      <w:iCs/>
    </w:rPr>
  </w:style>
  <w:style w:type="character" w:customStyle="1" w:styleId="Heading9Char">
    <w:name w:val="Heading 9 Char"/>
    <w:basedOn w:val="DefaultParagraphFont"/>
    <w:link w:val="Heading9"/>
    <w:semiHidden/>
    <w:rsid w:val="00D13649"/>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323656658">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hyperlink" Target="https://www.legislation.gov.au/Details/F2021C00635" TargetMode="External"/><Relationship Id="rId21" Type="http://schemas.openxmlformats.org/officeDocument/2006/relationships/footer" Target="footer3.xml"/><Relationship Id="rId34" Type="http://schemas.openxmlformats.org/officeDocument/2006/relationships/hyperlink" Target="https://life.itu.int/radioclub/rr/art05.htm" TargetMode="External"/><Relationship Id="rId42" Type="http://schemas.openxmlformats.org/officeDocument/2006/relationships/hyperlink" Target="mailto:SLPSConsultations@acma.gov.au" TargetMode="External"/><Relationship Id="rId47" Type="http://schemas.openxmlformats.org/officeDocument/2006/relationships/footer" Target="footer7.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9" Type="http://schemas.openxmlformats.org/officeDocument/2006/relationships/hyperlink" Target="https://www.imo.org/en/About/Conventions/Pages/International-Convention-for-the-Safety-of-Life-at-Sea-(SOLAS),-1974.aspx" TargetMode="Externa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yperlink" Target="https://www.legislation.gov.au/Details/F2019C00509" TargetMode="External"/><Relationship Id="rId37" Type="http://schemas.openxmlformats.org/officeDocument/2006/relationships/hyperlink" Target="https://www.legislation.gov.au/Details/F2019C00504" TargetMode="External"/><Relationship Id="rId40" Type="http://schemas.openxmlformats.org/officeDocument/2006/relationships/hyperlink" Target="https://www.legislation.gov.au/Details/F2021C00646" TargetMode="External"/><Relationship Id="rId45"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6.xml"/><Relationship Id="rId28" Type="http://schemas.openxmlformats.org/officeDocument/2006/relationships/hyperlink" Target="https://www.legislation.gov.au/Details/F2021L00617" TargetMode="External"/><Relationship Id="rId36" Type="http://schemas.openxmlformats.org/officeDocument/2006/relationships/hyperlink" Target="https://www.legislation.gov.au/Details/F2021C00649"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legislation.gov.au/Details/F2019C00504" TargetMode="External"/><Relationship Id="rId44" Type="http://schemas.openxmlformats.org/officeDocument/2006/relationships/hyperlink" Target="https://www.acma.gov.au/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creativecommons.org/l/by/3.0/88x31.png" TargetMode="External"/><Relationship Id="rId22" Type="http://schemas.openxmlformats.org/officeDocument/2006/relationships/header" Target="header5.xml"/><Relationship Id="rId27" Type="http://schemas.openxmlformats.org/officeDocument/2006/relationships/hyperlink" Target="https://www.acma.gov.au/publications/2022-09/plan/five-year-spectrum-outlook-2022-27" TargetMode="External"/><Relationship Id="rId30" Type="http://schemas.openxmlformats.org/officeDocument/2006/relationships/hyperlink" Target="https://www.legislation.gov.au/Details/F2021C00649" TargetMode="External"/><Relationship Id="rId35" Type="http://schemas.openxmlformats.org/officeDocument/2006/relationships/hyperlink" Target="https://www.legislation.gov.au/Series/C2004A04465/" TargetMode="External"/><Relationship Id="rId43" Type="http://schemas.openxmlformats.org/officeDocument/2006/relationships/hyperlink" Target="https://www.acma.gov.au/publication-submissions" TargetMode="External"/><Relationship Id="rId48"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info@acma.gov.au" TargetMode="External"/><Relationship Id="rId25" Type="http://schemas.openxmlformats.org/officeDocument/2006/relationships/footer" Target="footer5.xml"/><Relationship Id="rId33" Type="http://schemas.openxmlformats.org/officeDocument/2006/relationships/hyperlink" Target="https://www.itu.int/pub/R-REG-RR" TargetMode="External"/><Relationship Id="rId38" Type="http://schemas.openxmlformats.org/officeDocument/2006/relationships/hyperlink" Target="https://www.acma.gov.au/publications/2019-11/rules/rali-ms42-vhf-mid-and-high-plans" TargetMode="External"/><Relationship Id="rId46" Type="http://schemas.openxmlformats.org/officeDocument/2006/relationships/header" Target="header8.xml"/><Relationship Id="rId20" Type="http://schemas.openxmlformats.org/officeDocument/2006/relationships/footer" Target="footer2.xml"/><Relationship Id="rId41" Type="http://schemas.openxmlformats.org/officeDocument/2006/relationships/hyperlink" Target="https://www.acma.gov.au/have-your-say"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dms_pub/itu-r/oth/0c/0a/R0C0A00000C0010PDFE.pdf" TargetMode="External"/><Relationship Id="rId2" Type="http://schemas.openxmlformats.org/officeDocument/2006/relationships/hyperlink" Target="https://www.itu.int/dms_pub/itu-r/oth/0c/0a/R0C0A00000C0009PDFE.pdf" TargetMode="External"/><Relationship Id="rId1" Type="http://schemas.openxmlformats.org/officeDocument/2006/relationships/hyperlink" Target="https://www.itu.int/dms_pub/itu-r/oth/0c/0a/R0C0A00000C0008PDFE.pdf" TargetMode="External"/><Relationship Id="rId4" Type="http://schemas.openxmlformats.org/officeDocument/2006/relationships/hyperlink" Target="https://www.info.dfat.gov.au/Info/Treaties/treaties.nsf/3328431b218f8d59ca256ae1000029b8/32ade3c19f298695ca258621007fde49?OpenDoc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CMA-System\Templates\ACMA\ACMA%20consultation%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89E15620770AC4394E9DC80DA8CC2CC" ma:contentTypeVersion="14" ma:contentTypeDescription="Create a new document." ma:contentTypeScope="" ma:versionID="92ca93d3f127b6ee35b11bfcb9d426b4">
  <xsd:schema xmlns:xsd="http://www.w3.org/2001/XMLSchema" xmlns:xs="http://www.w3.org/2001/XMLSchema" xmlns:p="http://schemas.microsoft.com/office/2006/metadata/properties" xmlns:ns2="765fce5b-ae3f-41df-821b-1887179bab56" xmlns:ns3="98949940-3ce5-4ecd-b734-177b3a1e1cd6" targetNamespace="http://schemas.microsoft.com/office/2006/metadata/properties" ma:root="true" ma:fieldsID="d8c378bf77928aacfee8f7060763f0c8" ns2:_="" ns3:_="">
    <xsd:import namespace="765fce5b-ae3f-41df-821b-1887179bab56"/>
    <xsd:import namespace="98949940-3ce5-4ecd-b734-177b3a1e1c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fce5b-ae3f-41df-821b-1887179ba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49940-3ce5-4ecd-b734-177b3a1e1c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4648BD-84C3-4B5D-8F35-983E8E6422FD}">
  <ds:schemaRefs>
    <ds:schemaRef ds:uri="http://schemas.microsoft.com/sharepoint/v3/contenttype/forms"/>
  </ds:schemaRefs>
</ds:datastoreItem>
</file>

<file path=customXml/itemProps2.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customXml/itemProps3.xml><?xml version="1.0" encoding="utf-8"?>
<ds:datastoreItem xmlns:ds="http://schemas.openxmlformats.org/officeDocument/2006/customXml" ds:itemID="{859AC8C0-0198-4C33-8221-6AE42AA4D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fce5b-ae3f-41df-821b-1887179bab56"/>
    <ds:schemaRef ds:uri="98949940-3ce5-4ecd-b734-177b3a1e1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E2AFCD-7B53-46A4-BF68-F5C2683E78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ACMA consultation paper.dotx</Template>
  <TotalTime>3</TotalTime>
  <Pages>16</Pages>
  <Words>4619</Words>
  <Characters>26333</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30891</CharactersWithSpaces>
  <SharedDoc>false</SharedDoc>
  <HyperlinkBase/>
  <HLinks>
    <vt:vector size="234" baseType="variant">
      <vt:variant>
        <vt:i4>2097192</vt:i4>
      </vt:variant>
      <vt:variant>
        <vt:i4>162</vt:i4>
      </vt:variant>
      <vt:variant>
        <vt:i4>0</vt:i4>
      </vt:variant>
      <vt:variant>
        <vt:i4>5</vt:i4>
      </vt:variant>
      <vt:variant>
        <vt:lpwstr>https://www.acma.gov.au/privacy-policy</vt:lpwstr>
      </vt:variant>
      <vt:variant>
        <vt:lpwstr/>
      </vt:variant>
      <vt:variant>
        <vt:i4>3473455</vt:i4>
      </vt:variant>
      <vt:variant>
        <vt:i4>159</vt:i4>
      </vt:variant>
      <vt:variant>
        <vt:i4>0</vt:i4>
      </vt:variant>
      <vt:variant>
        <vt:i4>5</vt:i4>
      </vt:variant>
      <vt:variant>
        <vt:lpwstr>https://www.acma.gov.au/publication-submissions</vt:lpwstr>
      </vt:variant>
      <vt:variant>
        <vt:lpwstr/>
      </vt:variant>
      <vt:variant>
        <vt:i4>1245297</vt:i4>
      </vt:variant>
      <vt:variant>
        <vt:i4>156</vt:i4>
      </vt:variant>
      <vt:variant>
        <vt:i4>0</vt:i4>
      </vt:variant>
      <vt:variant>
        <vt:i4>5</vt:i4>
      </vt:variant>
      <vt:variant>
        <vt:lpwstr>mailto:SLPSConsultations@acma.gov.au</vt:lpwstr>
      </vt:variant>
      <vt:variant>
        <vt:lpwstr/>
      </vt:variant>
      <vt:variant>
        <vt:i4>5308427</vt:i4>
      </vt:variant>
      <vt:variant>
        <vt:i4>153</vt:i4>
      </vt:variant>
      <vt:variant>
        <vt:i4>0</vt:i4>
      </vt:variant>
      <vt:variant>
        <vt:i4>5</vt:i4>
      </vt:variant>
      <vt:variant>
        <vt:lpwstr>https://www.acma.gov.au/have-your-say</vt:lpwstr>
      </vt:variant>
      <vt:variant>
        <vt:lpwstr/>
      </vt:variant>
      <vt:variant>
        <vt:i4>7995430</vt:i4>
      </vt:variant>
      <vt:variant>
        <vt:i4>150</vt:i4>
      </vt:variant>
      <vt:variant>
        <vt:i4>0</vt:i4>
      </vt:variant>
      <vt:variant>
        <vt:i4>5</vt:i4>
      </vt:variant>
      <vt:variant>
        <vt:lpwstr>https://www.legislation.gov.au/Details/F2017C00901</vt:lpwstr>
      </vt:variant>
      <vt:variant>
        <vt:lpwstr/>
      </vt:variant>
      <vt:variant>
        <vt:i4>8192038</vt:i4>
      </vt:variant>
      <vt:variant>
        <vt:i4>147</vt:i4>
      </vt:variant>
      <vt:variant>
        <vt:i4>0</vt:i4>
      </vt:variant>
      <vt:variant>
        <vt:i4>5</vt:i4>
      </vt:variant>
      <vt:variant>
        <vt:lpwstr>https://www.legislation.gov.au/Details/F2019C00504</vt:lpwstr>
      </vt:variant>
      <vt:variant>
        <vt:lpwstr/>
      </vt:variant>
      <vt:variant>
        <vt:i4>8060961</vt:i4>
      </vt:variant>
      <vt:variant>
        <vt:i4>144</vt:i4>
      </vt:variant>
      <vt:variant>
        <vt:i4>0</vt:i4>
      </vt:variant>
      <vt:variant>
        <vt:i4>5</vt:i4>
      </vt:variant>
      <vt:variant>
        <vt:lpwstr>https://www.legislation.gov.au/Details/F2021C00649</vt:lpwstr>
      </vt:variant>
      <vt:variant>
        <vt:lpwstr/>
      </vt:variant>
      <vt:variant>
        <vt:i4>7602209</vt:i4>
      </vt:variant>
      <vt:variant>
        <vt:i4>141</vt:i4>
      </vt:variant>
      <vt:variant>
        <vt:i4>0</vt:i4>
      </vt:variant>
      <vt:variant>
        <vt:i4>5</vt:i4>
      </vt:variant>
      <vt:variant>
        <vt:lpwstr>https://www.legislation.gov.au/Details/F2021C00646</vt:lpwstr>
      </vt:variant>
      <vt:variant>
        <vt:lpwstr/>
      </vt:variant>
      <vt:variant>
        <vt:i4>7798822</vt:i4>
      </vt:variant>
      <vt:variant>
        <vt:i4>138</vt:i4>
      </vt:variant>
      <vt:variant>
        <vt:i4>0</vt:i4>
      </vt:variant>
      <vt:variant>
        <vt:i4>5</vt:i4>
      </vt:variant>
      <vt:variant>
        <vt:lpwstr>https://www.legislation.gov.au/Details/F2021C00635</vt:lpwstr>
      </vt:variant>
      <vt:variant>
        <vt:lpwstr/>
      </vt:variant>
      <vt:variant>
        <vt:i4>3866722</vt:i4>
      </vt:variant>
      <vt:variant>
        <vt:i4>135</vt:i4>
      </vt:variant>
      <vt:variant>
        <vt:i4>0</vt:i4>
      </vt:variant>
      <vt:variant>
        <vt:i4>5</vt:i4>
      </vt:variant>
      <vt:variant>
        <vt:lpwstr>https://www.acma.gov.au/publications/2019-11/rules/rali-ms42-vhf-mid-and-high-plans</vt:lpwstr>
      </vt:variant>
      <vt:variant>
        <vt:lpwstr/>
      </vt:variant>
      <vt:variant>
        <vt:i4>7995430</vt:i4>
      </vt:variant>
      <vt:variant>
        <vt:i4>132</vt:i4>
      </vt:variant>
      <vt:variant>
        <vt:i4>0</vt:i4>
      </vt:variant>
      <vt:variant>
        <vt:i4>5</vt:i4>
      </vt:variant>
      <vt:variant>
        <vt:lpwstr>https://www.legislation.gov.au/Details/F2017C00901</vt:lpwstr>
      </vt:variant>
      <vt:variant>
        <vt:lpwstr/>
      </vt:variant>
      <vt:variant>
        <vt:i4>8192038</vt:i4>
      </vt:variant>
      <vt:variant>
        <vt:i4>129</vt:i4>
      </vt:variant>
      <vt:variant>
        <vt:i4>0</vt:i4>
      </vt:variant>
      <vt:variant>
        <vt:i4>5</vt:i4>
      </vt:variant>
      <vt:variant>
        <vt:lpwstr>https://www.legislation.gov.au/Details/F2019C00504</vt:lpwstr>
      </vt:variant>
      <vt:variant>
        <vt:lpwstr/>
      </vt:variant>
      <vt:variant>
        <vt:i4>8060961</vt:i4>
      </vt:variant>
      <vt:variant>
        <vt:i4>126</vt:i4>
      </vt:variant>
      <vt:variant>
        <vt:i4>0</vt:i4>
      </vt:variant>
      <vt:variant>
        <vt:i4>5</vt:i4>
      </vt:variant>
      <vt:variant>
        <vt:lpwstr>https://www.legislation.gov.au/Details/F2021C00649</vt:lpwstr>
      </vt:variant>
      <vt:variant>
        <vt:lpwstr/>
      </vt:variant>
      <vt:variant>
        <vt:i4>2883624</vt:i4>
      </vt:variant>
      <vt:variant>
        <vt:i4>123</vt:i4>
      </vt:variant>
      <vt:variant>
        <vt:i4>0</vt:i4>
      </vt:variant>
      <vt:variant>
        <vt:i4>5</vt:i4>
      </vt:variant>
      <vt:variant>
        <vt:lpwstr>https://www.legislation.gov.au/Series/C2004A04465/</vt:lpwstr>
      </vt:variant>
      <vt:variant>
        <vt:lpwstr/>
      </vt:variant>
      <vt:variant>
        <vt:i4>3014772</vt:i4>
      </vt:variant>
      <vt:variant>
        <vt:i4>120</vt:i4>
      </vt:variant>
      <vt:variant>
        <vt:i4>0</vt:i4>
      </vt:variant>
      <vt:variant>
        <vt:i4>5</vt:i4>
      </vt:variant>
      <vt:variant>
        <vt:lpwstr>https://life.itu.int/radioclub/rr/art05.htm</vt:lpwstr>
      </vt:variant>
      <vt:variant>
        <vt:lpwstr/>
      </vt:variant>
      <vt:variant>
        <vt:i4>1966150</vt:i4>
      </vt:variant>
      <vt:variant>
        <vt:i4>117</vt:i4>
      </vt:variant>
      <vt:variant>
        <vt:i4>0</vt:i4>
      </vt:variant>
      <vt:variant>
        <vt:i4>5</vt:i4>
      </vt:variant>
      <vt:variant>
        <vt:lpwstr>https://www.itu.int/pub/R-REG-RR</vt:lpwstr>
      </vt:variant>
      <vt:variant>
        <vt:lpwstr/>
      </vt:variant>
      <vt:variant>
        <vt:i4>7340070</vt:i4>
      </vt:variant>
      <vt:variant>
        <vt:i4>114</vt:i4>
      </vt:variant>
      <vt:variant>
        <vt:i4>0</vt:i4>
      </vt:variant>
      <vt:variant>
        <vt:i4>5</vt:i4>
      </vt:variant>
      <vt:variant>
        <vt:lpwstr>https://www.legislation.gov.au/Details/F2019C00509</vt:lpwstr>
      </vt:variant>
      <vt:variant>
        <vt:lpwstr/>
      </vt:variant>
      <vt:variant>
        <vt:i4>8192038</vt:i4>
      </vt:variant>
      <vt:variant>
        <vt:i4>111</vt:i4>
      </vt:variant>
      <vt:variant>
        <vt:i4>0</vt:i4>
      </vt:variant>
      <vt:variant>
        <vt:i4>5</vt:i4>
      </vt:variant>
      <vt:variant>
        <vt:lpwstr>https://www.legislation.gov.au/Details/F2019C00504</vt:lpwstr>
      </vt:variant>
      <vt:variant>
        <vt:lpwstr/>
      </vt:variant>
      <vt:variant>
        <vt:i4>8060961</vt:i4>
      </vt:variant>
      <vt:variant>
        <vt:i4>108</vt:i4>
      </vt:variant>
      <vt:variant>
        <vt:i4>0</vt:i4>
      </vt:variant>
      <vt:variant>
        <vt:i4>5</vt:i4>
      </vt:variant>
      <vt:variant>
        <vt:lpwstr>https://www.legislation.gov.au/Details/F2021C00649</vt:lpwstr>
      </vt:variant>
      <vt:variant>
        <vt:lpwstr/>
      </vt:variant>
      <vt:variant>
        <vt:i4>5111898</vt:i4>
      </vt:variant>
      <vt:variant>
        <vt:i4>105</vt:i4>
      </vt:variant>
      <vt:variant>
        <vt:i4>0</vt:i4>
      </vt:variant>
      <vt:variant>
        <vt:i4>5</vt:i4>
      </vt:variant>
      <vt:variant>
        <vt:lpwstr>https://www.imo.org/en/About/Conventions/Pages/International-Convention-for-the-Safety-of-Life-at-Sea-(SOLAS),-1974.aspx</vt:lpwstr>
      </vt:variant>
      <vt:variant>
        <vt:lpwstr/>
      </vt:variant>
      <vt:variant>
        <vt:i4>7667755</vt:i4>
      </vt:variant>
      <vt:variant>
        <vt:i4>102</vt:i4>
      </vt:variant>
      <vt:variant>
        <vt:i4>0</vt:i4>
      </vt:variant>
      <vt:variant>
        <vt:i4>5</vt:i4>
      </vt:variant>
      <vt:variant>
        <vt:lpwstr>https://www.legislation.gov.au/Details/F2021L00617</vt:lpwstr>
      </vt:variant>
      <vt:variant>
        <vt:lpwstr/>
      </vt:variant>
      <vt:variant>
        <vt:i4>1900544</vt:i4>
      </vt:variant>
      <vt:variant>
        <vt:i4>99</vt:i4>
      </vt:variant>
      <vt:variant>
        <vt:i4>0</vt:i4>
      </vt:variant>
      <vt:variant>
        <vt:i4>5</vt:i4>
      </vt:variant>
      <vt:variant>
        <vt:lpwstr>https://www.acma.gov.au/publications/2022-09/plan/five-year-spectrum-outlook-2022-27</vt:lpwstr>
      </vt:variant>
      <vt:variant>
        <vt:lpwstr/>
      </vt:variant>
      <vt:variant>
        <vt:i4>1769529</vt:i4>
      </vt:variant>
      <vt:variant>
        <vt:i4>92</vt:i4>
      </vt:variant>
      <vt:variant>
        <vt:i4>0</vt:i4>
      </vt:variant>
      <vt:variant>
        <vt:i4>5</vt:i4>
      </vt:variant>
      <vt:variant>
        <vt:lpwstr/>
      </vt:variant>
      <vt:variant>
        <vt:lpwstr>_Toc144898588</vt:lpwstr>
      </vt:variant>
      <vt:variant>
        <vt:i4>1769529</vt:i4>
      </vt:variant>
      <vt:variant>
        <vt:i4>86</vt:i4>
      </vt:variant>
      <vt:variant>
        <vt:i4>0</vt:i4>
      </vt:variant>
      <vt:variant>
        <vt:i4>5</vt:i4>
      </vt:variant>
      <vt:variant>
        <vt:lpwstr/>
      </vt:variant>
      <vt:variant>
        <vt:lpwstr>_Toc144898587</vt:lpwstr>
      </vt:variant>
      <vt:variant>
        <vt:i4>1769529</vt:i4>
      </vt:variant>
      <vt:variant>
        <vt:i4>80</vt:i4>
      </vt:variant>
      <vt:variant>
        <vt:i4>0</vt:i4>
      </vt:variant>
      <vt:variant>
        <vt:i4>5</vt:i4>
      </vt:variant>
      <vt:variant>
        <vt:lpwstr/>
      </vt:variant>
      <vt:variant>
        <vt:lpwstr>_Toc144898586</vt:lpwstr>
      </vt:variant>
      <vt:variant>
        <vt:i4>1769529</vt:i4>
      </vt:variant>
      <vt:variant>
        <vt:i4>74</vt:i4>
      </vt:variant>
      <vt:variant>
        <vt:i4>0</vt:i4>
      </vt:variant>
      <vt:variant>
        <vt:i4>5</vt:i4>
      </vt:variant>
      <vt:variant>
        <vt:lpwstr/>
      </vt:variant>
      <vt:variant>
        <vt:lpwstr>_Toc144898585</vt:lpwstr>
      </vt:variant>
      <vt:variant>
        <vt:i4>1769529</vt:i4>
      </vt:variant>
      <vt:variant>
        <vt:i4>68</vt:i4>
      </vt:variant>
      <vt:variant>
        <vt:i4>0</vt:i4>
      </vt:variant>
      <vt:variant>
        <vt:i4>5</vt:i4>
      </vt:variant>
      <vt:variant>
        <vt:lpwstr/>
      </vt:variant>
      <vt:variant>
        <vt:lpwstr>_Toc144898584</vt:lpwstr>
      </vt:variant>
      <vt:variant>
        <vt:i4>1769529</vt:i4>
      </vt:variant>
      <vt:variant>
        <vt:i4>62</vt:i4>
      </vt:variant>
      <vt:variant>
        <vt:i4>0</vt:i4>
      </vt:variant>
      <vt:variant>
        <vt:i4>5</vt:i4>
      </vt:variant>
      <vt:variant>
        <vt:lpwstr/>
      </vt:variant>
      <vt:variant>
        <vt:lpwstr>_Toc144898583</vt:lpwstr>
      </vt:variant>
      <vt:variant>
        <vt:i4>1769529</vt:i4>
      </vt:variant>
      <vt:variant>
        <vt:i4>56</vt:i4>
      </vt:variant>
      <vt:variant>
        <vt:i4>0</vt:i4>
      </vt:variant>
      <vt:variant>
        <vt:i4>5</vt:i4>
      </vt:variant>
      <vt:variant>
        <vt:lpwstr/>
      </vt:variant>
      <vt:variant>
        <vt:lpwstr>_Toc144898582</vt:lpwstr>
      </vt:variant>
      <vt:variant>
        <vt:i4>1769529</vt:i4>
      </vt:variant>
      <vt:variant>
        <vt:i4>50</vt:i4>
      </vt:variant>
      <vt:variant>
        <vt:i4>0</vt:i4>
      </vt:variant>
      <vt:variant>
        <vt:i4>5</vt:i4>
      </vt:variant>
      <vt:variant>
        <vt:lpwstr/>
      </vt:variant>
      <vt:variant>
        <vt:lpwstr>_Toc144898581</vt:lpwstr>
      </vt:variant>
      <vt:variant>
        <vt:i4>1769529</vt:i4>
      </vt:variant>
      <vt:variant>
        <vt:i4>44</vt:i4>
      </vt:variant>
      <vt:variant>
        <vt:i4>0</vt:i4>
      </vt:variant>
      <vt:variant>
        <vt:i4>5</vt:i4>
      </vt:variant>
      <vt:variant>
        <vt:lpwstr/>
      </vt:variant>
      <vt:variant>
        <vt:lpwstr>_Toc144898580</vt:lpwstr>
      </vt:variant>
      <vt:variant>
        <vt:i4>1310777</vt:i4>
      </vt:variant>
      <vt:variant>
        <vt:i4>38</vt:i4>
      </vt:variant>
      <vt:variant>
        <vt:i4>0</vt:i4>
      </vt:variant>
      <vt:variant>
        <vt:i4>5</vt:i4>
      </vt:variant>
      <vt:variant>
        <vt:lpwstr/>
      </vt:variant>
      <vt:variant>
        <vt:lpwstr>_Toc144898579</vt:lpwstr>
      </vt:variant>
      <vt:variant>
        <vt:i4>1310777</vt:i4>
      </vt:variant>
      <vt:variant>
        <vt:i4>32</vt:i4>
      </vt:variant>
      <vt:variant>
        <vt:i4>0</vt:i4>
      </vt:variant>
      <vt:variant>
        <vt:i4>5</vt:i4>
      </vt:variant>
      <vt:variant>
        <vt:lpwstr/>
      </vt:variant>
      <vt:variant>
        <vt:lpwstr>_Toc144898578</vt:lpwstr>
      </vt:variant>
      <vt:variant>
        <vt:i4>1310777</vt:i4>
      </vt:variant>
      <vt:variant>
        <vt:i4>26</vt:i4>
      </vt:variant>
      <vt:variant>
        <vt:i4>0</vt:i4>
      </vt:variant>
      <vt:variant>
        <vt:i4>5</vt:i4>
      </vt:variant>
      <vt:variant>
        <vt:lpwstr/>
      </vt:variant>
      <vt:variant>
        <vt:lpwstr>_Toc144898577</vt:lpwstr>
      </vt:variant>
      <vt:variant>
        <vt:i4>1310777</vt:i4>
      </vt:variant>
      <vt:variant>
        <vt:i4>20</vt:i4>
      </vt:variant>
      <vt:variant>
        <vt:i4>0</vt:i4>
      </vt:variant>
      <vt:variant>
        <vt:i4>5</vt:i4>
      </vt:variant>
      <vt:variant>
        <vt:lpwstr/>
      </vt:variant>
      <vt:variant>
        <vt:lpwstr>_Toc144898576</vt:lpwstr>
      </vt:variant>
      <vt:variant>
        <vt:i4>1310777</vt:i4>
      </vt:variant>
      <vt:variant>
        <vt:i4>14</vt:i4>
      </vt:variant>
      <vt:variant>
        <vt:i4>0</vt:i4>
      </vt:variant>
      <vt:variant>
        <vt:i4>5</vt:i4>
      </vt:variant>
      <vt:variant>
        <vt:lpwstr/>
      </vt:variant>
      <vt:variant>
        <vt:lpwstr>_Toc144898575</vt:lpwstr>
      </vt:variant>
      <vt:variant>
        <vt:i4>1310777</vt:i4>
      </vt:variant>
      <vt:variant>
        <vt:i4>8</vt:i4>
      </vt:variant>
      <vt:variant>
        <vt:i4>0</vt:i4>
      </vt:variant>
      <vt:variant>
        <vt:i4>5</vt:i4>
      </vt:variant>
      <vt:variant>
        <vt:lpwstr/>
      </vt:variant>
      <vt:variant>
        <vt:lpwstr>_Toc144898574</vt:lpwstr>
      </vt:variant>
      <vt:variant>
        <vt:i4>6225960</vt:i4>
      </vt:variant>
      <vt:variant>
        <vt:i4>3</vt:i4>
      </vt:variant>
      <vt:variant>
        <vt:i4>0</vt:i4>
      </vt:variant>
      <vt:variant>
        <vt:i4>5</vt:i4>
      </vt:variant>
      <vt:variant>
        <vt:lpwstr>mailto:info@acma.gov.au</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Stavropoulos</dc:creator>
  <cp:keywords/>
  <dc:description/>
  <cp:lastModifiedBy>Andrew Wallace</cp:lastModifiedBy>
  <cp:revision>2</cp:revision>
  <cp:lastPrinted>2023-08-09T02:55:00Z</cp:lastPrinted>
  <dcterms:created xsi:type="dcterms:W3CDTF">2023-09-24T20:55:00Z</dcterms:created>
  <dcterms:modified xsi:type="dcterms:W3CDTF">2023-09-24T20:55:00Z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0x010100589E15620770AC4394E9DC80DA8CC2CC</vt:lpwstr>
  </property>
  <property fmtid="{D5CDD505-2E9C-101B-9397-08002B2CF9AE}" pid="3" name="TitusGUID">
    <vt:lpwstr>5a9d6e01-8351-4d60-9169-cb3a6f98f37d</vt:lpwstr>
  </property>
</Properties>
</file>