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5E114" w14:textId="4A326B63" w:rsidR="00F06E14" w:rsidRPr="00A17B1B" w:rsidRDefault="00437E55" w:rsidP="00A51D1A">
      <w:pPr>
        <w:pStyle w:val="Reporttitle"/>
      </w:pPr>
      <w:r>
        <w:t>Response to submissions</w:t>
      </w:r>
    </w:p>
    <w:p w14:paraId="17B8798F" w14:textId="0FA0590E" w:rsidR="00F06E14" w:rsidRPr="00A17B1B" w:rsidRDefault="00437E55" w:rsidP="00F06E14">
      <w:pPr>
        <w:pStyle w:val="Reportsubtitle"/>
      </w:pPr>
      <w:r>
        <w:t>Review of scientific licensing arrangements</w:t>
      </w:r>
    </w:p>
    <w:p w14:paraId="1B1C2CC2" w14:textId="3D85A0F7" w:rsidR="00C97736" w:rsidRPr="00A17B1B" w:rsidRDefault="00437E55" w:rsidP="00EC2B68">
      <w:pPr>
        <w:pStyle w:val="Reportdate"/>
        <w:spacing w:after="720"/>
        <w:rPr>
          <w:rFonts w:cs="Arial"/>
        </w:rPr>
        <w:sectPr w:rsidR="00C97736" w:rsidRPr="00A17B1B"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r>
        <w:t>AUGUST</w:t>
      </w:r>
      <w:r w:rsidR="00BD4421" w:rsidRPr="00A17B1B">
        <w:t xml:space="preserve"> 20</w:t>
      </w:r>
      <w:r w:rsidR="000971BD" w:rsidRPr="00A17B1B">
        <w:t>2</w:t>
      </w:r>
      <w:r w:rsidR="00C55D36">
        <w:t>3</w:t>
      </w:r>
    </w:p>
    <w:p w14:paraId="22EDBEBC" w14:textId="77777777" w:rsidR="00284A74" w:rsidRPr="00A17B1B" w:rsidRDefault="00284A74" w:rsidP="00284A74">
      <w:pPr>
        <w:pStyle w:val="ACMACorporateAddressHeader"/>
      </w:pPr>
      <w:r w:rsidRPr="00A17B1B">
        <w:lastRenderedPageBreak/>
        <w:t>Canberra</w:t>
      </w:r>
    </w:p>
    <w:p w14:paraId="15BAE4E0" w14:textId="77777777" w:rsidR="00284A74" w:rsidRPr="00A17B1B" w:rsidRDefault="00284A74" w:rsidP="00284A74">
      <w:pPr>
        <w:pStyle w:val="ACMACorporateAddresses"/>
      </w:pPr>
      <w:r w:rsidRPr="00A17B1B">
        <w:t xml:space="preserve">Red Building </w:t>
      </w:r>
      <w:r w:rsidRPr="00A17B1B">
        <w:br/>
        <w:t>Benjamin Offices</w:t>
      </w:r>
      <w:r w:rsidRPr="00A17B1B">
        <w:br/>
        <w:t xml:space="preserve">Chan Street </w:t>
      </w:r>
      <w:r w:rsidRPr="00A17B1B">
        <w:br/>
        <w:t>Belconnen ACT</w:t>
      </w:r>
    </w:p>
    <w:p w14:paraId="3DEB3027" w14:textId="77777777" w:rsidR="00284A74" w:rsidRPr="00A17B1B" w:rsidRDefault="00284A74" w:rsidP="00284A74">
      <w:pPr>
        <w:pStyle w:val="ACMACorporateAddresses"/>
      </w:pPr>
      <w:r w:rsidRPr="00A17B1B">
        <w:t>PO Box 78</w:t>
      </w:r>
      <w:r w:rsidRPr="00A17B1B">
        <w:br/>
        <w:t>Belconnen ACT 2616</w:t>
      </w:r>
    </w:p>
    <w:p w14:paraId="02A32CA7" w14:textId="77777777" w:rsidR="00284A74" w:rsidRPr="00A17B1B" w:rsidRDefault="00284A74" w:rsidP="00284A74">
      <w:pPr>
        <w:pStyle w:val="ACMACorporateAddresses"/>
      </w:pPr>
      <w:r w:rsidRPr="00A17B1B">
        <w:t>T</w:t>
      </w:r>
      <w:r w:rsidRPr="00A17B1B">
        <w:tab/>
        <w:t>+61 2 6219 5555</w:t>
      </w:r>
      <w:r w:rsidRPr="00A17B1B">
        <w:br/>
        <w:t>F</w:t>
      </w:r>
      <w:r w:rsidRPr="00A17B1B">
        <w:tab/>
        <w:t>+61 2 6219 5353</w:t>
      </w:r>
    </w:p>
    <w:p w14:paraId="48F4A609" w14:textId="77777777" w:rsidR="00284A74" w:rsidRPr="00A17B1B" w:rsidRDefault="00284A74" w:rsidP="00284A74">
      <w:pPr>
        <w:pStyle w:val="ACMACorporateAddressHeader"/>
      </w:pPr>
      <w:r w:rsidRPr="00A17B1B">
        <w:t>Melbourne</w:t>
      </w:r>
    </w:p>
    <w:p w14:paraId="6C9276EB" w14:textId="77777777" w:rsidR="00284A74" w:rsidRPr="00A17B1B" w:rsidRDefault="00284A74" w:rsidP="00284A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49E9096F" w14:textId="77777777" w:rsidR="00284A74" w:rsidRPr="00A17B1B" w:rsidRDefault="00284A74" w:rsidP="00284A74">
      <w:pPr>
        <w:pStyle w:val="ACMACorporateAddresses"/>
      </w:pPr>
      <w:r w:rsidRPr="00A17B1B">
        <w:t>PO Box 13112</w:t>
      </w:r>
      <w:r w:rsidRPr="00A17B1B">
        <w:br/>
        <w:t xml:space="preserve">Law Courts </w:t>
      </w:r>
      <w:r w:rsidRPr="00A17B1B">
        <w:br/>
        <w:t>Melbourne VIC 8010</w:t>
      </w:r>
    </w:p>
    <w:p w14:paraId="0C1BCF1A" w14:textId="77777777" w:rsidR="00284A74" w:rsidRPr="00A17B1B" w:rsidRDefault="00284A74" w:rsidP="00284A74">
      <w:pPr>
        <w:pStyle w:val="ACMACorporateAddresses"/>
      </w:pPr>
      <w:r w:rsidRPr="00A17B1B">
        <w:t>T</w:t>
      </w:r>
      <w:r w:rsidRPr="00A17B1B">
        <w:tab/>
        <w:t>+61 3 9963 6800</w:t>
      </w:r>
      <w:r w:rsidRPr="00A17B1B">
        <w:br/>
        <w:t>F</w:t>
      </w:r>
      <w:r w:rsidRPr="00A17B1B">
        <w:tab/>
        <w:t>+61 3 9963 6899</w:t>
      </w:r>
    </w:p>
    <w:p w14:paraId="21E4E1E1" w14:textId="77777777" w:rsidR="00284A74" w:rsidRPr="00A17B1B" w:rsidRDefault="00284A74" w:rsidP="00284A74">
      <w:pPr>
        <w:pStyle w:val="ACMACorporateAddressHeader"/>
      </w:pPr>
      <w:r w:rsidRPr="00A17B1B">
        <w:t>Sydney</w:t>
      </w:r>
    </w:p>
    <w:p w14:paraId="64BA2883" w14:textId="77777777" w:rsidR="00284A74" w:rsidRPr="00A17B1B" w:rsidRDefault="00284A74" w:rsidP="00284A74">
      <w:pPr>
        <w:pStyle w:val="ACMACorporateAddresses"/>
      </w:pPr>
      <w:r w:rsidRPr="00A17B1B">
        <w:t xml:space="preserve">Level 5 </w:t>
      </w:r>
      <w:r w:rsidRPr="00A17B1B">
        <w:br/>
        <w:t>The Bay Centre</w:t>
      </w:r>
      <w:r w:rsidRPr="00A17B1B">
        <w:br/>
        <w:t xml:space="preserve">65 Pirrama Road </w:t>
      </w:r>
      <w:r w:rsidRPr="00A17B1B">
        <w:br/>
        <w:t>Pyrmont NSW</w:t>
      </w:r>
    </w:p>
    <w:p w14:paraId="54B11722" w14:textId="77777777" w:rsidR="00284A74" w:rsidRPr="00A17B1B" w:rsidRDefault="00284A74" w:rsidP="00284A74">
      <w:pPr>
        <w:pStyle w:val="ACMACorporateAddresses"/>
      </w:pPr>
      <w:r w:rsidRPr="00A17B1B">
        <w:t>PO Box Q500</w:t>
      </w:r>
      <w:r w:rsidRPr="00A17B1B">
        <w:br/>
        <w:t xml:space="preserve">Queen Victoria Building </w:t>
      </w:r>
      <w:r w:rsidRPr="00A17B1B">
        <w:br/>
        <w:t>NSW 1230</w:t>
      </w:r>
    </w:p>
    <w:p w14:paraId="28D1629F" w14:textId="77777777" w:rsidR="00284A74" w:rsidRPr="00A17B1B" w:rsidRDefault="00284A74" w:rsidP="00284A74">
      <w:pPr>
        <w:pStyle w:val="ACMACorporateAddresses"/>
      </w:pPr>
      <w:r w:rsidRPr="00A17B1B">
        <w:t>T</w:t>
      </w:r>
      <w:r w:rsidRPr="00A17B1B">
        <w:tab/>
        <w:t>+61 2 9334 7700</w:t>
      </w:r>
      <w:r w:rsidRPr="00A17B1B">
        <w:br/>
        <w:t>F</w:t>
      </w:r>
      <w:r w:rsidRPr="00A17B1B">
        <w:tab/>
        <w:t>+61 2 9334 7799</w:t>
      </w:r>
    </w:p>
    <w:p w14:paraId="03C13D7D" w14:textId="77777777" w:rsidR="00284A74" w:rsidRPr="00A17B1B" w:rsidRDefault="00284A74" w:rsidP="00284A74">
      <w:pPr>
        <w:pStyle w:val="ACMACopyrightHeader"/>
      </w:pPr>
      <w:r w:rsidRPr="00A17B1B">
        <w:t>Copyright notice</w:t>
      </w:r>
    </w:p>
    <w:p w14:paraId="2760A214" w14:textId="77777777" w:rsidR="00284A74" w:rsidRPr="00A17B1B" w:rsidRDefault="00284A74" w:rsidP="00284A74">
      <w:pPr>
        <w:pStyle w:val="ACMACClogo"/>
      </w:pPr>
      <w:r w:rsidRPr="00A17B1B">
        <w:rPr>
          <w:noProof/>
        </w:rPr>
        <w:drawing>
          <wp:inline distT="0" distB="0" distL="0" distR="0" wp14:anchorId="61EBD49D" wp14:editId="2F487F2D">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41369F8C" w14:textId="77777777" w:rsidR="00284A74" w:rsidRPr="00A17B1B" w:rsidRDefault="00C46C67" w:rsidP="00284A74">
      <w:pPr>
        <w:pStyle w:val="ACMACorporateAddresses"/>
        <w:rPr>
          <w:rStyle w:val="Hyperlink"/>
        </w:rPr>
      </w:pPr>
      <w:hyperlink r:id="rId13" w:history="1">
        <w:r w:rsidR="00284A74" w:rsidRPr="00A17B1B">
          <w:rPr>
            <w:rStyle w:val="Hyperlink"/>
          </w:rPr>
          <w:t>https://creativecommons.org/licenses/by/4.0/</w:t>
        </w:r>
      </w:hyperlink>
    </w:p>
    <w:p w14:paraId="6793A63B" w14:textId="77777777" w:rsidR="00284A74" w:rsidRPr="00A17B1B" w:rsidRDefault="00284A74" w:rsidP="00284A74">
      <w:pPr>
        <w:pStyle w:val="ACMACorporateAddresses"/>
      </w:pPr>
      <w:r w:rsidRPr="00A17B1B">
        <w:t xml:space="preserve">With the exception of coats of arms, logos, emblems, images, other third-party material or devices protected by a trademark, this content is made available under the terms of the Creative Commons Attribution 4.0 International (CC BY 4.0) licence. </w:t>
      </w:r>
    </w:p>
    <w:p w14:paraId="265D269D" w14:textId="77777777" w:rsidR="00284A74" w:rsidRPr="00A17B1B" w:rsidRDefault="00284A74" w:rsidP="00284A74">
      <w:pPr>
        <w:pStyle w:val="ACMACorporateAddresses"/>
      </w:pPr>
      <w:r w:rsidRPr="00A17B1B">
        <w:t>We request attribution as © Commonwealth of Australia (Australian Communications and Media Authority) 202</w:t>
      </w:r>
      <w:r w:rsidR="00C55D36">
        <w:t>3</w:t>
      </w:r>
      <w:r w:rsidRPr="00A17B1B">
        <w:t>.</w:t>
      </w:r>
    </w:p>
    <w:p w14:paraId="5E9F0E34" w14:textId="77777777" w:rsidR="00284A74" w:rsidRPr="00A17B1B" w:rsidRDefault="00284A74" w:rsidP="00284A74">
      <w:pPr>
        <w:pStyle w:val="ACMACorporateAddresses"/>
      </w:pPr>
      <w:r w:rsidRPr="00A17B1B">
        <w:t>All other rights are reserved.</w:t>
      </w:r>
    </w:p>
    <w:p w14:paraId="16F0D170" w14:textId="77777777" w:rsidR="00284A74" w:rsidRPr="00A17B1B" w:rsidRDefault="00284A74" w:rsidP="00284A74">
      <w:pPr>
        <w:pStyle w:val="ACMACorporateAddresses"/>
      </w:pPr>
      <w:r w:rsidRPr="00A17B1B">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2F9F626C" w14:textId="77777777" w:rsidR="00284A74" w:rsidRPr="00A17B1B" w:rsidRDefault="00284A74" w:rsidP="00284A74">
      <w:pPr>
        <w:pStyle w:val="ACMACorporateAddresses"/>
      </w:pPr>
      <w:r w:rsidRPr="00A17B1B">
        <w:t>Written enquiries may be sent to:</w:t>
      </w:r>
    </w:p>
    <w:p w14:paraId="108F8D92" w14:textId="77777777" w:rsidR="00284A74" w:rsidRPr="00A17B1B" w:rsidRDefault="00284A74" w:rsidP="00284A74">
      <w:pPr>
        <w:pStyle w:val="ACMACorporateAddresses"/>
        <w:rPr>
          <w:rStyle w:val="Hyperlink"/>
        </w:rPr>
      </w:pPr>
      <w:r w:rsidRPr="00A17B1B">
        <w:t>Manager, Editorial Services</w:t>
      </w:r>
      <w:r w:rsidRPr="00A17B1B">
        <w:br/>
        <w:t>PO Box 13112</w:t>
      </w:r>
      <w:r w:rsidRPr="00A17B1B">
        <w:br/>
        <w:t>Law Courts</w:t>
      </w:r>
      <w:r w:rsidRPr="00A17B1B">
        <w:br/>
        <w:t>Melbourne VIC 8010</w:t>
      </w:r>
      <w:r w:rsidRPr="00A17B1B">
        <w:br/>
        <w:t xml:space="preserve">Email: </w:t>
      </w:r>
      <w:hyperlink r:id="rId14" w:history="1">
        <w:r w:rsidRPr="00A17B1B">
          <w:rPr>
            <w:rStyle w:val="Hyperlink"/>
          </w:rPr>
          <w:t>info@acma.gov.au</w:t>
        </w:r>
      </w:hyperlink>
    </w:p>
    <w:p w14:paraId="6E36E6B0" w14:textId="77777777" w:rsidR="00D16FE3" w:rsidRPr="00A17B1B" w:rsidRDefault="00D16FE3" w:rsidP="00D16FE3">
      <w:pPr>
        <w:pStyle w:val="ACMACorporateAddresses"/>
        <w:sectPr w:rsidR="00D16FE3" w:rsidRPr="00A17B1B">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0EDB4015" w14:textId="2D8441DE" w:rsidR="00CB06B7" w:rsidRDefault="00DF0799">
      <w:pPr>
        <w:pStyle w:val="TOC1"/>
        <w:rPr>
          <w:rFonts w:asciiTheme="minorHAnsi" w:eastAsiaTheme="minorEastAsia" w:hAnsiTheme="minorHAnsi" w:cstheme="minorBidi"/>
          <w:b w:val="0"/>
          <w:spacing w:val="0"/>
          <w:sz w:val="22"/>
          <w:szCs w:val="22"/>
        </w:rPr>
      </w:pPr>
      <w:r w:rsidRPr="00A17B1B">
        <w:rPr>
          <w:rFonts w:cs="Arial"/>
        </w:rPr>
        <w:lastRenderedPageBreak/>
        <w:fldChar w:fldCharType="begin"/>
      </w:r>
      <w:r w:rsidRPr="00A17B1B">
        <w:rPr>
          <w:rFonts w:cs="Arial"/>
        </w:rPr>
        <w:instrText xml:space="preserve"> TOC \o "1-3" \h \z \t "Exec summary heading,1" </w:instrText>
      </w:r>
      <w:r w:rsidRPr="00A17B1B">
        <w:rPr>
          <w:rFonts w:cs="Arial"/>
        </w:rPr>
        <w:fldChar w:fldCharType="separate"/>
      </w:r>
      <w:hyperlink w:anchor="_Toc144196213" w:history="1">
        <w:r w:rsidR="00CB06B7" w:rsidRPr="0040499C">
          <w:rPr>
            <w:rStyle w:val="Hyperlink"/>
          </w:rPr>
          <w:t>Background</w:t>
        </w:r>
        <w:r w:rsidR="00CB06B7">
          <w:rPr>
            <w:webHidden/>
          </w:rPr>
          <w:tab/>
        </w:r>
        <w:r w:rsidR="00CB06B7">
          <w:rPr>
            <w:webHidden/>
          </w:rPr>
          <w:fldChar w:fldCharType="begin"/>
        </w:r>
        <w:r w:rsidR="00CB06B7">
          <w:rPr>
            <w:webHidden/>
          </w:rPr>
          <w:instrText xml:space="preserve"> PAGEREF _Toc144196213 \h </w:instrText>
        </w:r>
        <w:r w:rsidR="00CB06B7">
          <w:rPr>
            <w:webHidden/>
          </w:rPr>
        </w:r>
        <w:r w:rsidR="00CB06B7">
          <w:rPr>
            <w:webHidden/>
          </w:rPr>
          <w:fldChar w:fldCharType="separate"/>
        </w:r>
        <w:r w:rsidR="00CB06B7">
          <w:rPr>
            <w:webHidden/>
          </w:rPr>
          <w:t>1</w:t>
        </w:r>
        <w:r w:rsidR="00CB06B7">
          <w:rPr>
            <w:webHidden/>
          </w:rPr>
          <w:fldChar w:fldCharType="end"/>
        </w:r>
      </w:hyperlink>
    </w:p>
    <w:p w14:paraId="0C362B17" w14:textId="50CC6DF0" w:rsidR="00CB06B7" w:rsidRDefault="00C46C67">
      <w:pPr>
        <w:pStyle w:val="TOC1"/>
        <w:rPr>
          <w:rFonts w:asciiTheme="minorHAnsi" w:eastAsiaTheme="minorEastAsia" w:hAnsiTheme="minorHAnsi" w:cstheme="minorBidi"/>
          <w:b w:val="0"/>
          <w:spacing w:val="0"/>
          <w:sz w:val="22"/>
          <w:szCs w:val="22"/>
        </w:rPr>
      </w:pPr>
      <w:hyperlink w:anchor="_Toc144196214" w:history="1">
        <w:r w:rsidR="00CB06B7" w:rsidRPr="0040499C">
          <w:rPr>
            <w:rStyle w:val="Hyperlink"/>
          </w:rPr>
          <w:t>Response to submissions</w:t>
        </w:r>
        <w:r w:rsidR="00CB06B7">
          <w:rPr>
            <w:webHidden/>
          </w:rPr>
          <w:tab/>
        </w:r>
        <w:r w:rsidR="00CB06B7">
          <w:rPr>
            <w:webHidden/>
          </w:rPr>
          <w:fldChar w:fldCharType="begin"/>
        </w:r>
        <w:r w:rsidR="00CB06B7">
          <w:rPr>
            <w:webHidden/>
          </w:rPr>
          <w:instrText xml:space="preserve"> PAGEREF _Toc144196214 \h </w:instrText>
        </w:r>
        <w:r w:rsidR="00CB06B7">
          <w:rPr>
            <w:webHidden/>
          </w:rPr>
        </w:r>
        <w:r w:rsidR="00CB06B7">
          <w:rPr>
            <w:webHidden/>
          </w:rPr>
          <w:fldChar w:fldCharType="separate"/>
        </w:r>
        <w:r w:rsidR="00CB06B7">
          <w:rPr>
            <w:webHidden/>
          </w:rPr>
          <w:t>2</w:t>
        </w:r>
        <w:r w:rsidR="00CB06B7">
          <w:rPr>
            <w:webHidden/>
          </w:rPr>
          <w:fldChar w:fldCharType="end"/>
        </w:r>
      </w:hyperlink>
    </w:p>
    <w:p w14:paraId="151FD372" w14:textId="4D2890F0" w:rsidR="00CB06B7" w:rsidRDefault="00C46C67">
      <w:pPr>
        <w:pStyle w:val="TOC1"/>
        <w:rPr>
          <w:rFonts w:asciiTheme="minorHAnsi" w:eastAsiaTheme="minorEastAsia" w:hAnsiTheme="minorHAnsi" w:cstheme="minorBidi"/>
          <w:b w:val="0"/>
          <w:spacing w:val="0"/>
          <w:sz w:val="22"/>
          <w:szCs w:val="22"/>
        </w:rPr>
      </w:pPr>
      <w:hyperlink w:anchor="_Toc144196215" w:history="1">
        <w:r w:rsidR="00CB06B7" w:rsidRPr="0040499C">
          <w:rPr>
            <w:rStyle w:val="Hyperlink"/>
          </w:rPr>
          <w:t>Non-assigned scientific licensing</w:t>
        </w:r>
        <w:r w:rsidR="00CB06B7">
          <w:rPr>
            <w:webHidden/>
          </w:rPr>
          <w:tab/>
        </w:r>
        <w:r w:rsidR="00CB06B7">
          <w:rPr>
            <w:webHidden/>
          </w:rPr>
          <w:fldChar w:fldCharType="begin"/>
        </w:r>
        <w:r w:rsidR="00CB06B7">
          <w:rPr>
            <w:webHidden/>
          </w:rPr>
          <w:instrText xml:space="preserve"> PAGEREF _Toc144196215 \h </w:instrText>
        </w:r>
        <w:r w:rsidR="00CB06B7">
          <w:rPr>
            <w:webHidden/>
          </w:rPr>
        </w:r>
        <w:r w:rsidR="00CB06B7">
          <w:rPr>
            <w:webHidden/>
          </w:rPr>
          <w:fldChar w:fldCharType="separate"/>
        </w:r>
        <w:r w:rsidR="00CB06B7">
          <w:rPr>
            <w:webHidden/>
          </w:rPr>
          <w:t>3</w:t>
        </w:r>
        <w:r w:rsidR="00CB06B7">
          <w:rPr>
            <w:webHidden/>
          </w:rPr>
          <w:fldChar w:fldCharType="end"/>
        </w:r>
      </w:hyperlink>
    </w:p>
    <w:p w14:paraId="00FF77D6" w14:textId="1D582B07" w:rsidR="00CB06B7" w:rsidRDefault="00C46C67">
      <w:pPr>
        <w:pStyle w:val="TOC2"/>
        <w:rPr>
          <w:rFonts w:asciiTheme="minorHAnsi" w:eastAsiaTheme="minorEastAsia" w:hAnsiTheme="minorHAnsi" w:cstheme="minorBidi"/>
          <w:spacing w:val="0"/>
          <w:sz w:val="22"/>
          <w:szCs w:val="22"/>
        </w:rPr>
      </w:pPr>
      <w:hyperlink w:anchor="_Toc144196216" w:history="1">
        <w:r w:rsidR="00CB06B7" w:rsidRPr="0040499C">
          <w:rPr>
            <w:rStyle w:val="Hyperlink"/>
          </w:rPr>
          <w:t>What stakeholders told us</w:t>
        </w:r>
        <w:r w:rsidR="00CB06B7">
          <w:rPr>
            <w:webHidden/>
          </w:rPr>
          <w:tab/>
        </w:r>
        <w:r w:rsidR="00CB06B7">
          <w:rPr>
            <w:webHidden/>
          </w:rPr>
          <w:fldChar w:fldCharType="begin"/>
        </w:r>
        <w:r w:rsidR="00CB06B7">
          <w:rPr>
            <w:webHidden/>
          </w:rPr>
          <w:instrText xml:space="preserve"> PAGEREF _Toc144196216 \h </w:instrText>
        </w:r>
        <w:r w:rsidR="00CB06B7">
          <w:rPr>
            <w:webHidden/>
          </w:rPr>
        </w:r>
        <w:r w:rsidR="00CB06B7">
          <w:rPr>
            <w:webHidden/>
          </w:rPr>
          <w:fldChar w:fldCharType="separate"/>
        </w:r>
        <w:r w:rsidR="00CB06B7">
          <w:rPr>
            <w:webHidden/>
          </w:rPr>
          <w:t>3</w:t>
        </w:r>
        <w:r w:rsidR="00CB06B7">
          <w:rPr>
            <w:webHidden/>
          </w:rPr>
          <w:fldChar w:fldCharType="end"/>
        </w:r>
      </w:hyperlink>
    </w:p>
    <w:p w14:paraId="63A501CA" w14:textId="58611B0C" w:rsidR="00CB06B7" w:rsidRDefault="00C46C67">
      <w:pPr>
        <w:pStyle w:val="TOC2"/>
        <w:rPr>
          <w:rFonts w:asciiTheme="minorHAnsi" w:eastAsiaTheme="minorEastAsia" w:hAnsiTheme="minorHAnsi" w:cstheme="minorBidi"/>
          <w:spacing w:val="0"/>
          <w:sz w:val="22"/>
          <w:szCs w:val="22"/>
        </w:rPr>
      </w:pPr>
      <w:hyperlink w:anchor="_Toc144196217" w:history="1">
        <w:r w:rsidR="00CB06B7" w:rsidRPr="0040499C">
          <w:rPr>
            <w:rStyle w:val="Hyperlink"/>
          </w:rPr>
          <w:t>Our response</w:t>
        </w:r>
        <w:r w:rsidR="00CB06B7">
          <w:rPr>
            <w:webHidden/>
          </w:rPr>
          <w:tab/>
        </w:r>
        <w:r w:rsidR="00CB06B7">
          <w:rPr>
            <w:webHidden/>
          </w:rPr>
          <w:fldChar w:fldCharType="begin"/>
        </w:r>
        <w:r w:rsidR="00CB06B7">
          <w:rPr>
            <w:webHidden/>
          </w:rPr>
          <w:instrText xml:space="preserve"> PAGEREF _Toc144196217 \h </w:instrText>
        </w:r>
        <w:r w:rsidR="00CB06B7">
          <w:rPr>
            <w:webHidden/>
          </w:rPr>
        </w:r>
        <w:r w:rsidR="00CB06B7">
          <w:rPr>
            <w:webHidden/>
          </w:rPr>
          <w:fldChar w:fldCharType="separate"/>
        </w:r>
        <w:r w:rsidR="00CB06B7">
          <w:rPr>
            <w:webHidden/>
          </w:rPr>
          <w:t>3</w:t>
        </w:r>
        <w:r w:rsidR="00CB06B7">
          <w:rPr>
            <w:webHidden/>
          </w:rPr>
          <w:fldChar w:fldCharType="end"/>
        </w:r>
      </w:hyperlink>
    </w:p>
    <w:p w14:paraId="4C42934D" w14:textId="1CAC0F0B" w:rsidR="00CB06B7" w:rsidRDefault="00C46C67">
      <w:pPr>
        <w:pStyle w:val="TOC2"/>
        <w:rPr>
          <w:rFonts w:asciiTheme="minorHAnsi" w:eastAsiaTheme="minorEastAsia" w:hAnsiTheme="minorHAnsi" w:cstheme="minorBidi"/>
          <w:spacing w:val="0"/>
          <w:sz w:val="22"/>
          <w:szCs w:val="22"/>
        </w:rPr>
      </w:pPr>
      <w:hyperlink w:anchor="_Toc144196218" w:history="1">
        <w:r w:rsidR="00CB06B7" w:rsidRPr="0040499C">
          <w:rPr>
            <w:rStyle w:val="Hyperlink"/>
          </w:rPr>
          <w:t>Outcomes</w:t>
        </w:r>
        <w:r w:rsidR="00CB06B7">
          <w:rPr>
            <w:webHidden/>
          </w:rPr>
          <w:tab/>
        </w:r>
        <w:r w:rsidR="00CB06B7">
          <w:rPr>
            <w:webHidden/>
          </w:rPr>
          <w:fldChar w:fldCharType="begin"/>
        </w:r>
        <w:r w:rsidR="00CB06B7">
          <w:rPr>
            <w:webHidden/>
          </w:rPr>
          <w:instrText xml:space="preserve"> PAGEREF _Toc144196218 \h </w:instrText>
        </w:r>
        <w:r w:rsidR="00CB06B7">
          <w:rPr>
            <w:webHidden/>
          </w:rPr>
        </w:r>
        <w:r w:rsidR="00CB06B7">
          <w:rPr>
            <w:webHidden/>
          </w:rPr>
          <w:fldChar w:fldCharType="separate"/>
        </w:r>
        <w:r w:rsidR="00CB06B7">
          <w:rPr>
            <w:webHidden/>
          </w:rPr>
          <w:t>4</w:t>
        </w:r>
        <w:r w:rsidR="00CB06B7">
          <w:rPr>
            <w:webHidden/>
          </w:rPr>
          <w:fldChar w:fldCharType="end"/>
        </w:r>
      </w:hyperlink>
    </w:p>
    <w:p w14:paraId="3119CC03" w14:textId="4DB04675" w:rsidR="00CB06B7" w:rsidRDefault="00C46C67">
      <w:pPr>
        <w:pStyle w:val="TOC1"/>
        <w:rPr>
          <w:rFonts w:asciiTheme="minorHAnsi" w:eastAsiaTheme="minorEastAsia" w:hAnsiTheme="minorHAnsi" w:cstheme="minorBidi"/>
          <w:b w:val="0"/>
          <w:spacing w:val="0"/>
          <w:sz w:val="22"/>
          <w:szCs w:val="22"/>
        </w:rPr>
      </w:pPr>
      <w:hyperlink w:anchor="_Toc144196219" w:history="1">
        <w:r w:rsidR="00CB06B7" w:rsidRPr="0040499C">
          <w:rPr>
            <w:rStyle w:val="Hyperlink"/>
          </w:rPr>
          <w:t>Assigned scientific licensing</w:t>
        </w:r>
        <w:r w:rsidR="00CB06B7">
          <w:rPr>
            <w:webHidden/>
          </w:rPr>
          <w:tab/>
        </w:r>
        <w:r w:rsidR="00CB06B7">
          <w:rPr>
            <w:webHidden/>
          </w:rPr>
          <w:fldChar w:fldCharType="begin"/>
        </w:r>
        <w:r w:rsidR="00CB06B7">
          <w:rPr>
            <w:webHidden/>
          </w:rPr>
          <w:instrText xml:space="preserve"> PAGEREF _Toc144196219 \h </w:instrText>
        </w:r>
        <w:r w:rsidR="00CB06B7">
          <w:rPr>
            <w:webHidden/>
          </w:rPr>
        </w:r>
        <w:r w:rsidR="00CB06B7">
          <w:rPr>
            <w:webHidden/>
          </w:rPr>
          <w:fldChar w:fldCharType="separate"/>
        </w:r>
        <w:r w:rsidR="00CB06B7">
          <w:rPr>
            <w:webHidden/>
          </w:rPr>
          <w:t>5</w:t>
        </w:r>
        <w:r w:rsidR="00CB06B7">
          <w:rPr>
            <w:webHidden/>
          </w:rPr>
          <w:fldChar w:fldCharType="end"/>
        </w:r>
      </w:hyperlink>
    </w:p>
    <w:p w14:paraId="45B45D2A" w14:textId="27573CD2" w:rsidR="00CB06B7" w:rsidRDefault="00C46C67">
      <w:pPr>
        <w:pStyle w:val="TOC2"/>
        <w:rPr>
          <w:rFonts w:asciiTheme="minorHAnsi" w:eastAsiaTheme="minorEastAsia" w:hAnsiTheme="minorHAnsi" w:cstheme="minorBidi"/>
          <w:spacing w:val="0"/>
          <w:sz w:val="22"/>
          <w:szCs w:val="22"/>
        </w:rPr>
      </w:pPr>
      <w:hyperlink w:anchor="_Toc144196220" w:history="1">
        <w:r w:rsidR="00CB06B7" w:rsidRPr="0040499C">
          <w:rPr>
            <w:rStyle w:val="Hyperlink"/>
          </w:rPr>
          <w:t>What stakeholders told us</w:t>
        </w:r>
        <w:r w:rsidR="00CB06B7">
          <w:rPr>
            <w:webHidden/>
          </w:rPr>
          <w:tab/>
        </w:r>
        <w:r w:rsidR="00CB06B7">
          <w:rPr>
            <w:webHidden/>
          </w:rPr>
          <w:fldChar w:fldCharType="begin"/>
        </w:r>
        <w:r w:rsidR="00CB06B7">
          <w:rPr>
            <w:webHidden/>
          </w:rPr>
          <w:instrText xml:space="preserve"> PAGEREF _Toc144196220 \h </w:instrText>
        </w:r>
        <w:r w:rsidR="00CB06B7">
          <w:rPr>
            <w:webHidden/>
          </w:rPr>
        </w:r>
        <w:r w:rsidR="00CB06B7">
          <w:rPr>
            <w:webHidden/>
          </w:rPr>
          <w:fldChar w:fldCharType="separate"/>
        </w:r>
        <w:r w:rsidR="00CB06B7">
          <w:rPr>
            <w:webHidden/>
          </w:rPr>
          <w:t>5</w:t>
        </w:r>
        <w:r w:rsidR="00CB06B7">
          <w:rPr>
            <w:webHidden/>
          </w:rPr>
          <w:fldChar w:fldCharType="end"/>
        </w:r>
      </w:hyperlink>
    </w:p>
    <w:p w14:paraId="3366F870" w14:textId="317C92F5" w:rsidR="00CB06B7" w:rsidRDefault="00C46C67">
      <w:pPr>
        <w:pStyle w:val="TOC2"/>
        <w:rPr>
          <w:rFonts w:asciiTheme="minorHAnsi" w:eastAsiaTheme="minorEastAsia" w:hAnsiTheme="minorHAnsi" w:cstheme="minorBidi"/>
          <w:spacing w:val="0"/>
          <w:sz w:val="22"/>
          <w:szCs w:val="22"/>
        </w:rPr>
      </w:pPr>
      <w:hyperlink w:anchor="_Toc144196221" w:history="1">
        <w:r w:rsidR="00CB06B7" w:rsidRPr="0040499C">
          <w:rPr>
            <w:rStyle w:val="Hyperlink"/>
          </w:rPr>
          <w:t>Our response</w:t>
        </w:r>
        <w:r w:rsidR="00CB06B7">
          <w:rPr>
            <w:webHidden/>
          </w:rPr>
          <w:tab/>
        </w:r>
        <w:r w:rsidR="00CB06B7">
          <w:rPr>
            <w:webHidden/>
          </w:rPr>
          <w:fldChar w:fldCharType="begin"/>
        </w:r>
        <w:r w:rsidR="00CB06B7">
          <w:rPr>
            <w:webHidden/>
          </w:rPr>
          <w:instrText xml:space="preserve"> PAGEREF _Toc144196221 \h </w:instrText>
        </w:r>
        <w:r w:rsidR="00CB06B7">
          <w:rPr>
            <w:webHidden/>
          </w:rPr>
        </w:r>
        <w:r w:rsidR="00CB06B7">
          <w:rPr>
            <w:webHidden/>
          </w:rPr>
          <w:fldChar w:fldCharType="separate"/>
        </w:r>
        <w:r w:rsidR="00CB06B7">
          <w:rPr>
            <w:webHidden/>
          </w:rPr>
          <w:t>5</w:t>
        </w:r>
        <w:r w:rsidR="00CB06B7">
          <w:rPr>
            <w:webHidden/>
          </w:rPr>
          <w:fldChar w:fldCharType="end"/>
        </w:r>
      </w:hyperlink>
    </w:p>
    <w:p w14:paraId="1055B4E9" w14:textId="75D18144" w:rsidR="00CB06B7" w:rsidRDefault="00C46C67">
      <w:pPr>
        <w:pStyle w:val="TOC2"/>
        <w:rPr>
          <w:rFonts w:asciiTheme="minorHAnsi" w:eastAsiaTheme="minorEastAsia" w:hAnsiTheme="minorHAnsi" w:cstheme="minorBidi"/>
          <w:spacing w:val="0"/>
          <w:sz w:val="22"/>
          <w:szCs w:val="22"/>
        </w:rPr>
      </w:pPr>
      <w:hyperlink w:anchor="_Toc144196222" w:history="1">
        <w:r w:rsidR="00CB06B7" w:rsidRPr="0040499C">
          <w:rPr>
            <w:rStyle w:val="Hyperlink"/>
          </w:rPr>
          <w:t>Outcomes</w:t>
        </w:r>
        <w:r w:rsidR="00CB06B7">
          <w:rPr>
            <w:webHidden/>
          </w:rPr>
          <w:tab/>
        </w:r>
        <w:r w:rsidR="00CB06B7">
          <w:rPr>
            <w:webHidden/>
          </w:rPr>
          <w:fldChar w:fldCharType="begin"/>
        </w:r>
        <w:r w:rsidR="00CB06B7">
          <w:rPr>
            <w:webHidden/>
          </w:rPr>
          <w:instrText xml:space="preserve"> PAGEREF _Toc144196222 \h </w:instrText>
        </w:r>
        <w:r w:rsidR="00CB06B7">
          <w:rPr>
            <w:webHidden/>
          </w:rPr>
        </w:r>
        <w:r w:rsidR="00CB06B7">
          <w:rPr>
            <w:webHidden/>
          </w:rPr>
          <w:fldChar w:fldCharType="separate"/>
        </w:r>
        <w:r w:rsidR="00CB06B7">
          <w:rPr>
            <w:webHidden/>
          </w:rPr>
          <w:t>5</w:t>
        </w:r>
        <w:r w:rsidR="00CB06B7">
          <w:rPr>
            <w:webHidden/>
          </w:rPr>
          <w:fldChar w:fldCharType="end"/>
        </w:r>
      </w:hyperlink>
    </w:p>
    <w:p w14:paraId="430A086A" w14:textId="4961870B" w:rsidR="00CB06B7" w:rsidRDefault="00C46C67">
      <w:pPr>
        <w:pStyle w:val="TOC1"/>
        <w:rPr>
          <w:rFonts w:asciiTheme="minorHAnsi" w:eastAsiaTheme="minorEastAsia" w:hAnsiTheme="minorHAnsi" w:cstheme="minorBidi"/>
          <w:b w:val="0"/>
          <w:spacing w:val="0"/>
          <w:sz w:val="22"/>
          <w:szCs w:val="22"/>
        </w:rPr>
      </w:pPr>
      <w:hyperlink w:anchor="_Toc144196223" w:history="1">
        <w:r w:rsidR="00CB06B7" w:rsidRPr="0040499C">
          <w:rPr>
            <w:rStyle w:val="Hyperlink"/>
          </w:rPr>
          <w:t>Other matters</w:t>
        </w:r>
        <w:r w:rsidR="00CB06B7">
          <w:rPr>
            <w:webHidden/>
          </w:rPr>
          <w:tab/>
        </w:r>
        <w:r w:rsidR="00CB06B7">
          <w:rPr>
            <w:webHidden/>
          </w:rPr>
          <w:fldChar w:fldCharType="begin"/>
        </w:r>
        <w:r w:rsidR="00CB06B7">
          <w:rPr>
            <w:webHidden/>
          </w:rPr>
          <w:instrText xml:space="preserve"> PAGEREF _Toc144196223 \h </w:instrText>
        </w:r>
        <w:r w:rsidR="00CB06B7">
          <w:rPr>
            <w:webHidden/>
          </w:rPr>
        </w:r>
        <w:r w:rsidR="00CB06B7">
          <w:rPr>
            <w:webHidden/>
          </w:rPr>
          <w:fldChar w:fldCharType="separate"/>
        </w:r>
        <w:r w:rsidR="00CB06B7">
          <w:rPr>
            <w:webHidden/>
          </w:rPr>
          <w:t>6</w:t>
        </w:r>
        <w:r w:rsidR="00CB06B7">
          <w:rPr>
            <w:webHidden/>
          </w:rPr>
          <w:fldChar w:fldCharType="end"/>
        </w:r>
      </w:hyperlink>
    </w:p>
    <w:p w14:paraId="72F1A611" w14:textId="1F406431" w:rsidR="00CB06B7" w:rsidRDefault="00C46C67">
      <w:pPr>
        <w:pStyle w:val="TOC2"/>
        <w:rPr>
          <w:rFonts w:asciiTheme="minorHAnsi" w:eastAsiaTheme="minorEastAsia" w:hAnsiTheme="minorHAnsi" w:cstheme="minorBidi"/>
          <w:spacing w:val="0"/>
          <w:sz w:val="22"/>
          <w:szCs w:val="22"/>
        </w:rPr>
      </w:pPr>
      <w:hyperlink w:anchor="_Toc144196224" w:history="1">
        <w:r w:rsidR="00CB06B7" w:rsidRPr="0040499C">
          <w:rPr>
            <w:rStyle w:val="Hyperlink"/>
          </w:rPr>
          <w:t>What stakeholders told us</w:t>
        </w:r>
        <w:r w:rsidR="00CB06B7">
          <w:rPr>
            <w:webHidden/>
          </w:rPr>
          <w:tab/>
        </w:r>
        <w:r w:rsidR="00CB06B7">
          <w:rPr>
            <w:webHidden/>
          </w:rPr>
          <w:fldChar w:fldCharType="begin"/>
        </w:r>
        <w:r w:rsidR="00CB06B7">
          <w:rPr>
            <w:webHidden/>
          </w:rPr>
          <w:instrText xml:space="preserve"> PAGEREF _Toc144196224 \h </w:instrText>
        </w:r>
        <w:r w:rsidR="00CB06B7">
          <w:rPr>
            <w:webHidden/>
          </w:rPr>
        </w:r>
        <w:r w:rsidR="00CB06B7">
          <w:rPr>
            <w:webHidden/>
          </w:rPr>
          <w:fldChar w:fldCharType="separate"/>
        </w:r>
        <w:r w:rsidR="00CB06B7">
          <w:rPr>
            <w:webHidden/>
          </w:rPr>
          <w:t>6</w:t>
        </w:r>
        <w:r w:rsidR="00CB06B7">
          <w:rPr>
            <w:webHidden/>
          </w:rPr>
          <w:fldChar w:fldCharType="end"/>
        </w:r>
      </w:hyperlink>
    </w:p>
    <w:p w14:paraId="3B7CD908" w14:textId="4A5F6E13" w:rsidR="00CB06B7" w:rsidRDefault="00C46C67">
      <w:pPr>
        <w:pStyle w:val="TOC2"/>
        <w:rPr>
          <w:rFonts w:asciiTheme="minorHAnsi" w:eastAsiaTheme="minorEastAsia" w:hAnsiTheme="minorHAnsi" w:cstheme="minorBidi"/>
          <w:spacing w:val="0"/>
          <w:sz w:val="22"/>
          <w:szCs w:val="22"/>
        </w:rPr>
      </w:pPr>
      <w:hyperlink w:anchor="_Toc144196225" w:history="1">
        <w:r w:rsidR="00CB06B7" w:rsidRPr="0040499C">
          <w:rPr>
            <w:rStyle w:val="Hyperlink"/>
          </w:rPr>
          <w:t>Our response</w:t>
        </w:r>
        <w:r w:rsidR="00CB06B7">
          <w:rPr>
            <w:webHidden/>
          </w:rPr>
          <w:tab/>
        </w:r>
        <w:r w:rsidR="00CB06B7">
          <w:rPr>
            <w:webHidden/>
          </w:rPr>
          <w:fldChar w:fldCharType="begin"/>
        </w:r>
        <w:r w:rsidR="00CB06B7">
          <w:rPr>
            <w:webHidden/>
          </w:rPr>
          <w:instrText xml:space="preserve"> PAGEREF _Toc144196225 \h </w:instrText>
        </w:r>
        <w:r w:rsidR="00CB06B7">
          <w:rPr>
            <w:webHidden/>
          </w:rPr>
        </w:r>
        <w:r w:rsidR="00CB06B7">
          <w:rPr>
            <w:webHidden/>
          </w:rPr>
          <w:fldChar w:fldCharType="separate"/>
        </w:r>
        <w:r w:rsidR="00CB06B7">
          <w:rPr>
            <w:webHidden/>
          </w:rPr>
          <w:t>6</w:t>
        </w:r>
        <w:r w:rsidR="00CB06B7">
          <w:rPr>
            <w:webHidden/>
          </w:rPr>
          <w:fldChar w:fldCharType="end"/>
        </w:r>
      </w:hyperlink>
    </w:p>
    <w:p w14:paraId="3F9ECF50" w14:textId="3C5A5832" w:rsidR="00CB06B7" w:rsidRDefault="00C46C67">
      <w:pPr>
        <w:pStyle w:val="TOC2"/>
        <w:rPr>
          <w:rFonts w:asciiTheme="minorHAnsi" w:eastAsiaTheme="minorEastAsia" w:hAnsiTheme="minorHAnsi" w:cstheme="minorBidi"/>
          <w:spacing w:val="0"/>
          <w:sz w:val="22"/>
          <w:szCs w:val="22"/>
        </w:rPr>
      </w:pPr>
      <w:hyperlink w:anchor="_Toc144196226" w:history="1">
        <w:r w:rsidR="00CB06B7" w:rsidRPr="0040499C">
          <w:rPr>
            <w:rStyle w:val="Hyperlink"/>
          </w:rPr>
          <w:t>Outcomes</w:t>
        </w:r>
        <w:r w:rsidR="00CB06B7">
          <w:rPr>
            <w:webHidden/>
          </w:rPr>
          <w:tab/>
        </w:r>
        <w:r w:rsidR="00CB06B7">
          <w:rPr>
            <w:webHidden/>
          </w:rPr>
          <w:fldChar w:fldCharType="begin"/>
        </w:r>
        <w:r w:rsidR="00CB06B7">
          <w:rPr>
            <w:webHidden/>
          </w:rPr>
          <w:instrText xml:space="preserve"> PAGEREF _Toc144196226 \h </w:instrText>
        </w:r>
        <w:r w:rsidR="00CB06B7">
          <w:rPr>
            <w:webHidden/>
          </w:rPr>
        </w:r>
        <w:r w:rsidR="00CB06B7">
          <w:rPr>
            <w:webHidden/>
          </w:rPr>
          <w:fldChar w:fldCharType="separate"/>
        </w:r>
        <w:r w:rsidR="00CB06B7">
          <w:rPr>
            <w:webHidden/>
          </w:rPr>
          <w:t>6</w:t>
        </w:r>
        <w:r w:rsidR="00CB06B7">
          <w:rPr>
            <w:webHidden/>
          </w:rPr>
          <w:fldChar w:fldCharType="end"/>
        </w:r>
      </w:hyperlink>
    </w:p>
    <w:p w14:paraId="0150E602" w14:textId="4A840DDF" w:rsidR="004D56FF" w:rsidRPr="00A17B1B" w:rsidRDefault="00DF0799">
      <w:pPr>
        <w:rPr>
          <w:rFonts w:cs="Arial"/>
        </w:rPr>
        <w:sectPr w:rsidR="004D56FF" w:rsidRPr="00A17B1B"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A17B1B">
        <w:rPr>
          <w:rFonts w:cs="Arial"/>
        </w:rPr>
        <w:fldChar w:fldCharType="end"/>
      </w:r>
    </w:p>
    <w:p w14:paraId="5169839B" w14:textId="623CC1FD" w:rsidR="005E250B" w:rsidRPr="00A17B1B" w:rsidRDefault="00E179BF" w:rsidP="005E250B">
      <w:pPr>
        <w:pStyle w:val="Heading1"/>
      </w:pPr>
      <w:bookmarkStart w:id="0" w:name="_Toc144196213"/>
      <w:r>
        <w:lastRenderedPageBreak/>
        <w:t>Background</w:t>
      </w:r>
      <w:bookmarkEnd w:id="0"/>
    </w:p>
    <w:p w14:paraId="796CA4AF" w14:textId="3204118B" w:rsidR="00F966B2" w:rsidRPr="005B4CF2" w:rsidRDefault="00F966B2" w:rsidP="005B4CF2">
      <w:pPr>
        <w:pStyle w:val="Paragraph"/>
        <w:rPr>
          <w:b/>
        </w:rPr>
      </w:pPr>
      <w:bookmarkStart w:id="1" w:name="_Hlk26868779"/>
      <w:bookmarkStart w:id="2" w:name="_Hlk26868934"/>
      <w:r>
        <w:rPr>
          <w:color w:val="000000"/>
          <w:szCs w:val="20"/>
        </w:rPr>
        <w:t>Between 5 December 2022 and 28 February 202</w:t>
      </w:r>
      <w:r w:rsidR="00245651">
        <w:rPr>
          <w:color w:val="000000"/>
          <w:szCs w:val="20"/>
        </w:rPr>
        <w:t>3</w:t>
      </w:r>
      <w:r>
        <w:rPr>
          <w:color w:val="000000"/>
          <w:szCs w:val="20"/>
        </w:rPr>
        <w:t xml:space="preserve">, </w:t>
      </w:r>
      <w:r w:rsidR="00155815">
        <w:rPr>
          <w:color w:val="000000"/>
          <w:szCs w:val="20"/>
        </w:rPr>
        <w:t>we</w:t>
      </w:r>
      <w:r>
        <w:rPr>
          <w:color w:val="000000"/>
          <w:szCs w:val="20"/>
        </w:rPr>
        <w:t xml:space="preserve"> consulted on our </w:t>
      </w:r>
      <w:r w:rsidR="00D85C23">
        <w:rPr>
          <w:color w:val="000000"/>
          <w:szCs w:val="20"/>
        </w:rPr>
        <w:t xml:space="preserve">review of scientific licensing arrangements. This paper </w:t>
      </w:r>
      <w:r w:rsidR="003A5A81">
        <w:rPr>
          <w:color w:val="000000"/>
          <w:szCs w:val="20"/>
        </w:rPr>
        <w:t xml:space="preserve">summarises the </w:t>
      </w:r>
      <w:r w:rsidR="00A71BB7">
        <w:rPr>
          <w:color w:val="000000"/>
          <w:szCs w:val="20"/>
        </w:rPr>
        <w:t>key issues</w:t>
      </w:r>
      <w:r w:rsidR="00A83FB7">
        <w:rPr>
          <w:color w:val="000000"/>
          <w:szCs w:val="20"/>
        </w:rPr>
        <w:t xml:space="preserve"> and</w:t>
      </w:r>
      <w:r w:rsidR="00A71BB7">
        <w:rPr>
          <w:color w:val="000000"/>
          <w:szCs w:val="20"/>
        </w:rPr>
        <w:t xml:space="preserve"> </w:t>
      </w:r>
      <w:r w:rsidR="0062016E">
        <w:rPr>
          <w:color w:val="000000"/>
          <w:szCs w:val="20"/>
        </w:rPr>
        <w:t>recommendations</w:t>
      </w:r>
      <w:r w:rsidR="00A71BB7">
        <w:rPr>
          <w:color w:val="000000"/>
          <w:szCs w:val="20"/>
        </w:rPr>
        <w:t xml:space="preserve"> made by submitters to the consultation</w:t>
      </w:r>
      <w:r w:rsidR="00155815">
        <w:rPr>
          <w:color w:val="000000"/>
          <w:szCs w:val="20"/>
        </w:rPr>
        <w:t>,</w:t>
      </w:r>
      <w:r w:rsidR="00A71BB7">
        <w:rPr>
          <w:color w:val="000000"/>
          <w:szCs w:val="20"/>
        </w:rPr>
        <w:t xml:space="preserve"> and</w:t>
      </w:r>
      <w:r w:rsidR="00C55B94">
        <w:rPr>
          <w:color w:val="000000"/>
          <w:szCs w:val="20"/>
        </w:rPr>
        <w:t xml:space="preserve"> </w:t>
      </w:r>
      <w:r w:rsidR="00C245AD">
        <w:rPr>
          <w:color w:val="000000"/>
          <w:szCs w:val="20"/>
        </w:rPr>
        <w:t xml:space="preserve">it </w:t>
      </w:r>
      <w:r w:rsidR="007E7783">
        <w:rPr>
          <w:color w:val="000000"/>
          <w:szCs w:val="20"/>
        </w:rPr>
        <w:t xml:space="preserve">provides </w:t>
      </w:r>
      <w:r w:rsidR="00C55B94">
        <w:rPr>
          <w:color w:val="000000"/>
          <w:szCs w:val="20"/>
        </w:rPr>
        <w:t xml:space="preserve">our response to the </w:t>
      </w:r>
      <w:r w:rsidR="007E7783">
        <w:rPr>
          <w:color w:val="000000"/>
          <w:szCs w:val="20"/>
        </w:rPr>
        <w:t>feedback received</w:t>
      </w:r>
      <w:r w:rsidR="00D85C23">
        <w:rPr>
          <w:color w:val="000000"/>
          <w:szCs w:val="20"/>
        </w:rPr>
        <w:t>.</w:t>
      </w:r>
    </w:p>
    <w:p w14:paraId="340F93C1" w14:textId="411AF34F" w:rsidR="00687D3F" w:rsidRPr="00FA5B88" w:rsidRDefault="00D723B8" w:rsidP="00A67DD3">
      <w:pPr>
        <w:pStyle w:val="NormalWeb"/>
        <w:rPr>
          <w:rFonts w:ascii="Arial" w:hAnsi="Arial" w:cs="Arial"/>
          <w:color w:val="000000"/>
          <w:sz w:val="20"/>
          <w:szCs w:val="20"/>
        </w:rPr>
      </w:pPr>
      <w:r>
        <w:rPr>
          <w:rFonts w:ascii="Arial" w:hAnsi="Arial" w:cs="Arial"/>
          <w:color w:val="000000"/>
          <w:sz w:val="20"/>
          <w:szCs w:val="20"/>
        </w:rPr>
        <w:t>S</w:t>
      </w:r>
      <w:r w:rsidR="00105F3B">
        <w:rPr>
          <w:rFonts w:ascii="Arial" w:hAnsi="Arial" w:cs="Arial"/>
          <w:color w:val="000000"/>
          <w:sz w:val="20"/>
          <w:szCs w:val="20"/>
        </w:rPr>
        <w:t xml:space="preserve">cientific licensing </w:t>
      </w:r>
      <w:r>
        <w:rPr>
          <w:rFonts w:ascii="Arial" w:hAnsi="Arial" w:cs="Arial"/>
          <w:color w:val="000000"/>
          <w:sz w:val="20"/>
          <w:szCs w:val="20"/>
        </w:rPr>
        <w:t>is intended to support</w:t>
      </w:r>
      <w:r w:rsidR="00105F3B">
        <w:rPr>
          <w:rFonts w:ascii="Arial" w:hAnsi="Arial" w:cs="Arial"/>
          <w:color w:val="000000"/>
          <w:sz w:val="20"/>
          <w:szCs w:val="20"/>
        </w:rPr>
        <w:t xml:space="preserve"> spectrum users </w:t>
      </w:r>
      <w:r w:rsidR="00AB55FF">
        <w:rPr>
          <w:rFonts w:ascii="Arial" w:hAnsi="Arial" w:cs="Arial"/>
          <w:color w:val="000000"/>
          <w:sz w:val="20"/>
          <w:szCs w:val="20"/>
        </w:rPr>
        <w:t xml:space="preserve">in </w:t>
      </w:r>
      <w:r w:rsidR="00105F3B">
        <w:rPr>
          <w:rFonts w:ascii="Arial" w:hAnsi="Arial" w:cs="Arial"/>
          <w:color w:val="000000"/>
          <w:sz w:val="20"/>
          <w:szCs w:val="20"/>
        </w:rPr>
        <w:t>develop</w:t>
      </w:r>
      <w:r w:rsidR="00AB55FF">
        <w:rPr>
          <w:rFonts w:ascii="Arial" w:hAnsi="Arial" w:cs="Arial"/>
          <w:color w:val="000000"/>
          <w:sz w:val="20"/>
          <w:szCs w:val="20"/>
        </w:rPr>
        <w:t>ing</w:t>
      </w:r>
      <w:r w:rsidR="00105F3B">
        <w:rPr>
          <w:rFonts w:ascii="Arial" w:hAnsi="Arial" w:cs="Arial"/>
          <w:color w:val="000000"/>
          <w:sz w:val="20"/>
          <w:szCs w:val="20"/>
        </w:rPr>
        <w:t>, trial</w:t>
      </w:r>
      <w:r w:rsidR="00AB55FF">
        <w:rPr>
          <w:rFonts w:ascii="Arial" w:hAnsi="Arial" w:cs="Arial"/>
          <w:color w:val="000000"/>
          <w:sz w:val="20"/>
          <w:szCs w:val="20"/>
        </w:rPr>
        <w:t>ing</w:t>
      </w:r>
      <w:r w:rsidR="00105F3B">
        <w:rPr>
          <w:rFonts w:ascii="Arial" w:hAnsi="Arial" w:cs="Arial"/>
          <w:color w:val="000000"/>
          <w:sz w:val="20"/>
          <w:szCs w:val="20"/>
        </w:rPr>
        <w:t xml:space="preserve"> and assess</w:t>
      </w:r>
      <w:r w:rsidR="00AB55FF">
        <w:rPr>
          <w:rFonts w:ascii="Arial" w:hAnsi="Arial" w:cs="Arial"/>
          <w:color w:val="000000"/>
          <w:sz w:val="20"/>
          <w:szCs w:val="20"/>
        </w:rPr>
        <w:t>ing</w:t>
      </w:r>
      <w:r w:rsidR="00B1182A">
        <w:rPr>
          <w:rFonts w:ascii="Arial" w:hAnsi="Arial" w:cs="Arial"/>
          <w:color w:val="000000"/>
          <w:sz w:val="20"/>
          <w:szCs w:val="20"/>
        </w:rPr>
        <w:t xml:space="preserve"> </w:t>
      </w:r>
      <w:r w:rsidR="00105F3B">
        <w:rPr>
          <w:rFonts w:ascii="Arial" w:hAnsi="Arial" w:cs="Arial"/>
          <w:color w:val="000000"/>
          <w:sz w:val="20"/>
          <w:szCs w:val="20"/>
        </w:rPr>
        <w:t xml:space="preserve">new and innovative </w:t>
      </w:r>
      <w:r w:rsidR="00105F3B" w:rsidRPr="00FA5B88">
        <w:rPr>
          <w:rFonts w:ascii="Arial" w:hAnsi="Arial" w:cs="Arial"/>
          <w:color w:val="000000"/>
          <w:sz w:val="20"/>
          <w:szCs w:val="20"/>
        </w:rPr>
        <w:t>radiocommunications technologies and services.</w:t>
      </w:r>
      <w:r w:rsidR="00AB55FF">
        <w:rPr>
          <w:rFonts w:ascii="Arial" w:hAnsi="Arial" w:cs="Arial"/>
          <w:color w:val="000000"/>
          <w:sz w:val="20"/>
          <w:szCs w:val="20"/>
        </w:rPr>
        <w:t xml:space="preserve"> The review </w:t>
      </w:r>
      <w:r w:rsidR="00E23B4B">
        <w:rPr>
          <w:rFonts w:ascii="Arial" w:hAnsi="Arial" w:cs="Arial"/>
          <w:color w:val="000000"/>
          <w:sz w:val="20"/>
          <w:szCs w:val="20"/>
        </w:rPr>
        <w:t>examined whether current regulatory arrangements were operating efficiently and effectively as intended.</w:t>
      </w:r>
    </w:p>
    <w:p w14:paraId="301BB0D6" w14:textId="4E7E7003" w:rsidR="00155815" w:rsidRDefault="001B4820" w:rsidP="002167C2">
      <w:pPr>
        <w:pStyle w:val="Paragraphbeforelist"/>
      </w:pPr>
      <w:r>
        <w:t xml:space="preserve">Before the consultation paper was released, the ACMA issued </w:t>
      </w:r>
      <w:r w:rsidR="00155815">
        <w:t xml:space="preserve">2 </w:t>
      </w:r>
      <w:r>
        <w:t xml:space="preserve">kinds of transmitter licences under the </w:t>
      </w:r>
      <w:r>
        <w:rPr>
          <w:i/>
          <w:iCs/>
        </w:rPr>
        <w:t xml:space="preserve">Radiocommunications Act 1992 </w:t>
      </w:r>
      <w:r>
        <w:t xml:space="preserve">(Act) for scientific licensing purposes: </w:t>
      </w:r>
    </w:p>
    <w:p w14:paraId="26663046" w14:textId="77777777" w:rsidR="00155815" w:rsidRDefault="001B4820" w:rsidP="00155815">
      <w:pPr>
        <w:pStyle w:val="Bulletlevel1"/>
      </w:pPr>
      <w:r>
        <w:t>assigned scientific licences, which authorised the operation of radiocommunications transmitters on frequencies specified in the licence</w:t>
      </w:r>
    </w:p>
    <w:p w14:paraId="5DD8E8FE" w14:textId="76971EF2" w:rsidR="001B4820" w:rsidRPr="00FA5B88" w:rsidRDefault="001B4820" w:rsidP="002167C2">
      <w:pPr>
        <w:pStyle w:val="Bulletlevel1last"/>
      </w:pPr>
      <w:r>
        <w:t>non</w:t>
      </w:r>
      <w:r w:rsidR="00155815">
        <w:t>-</w:t>
      </w:r>
      <w:r>
        <w:t>assigned scientific licences, w</w:t>
      </w:r>
      <w:r w:rsidR="00155815">
        <w:t>hich</w:t>
      </w:r>
      <w:r>
        <w:t xml:space="preserve"> authorised the operation of radiocommunications transmitters on shared frequencies specified in the </w:t>
      </w:r>
      <w:r w:rsidRPr="002167C2">
        <w:t xml:space="preserve">Radiocommunications Licence Conditions (Scientific Licence) Determination 2015 </w:t>
      </w:r>
      <w:r w:rsidRPr="00CC551C">
        <w:t>(Scientific LCD)</w:t>
      </w:r>
      <w:r w:rsidR="00155815">
        <w:t>.</w:t>
      </w:r>
      <w:r w:rsidRPr="00CC551C">
        <w:rPr>
          <w:rStyle w:val="FootnoteReference"/>
          <w:szCs w:val="20"/>
        </w:rPr>
        <w:footnoteReference w:id="2"/>
      </w:r>
    </w:p>
    <w:p w14:paraId="77354ABB" w14:textId="5A54A43B" w:rsidR="00AE1FC2" w:rsidRPr="0000515B" w:rsidRDefault="00687D3F" w:rsidP="009E274D">
      <w:pPr>
        <w:pStyle w:val="NormalWeb"/>
        <w:rPr>
          <w:rFonts w:ascii="Arial" w:hAnsi="Arial" w:cs="Arial"/>
          <w:color w:val="000000"/>
          <w:sz w:val="20"/>
          <w:szCs w:val="20"/>
        </w:rPr>
      </w:pPr>
      <w:r w:rsidRPr="00FA5B88">
        <w:rPr>
          <w:rFonts w:ascii="Arial" w:hAnsi="Arial" w:cs="Arial"/>
          <w:color w:val="000000"/>
          <w:sz w:val="20"/>
          <w:szCs w:val="20"/>
        </w:rPr>
        <w:t xml:space="preserve">In the consultation paper, we </w:t>
      </w:r>
      <w:r w:rsidR="00735D69">
        <w:rPr>
          <w:rFonts w:ascii="Arial" w:hAnsi="Arial" w:cs="Arial"/>
          <w:color w:val="000000"/>
          <w:sz w:val="20"/>
          <w:szCs w:val="20"/>
        </w:rPr>
        <w:t xml:space="preserve">invited </w:t>
      </w:r>
      <w:r w:rsidR="00EE6F06" w:rsidRPr="00FA5B88">
        <w:rPr>
          <w:rFonts w:ascii="Arial" w:hAnsi="Arial" w:cs="Arial"/>
          <w:color w:val="000000"/>
          <w:sz w:val="20"/>
          <w:szCs w:val="20"/>
        </w:rPr>
        <w:t>comments on a nu</w:t>
      </w:r>
      <w:r w:rsidR="002E3509" w:rsidRPr="00FA5B88">
        <w:rPr>
          <w:rFonts w:ascii="Arial" w:hAnsi="Arial" w:cs="Arial"/>
          <w:color w:val="000000"/>
          <w:sz w:val="20"/>
          <w:szCs w:val="20"/>
        </w:rPr>
        <w:t>mber of issues</w:t>
      </w:r>
      <w:r w:rsidR="00735D69">
        <w:rPr>
          <w:rFonts w:ascii="Arial" w:hAnsi="Arial" w:cs="Arial"/>
          <w:color w:val="000000"/>
          <w:sz w:val="20"/>
          <w:szCs w:val="20"/>
        </w:rPr>
        <w:t xml:space="preserve"> r</w:t>
      </w:r>
      <w:r w:rsidR="00C71AB9" w:rsidRPr="00FA5B88">
        <w:rPr>
          <w:rFonts w:ascii="Arial" w:hAnsi="Arial" w:cs="Arial"/>
          <w:color w:val="000000"/>
          <w:sz w:val="20"/>
          <w:szCs w:val="20"/>
        </w:rPr>
        <w:t>e</w:t>
      </w:r>
      <w:r w:rsidR="00E04225">
        <w:rPr>
          <w:rFonts w:ascii="Arial" w:hAnsi="Arial" w:cs="Arial"/>
          <w:color w:val="000000"/>
          <w:sz w:val="20"/>
          <w:szCs w:val="20"/>
        </w:rPr>
        <w:t xml:space="preserve">lating to </w:t>
      </w:r>
      <w:r w:rsidR="009D30C9">
        <w:rPr>
          <w:rFonts w:ascii="Arial" w:hAnsi="Arial" w:cs="Arial"/>
          <w:color w:val="000000"/>
          <w:sz w:val="20"/>
          <w:szCs w:val="20"/>
        </w:rPr>
        <w:t xml:space="preserve">conditions for authorised </w:t>
      </w:r>
      <w:r w:rsidR="006359B6" w:rsidRPr="00FA5B88">
        <w:rPr>
          <w:rFonts w:ascii="Arial" w:hAnsi="Arial" w:cs="Arial"/>
          <w:sz w:val="20"/>
          <w:szCs w:val="20"/>
        </w:rPr>
        <w:t>use</w:t>
      </w:r>
      <w:r w:rsidR="00155815">
        <w:rPr>
          <w:rFonts w:ascii="Arial" w:hAnsi="Arial" w:cs="Arial"/>
          <w:sz w:val="20"/>
          <w:szCs w:val="20"/>
        </w:rPr>
        <w:t>-</w:t>
      </w:r>
      <w:r w:rsidR="006359B6" w:rsidRPr="00FA5B88">
        <w:rPr>
          <w:rFonts w:ascii="Arial" w:hAnsi="Arial" w:cs="Arial"/>
          <w:sz w:val="20"/>
          <w:szCs w:val="20"/>
        </w:rPr>
        <w:t xml:space="preserve">cases under non-assigned </w:t>
      </w:r>
      <w:r w:rsidR="00AC1156">
        <w:rPr>
          <w:rFonts w:ascii="Arial" w:hAnsi="Arial" w:cs="Arial"/>
          <w:sz w:val="20"/>
          <w:szCs w:val="20"/>
        </w:rPr>
        <w:t xml:space="preserve">scientific </w:t>
      </w:r>
      <w:r w:rsidR="006359B6" w:rsidRPr="00FA5B88">
        <w:rPr>
          <w:rFonts w:ascii="Arial" w:hAnsi="Arial" w:cs="Arial"/>
          <w:sz w:val="20"/>
          <w:szCs w:val="20"/>
        </w:rPr>
        <w:t>licences</w:t>
      </w:r>
      <w:r w:rsidR="00AB15E3" w:rsidRPr="00FA5B88">
        <w:rPr>
          <w:rFonts w:ascii="Arial" w:hAnsi="Arial" w:cs="Arial"/>
          <w:sz w:val="20"/>
          <w:szCs w:val="20"/>
        </w:rPr>
        <w:t xml:space="preserve">, </w:t>
      </w:r>
      <w:r w:rsidR="00B86385" w:rsidRPr="0000515B">
        <w:rPr>
          <w:rFonts w:ascii="Arial" w:hAnsi="Arial" w:cs="Arial"/>
          <w:sz w:val="20"/>
          <w:szCs w:val="20"/>
        </w:rPr>
        <w:t>amendment</w:t>
      </w:r>
      <w:r w:rsidR="001711AC">
        <w:rPr>
          <w:rFonts w:ascii="Arial" w:hAnsi="Arial" w:cs="Arial"/>
          <w:sz w:val="20"/>
          <w:szCs w:val="20"/>
        </w:rPr>
        <w:t xml:space="preserve">s to </w:t>
      </w:r>
      <w:r w:rsidR="00B47D02" w:rsidRPr="0000515B">
        <w:rPr>
          <w:rFonts w:ascii="Arial" w:hAnsi="Arial" w:cs="Arial"/>
          <w:sz w:val="20"/>
          <w:szCs w:val="20"/>
        </w:rPr>
        <w:t>frequency band plan</w:t>
      </w:r>
      <w:r w:rsidR="00644E8F" w:rsidRPr="0000515B">
        <w:rPr>
          <w:rFonts w:ascii="Arial" w:hAnsi="Arial" w:cs="Arial"/>
          <w:sz w:val="20"/>
          <w:szCs w:val="20"/>
        </w:rPr>
        <w:t>s</w:t>
      </w:r>
      <w:r w:rsidR="00BD688E">
        <w:rPr>
          <w:rFonts w:ascii="Arial" w:hAnsi="Arial" w:cs="Arial"/>
          <w:sz w:val="20"/>
          <w:szCs w:val="20"/>
        </w:rPr>
        <w:t>,</w:t>
      </w:r>
      <w:r w:rsidR="00644E8F" w:rsidRPr="0000515B">
        <w:rPr>
          <w:rStyle w:val="FootnoteReference"/>
          <w:rFonts w:cs="Arial"/>
          <w:sz w:val="20"/>
          <w:szCs w:val="20"/>
        </w:rPr>
        <w:footnoteReference w:id="3"/>
      </w:r>
      <w:r w:rsidR="00644E8F" w:rsidRPr="0000515B">
        <w:rPr>
          <w:rFonts w:ascii="Arial" w:hAnsi="Arial" w:cs="Arial"/>
          <w:sz w:val="20"/>
          <w:szCs w:val="20"/>
        </w:rPr>
        <w:t xml:space="preserve"> </w:t>
      </w:r>
      <w:r w:rsidR="00B86385" w:rsidRPr="0000515B">
        <w:rPr>
          <w:rFonts w:ascii="Arial" w:hAnsi="Arial" w:cs="Arial"/>
          <w:sz w:val="20"/>
          <w:szCs w:val="20"/>
        </w:rPr>
        <w:t xml:space="preserve">and </w:t>
      </w:r>
      <w:r w:rsidR="00C72DD3">
        <w:rPr>
          <w:rFonts w:ascii="Arial" w:hAnsi="Arial" w:cs="Arial"/>
          <w:sz w:val="20"/>
          <w:szCs w:val="20"/>
        </w:rPr>
        <w:t>radiocommunication trials</w:t>
      </w:r>
      <w:r w:rsidR="00C6386C">
        <w:rPr>
          <w:rFonts w:ascii="Arial" w:hAnsi="Arial" w:cs="Arial"/>
          <w:sz w:val="20"/>
          <w:szCs w:val="20"/>
        </w:rPr>
        <w:t xml:space="preserve"> under assigned </w:t>
      </w:r>
      <w:r w:rsidR="00AC1156">
        <w:rPr>
          <w:rFonts w:ascii="Arial" w:hAnsi="Arial" w:cs="Arial"/>
          <w:sz w:val="20"/>
          <w:szCs w:val="20"/>
        </w:rPr>
        <w:t xml:space="preserve">scientific </w:t>
      </w:r>
      <w:r w:rsidR="00C6386C">
        <w:rPr>
          <w:rFonts w:ascii="Arial" w:hAnsi="Arial" w:cs="Arial"/>
          <w:sz w:val="20"/>
          <w:szCs w:val="20"/>
        </w:rPr>
        <w:t>licences</w:t>
      </w:r>
      <w:r w:rsidR="00B86385" w:rsidRPr="0000515B">
        <w:rPr>
          <w:rFonts w:ascii="Arial" w:hAnsi="Arial" w:cs="Arial"/>
          <w:sz w:val="20"/>
          <w:szCs w:val="20"/>
        </w:rPr>
        <w:t>.</w:t>
      </w:r>
      <w:r w:rsidR="00C2528D" w:rsidRPr="0000515B">
        <w:rPr>
          <w:rFonts w:ascii="Arial" w:hAnsi="Arial" w:cs="Arial"/>
          <w:color w:val="000000"/>
          <w:sz w:val="20"/>
          <w:szCs w:val="20"/>
        </w:rPr>
        <w:t xml:space="preserve"> </w:t>
      </w:r>
    </w:p>
    <w:p w14:paraId="55924D6B" w14:textId="56E1FCD6" w:rsidR="00482511" w:rsidRDefault="003F1703" w:rsidP="009E274D">
      <w:pPr>
        <w:pStyle w:val="NormalWeb"/>
        <w:rPr>
          <w:rFonts w:ascii="Arial" w:hAnsi="Arial" w:cs="Arial"/>
          <w:color w:val="000000"/>
          <w:sz w:val="20"/>
          <w:szCs w:val="20"/>
        </w:rPr>
      </w:pPr>
      <w:r w:rsidRPr="0000515B">
        <w:rPr>
          <w:rFonts w:ascii="Arial" w:hAnsi="Arial" w:cs="Arial"/>
          <w:color w:val="000000"/>
          <w:sz w:val="20"/>
          <w:szCs w:val="20"/>
        </w:rPr>
        <w:t xml:space="preserve">We also sought views on a proposed class licence </w:t>
      </w:r>
      <w:r w:rsidR="0080662A" w:rsidRPr="0000515B">
        <w:rPr>
          <w:rFonts w:ascii="Arial" w:hAnsi="Arial" w:cs="Arial"/>
          <w:color w:val="000000"/>
          <w:sz w:val="20"/>
          <w:szCs w:val="20"/>
        </w:rPr>
        <w:t>–</w:t>
      </w:r>
      <w:r w:rsidRPr="0000515B">
        <w:rPr>
          <w:rFonts w:ascii="Arial" w:hAnsi="Arial" w:cs="Arial"/>
          <w:color w:val="000000"/>
          <w:sz w:val="20"/>
          <w:szCs w:val="20"/>
        </w:rPr>
        <w:t xml:space="preserve"> </w:t>
      </w:r>
      <w:r w:rsidR="0080662A" w:rsidRPr="0000515B">
        <w:rPr>
          <w:rFonts w:ascii="Arial" w:hAnsi="Arial" w:cs="Arial"/>
          <w:color w:val="000000"/>
          <w:sz w:val="20"/>
          <w:szCs w:val="20"/>
        </w:rPr>
        <w:t xml:space="preserve">the Radiocommunications (Scientific Purposes) Class Licence 2023 (the proposed class licence) – </w:t>
      </w:r>
      <w:r w:rsidR="00EC7648">
        <w:rPr>
          <w:rFonts w:ascii="Arial" w:hAnsi="Arial" w:cs="Arial"/>
          <w:color w:val="000000"/>
          <w:sz w:val="20"/>
          <w:szCs w:val="20"/>
        </w:rPr>
        <w:t xml:space="preserve">to replace </w:t>
      </w:r>
      <w:r w:rsidR="00C86445">
        <w:rPr>
          <w:rFonts w:ascii="Arial" w:hAnsi="Arial" w:cs="Arial"/>
          <w:color w:val="000000"/>
          <w:sz w:val="20"/>
          <w:szCs w:val="20"/>
        </w:rPr>
        <w:t>non-assigned scientific licences</w:t>
      </w:r>
      <w:r w:rsidR="005C5600">
        <w:rPr>
          <w:rFonts w:ascii="Arial" w:hAnsi="Arial" w:cs="Arial"/>
          <w:color w:val="000000"/>
          <w:sz w:val="20"/>
          <w:szCs w:val="20"/>
        </w:rPr>
        <w:t xml:space="preserve">. </w:t>
      </w:r>
      <w:r w:rsidR="005C5600" w:rsidRPr="00E73DA3">
        <w:rPr>
          <w:rFonts w:ascii="Arial" w:hAnsi="Arial" w:cs="Arial"/>
          <w:color w:val="000000"/>
          <w:sz w:val="20"/>
          <w:szCs w:val="20"/>
        </w:rPr>
        <w:t xml:space="preserve">The proposed class licence </w:t>
      </w:r>
      <w:r w:rsidR="00034177" w:rsidRPr="00E73DA3">
        <w:rPr>
          <w:rFonts w:ascii="Arial" w:hAnsi="Arial" w:cs="Arial"/>
          <w:sz w:val="20"/>
          <w:szCs w:val="20"/>
        </w:rPr>
        <w:t>largely replicate</w:t>
      </w:r>
      <w:r w:rsidR="00155815">
        <w:rPr>
          <w:rFonts w:ascii="Arial" w:hAnsi="Arial" w:cs="Arial"/>
          <w:sz w:val="20"/>
          <w:szCs w:val="20"/>
        </w:rPr>
        <w:t>s</w:t>
      </w:r>
      <w:r w:rsidR="00034177" w:rsidRPr="00E73DA3">
        <w:rPr>
          <w:rFonts w:ascii="Arial" w:hAnsi="Arial" w:cs="Arial"/>
          <w:sz w:val="20"/>
          <w:szCs w:val="20"/>
        </w:rPr>
        <w:t xml:space="preserve"> the provisions of the </w:t>
      </w:r>
      <w:r w:rsidR="005C5600" w:rsidRPr="00CC551C">
        <w:rPr>
          <w:rFonts w:ascii="Arial" w:hAnsi="Arial" w:cs="Arial"/>
          <w:sz w:val="20"/>
          <w:szCs w:val="20"/>
        </w:rPr>
        <w:t>S</w:t>
      </w:r>
      <w:r w:rsidR="00034177" w:rsidRPr="00CC551C">
        <w:rPr>
          <w:rFonts w:ascii="Arial" w:hAnsi="Arial" w:cs="Arial"/>
          <w:sz w:val="20"/>
          <w:szCs w:val="20"/>
        </w:rPr>
        <w:t>cientific LCD</w:t>
      </w:r>
      <w:r w:rsidR="00034177" w:rsidRPr="00E73DA3">
        <w:rPr>
          <w:rFonts w:ascii="Arial" w:hAnsi="Arial" w:cs="Arial"/>
          <w:sz w:val="20"/>
          <w:szCs w:val="20"/>
        </w:rPr>
        <w:t xml:space="preserve"> that applied to non-assigned scientific licences</w:t>
      </w:r>
      <w:r w:rsidR="00155815">
        <w:rPr>
          <w:rFonts w:ascii="Arial" w:hAnsi="Arial" w:cs="Arial"/>
          <w:sz w:val="20"/>
          <w:szCs w:val="20"/>
        </w:rPr>
        <w:t xml:space="preserve">. It </w:t>
      </w:r>
      <w:r w:rsidR="00AB6959" w:rsidRPr="00E73DA3">
        <w:rPr>
          <w:rFonts w:ascii="Arial" w:hAnsi="Arial" w:cs="Arial"/>
          <w:color w:val="000000"/>
          <w:sz w:val="20"/>
          <w:szCs w:val="20"/>
        </w:rPr>
        <w:t>provide</w:t>
      </w:r>
      <w:r w:rsidR="00155815">
        <w:rPr>
          <w:rFonts w:ascii="Arial" w:hAnsi="Arial" w:cs="Arial"/>
          <w:color w:val="000000"/>
          <w:sz w:val="20"/>
          <w:szCs w:val="20"/>
        </w:rPr>
        <w:t>s</w:t>
      </w:r>
      <w:r w:rsidR="00AB6959" w:rsidRPr="00E73DA3">
        <w:rPr>
          <w:rFonts w:ascii="Arial" w:hAnsi="Arial" w:cs="Arial"/>
          <w:color w:val="000000"/>
          <w:sz w:val="20"/>
          <w:szCs w:val="20"/>
        </w:rPr>
        <w:t xml:space="preserve"> for</w:t>
      </w:r>
      <w:r w:rsidR="00B900CF" w:rsidRPr="00E73DA3">
        <w:rPr>
          <w:rFonts w:ascii="Arial" w:hAnsi="Arial" w:cs="Arial"/>
          <w:color w:val="000000"/>
          <w:sz w:val="20"/>
          <w:szCs w:val="20"/>
        </w:rPr>
        <w:t xml:space="preserve"> additional </w:t>
      </w:r>
      <w:r w:rsidR="000204FE">
        <w:rPr>
          <w:rFonts w:ascii="Arial" w:hAnsi="Arial" w:cs="Arial"/>
          <w:color w:val="000000"/>
          <w:sz w:val="20"/>
          <w:szCs w:val="20"/>
        </w:rPr>
        <w:t>permitted purposes for the operation of radiocommunications devices</w:t>
      </w:r>
      <w:r w:rsidR="005E496C" w:rsidRPr="00E73DA3">
        <w:rPr>
          <w:rFonts w:ascii="Arial" w:hAnsi="Arial" w:cs="Arial"/>
          <w:color w:val="000000"/>
          <w:sz w:val="20"/>
          <w:szCs w:val="20"/>
        </w:rPr>
        <w:t xml:space="preserve"> </w:t>
      </w:r>
      <w:r w:rsidR="00152FCB" w:rsidRPr="00E73DA3">
        <w:rPr>
          <w:rFonts w:ascii="Arial" w:hAnsi="Arial" w:cs="Arial"/>
          <w:color w:val="000000"/>
          <w:sz w:val="20"/>
          <w:szCs w:val="20"/>
        </w:rPr>
        <w:t>(</w:t>
      </w:r>
      <w:r w:rsidR="005E496C" w:rsidRPr="00E73DA3">
        <w:rPr>
          <w:rFonts w:ascii="Arial" w:hAnsi="Arial" w:cs="Arial"/>
          <w:color w:val="000000"/>
          <w:sz w:val="20"/>
          <w:szCs w:val="20"/>
        </w:rPr>
        <w:t xml:space="preserve">i.e., </w:t>
      </w:r>
      <w:r w:rsidR="00715B5E" w:rsidRPr="00E73DA3">
        <w:rPr>
          <w:rFonts w:ascii="Arial" w:hAnsi="Arial" w:cs="Arial"/>
          <w:color w:val="000000"/>
          <w:sz w:val="20"/>
          <w:szCs w:val="20"/>
        </w:rPr>
        <w:t xml:space="preserve">repair and maintenance </w:t>
      </w:r>
      <w:r w:rsidR="00152FCB" w:rsidRPr="00E73DA3">
        <w:rPr>
          <w:rFonts w:ascii="Arial" w:hAnsi="Arial" w:cs="Arial"/>
          <w:color w:val="000000"/>
          <w:sz w:val="20"/>
          <w:szCs w:val="20"/>
        </w:rPr>
        <w:t>of radiocommunication devices) and</w:t>
      </w:r>
      <w:r w:rsidR="00AB6959" w:rsidRPr="00E73DA3">
        <w:rPr>
          <w:rFonts w:ascii="Arial" w:hAnsi="Arial" w:cs="Arial"/>
          <w:color w:val="000000"/>
          <w:sz w:val="20"/>
          <w:szCs w:val="20"/>
        </w:rPr>
        <w:t xml:space="preserve"> </w:t>
      </w:r>
      <w:r w:rsidR="001F6E15" w:rsidRPr="00E73DA3">
        <w:rPr>
          <w:rFonts w:ascii="Arial" w:hAnsi="Arial" w:cs="Arial"/>
          <w:color w:val="000000"/>
          <w:sz w:val="20"/>
          <w:szCs w:val="20"/>
        </w:rPr>
        <w:t xml:space="preserve">operation of </w:t>
      </w:r>
      <w:r w:rsidR="00BB651B" w:rsidRPr="00E73DA3">
        <w:rPr>
          <w:rFonts w:ascii="Arial" w:hAnsi="Arial" w:cs="Arial"/>
          <w:color w:val="000000"/>
          <w:sz w:val="20"/>
          <w:szCs w:val="20"/>
        </w:rPr>
        <w:t>devices in shielded enclosures as well as screened rooms.</w:t>
      </w:r>
    </w:p>
    <w:p w14:paraId="08DD5AF4" w14:textId="493E9402" w:rsidR="00F00BC8" w:rsidRPr="00770241" w:rsidRDefault="003F0C2A" w:rsidP="00407C52">
      <w:pPr>
        <w:rPr>
          <w:rFonts w:cs="Arial"/>
        </w:rPr>
      </w:pPr>
      <w:r w:rsidRPr="00770241">
        <w:rPr>
          <w:rFonts w:cs="Arial"/>
        </w:rPr>
        <w:t xml:space="preserve">The proposed class licence also </w:t>
      </w:r>
      <w:r w:rsidR="000204FE">
        <w:rPr>
          <w:rFonts w:cs="Arial"/>
        </w:rPr>
        <w:t xml:space="preserve">proposed </w:t>
      </w:r>
      <w:r w:rsidR="000204FE" w:rsidRPr="00770241">
        <w:rPr>
          <w:rFonts w:cs="Arial"/>
        </w:rPr>
        <w:t>restrict</w:t>
      </w:r>
      <w:r w:rsidR="000204FE">
        <w:rPr>
          <w:rFonts w:cs="Arial"/>
        </w:rPr>
        <w:t>ing</w:t>
      </w:r>
      <w:r w:rsidR="00407C52" w:rsidRPr="00770241">
        <w:rPr>
          <w:rFonts w:cs="Arial"/>
        </w:rPr>
        <w:t xml:space="preserve"> the </w:t>
      </w:r>
      <w:r w:rsidRPr="00770241">
        <w:rPr>
          <w:rFonts w:cs="Arial"/>
        </w:rPr>
        <w:t xml:space="preserve">operation of devices in frequency bands covered by </w:t>
      </w:r>
      <w:r w:rsidR="00770241" w:rsidRPr="00770241">
        <w:rPr>
          <w:rFonts w:cs="Arial"/>
        </w:rPr>
        <w:t>any</w:t>
      </w:r>
      <w:r w:rsidRPr="00770241">
        <w:rPr>
          <w:rFonts w:cs="Arial"/>
        </w:rPr>
        <w:t xml:space="preserve"> </w:t>
      </w:r>
      <w:r w:rsidR="00770241" w:rsidRPr="00770241">
        <w:rPr>
          <w:rFonts w:cs="Arial"/>
        </w:rPr>
        <w:t xml:space="preserve">inconsistent </w:t>
      </w:r>
      <w:r w:rsidRPr="00770241">
        <w:rPr>
          <w:rFonts w:cs="Arial"/>
        </w:rPr>
        <w:t>frequency band plan</w:t>
      </w:r>
      <w:r w:rsidR="00770241" w:rsidRPr="00770241">
        <w:rPr>
          <w:rFonts w:cs="Arial"/>
        </w:rPr>
        <w:t>s</w:t>
      </w:r>
      <w:r w:rsidR="00BD688E">
        <w:rPr>
          <w:rFonts w:cs="Arial"/>
        </w:rPr>
        <w:t>.</w:t>
      </w:r>
      <w:r w:rsidR="00EF08B2">
        <w:rPr>
          <w:rStyle w:val="FootnoteReference"/>
          <w:rFonts w:cs="Arial"/>
        </w:rPr>
        <w:footnoteReference w:id="4"/>
      </w:r>
      <w:r w:rsidRPr="00770241">
        <w:rPr>
          <w:rFonts w:cs="Arial"/>
        </w:rPr>
        <w:t xml:space="preserve"> However, the consultation proposed </w:t>
      </w:r>
      <w:r w:rsidR="006D7AE2" w:rsidRPr="00770241">
        <w:rPr>
          <w:rFonts w:cs="Arial"/>
        </w:rPr>
        <w:t xml:space="preserve">to amend </w:t>
      </w:r>
      <w:r w:rsidR="00AA69B1">
        <w:rPr>
          <w:rFonts w:cs="Arial"/>
        </w:rPr>
        <w:t>all relevant</w:t>
      </w:r>
      <w:r w:rsidRPr="00770241">
        <w:rPr>
          <w:rFonts w:cs="Arial"/>
        </w:rPr>
        <w:t xml:space="preserve"> frequency band</w:t>
      </w:r>
      <w:r w:rsidR="006D7AE2" w:rsidRPr="00770241">
        <w:rPr>
          <w:rFonts w:cs="Arial"/>
        </w:rPr>
        <w:t xml:space="preserve"> plan</w:t>
      </w:r>
      <w:r w:rsidR="00BD688E">
        <w:rPr>
          <w:rFonts w:cs="Arial"/>
        </w:rPr>
        <w:t>s</w:t>
      </w:r>
      <w:r w:rsidR="006D7AE2" w:rsidRPr="00770241">
        <w:rPr>
          <w:rFonts w:cs="Arial"/>
        </w:rPr>
        <w:t xml:space="preserve"> to </w:t>
      </w:r>
      <w:r w:rsidR="00B82C47" w:rsidRPr="00770241">
        <w:rPr>
          <w:rFonts w:cs="Arial"/>
        </w:rPr>
        <w:t xml:space="preserve">allow for operation of </w:t>
      </w:r>
      <w:r w:rsidR="00E536F9">
        <w:rPr>
          <w:rFonts w:cs="Arial"/>
        </w:rPr>
        <w:t>devices</w:t>
      </w:r>
      <w:r w:rsidR="00B82C47" w:rsidRPr="00770241">
        <w:rPr>
          <w:rFonts w:cs="Arial"/>
        </w:rPr>
        <w:t xml:space="preserve"> authorised by the proposed class licence.</w:t>
      </w:r>
    </w:p>
    <w:p w14:paraId="5A61233E" w14:textId="2938EA32" w:rsidR="005278A7" w:rsidRDefault="007C47DA" w:rsidP="00E81665">
      <w:pPr>
        <w:spacing w:line="257" w:lineRule="auto"/>
        <w:rPr>
          <w:color w:val="000000"/>
          <w:sz w:val="27"/>
          <w:szCs w:val="27"/>
        </w:rPr>
      </w:pPr>
      <w:r>
        <w:rPr>
          <w:rFonts w:cs="Arial"/>
          <w:color w:val="000000"/>
          <w:szCs w:val="20"/>
        </w:rPr>
        <w:t xml:space="preserve">We also welcomed comments </w:t>
      </w:r>
      <w:r w:rsidR="00A55820">
        <w:rPr>
          <w:rFonts w:cs="Arial"/>
          <w:color w:val="000000"/>
          <w:szCs w:val="20"/>
        </w:rPr>
        <w:t>with respect to</w:t>
      </w:r>
      <w:r w:rsidR="00FE7484" w:rsidRPr="00482511">
        <w:rPr>
          <w:rFonts w:cs="Arial"/>
          <w:color w:val="000000"/>
          <w:szCs w:val="20"/>
        </w:rPr>
        <w:t xml:space="preserve"> </w:t>
      </w:r>
      <w:r>
        <w:rPr>
          <w:rFonts w:cs="Arial"/>
          <w:color w:val="000000"/>
          <w:szCs w:val="20"/>
        </w:rPr>
        <w:t xml:space="preserve">arrangements for the </w:t>
      </w:r>
      <w:r w:rsidR="00FE7484" w:rsidRPr="00482511">
        <w:rPr>
          <w:rFonts w:cs="Arial"/>
          <w:color w:val="000000"/>
          <w:szCs w:val="20"/>
        </w:rPr>
        <w:t xml:space="preserve">sunsetting of the </w:t>
      </w:r>
      <w:r w:rsidR="00145E94" w:rsidRPr="00482511">
        <w:rPr>
          <w:rFonts w:cs="Arial"/>
          <w:color w:val="000000"/>
          <w:szCs w:val="20"/>
        </w:rPr>
        <w:t>Scientific LCD,</w:t>
      </w:r>
      <w:r w:rsidR="0000515B" w:rsidRPr="00482511">
        <w:rPr>
          <w:rFonts w:cs="Arial"/>
          <w:color w:val="000000"/>
          <w:szCs w:val="20"/>
        </w:rPr>
        <w:t xml:space="preserve"> due on 1 October 2025.</w:t>
      </w:r>
      <w:r w:rsidR="00145E94" w:rsidRPr="00482511">
        <w:rPr>
          <w:rFonts w:cs="Arial"/>
          <w:color w:val="000000"/>
          <w:szCs w:val="20"/>
        </w:rPr>
        <w:t xml:space="preserve"> </w:t>
      </w:r>
    </w:p>
    <w:p w14:paraId="2F7D77A2" w14:textId="3E24FDF7" w:rsidR="005278A7" w:rsidRPr="00740814" w:rsidRDefault="005278A7" w:rsidP="00085363">
      <w:pPr>
        <w:pStyle w:val="Heading1"/>
      </w:pPr>
      <w:bookmarkStart w:id="3" w:name="_Toc144196214"/>
      <w:r w:rsidRPr="00740814">
        <w:lastRenderedPageBreak/>
        <w:t>Response to submissions</w:t>
      </w:r>
      <w:bookmarkEnd w:id="3"/>
      <w:r w:rsidRPr="00740814">
        <w:t xml:space="preserve"> </w:t>
      </w:r>
    </w:p>
    <w:p w14:paraId="4FF41B92" w14:textId="77777777" w:rsidR="005278A7" w:rsidRPr="00291079" w:rsidRDefault="005278A7" w:rsidP="005278A7">
      <w:pPr>
        <w:pStyle w:val="Paragraph"/>
        <w:rPr>
          <w:szCs w:val="20"/>
        </w:rPr>
      </w:pPr>
      <w:r w:rsidRPr="00291079">
        <w:rPr>
          <w:szCs w:val="20"/>
        </w:rPr>
        <w:t xml:space="preserve">We received 7 submissions to the consultation, from industry representative bodies, </w:t>
      </w:r>
      <w:r w:rsidRPr="00291079">
        <w:rPr>
          <w:color w:val="000000"/>
          <w:szCs w:val="20"/>
        </w:rPr>
        <w:t xml:space="preserve">mobile network operators, and telecommunication and aerospace </w:t>
      </w:r>
      <w:r>
        <w:rPr>
          <w:color w:val="000000"/>
          <w:szCs w:val="20"/>
        </w:rPr>
        <w:t>entities.</w:t>
      </w:r>
    </w:p>
    <w:p w14:paraId="7B634881" w14:textId="1E4BB53A" w:rsidR="005278A7" w:rsidRPr="00E15CB8" w:rsidRDefault="005278A7" w:rsidP="002167C2">
      <w:pPr>
        <w:pStyle w:val="Paragraphbeforelist"/>
      </w:pPr>
      <w:r w:rsidRPr="00E15CB8">
        <w:t>We received submissions from:</w:t>
      </w:r>
    </w:p>
    <w:p w14:paraId="67A3827C" w14:textId="36AD8093" w:rsidR="00F04157" w:rsidRDefault="00F04157" w:rsidP="002167C2">
      <w:pPr>
        <w:pStyle w:val="Bulletlevel1"/>
      </w:pPr>
      <w:r w:rsidRPr="00F04157">
        <w:t>Australian Mobile Telecommunications Association (AMTA)</w:t>
      </w:r>
    </w:p>
    <w:p w14:paraId="2AE18815" w14:textId="277D14BE" w:rsidR="005278A7" w:rsidRPr="00E15CB8" w:rsidRDefault="005D1171" w:rsidP="002167C2">
      <w:pPr>
        <w:pStyle w:val="Bulletlevel1"/>
      </w:pPr>
      <w:r w:rsidRPr="005D1171">
        <w:t>Boeing</w:t>
      </w:r>
      <w:r w:rsidR="005278A7" w:rsidRPr="00E15CB8">
        <w:t xml:space="preserve"> Australia</w:t>
      </w:r>
    </w:p>
    <w:p w14:paraId="292E53FD" w14:textId="049191D9" w:rsidR="005278A7" w:rsidRPr="00E15CB8" w:rsidRDefault="00C450F0" w:rsidP="002167C2">
      <w:pPr>
        <w:pStyle w:val="Bulletlevel1"/>
      </w:pPr>
      <w:r w:rsidRPr="00C450F0">
        <w:t>Free TV</w:t>
      </w:r>
    </w:p>
    <w:p w14:paraId="7158D9E3" w14:textId="5F94D69F" w:rsidR="005278A7" w:rsidRPr="00E15CB8" w:rsidRDefault="00D468DE" w:rsidP="002167C2">
      <w:pPr>
        <w:pStyle w:val="Bulletlevel1"/>
      </w:pPr>
      <w:r w:rsidRPr="00D468DE">
        <w:t>NBN Co</w:t>
      </w:r>
    </w:p>
    <w:p w14:paraId="1A8033AD" w14:textId="6BFA72B7" w:rsidR="005278A7" w:rsidRPr="00E15CB8" w:rsidRDefault="005278A7" w:rsidP="002167C2">
      <w:pPr>
        <w:pStyle w:val="Bulletlevel1"/>
      </w:pPr>
      <w:r w:rsidRPr="00E15CB8">
        <w:t>Optus</w:t>
      </w:r>
    </w:p>
    <w:p w14:paraId="434B3543" w14:textId="020FD856" w:rsidR="005278A7" w:rsidRPr="00E15CB8" w:rsidRDefault="000A21AA" w:rsidP="002167C2">
      <w:pPr>
        <w:pStyle w:val="Bulletlevel1"/>
      </w:pPr>
      <w:r w:rsidRPr="000A21AA">
        <w:t>Radio Amateur Society of Australia</w:t>
      </w:r>
    </w:p>
    <w:p w14:paraId="374714C5" w14:textId="34EB067A" w:rsidR="005278A7" w:rsidRPr="00E15CB8" w:rsidRDefault="000A21AA" w:rsidP="002167C2">
      <w:pPr>
        <w:pStyle w:val="Bulletlevel1last"/>
      </w:pPr>
      <w:r>
        <w:t>Telstra</w:t>
      </w:r>
      <w:r w:rsidR="005278A7" w:rsidRPr="00E15CB8">
        <w:t>.</w:t>
      </w:r>
    </w:p>
    <w:p w14:paraId="3CF4A3B5" w14:textId="17E24105" w:rsidR="005278A7" w:rsidRPr="009B61E5" w:rsidRDefault="005278A7" w:rsidP="008F1FA8">
      <w:pPr>
        <w:pStyle w:val="Paragraph"/>
        <w:rPr>
          <w:szCs w:val="20"/>
        </w:rPr>
      </w:pPr>
      <w:r w:rsidRPr="009B61E5">
        <w:rPr>
          <w:szCs w:val="20"/>
        </w:rPr>
        <w:t>Submissions that were not made in confidence are published on our website.</w:t>
      </w:r>
    </w:p>
    <w:p w14:paraId="10391DF0" w14:textId="7231A878" w:rsidR="005278A7" w:rsidRPr="008F1FA8" w:rsidRDefault="005278A7" w:rsidP="008F1FA8">
      <w:pPr>
        <w:pStyle w:val="Paragraph"/>
        <w:rPr>
          <w:szCs w:val="20"/>
        </w:rPr>
      </w:pPr>
      <w:r w:rsidRPr="009B61E5">
        <w:rPr>
          <w:szCs w:val="20"/>
        </w:rPr>
        <w:t>The following chapter</w:t>
      </w:r>
      <w:r w:rsidR="0012586D">
        <w:rPr>
          <w:szCs w:val="20"/>
        </w:rPr>
        <w:t>s</w:t>
      </w:r>
      <w:r w:rsidRPr="008F1FA8">
        <w:rPr>
          <w:szCs w:val="20"/>
        </w:rPr>
        <w:t xml:space="preserve"> summarise and respond to the submissions received.</w:t>
      </w:r>
    </w:p>
    <w:p w14:paraId="2CFFD20C" w14:textId="5882E831" w:rsidR="0063346D" w:rsidRPr="00A17B1B" w:rsidRDefault="00922BC6" w:rsidP="0058280B">
      <w:pPr>
        <w:pStyle w:val="Heading1"/>
      </w:pPr>
      <w:bookmarkStart w:id="4" w:name="_Toc144196215"/>
      <w:bookmarkEnd w:id="1"/>
      <w:bookmarkEnd w:id="2"/>
      <w:r>
        <w:lastRenderedPageBreak/>
        <w:t xml:space="preserve">Non-assigned </w:t>
      </w:r>
      <w:r w:rsidR="00D74542">
        <w:t xml:space="preserve">scientific </w:t>
      </w:r>
      <w:r>
        <w:t>licensing</w:t>
      </w:r>
      <w:bookmarkEnd w:id="4"/>
    </w:p>
    <w:p w14:paraId="3124EA17" w14:textId="0F94195A" w:rsidR="0012586D" w:rsidRDefault="0012586D" w:rsidP="0058280B">
      <w:pPr>
        <w:pStyle w:val="Heading2"/>
      </w:pPr>
      <w:bookmarkStart w:id="5" w:name="_Toc144196216"/>
      <w:r>
        <w:t>What stakeholders told us</w:t>
      </w:r>
      <w:bookmarkEnd w:id="5"/>
    </w:p>
    <w:p w14:paraId="3E21DCBD" w14:textId="30236421" w:rsidR="003266F1" w:rsidRDefault="003266F1" w:rsidP="00C87E8A">
      <w:pPr>
        <w:pStyle w:val="Paragraph"/>
      </w:pPr>
      <w:r>
        <w:t>O</w:t>
      </w:r>
      <w:r w:rsidR="00A04440">
        <w:t>f</w:t>
      </w:r>
      <w:r>
        <w:t xml:space="preserve"> the 7 submissions, 6 commented on the proposed changes to non-assigned </w:t>
      </w:r>
      <w:r w:rsidR="0096106A">
        <w:t xml:space="preserve">scientific </w:t>
      </w:r>
      <w:r>
        <w:t>licensing arrangements.</w:t>
      </w:r>
    </w:p>
    <w:p w14:paraId="6D29F298" w14:textId="48665513" w:rsidR="0063346D" w:rsidRDefault="004A20A3" w:rsidP="00C87E8A">
      <w:pPr>
        <w:pStyle w:val="Paragraph"/>
      </w:pPr>
      <w:r w:rsidRPr="0060666D">
        <w:rPr>
          <w:szCs w:val="20"/>
        </w:rPr>
        <w:t xml:space="preserve">Overall, submissions </w:t>
      </w:r>
      <w:r w:rsidR="0070346D">
        <w:rPr>
          <w:szCs w:val="20"/>
        </w:rPr>
        <w:t xml:space="preserve">were broadly </w:t>
      </w:r>
      <w:r w:rsidRPr="0060666D">
        <w:rPr>
          <w:szCs w:val="20"/>
        </w:rPr>
        <w:t xml:space="preserve">supportive </w:t>
      </w:r>
      <w:r w:rsidR="005101C5" w:rsidRPr="0060666D">
        <w:t xml:space="preserve">of </w:t>
      </w:r>
      <w:r w:rsidR="00155815">
        <w:t>our</w:t>
      </w:r>
      <w:r w:rsidR="0070346D">
        <w:t xml:space="preserve"> </w:t>
      </w:r>
      <w:r w:rsidR="005101C5" w:rsidRPr="0060666D">
        <w:t xml:space="preserve">proposal </w:t>
      </w:r>
      <w:r w:rsidR="0060666D" w:rsidRPr="0060666D">
        <w:t xml:space="preserve">to </w:t>
      </w:r>
      <w:r w:rsidR="005101C5" w:rsidRPr="0060666D">
        <w:t xml:space="preserve">issue a class licence that would authorise </w:t>
      </w:r>
      <w:r w:rsidR="00EF6953">
        <w:t xml:space="preserve">the operation of </w:t>
      </w:r>
      <w:r w:rsidR="005101C5" w:rsidRPr="0060666D">
        <w:t xml:space="preserve">scientific stations previously authorised by </w:t>
      </w:r>
      <w:r w:rsidR="00155815">
        <w:br/>
      </w:r>
      <w:r w:rsidR="005101C5" w:rsidRPr="0060666D">
        <w:t>non-assigned scientific licences.</w:t>
      </w:r>
    </w:p>
    <w:p w14:paraId="5EB88D05" w14:textId="50E61EB8" w:rsidR="000B3822" w:rsidRDefault="0067198E" w:rsidP="00C87E8A">
      <w:pPr>
        <w:pStyle w:val="Paragraph"/>
      </w:pPr>
      <w:r>
        <w:t>S</w:t>
      </w:r>
      <w:r w:rsidR="000B3822">
        <w:t xml:space="preserve">ubmissions acknowledged the similarities between non-assigned </w:t>
      </w:r>
      <w:r w:rsidR="00EF6953">
        <w:t xml:space="preserve">scientific </w:t>
      </w:r>
      <w:r w:rsidR="000B3822">
        <w:t xml:space="preserve">licences and class licences, in that they both authorise </w:t>
      </w:r>
      <w:r w:rsidR="00EF6953">
        <w:t>radiocommunication</w:t>
      </w:r>
      <w:r w:rsidR="00573F82">
        <w:t>s</w:t>
      </w:r>
      <w:r w:rsidR="00EF6953">
        <w:t xml:space="preserve"> transmitters </w:t>
      </w:r>
      <w:r w:rsidR="000B3822">
        <w:t xml:space="preserve">on a </w:t>
      </w:r>
      <w:r w:rsidR="00DC23B9">
        <w:t>‘</w:t>
      </w:r>
      <w:r w:rsidR="000B3822">
        <w:t>no interference, no protection</w:t>
      </w:r>
      <w:r w:rsidR="00DC23B9">
        <w:t>’</w:t>
      </w:r>
      <w:r w:rsidR="000B3822">
        <w:t xml:space="preserve"> basis </w:t>
      </w:r>
      <w:r w:rsidR="00573F82">
        <w:t xml:space="preserve">on shared or common frequencies, </w:t>
      </w:r>
      <w:r w:rsidR="000B3822">
        <w:t xml:space="preserve">and do not </w:t>
      </w:r>
      <w:r w:rsidR="00573F82">
        <w:t xml:space="preserve">require </w:t>
      </w:r>
      <w:r w:rsidR="000B3822">
        <w:t xml:space="preserve">specific technical registration </w:t>
      </w:r>
      <w:r w:rsidR="003849F6">
        <w:t>of</w:t>
      </w:r>
      <w:r w:rsidR="000B3822">
        <w:t xml:space="preserve"> </w:t>
      </w:r>
      <w:r w:rsidR="003849F6">
        <w:t xml:space="preserve">details of transmitters </w:t>
      </w:r>
      <w:r w:rsidR="00040476">
        <w:t>(</w:t>
      </w:r>
      <w:r w:rsidR="000B3822">
        <w:t>such as location or frequencies which are being used</w:t>
      </w:r>
      <w:r w:rsidR="00040476">
        <w:t>)</w:t>
      </w:r>
      <w:r w:rsidR="000B3822">
        <w:t>.</w:t>
      </w:r>
      <w:r w:rsidR="00C22479">
        <w:t xml:space="preserve"> One submi</w:t>
      </w:r>
      <w:r w:rsidR="003E6A25">
        <w:t>tter</w:t>
      </w:r>
      <w:r w:rsidR="00C22479">
        <w:t xml:space="preserve"> </w:t>
      </w:r>
      <w:r w:rsidR="00847EEE">
        <w:rPr>
          <w:rFonts w:cstheme="minorHAnsi"/>
          <w:color w:val="000000"/>
          <w:szCs w:val="20"/>
        </w:rPr>
        <w:t>expressed full support towards the issue of a class licence, as</w:t>
      </w:r>
      <w:r w:rsidR="00D50D36" w:rsidRPr="004008A0">
        <w:rPr>
          <w:rFonts w:cstheme="minorHAnsi"/>
          <w:color w:val="000000"/>
          <w:szCs w:val="20"/>
        </w:rPr>
        <w:t xml:space="preserve"> </w:t>
      </w:r>
      <w:r w:rsidR="00847EEE">
        <w:rPr>
          <w:rFonts w:cstheme="minorHAnsi"/>
          <w:color w:val="000000"/>
          <w:szCs w:val="20"/>
        </w:rPr>
        <w:t>t</w:t>
      </w:r>
      <w:r w:rsidR="00D50D36" w:rsidRPr="004008A0">
        <w:rPr>
          <w:rFonts w:cstheme="minorHAnsi"/>
          <w:color w:val="000000"/>
          <w:szCs w:val="20"/>
        </w:rPr>
        <w:t xml:space="preserve">his aligns with provisions of other administrations to support radio frequency </w:t>
      </w:r>
      <w:r w:rsidR="00C22479">
        <w:t>equipment testing and research.</w:t>
      </w:r>
    </w:p>
    <w:p w14:paraId="00547270" w14:textId="75DBCA2F" w:rsidR="00152434" w:rsidRPr="00152434" w:rsidRDefault="00152434" w:rsidP="00C87E8A">
      <w:pPr>
        <w:pStyle w:val="Paragraph"/>
      </w:pPr>
      <w:r>
        <w:t xml:space="preserve">Two submissions </w:t>
      </w:r>
      <w:r w:rsidR="00443EB9">
        <w:t>opposed the</w:t>
      </w:r>
      <w:r>
        <w:t xml:space="preserve"> removal of non-assigned </w:t>
      </w:r>
      <w:r w:rsidR="003849F6">
        <w:t xml:space="preserve">scientific </w:t>
      </w:r>
      <w:r>
        <w:t>licensee information on the Register of Radiocommunications Licences (RRL)</w:t>
      </w:r>
      <w:r w:rsidR="00DC23B9">
        <w:t>. T</w:t>
      </w:r>
      <w:r w:rsidR="003E6A25">
        <w:t xml:space="preserve">hey </w:t>
      </w:r>
      <w:r w:rsidR="00ED15D9">
        <w:t xml:space="preserve">said </w:t>
      </w:r>
      <w:r>
        <w:t xml:space="preserve">this would make it </w:t>
      </w:r>
      <w:r w:rsidR="001E0EC6">
        <w:t xml:space="preserve">more </w:t>
      </w:r>
      <w:r>
        <w:t xml:space="preserve">difficult to monitor potential risks of interference. </w:t>
      </w:r>
      <w:r w:rsidR="00417FC3">
        <w:t xml:space="preserve">One </w:t>
      </w:r>
      <w:r w:rsidR="00623CE0">
        <w:t xml:space="preserve">of those </w:t>
      </w:r>
      <w:r w:rsidR="00417FC3">
        <w:t>submitter</w:t>
      </w:r>
      <w:r w:rsidR="00623CE0">
        <w:t>s</w:t>
      </w:r>
      <w:r w:rsidR="00B5194D">
        <w:t xml:space="preserve"> </w:t>
      </w:r>
      <w:r w:rsidR="0025030A">
        <w:t>acknowledged the low</w:t>
      </w:r>
      <w:r w:rsidR="00DC23B9">
        <w:t xml:space="preserve"> </w:t>
      </w:r>
      <w:r w:rsidR="0025030A">
        <w:t>risk of interference to other services</w:t>
      </w:r>
      <w:r w:rsidR="004824ED">
        <w:t xml:space="preserve"> (based on </w:t>
      </w:r>
      <w:r w:rsidR="004A598C">
        <w:t>ACMA compliance data)</w:t>
      </w:r>
      <w:r w:rsidR="00DC23B9">
        <w:t xml:space="preserve">. However, they </w:t>
      </w:r>
      <w:r w:rsidR="00B5194D">
        <w:t xml:space="preserve">argued that the </w:t>
      </w:r>
      <w:r>
        <w:t xml:space="preserve">loss of licensee data on the RRL could lead to increased </w:t>
      </w:r>
      <w:r w:rsidR="00F21CEA">
        <w:t>uptake of use cases under the</w:t>
      </w:r>
      <w:r>
        <w:t xml:space="preserve"> class licence</w:t>
      </w:r>
      <w:r w:rsidR="00F21CEA">
        <w:t>,</w:t>
      </w:r>
      <w:r>
        <w:t xml:space="preserve"> which </w:t>
      </w:r>
      <w:r w:rsidR="00B5194D">
        <w:t xml:space="preserve">could </w:t>
      </w:r>
      <w:r w:rsidR="00417FC3">
        <w:t xml:space="preserve">make interference management more complex. </w:t>
      </w:r>
      <w:r w:rsidR="00C0064A">
        <w:t>The</w:t>
      </w:r>
      <w:r w:rsidR="004A598C">
        <w:t xml:space="preserve">refore, </w:t>
      </w:r>
      <w:r w:rsidR="00EC4E42">
        <w:t xml:space="preserve">they recommended that the RRL be maintained </w:t>
      </w:r>
      <w:r w:rsidR="00395B32">
        <w:t>under the class licensing arrangements.</w:t>
      </w:r>
    </w:p>
    <w:p w14:paraId="13656EA4" w14:textId="0BE8712D" w:rsidR="00744835" w:rsidRDefault="00440CBC" w:rsidP="005F2AD9">
      <w:pPr>
        <w:spacing w:line="240" w:lineRule="auto"/>
      </w:pPr>
      <w:r>
        <w:t xml:space="preserve">A few submissions </w:t>
      </w:r>
      <w:r w:rsidR="00E87E5B">
        <w:t>referenced</w:t>
      </w:r>
      <w:r>
        <w:t xml:space="preserve"> u</w:t>
      </w:r>
      <w:r w:rsidR="00DD78C0">
        <w:t>ltra</w:t>
      </w:r>
      <w:r w:rsidR="000B0E92">
        <w:t xml:space="preserve">-wideband </w:t>
      </w:r>
      <w:r w:rsidR="00DA0792">
        <w:t xml:space="preserve">(UWB) </w:t>
      </w:r>
      <w:r w:rsidR="00DD78C0">
        <w:t>use</w:t>
      </w:r>
      <w:r w:rsidR="00DC23B9">
        <w:t>-</w:t>
      </w:r>
      <w:r w:rsidR="00DD78C0">
        <w:t>cases</w:t>
      </w:r>
      <w:r w:rsidR="008E2186">
        <w:t xml:space="preserve"> </w:t>
      </w:r>
      <w:r w:rsidR="0017263F">
        <w:t xml:space="preserve">under the </w:t>
      </w:r>
      <w:r w:rsidR="00071583">
        <w:t xml:space="preserve">proposed </w:t>
      </w:r>
      <w:r w:rsidR="0017263F">
        <w:t>class licence</w:t>
      </w:r>
      <w:r w:rsidR="00452E84">
        <w:t xml:space="preserve">. </w:t>
      </w:r>
      <w:r w:rsidR="00DB6CBB">
        <w:t>One</w:t>
      </w:r>
      <w:r w:rsidR="005511DB">
        <w:t xml:space="preserve"> submission r</w:t>
      </w:r>
      <w:r w:rsidR="00244A28">
        <w:t>equested that UWB transmitters be prevented from operating</w:t>
      </w:r>
      <w:r w:rsidR="009E509A">
        <w:t xml:space="preserve"> </w:t>
      </w:r>
      <w:r w:rsidR="00DF5BC9" w:rsidRPr="0009109C">
        <w:t xml:space="preserve">in </w:t>
      </w:r>
      <w:r w:rsidR="00B41973">
        <w:t xml:space="preserve">spectrum-licensed frequency </w:t>
      </w:r>
      <w:r w:rsidR="00DF5BC9" w:rsidRPr="0009109C">
        <w:t xml:space="preserve">bands. </w:t>
      </w:r>
      <w:r w:rsidR="00744835">
        <w:t xml:space="preserve">Another submission expressed concerns with the </w:t>
      </w:r>
      <w:r w:rsidR="004A6EFA">
        <w:t xml:space="preserve">creation of a class licence </w:t>
      </w:r>
      <w:r w:rsidR="001D6931">
        <w:t xml:space="preserve">for </w:t>
      </w:r>
      <w:r w:rsidR="001D6931">
        <w:rPr>
          <w:rFonts w:cstheme="minorHAnsi"/>
          <w:szCs w:val="20"/>
        </w:rPr>
        <w:t>UWB</w:t>
      </w:r>
      <w:r w:rsidR="001D6931" w:rsidRPr="004008A0">
        <w:rPr>
          <w:rFonts w:cstheme="minorHAnsi"/>
          <w:szCs w:val="20"/>
        </w:rPr>
        <w:t xml:space="preserve"> applications due to </w:t>
      </w:r>
      <w:r w:rsidR="005F2AD9">
        <w:rPr>
          <w:rFonts w:cstheme="minorHAnsi"/>
          <w:szCs w:val="20"/>
        </w:rPr>
        <w:t xml:space="preserve">the </w:t>
      </w:r>
      <w:r w:rsidR="00744835">
        <w:t xml:space="preserve">risk of interference </w:t>
      </w:r>
      <w:r w:rsidR="005F2AD9">
        <w:t>to</w:t>
      </w:r>
      <w:r w:rsidR="00744835">
        <w:t xml:space="preserve"> television (TV) reception.</w:t>
      </w:r>
    </w:p>
    <w:p w14:paraId="435F8469" w14:textId="6E988E4A" w:rsidR="0012586D" w:rsidRDefault="0012586D" w:rsidP="0012586D">
      <w:pPr>
        <w:pStyle w:val="Heading2"/>
      </w:pPr>
      <w:bookmarkStart w:id="6" w:name="_Toc144196217"/>
      <w:r>
        <w:t>Our response</w:t>
      </w:r>
      <w:bookmarkEnd w:id="6"/>
    </w:p>
    <w:p w14:paraId="60128A30" w14:textId="194926CF" w:rsidR="00101DB1" w:rsidRDefault="0012586D" w:rsidP="0012586D">
      <w:pPr>
        <w:spacing w:line="240" w:lineRule="auto"/>
        <w:rPr>
          <w:rFonts w:cstheme="minorHAnsi"/>
          <w:szCs w:val="20"/>
        </w:rPr>
      </w:pPr>
      <w:r w:rsidRPr="00AC1A6A">
        <w:rPr>
          <w:rFonts w:cstheme="minorHAnsi"/>
          <w:szCs w:val="20"/>
        </w:rPr>
        <w:t xml:space="preserve">As non-assigned scientific licences are managed on a </w:t>
      </w:r>
      <w:r w:rsidR="00DC23B9">
        <w:rPr>
          <w:szCs w:val="20"/>
        </w:rPr>
        <w:t>‘</w:t>
      </w:r>
      <w:r w:rsidRPr="00AC1A6A">
        <w:rPr>
          <w:szCs w:val="20"/>
        </w:rPr>
        <w:t>no interference, no protection</w:t>
      </w:r>
      <w:r w:rsidR="00DC23B9">
        <w:rPr>
          <w:szCs w:val="20"/>
        </w:rPr>
        <w:t>’</w:t>
      </w:r>
      <w:r w:rsidRPr="00AC1A6A">
        <w:rPr>
          <w:szCs w:val="20"/>
        </w:rPr>
        <w:t xml:space="preserve"> basis, </w:t>
      </w:r>
      <w:r w:rsidRPr="00AC1A6A">
        <w:rPr>
          <w:rFonts w:cstheme="minorHAnsi"/>
          <w:szCs w:val="20"/>
        </w:rPr>
        <w:t xml:space="preserve">we do not consider the RRL to </w:t>
      </w:r>
      <w:r>
        <w:rPr>
          <w:rFonts w:cstheme="minorHAnsi"/>
          <w:szCs w:val="20"/>
        </w:rPr>
        <w:t>play</w:t>
      </w:r>
      <w:r w:rsidRPr="00AC1A6A">
        <w:rPr>
          <w:rFonts w:cstheme="minorHAnsi"/>
          <w:szCs w:val="20"/>
        </w:rPr>
        <w:t xml:space="preserve"> a significant role in </w:t>
      </w:r>
      <w:r w:rsidRPr="004008A0">
        <w:rPr>
          <w:rFonts w:cstheme="minorHAnsi"/>
          <w:szCs w:val="20"/>
        </w:rPr>
        <w:t>determining what locations or frequencies are suitable for use by a station under a non-assigned scientific licence</w:t>
      </w:r>
      <w:r>
        <w:rPr>
          <w:rFonts w:cstheme="minorHAnsi"/>
          <w:szCs w:val="20"/>
        </w:rPr>
        <w:t xml:space="preserve">. </w:t>
      </w:r>
    </w:p>
    <w:p w14:paraId="1561F4C9" w14:textId="26628A93" w:rsidR="0012586D" w:rsidRDefault="00DC23B9" w:rsidP="0012586D">
      <w:pPr>
        <w:spacing w:line="240" w:lineRule="auto"/>
        <w:rPr>
          <w:rFonts w:cstheme="minorHAnsi"/>
          <w:szCs w:val="20"/>
        </w:rPr>
      </w:pPr>
      <w:r>
        <w:rPr>
          <w:rFonts w:cstheme="minorHAnsi"/>
          <w:szCs w:val="20"/>
        </w:rPr>
        <w:t>O</w:t>
      </w:r>
      <w:r w:rsidR="0012586D" w:rsidRPr="004008A0">
        <w:rPr>
          <w:rFonts w:cstheme="minorHAnsi"/>
          <w:szCs w:val="20"/>
        </w:rPr>
        <w:t>ur compliance data indicates that we have not had to use non</w:t>
      </w:r>
      <w:r w:rsidR="0012586D">
        <w:rPr>
          <w:rFonts w:cstheme="minorHAnsi"/>
          <w:szCs w:val="20"/>
        </w:rPr>
        <w:noBreakHyphen/>
      </w:r>
      <w:r w:rsidR="0012586D" w:rsidRPr="004008A0">
        <w:rPr>
          <w:rFonts w:cstheme="minorHAnsi"/>
          <w:szCs w:val="20"/>
        </w:rPr>
        <w:t xml:space="preserve">assigned scientific licensee data </w:t>
      </w:r>
      <w:r w:rsidR="0012586D">
        <w:rPr>
          <w:rFonts w:cstheme="minorHAnsi"/>
          <w:szCs w:val="20"/>
        </w:rPr>
        <w:t>on the RRL in order to manage interference</w:t>
      </w:r>
      <w:r w:rsidR="0012586D" w:rsidRPr="004008A0">
        <w:rPr>
          <w:rFonts w:cstheme="minorHAnsi"/>
          <w:szCs w:val="20"/>
        </w:rPr>
        <w:t>.</w:t>
      </w:r>
    </w:p>
    <w:p w14:paraId="69F87D50" w14:textId="57BF9C1F" w:rsidR="0012586D" w:rsidRDefault="00DC23B9" w:rsidP="0012586D">
      <w:pPr>
        <w:rPr>
          <w:rFonts w:cstheme="minorHAnsi"/>
          <w:szCs w:val="20"/>
        </w:rPr>
      </w:pPr>
      <w:r>
        <w:rPr>
          <w:rFonts w:cstheme="minorHAnsi"/>
          <w:szCs w:val="20"/>
        </w:rPr>
        <w:t>W</w:t>
      </w:r>
      <w:r w:rsidR="0012586D" w:rsidRPr="004008A0">
        <w:rPr>
          <w:rFonts w:cstheme="minorHAnsi"/>
          <w:szCs w:val="20"/>
        </w:rPr>
        <w:t xml:space="preserve">e </w:t>
      </w:r>
      <w:r w:rsidR="0012586D">
        <w:rPr>
          <w:rFonts w:cstheme="minorHAnsi"/>
          <w:szCs w:val="20"/>
        </w:rPr>
        <w:t>consider</w:t>
      </w:r>
      <w:r w:rsidR="0012586D" w:rsidRPr="004008A0">
        <w:rPr>
          <w:rFonts w:cstheme="minorHAnsi"/>
          <w:szCs w:val="20"/>
        </w:rPr>
        <w:t xml:space="preserve"> the </w:t>
      </w:r>
      <w:r w:rsidR="0012586D">
        <w:rPr>
          <w:rFonts w:cstheme="minorHAnsi"/>
          <w:szCs w:val="20"/>
        </w:rPr>
        <w:t xml:space="preserve">risk of </w:t>
      </w:r>
      <w:r w:rsidR="0012586D" w:rsidRPr="004008A0">
        <w:rPr>
          <w:rFonts w:cstheme="minorHAnsi"/>
          <w:szCs w:val="20"/>
        </w:rPr>
        <w:t xml:space="preserve">interference associated with </w:t>
      </w:r>
      <w:r w:rsidR="0012586D">
        <w:rPr>
          <w:rFonts w:cstheme="minorHAnsi"/>
          <w:szCs w:val="20"/>
        </w:rPr>
        <w:t>use of scientific stations</w:t>
      </w:r>
      <w:r w:rsidR="0012586D" w:rsidRPr="004008A0">
        <w:rPr>
          <w:rFonts w:cstheme="minorHAnsi"/>
          <w:szCs w:val="20"/>
        </w:rPr>
        <w:t xml:space="preserve"> </w:t>
      </w:r>
      <w:r w:rsidR="005940C2">
        <w:rPr>
          <w:rFonts w:cstheme="minorHAnsi"/>
          <w:szCs w:val="20"/>
        </w:rPr>
        <w:t>to remain similar</w:t>
      </w:r>
      <w:r w:rsidR="0012586D" w:rsidRPr="004008A0">
        <w:rPr>
          <w:rFonts w:cstheme="minorHAnsi"/>
          <w:szCs w:val="20"/>
        </w:rPr>
        <w:t xml:space="preserve"> </w:t>
      </w:r>
      <w:r w:rsidR="0012586D">
        <w:rPr>
          <w:rFonts w:cstheme="minorHAnsi"/>
          <w:szCs w:val="20"/>
        </w:rPr>
        <w:t>should</w:t>
      </w:r>
      <w:r w:rsidR="0012586D" w:rsidRPr="004008A0">
        <w:rPr>
          <w:rFonts w:cstheme="minorHAnsi"/>
          <w:szCs w:val="20"/>
        </w:rPr>
        <w:t xml:space="preserve"> </w:t>
      </w:r>
      <w:r w:rsidR="00953618">
        <w:rPr>
          <w:rFonts w:cstheme="minorHAnsi"/>
          <w:szCs w:val="20"/>
        </w:rPr>
        <w:t>the proposed class licence be made, and the details of users of devices</w:t>
      </w:r>
      <w:r w:rsidR="00953618" w:rsidRPr="004008A0">
        <w:rPr>
          <w:rFonts w:cstheme="minorHAnsi"/>
          <w:szCs w:val="20"/>
        </w:rPr>
        <w:t xml:space="preserve"> </w:t>
      </w:r>
      <w:r w:rsidR="0012586D" w:rsidRPr="004008A0">
        <w:rPr>
          <w:rFonts w:cstheme="minorHAnsi"/>
          <w:szCs w:val="20"/>
        </w:rPr>
        <w:t xml:space="preserve">no longer </w:t>
      </w:r>
      <w:r>
        <w:rPr>
          <w:rFonts w:cstheme="minorHAnsi"/>
          <w:szCs w:val="20"/>
        </w:rPr>
        <w:t xml:space="preserve">be </w:t>
      </w:r>
      <w:r w:rsidR="0012586D" w:rsidRPr="004008A0">
        <w:rPr>
          <w:rFonts w:cstheme="minorHAnsi"/>
          <w:szCs w:val="20"/>
        </w:rPr>
        <w:t xml:space="preserve">available on the RRL. </w:t>
      </w:r>
      <w:r w:rsidR="0012586D">
        <w:rPr>
          <w:rFonts w:cstheme="minorHAnsi"/>
          <w:szCs w:val="20"/>
        </w:rPr>
        <w:t>The</w:t>
      </w:r>
      <w:r w:rsidR="0012586D" w:rsidRPr="004008A0">
        <w:rPr>
          <w:rFonts w:cstheme="minorHAnsi"/>
          <w:szCs w:val="20"/>
        </w:rPr>
        <w:t xml:space="preserve"> arrangements for managing any suspected interference under the proposed class licence would </w:t>
      </w:r>
      <w:r w:rsidR="0012586D">
        <w:rPr>
          <w:rFonts w:cstheme="minorHAnsi"/>
          <w:szCs w:val="20"/>
        </w:rPr>
        <w:t xml:space="preserve">remain the same as </w:t>
      </w:r>
      <w:r w:rsidR="0012586D" w:rsidRPr="004008A0">
        <w:rPr>
          <w:rFonts w:cstheme="minorHAnsi"/>
          <w:szCs w:val="20"/>
        </w:rPr>
        <w:t>under the current non</w:t>
      </w:r>
      <w:r w:rsidR="0012586D" w:rsidRPr="004008A0">
        <w:rPr>
          <w:rFonts w:cstheme="minorHAnsi"/>
          <w:szCs w:val="20"/>
        </w:rPr>
        <w:noBreakHyphen/>
        <w:t>assigned licensing arrangements.</w:t>
      </w:r>
    </w:p>
    <w:p w14:paraId="7CEC4C09" w14:textId="6CD5464C" w:rsidR="0012586D" w:rsidRDefault="0012586D" w:rsidP="0012586D">
      <w:pPr>
        <w:spacing w:line="240" w:lineRule="auto"/>
        <w:rPr>
          <w:rFonts w:cstheme="minorHAnsi"/>
          <w:color w:val="000000"/>
          <w:szCs w:val="20"/>
        </w:rPr>
      </w:pPr>
      <w:r>
        <w:rPr>
          <w:rFonts w:cstheme="minorHAnsi"/>
          <w:szCs w:val="20"/>
        </w:rPr>
        <w:t xml:space="preserve">We also </w:t>
      </w:r>
      <w:r w:rsidRPr="004008A0">
        <w:rPr>
          <w:rFonts w:cstheme="minorHAnsi"/>
          <w:szCs w:val="20"/>
        </w:rPr>
        <w:t xml:space="preserve">consider </w:t>
      </w:r>
      <w:r w:rsidRPr="004008A0">
        <w:rPr>
          <w:rFonts w:cstheme="minorHAnsi"/>
          <w:color w:val="000000"/>
          <w:szCs w:val="20"/>
        </w:rPr>
        <w:t xml:space="preserve">the </w:t>
      </w:r>
      <w:r>
        <w:rPr>
          <w:rFonts w:cstheme="minorHAnsi"/>
          <w:color w:val="000000"/>
          <w:szCs w:val="20"/>
        </w:rPr>
        <w:t xml:space="preserve">proposed </w:t>
      </w:r>
      <w:r w:rsidRPr="004008A0">
        <w:rPr>
          <w:rFonts w:cstheme="minorHAnsi"/>
          <w:color w:val="000000"/>
          <w:szCs w:val="20"/>
        </w:rPr>
        <w:t xml:space="preserve">class licence </w:t>
      </w:r>
      <w:r w:rsidR="0049702B">
        <w:rPr>
          <w:rFonts w:cstheme="minorHAnsi"/>
          <w:color w:val="000000"/>
          <w:szCs w:val="20"/>
        </w:rPr>
        <w:t>does</w:t>
      </w:r>
      <w:r w:rsidRPr="004008A0">
        <w:rPr>
          <w:rFonts w:cstheme="minorHAnsi"/>
          <w:color w:val="000000"/>
          <w:szCs w:val="20"/>
        </w:rPr>
        <w:t xml:space="preserve"> not alter the existing technical or operational conditions, and continues to authorise specific use</w:t>
      </w:r>
      <w:r w:rsidR="00DC23B9">
        <w:rPr>
          <w:rFonts w:cstheme="minorHAnsi"/>
          <w:color w:val="000000"/>
          <w:szCs w:val="20"/>
        </w:rPr>
        <w:t>-</w:t>
      </w:r>
      <w:r w:rsidRPr="004008A0">
        <w:rPr>
          <w:rFonts w:cstheme="minorHAnsi"/>
          <w:color w:val="000000"/>
          <w:szCs w:val="20"/>
        </w:rPr>
        <w:t>cases that do not have broad appeal</w:t>
      </w:r>
      <w:r>
        <w:rPr>
          <w:rFonts w:cstheme="minorHAnsi"/>
          <w:color w:val="000000"/>
          <w:szCs w:val="20"/>
        </w:rPr>
        <w:t xml:space="preserve">, </w:t>
      </w:r>
      <w:r w:rsidRPr="004008A0">
        <w:rPr>
          <w:rFonts w:cstheme="minorHAnsi"/>
          <w:color w:val="000000"/>
          <w:szCs w:val="20"/>
        </w:rPr>
        <w:t xml:space="preserve">and in the case of UWB, </w:t>
      </w:r>
      <w:r w:rsidR="00972A52">
        <w:rPr>
          <w:rFonts w:cstheme="minorHAnsi"/>
          <w:color w:val="000000"/>
          <w:szCs w:val="20"/>
        </w:rPr>
        <w:t xml:space="preserve">that do not have </w:t>
      </w:r>
      <w:r w:rsidRPr="004008A0">
        <w:rPr>
          <w:rFonts w:cstheme="minorHAnsi"/>
          <w:color w:val="000000"/>
          <w:szCs w:val="20"/>
        </w:rPr>
        <w:t xml:space="preserve">any existing users. </w:t>
      </w:r>
    </w:p>
    <w:p w14:paraId="14AFA261" w14:textId="02249FB8" w:rsidR="00187DD3" w:rsidRDefault="00187DD3" w:rsidP="00187DD3">
      <w:pPr>
        <w:pStyle w:val="Heading2"/>
      </w:pPr>
      <w:bookmarkStart w:id="7" w:name="_Toc144196218"/>
      <w:r>
        <w:lastRenderedPageBreak/>
        <w:t>Outcomes</w:t>
      </w:r>
      <w:bookmarkEnd w:id="7"/>
    </w:p>
    <w:p w14:paraId="7926CE7E" w14:textId="3D6FEA70" w:rsidR="002C7C4D" w:rsidRPr="00506AF9" w:rsidRDefault="002C7C4D" w:rsidP="002C7C4D">
      <w:pPr>
        <w:rPr>
          <w:rFonts w:cs="Arial"/>
          <w:color w:val="262626" w:themeColor="text1" w:themeTint="D9"/>
          <w:szCs w:val="20"/>
        </w:rPr>
      </w:pPr>
      <w:r w:rsidRPr="00506AF9">
        <w:rPr>
          <w:rFonts w:cs="Arial"/>
          <w:color w:val="262626" w:themeColor="text1" w:themeTint="D9"/>
          <w:szCs w:val="20"/>
        </w:rPr>
        <w:t xml:space="preserve">Following our consideration of submissions made to the consultation review, </w:t>
      </w:r>
      <w:r w:rsidR="00410397">
        <w:rPr>
          <w:rFonts w:cs="Arial"/>
          <w:color w:val="262626" w:themeColor="text1" w:themeTint="D9"/>
          <w:szCs w:val="20"/>
        </w:rPr>
        <w:t xml:space="preserve">we </w:t>
      </w:r>
      <w:r w:rsidR="00C92A8A">
        <w:rPr>
          <w:rFonts w:cs="Arial"/>
          <w:color w:val="262626" w:themeColor="text1" w:themeTint="D9"/>
          <w:szCs w:val="20"/>
        </w:rPr>
        <w:t>have</w:t>
      </w:r>
      <w:r w:rsidRPr="00506AF9">
        <w:rPr>
          <w:rFonts w:cs="Arial"/>
          <w:color w:val="262626" w:themeColor="text1" w:themeTint="D9"/>
          <w:szCs w:val="20"/>
        </w:rPr>
        <w:t xml:space="preserve"> </w:t>
      </w:r>
      <w:r w:rsidR="00C92A8A">
        <w:rPr>
          <w:rFonts w:cs="Arial"/>
          <w:color w:val="262626" w:themeColor="text1" w:themeTint="D9"/>
          <w:szCs w:val="20"/>
        </w:rPr>
        <w:t>made the</w:t>
      </w:r>
      <w:r w:rsidRPr="00506AF9">
        <w:rPr>
          <w:rFonts w:cs="Arial"/>
          <w:color w:val="262626" w:themeColor="text1" w:themeTint="D9"/>
          <w:szCs w:val="20"/>
        </w:rPr>
        <w:t xml:space="preserve"> </w:t>
      </w:r>
      <w:hyperlink r:id="rId24" w:history="1">
        <w:r w:rsidRPr="002167C2">
          <w:rPr>
            <w:rStyle w:val="Hyperlink"/>
            <w:rFonts w:cs="Arial"/>
          </w:rPr>
          <w:t>Radiocommunications (Science and Research) Class Licence 2023</w:t>
        </w:r>
      </w:hyperlink>
      <w:r w:rsidDel="004D0F54">
        <w:t xml:space="preserve"> </w:t>
      </w:r>
      <w:r>
        <w:t>(the class licence)</w:t>
      </w:r>
      <w:r w:rsidR="00C92A8A">
        <w:t>. The class licence</w:t>
      </w:r>
      <w:r w:rsidRPr="00506AF9">
        <w:rPr>
          <w:rFonts w:cs="Arial"/>
          <w:color w:val="262626" w:themeColor="text1" w:themeTint="D9"/>
          <w:szCs w:val="20"/>
        </w:rPr>
        <w:t xml:space="preserve"> </w:t>
      </w:r>
      <w:r w:rsidRPr="00506AF9">
        <w:rPr>
          <w:rFonts w:cs="Arial"/>
        </w:rPr>
        <w:t xml:space="preserve">allows </w:t>
      </w:r>
      <w:r w:rsidR="008E4247">
        <w:rPr>
          <w:rFonts w:cs="Arial"/>
        </w:rPr>
        <w:t>people</w:t>
      </w:r>
      <w:r w:rsidR="008E4247" w:rsidRPr="00506AF9">
        <w:rPr>
          <w:rFonts w:cs="Arial"/>
        </w:rPr>
        <w:t xml:space="preserve"> </w:t>
      </w:r>
      <w:r w:rsidRPr="00506AF9">
        <w:rPr>
          <w:rFonts w:cs="Arial"/>
        </w:rPr>
        <w:t>to continue conducting the same activities as under the non</w:t>
      </w:r>
      <w:r w:rsidR="00F4441D">
        <w:rPr>
          <w:rFonts w:cs="Arial"/>
        </w:rPr>
        <w:noBreakHyphen/>
      </w:r>
      <w:r w:rsidRPr="00506AF9">
        <w:rPr>
          <w:rFonts w:cs="Arial"/>
        </w:rPr>
        <w:t xml:space="preserve">assigned scientific </w:t>
      </w:r>
      <w:r w:rsidR="00397AC1">
        <w:rPr>
          <w:rFonts w:cs="Arial"/>
        </w:rPr>
        <w:t xml:space="preserve">licence </w:t>
      </w:r>
      <w:r w:rsidRPr="00506AF9">
        <w:rPr>
          <w:rFonts w:cs="Arial"/>
        </w:rPr>
        <w:t xml:space="preserve">framework, by authorising </w:t>
      </w:r>
      <w:r>
        <w:rPr>
          <w:rFonts w:cs="Arial"/>
        </w:rPr>
        <w:t xml:space="preserve">persons to operate </w:t>
      </w:r>
      <w:r w:rsidRPr="00506AF9">
        <w:rPr>
          <w:rFonts w:cs="Arial"/>
        </w:rPr>
        <w:t>certain radiocommunication devices for a range of specified purposes</w:t>
      </w:r>
      <w:r>
        <w:rPr>
          <w:rFonts w:cs="Arial"/>
        </w:rPr>
        <w:t xml:space="preserve"> </w:t>
      </w:r>
      <w:r w:rsidRPr="00506AF9">
        <w:rPr>
          <w:rFonts w:cs="Arial"/>
        </w:rPr>
        <w:t xml:space="preserve">under specified conditions. </w:t>
      </w:r>
    </w:p>
    <w:p w14:paraId="763C0904" w14:textId="6757F55B" w:rsidR="002C7C4D" w:rsidRPr="006637A6" w:rsidRDefault="002C7C4D" w:rsidP="002C7C4D">
      <w:pPr>
        <w:spacing w:line="257" w:lineRule="auto"/>
        <w:rPr>
          <w:rFonts w:cs="Arial"/>
          <w:b/>
        </w:rPr>
      </w:pPr>
      <w:r>
        <w:rPr>
          <w:rFonts w:cs="Arial"/>
          <w:color w:val="000000"/>
          <w:szCs w:val="20"/>
        </w:rPr>
        <w:t xml:space="preserve">To facilitate the transition to the class licence, the Scientific LCD </w:t>
      </w:r>
      <w:r w:rsidR="00D02BFB">
        <w:rPr>
          <w:rFonts w:cs="Arial"/>
          <w:color w:val="000000"/>
          <w:szCs w:val="20"/>
        </w:rPr>
        <w:t xml:space="preserve">has </w:t>
      </w:r>
      <w:r>
        <w:rPr>
          <w:rFonts w:cs="Arial"/>
          <w:color w:val="000000"/>
          <w:szCs w:val="20"/>
        </w:rPr>
        <w:t>be</w:t>
      </w:r>
      <w:r w:rsidR="00D02BFB">
        <w:rPr>
          <w:rFonts w:cs="Arial"/>
          <w:color w:val="000000"/>
          <w:szCs w:val="20"/>
        </w:rPr>
        <w:t>en</w:t>
      </w:r>
      <w:r>
        <w:rPr>
          <w:rFonts w:cs="Arial"/>
          <w:color w:val="000000"/>
          <w:szCs w:val="20"/>
        </w:rPr>
        <w:t xml:space="preserve"> repealed and replaced by the </w:t>
      </w:r>
      <w:r w:rsidRPr="002167C2">
        <w:rPr>
          <w:rFonts w:cs="Arial"/>
          <w:color w:val="000000"/>
          <w:szCs w:val="20"/>
        </w:rPr>
        <w:t>Radiocommunications Licence Conditions (Scientific Licence) Determination 2023</w:t>
      </w:r>
      <w:r w:rsidRPr="00695615">
        <w:rPr>
          <w:rFonts w:cs="Arial"/>
          <w:color w:val="000000"/>
          <w:szCs w:val="20"/>
        </w:rPr>
        <w:t xml:space="preserve">, which </w:t>
      </w:r>
      <w:r w:rsidRPr="00695615">
        <w:rPr>
          <w:rFonts w:cs="Arial"/>
        </w:rPr>
        <w:t>determines the conditions that apply to the scientific licence type of transmitter licence.</w:t>
      </w:r>
      <w:r w:rsidR="00F5460A" w:rsidRPr="00F5460A">
        <w:rPr>
          <w:rFonts w:cs="Arial"/>
        </w:rPr>
        <w:t xml:space="preserve"> </w:t>
      </w:r>
      <w:r w:rsidR="00F5460A">
        <w:rPr>
          <w:rFonts w:cs="Arial"/>
        </w:rPr>
        <w:t>It contains a transitional provision imposing conditions on those non-assigned scientific licences that remain in force after the class licence commenced.</w:t>
      </w:r>
    </w:p>
    <w:p w14:paraId="329C684C" w14:textId="2FA9AA37" w:rsidR="005716FE" w:rsidRDefault="005716FE" w:rsidP="005716FE">
      <w:pPr>
        <w:rPr>
          <w:rFonts w:cs="Arial"/>
        </w:rPr>
      </w:pPr>
      <w:r>
        <w:rPr>
          <w:rFonts w:cs="Arial"/>
        </w:rPr>
        <w:t xml:space="preserve">We have also made the </w:t>
      </w:r>
      <w:hyperlink r:id="rId25" w:history="1">
        <w:r w:rsidRPr="00C46C67">
          <w:rPr>
            <w:rStyle w:val="Hyperlink"/>
            <w:rFonts w:cs="Arial"/>
            <w:szCs w:val="20"/>
          </w:rPr>
          <w:t>Radiocommunications (Science and Research) Frequency Band Plans Amendment Instrument (No. 1) 2023</w:t>
        </w:r>
      </w:hyperlink>
      <w:r w:rsidR="00DC23B9">
        <w:rPr>
          <w:rFonts w:cs="Arial"/>
          <w:color w:val="000000"/>
          <w:szCs w:val="20"/>
        </w:rPr>
        <w:t>.</w:t>
      </w:r>
      <w:r>
        <w:rPr>
          <w:rFonts w:cs="Arial"/>
          <w:i/>
          <w:iCs/>
          <w:color w:val="000000"/>
          <w:szCs w:val="20"/>
        </w:rPr>
        <w:t xml:space="preserve"> </w:t>
      </w:r>
      <w:r w:rsidR="00DC23B9">
        <w:rPr>
          <w:rFonts w:cs="Arial"/>
          <w:color w:val="000000"/>
          <w:szCs w:val="20"/>
        </w:rPr>
        <w:t xml:space="preserve">This </w:t>
      </w:r>
      <w:r>
        <w:rPr>
          <w:rFonts w:cs="Arial"/>
          <w:color w:val="000000"/>
          <w:szCs w:val="20"/>
        </w:rPr>
        <w:t xml:space="preserve">amends </w:t>
      </w:r>
      <w:r>
        <w:rPr>
          <w:rFonts w:cs="Arial"/>
          <w:color w:val="262626" w:themeColor="text1" w:themeTint="D9"/>
          <w:szCs w:val="20"/>
        </w:rPr>
        <w:t>t</w:t>
      </w:r>
      <w:r w:rsidRPr="006C48D7">
        <w:rPr>
          <w:rFonts w:cs="Arial"/>
          <w:color w:val="262626" w:themeColor="text1" w:themeTint="D9"/>
          <w:szCs w:val="20"/>
        </w:rPr>
        <w:t xml:space="preserve">he </w:t>
      </w:r>
      <w:r w:rsidR="005F1DFC" w:rsidRPr="002167C2">
        <w:rPr>
          <w:rFonts w:cs="Arial"/>
        </w:rPr>
        <w:t>Radiocommunications 1.5 GHz Frequency Band Plan</w:t>
      </w:r>
      <w:r w:rsidR="005F1DFC" w:rsidRPr="00DC23B9">
        <w:rPr>
          <w:rFonts w:cs="Arial"/>
        </w:rPr>
        <w:t xml:space="preserve"> </w:t>
      </w:r>
      <w:r w:rsidR="005F1DFC" w:rsidRPr="002167C2">
        <w:rPr>
          <w:rFonts w:cs="Arial"/>
        </w:rPr>
        <w:t>2015</w:t>
      </w:r>
      <w:r w:rsidR="005F1DFC" w:rsidRPr="00DC23B9">
        <w:rPr>
          <w:rFonts w:cs="Arial"/>
        </w:rPr>
        <w:t>,</w:t>
      </w:r>
      <w:r w:rsidR="005F1DFC" w:rsidRPr="005074AE">
        <w:rPr>
          <w:rFonts w:cs="Arial"/>
        </w:rPr>
        <w:t xml:space="preserve"> the </w:t>
      </w:r>
      <w:r w:rsidR="005F1DFC" w:rsidRPr="002167C2">
        <w:rPr>
          <w:rFonts w:cs="Arial"/>
        </w:rPr>
        <w:t>Radiocommunications (Mobile-Satellite Service) (1980–2010 MHz and 2170–2200 MHz) Frequency Band Plan 2022</w:t>
      </w:r>
      <w:r w:rsidR="005F1DFC" w:rsidRPr="005074AE">
        <w:rPr>
          <w:rFonts w:cs="Arial"/>
        </w:rPr>
        <w:t xml:space="preserve">, and the </w:t>
      </w:r>
      <w:r w:rsidR="005F1DFC" w:rsidRPr="002167C2">
        <w:rPr>
          <w:rFonts w:cs="Arial"/>
        </w:rPr>
        <w:t xml:space="preserve">Radiocommunications (Television Outside Broadcasting) </w:t>
      </w:r>
      <w:r w:rsidR="002167C2">
        <w:rPr>
          <w:rFonts w:cs="Arial"/>
        </w:rPr>
        <w:br/>
      </w:r>
      <w:r w:rsidR="005F1DFC" w:rsidRPr="002167C2">
        <w:rPr>
          <w:rFonts w:cs="Arial"/>
        </w:rPr>
        <w:t>(2010–2110 MHz and 2200–2300 MHz) Frequency Band Plan 2022</w:t>
      </w:r>
      <w:r>
        <w:rPr>
          <w:rFonts w:cs="Arial"/>
          <w:color w:val="262626" w:themeColor="text1" w:themeTint="D9"/>
          <w:szCs w:val="20"/>
        </w:rPr>
        <w:t xml:space="preserve"> to authorise operation under</w:t>
      </w:r>
      <w:r w:rsidRPr="006C48D7">
        <w:rPr>
          <w:rFonts w:cs="Arial"/>
          <w:color w:val="262626" w:themeColor="text1" w:themeTint="D9"/>
          <w:szCs w:val="20"/>
        </w:rPr>
        <w:t xml:space="preserve"> </w:t>
      </w:r>
      <w:r>
        <w:rPr>
          <w:rFonts w:cs="Arial"/>
          <w:color w:val="262626" w:themeColor="text1" w:themeTint="D9"/>
          <w:szCs w:val="20"/>
        </w:rPr>
        <w:t xml:space="preserve">the class licence </w:t>
      </w:r>
      <w:r w:rsidRPr="006C48D7">
        <w:rPr>
          <w:rFonts w:cs="Arial"/>
        </w:rPr>
        <w:t>in the frequency bands and areas covered by the frequency band plans</w:t>
      </w:r>
      <w:r>
        <w:rPr>
          <w:rFonts w:cs="Arial"/>
        </w:rPr>
        <w:t>.</w:t>
      </w:r>
    </w:p>
    <w:p w14:paraId="46E526A2" w14:textId="1B83F54F" w:rsidR="00A26F55" w:rsidRDefault="00A26F55" w:rsidP="00A26F55">
      <w:pPr>
        <w:rPr>
          <w:rFonts w:cs="Arial"/>
          <w:szCs w:val="20"/>
        </w:rPr>
      </w:pPr>
      <w:r>
        <w:rPr>
          <w:rFonts w:cs="Arial"/>
          <w:szCs w:val="20"/>
        </w:rPr>
        <w:t xml:space="preserve">Non-assigned </w:t>
      </w:r>
      <w:r w:rsidR="00172923">
        <w:rPr>
          <w:rFonts w:cs="Arial"/>
          <w:szCs w:val="20"/>
        </w:rPr>
        <w:t xml:space="preserve">scientific </w:t>
      </w:r>
      <w:r>
        <w:rPr>
          <w:rFonts w:cs="Arial"/>
          <w:szCs w:val="20"/>
        </w:rPr>
        <w:t xml:space="preserve">licensees have been directly notified of the changes to non-assigned arrangements. </w:t>
      </w:r>
      <w:r w:rsidR="00AB706D">
        <w:t>The</w:t>
      </w:r>
      <w:r w:rsidR="007336B3">
        <w:t xml:space="preserve"> </w:t>
      </w:r>
      <w:r w:rsidR="00EF57E2">
        <w:t>existing</w:t>
      </w:r>
      <w:r w:rsidR="007336B3">
        <w:t xml:space="preserve"> licence</w:t>
      </w:r>
      <w:r w:rsidR="00AB706D">
        <w:t>s</w:t>
      </w:r>
      <w:r w:rsidR="007336B3">
        <w:t xml:space="preserve"> will continue to exist for the duration of</w:t>
      </w:r>
      <w:r w:rsidR="00DC1002">
        <w:t xml:space="preserve"> </w:t>
      </w:r>
      <w:r w:rsidR="00AB706D">
        <w:t>the</w:t>
      </w:r>
      <w:r w:rsidR="00DC1002">
        <w:t xml:space="preserve"> term</w:t>
      </w:r>
      <w:r w:rsidR="007336B3">
        <w:rPr>
          <w:rFonts w:cs="Arial"/>
          <w:szCs w:val="20"/>
        </w:rPr>
        <w:t>,</w:t>
      </w:r>
      <w:r w:rsidR="00C31160">
        <w:rPr>
          <w:rFonts w:cs="Arial"/>
          <w:szCs w:val="20"/>
        </w:rPr>
        <w:t xml:space="preserve"> and</w:t>
      </w:r>
      <w:r w:rsidR="00C305AF">
        <w:rPr>
          <w:rFonts w:cs="Arial"/>
          <w:szCs w:val="20"/>
        </w:rPr>
        <w:t xml:space="preserve"> </w:t>
      </w:r>
      <w:r w:rsidR="00004C0F">
        <w:rPr>
          <w:rFonts w:cs="Arial"/>
          <w:szCs w:val="20"/>
        </w:rPr>
        <w:t xml:space="preserve">the </w:t>
      </w:r>
      <w:r w:rsidR="00C305AF">
        <w:rPr>
          <w:rFonts w:cs="Arial"/>
          <w:szCs w:val="20"/>
        </w:rPr>
        <w:t xml:space="preserve">class licence will apply </w:t>
      </w:r>
      <w:r w:rsidR="007472F8">
        <w:rPr>
          <w:rFonts w:cs="Arial"/>
          <w:szCs w:val="20"/>
        </w:rPr>
        <w:t>upon the expiry or surrender of the licence</w:t>
      </w:r>
      <w:r w:rsidR="002A48A6">
        <w:rPr>
          <w:rFonts w:cs="Arial"/>
          <w:szCs w:val="20"/>
        </w:rPr>
        <w:t xml:space="preserve">. </w:t>
      </w:r>
      <w:r w:rsidR="00445DDF">
        <w:rPr>
          <w:rFonts w:cs="Arial"/>
          <w:szCs w:val="20"/>
        </w:rPr>
        <w:t>Accordingly,</w:t>
      </w:r>
      <w:r w:rsidR="002A48A6">
        <w:rPr>
          <w:rFonts w:cs="Arial"/>
          <w:szCs w:val="20"/>
        </w:rPr>
        <w:t xml:space="preserve"> </w:t>
      </w:r>
      <w:r w:rsidR="001B6A56">
        <w:rPr>
          <w:rFonts w:cs="Arial"/>
          <w:szCs w:val="20"/>
        </w:rPr>
        <w:t xml:space="preserve">our </w:t>
      </w:r>
      <w:r w:rsidR="00EB45DD">
        <w:rPr>
          <w:rFonts w:cs="Arial"/>
          <w:szCs w:val="20"/>
        </w:rPr>
        <w:t>policy is</w:t>
      </w:r>
      <w:r w:rsidR="001B6A56">
        <w:rPr>
          <w:rFonts w:cs="Arial"/>
          <w:szCs w:val="20"/>
        </w:rPr>
        <w:t xml:space="preserve"> </w:t>
      </w:r>
      <w:r w:rsidR="00445DDF">
        <w:rPr>
          <w:rFonts w:cs="Arial"/>
          <w:szCs w:val="20"/>
        </w:rPr>
        <w:t>not to</w:t>
      </w:r>
      <w:r w:rsidR="00C36ABC">
        <w:rPr>
          <w:rFonts w:cs="Arial"/>
          <w:szCs w:val="20"/>
        </w:rPr>
        <w:t xml:space="preserve"> </w:t>
      </w:r>
      <w:r w:rsidR="00EB45DD">
        <w:rPr>
          <w:rFonts w:cs="Arial"/>
          <w:szCs w:val="20"/>
        </w:rPr>
        <w:t xml:space="preserve">renew </w:t>
      </w:r>
      <w:r w:rsidR="00C36ABC">
        <w:rPr>
          <w:rFonts w:cs="Arial"/>
          <w:szCs w:val="20"/>
        </w:rPr>
        <w:t xml:space="preserve">non-assigned </w:t>
      </w:r>
      <w:r w:rsidR="0086436D">
        <w:rPr>
          <w:rFonts w:cs="Arial"/>
          <w:szCs w:val="20"/>
        </w:rPr>
        <w:t>scientific</w:t>
      </w:r>
      <w:r w:rsidR="00C36ABC">
        <w:rPr>
          <w:rFonts w:cs="Arial"/>
          <w:szCs w:val="20"/>
        </w:rPr>
        <w:t xml:space="preserve"> </w:t>
      </w:r>
      <w:r w:rsidR="001B6A56">
        <w:rPr>
          <w:rFonts w:cs="Arial"/>
          <w:szCs w:val="20"/>
        </w:rPr>
        <w:t>licence</w:t>
      </w:r>
      <w:r w:rsidR="0086436D">
        <w:rPr>
          <w:rFonts w:cs="Arial"/>
          <w:szCs w:val="20"/>
        </w:rPr>
        <w:t>s and not</w:t>
      </w:r>
      <w:r w:rsidR="00851952">
        <w:rPr>
          <w:rFonts w:cs="Arial"/>
          <w:szCs w:val="20"/>
        </w:rPr>
        <w:t xml:space="preserve"> to</w:t>
      </w:r>
      <w:r w:rsidR="0086436D">
        <w:rPr>
          <w:rFonts w:cs="Arial"/>
          <w:szCs w:val="20"/>
        </w:rPr>
        <w:t xml:space="preserve"> issue any new non-assigned scientific licences</w:t>
      </w:r>
      <w:r w:rsidR="001B6A56">
        <w:rPr>
          <w:rFonts w:cs="Arial"/>
          <w:szCs w:val="20"/>
        </w:rPr>
        <w:t>.</w:t>
      </w:r>
    </w:p>
    <w:p w14:paraId="311DB650" w14:textId="77777777" w:rsidR="00A26F55" w:rsidRPr="00537918" w:rsidRDefault="00A26F55" w:rsidP="005716FE">
      <w:pPr>
        <w:rPr>
          <w:rFonts w:cs="Arial"/>
          <w:color w:val="000000"/>
          <w:szCs w:val="20"/>
        </w:rPr>
      </w:pPr>
    </w:p>
    <w:p w14:paraId="0E03D395" w14:textId="77777777" w:rsidR="00187DD3" w:rsidRPr="00187DD3" w:rsidRDefault="00187DD3" w:rsidP="00D27C77">
      <w:pPr>
        <w:pStyle w:val="Paragraph"/>
      </w:pPr>
    </w:p>
    <w:p w14:paraId="648368E8" w14:textId="77777777" w:rsidR="00187DD3" w:rsidRDefault="00187DD3" w:rsidP="0012586D">
      <w:pPr>
        <w:spacing w:line="240" w:lineRule="auto"/>
        <w:rPr>
          <w:rFonts w:cstheme="minorHAnsi"/>
          <w:szCs w:val="20"/>
        </w:rPr>
      </w:pPr>
    </w:p>
    <w:p w14:paraId="6EB78384" w14:textId="1D8007FB" w:rsidR="0012586D" w:rsidRDefault="0012586D" w:rsidP="0012586D">
      <w:pPr>
        <w:pStyle w:val="Paragraph"/>
      </w:pPr>
    </w:p>
    <w:p w14:paraId="7D4CA20F" w14:textId="374F278B" w:rsidR="00C87E8A" w:rsidRPr="00A17B1B" w:rsidRDefault="00922BC6" w:rsidP="00D27C77">
      <w:pPr>
        <w:pStyle w:val="Heading1"/>
      </w:pPr>
      <w:bookmarkStart w:id="8" w:name="_Toc144196219"/>
      <w:r>
        <w:lastRenderedPageBreak/>
        <w:t xml:space="preserve">Assigned </w:t>
      </w:r>
      <w:r w:rsidR="001152E8">
        <w:t>scientific licensing</w:t>
      </w:r>
      <w:bookmarkEnd w:id="8"/>
    </w:p>
    <w:p w14:paraId="62166AD0" w14:textId="77777777" w:rsidR="0012586D" w:rsidRDefault="0012586D" w:rsidP="0012586D">
      <w:pPr>
        <w:pStyle w:val="Heading2"/>
      </w:pPr>
      <w:bookmarkStart w:id="9" w:name="_Toc144196220"/>
      <w:r>
        <w:t>What stakeholders told us</w:t>
      </w:r>
      <w:bookmarkEnd w:id="9"/>
    </w:p>
    <w:p w14:paraId="789EE908" w14:textId="52375099" w:rsidR="00CA2E54" w:rsidRPr="001152E8" w:rsidRDefault="00623CE0" w:rsidP="00252FBC">
      <w:pPr>
        <w:pStyle w:val="Paragraph"/>
        <w:rPr>
          <w:szCs w:val="20"/>
        </w:rPr>
      </w:pPr>
      <w:r>
        <w:rPr>
          <w:szCs w:val="20"/>
        </w:rPr>
        <w:t>Five</w:t>
      </w:r>
      <w:r w:rsidR="001F2008" w:rsidRPr="001152E8">
        <w:rPr>
          <w:szCs w:val="20"/>
        </w:rPr>
        <w:t xml:space="preserve"> submissions commented on the</w:t>
      </w:r>
      <w:r w:rsidR="001A5539" w:rsidRPr="001152E8">
        <w:rPr>
          <w:szCs w:val="20"/>
        </w:rPr>
        <w:t xml:space="preserve"> proposed changes to assigned </w:t>
      </w:r>
      <w:r w:rsidR="00FD4DFC">
        <w:rPr>
          <w:szCs w:val="20"/>
        </w:rPr>
        <w:t>scientific</w:t>
      </w:r>
      <w:r w:rsidR="001A5539" w:rsidRPr="001152E8">
        <w:rPr>
          <w:szCs w:val="20"/>
        </w:rPr>
        <w:t xml:space="preserve"> licensing arrangement</w:t>
      </w:r>
      <w:r w:rsidR="001F2008" w:rsidRPr="001152E8">
        <w:rPr>
          <w:szCs w:val="20"/>
        </w:rPr>
        <w:t>s.</w:t>
      </w:r>
    </w:p>
    <w:p w14:paraId="69FC9E81" w14:textId="77777777" w:rsidR="00B02350" w:rsidRDefault="00252FBC" w:rsidP="00252FBC">
      <w:pPr>
        <w:pStyle w:val="Paragraph"/>
        <w:rPr>
          <w:szCs w:val="20"/>
        </w:rPr>
      </w:pPr>
      <w:r w:rsidRPr="001152E8">
        <w:rPr>
          <w:szCs w:val="20"/>
        </w:rPr>
        <w:t>Submissions largely expressed satisfaction with the current operation of the assigned scientific licensing arrangement</w:t>
      </w:r>
      <w:r w:rsidR="009D6AF9" w:rsidRPr="001152E8">
        <w:rPr>
          <w:szCs w:val="20"/>
        </w:rPr>
        <w:t>s.</w:t>
      </w:r>
      <w:r w:rsidR="006C2F94" w:rsidRPr="001152E8">
        <w:rPr>
          <w:szCs w:val="20"/>
        </w:rPr>
        <w:t xml:space="preserve"> </w:t>
      </w:r>
    </w:p>
    <w:p w14:paraId="16AED4C6" w14:textId="2D0925B5" w:rsidR="00411517" w:rsidRPr="001152E8" w:rsidRDefault="00245B6F" w:rsidP="00252FBC">
      <w:pPr>
        <w:pStyle w:val="Paragraph"/>
        <w:rPr>
          <w:rFonts w:eastAsia="Calibri"/>
          <w:szCs w:val="20"/>
        </w:rPr>
      </w:pPr>
      <w:r>
        <w:rPr>
          <w:szCs w:val="20"/>
        </w:rPr>
        <w:t>Submitters</w:t>
      </w:r>
      <w:r w:rsidR="006C2F94" w:rsidRPr="001152E8">
        <w:rPr>
          <w:szCs w:val="20"/>
        </w:rPr>
        <w:t xml:space="preserve"> </w:t>
      </w:r>
      <w:r w:rsidR="00CA0962" w:rsidRPr="001152E8">
        <w:rPr>
          <w:szCs w:val="20"/>
        </w:rPr>
        <w:t>supported</w:t>
      </w:r>
      <w:r w:rsidR="006C2F94" w:rsidRPr="001152E8">
        <w:rPr>
          <w:szCs w:val="20"/>
        </w:rPr>
        <w:t xml:space="preserve"> </w:t>
      </w:r>
      <w:r w:rsidR="007D1337">
        <w:rPr>
          <w:szCs w:val="20"/>
        </w:rPr>
        <w:t>our</w:t>
      </w:r>
      <w:r w:rsidR="00F631A7">
        <w:rPr>
          <w:szCs w:val="20"/>
        </w:rPr>
        <w:t xml:space="preserve"> suggestion that </w:t>
      </w:r>
      <w:r w:rsidR="007D1337">
        <w:rPr>
          <w:szCs w:val="20"/>
        </w:rPr>
        <w:t>we provide</w:t>
      </w:r>
      <w:r w:rsidR="006C2F94" w:rsidRPr="001152E8">
        <w:rPr>
          <w:szCs w:val="20"/>
        </w:rPr>
        <w:t xml:space="preserve"> further </w:t>
      </w:r>
      <w:r w:rsidR="008F1C5E" w:rsidRPr="001152E8">
        <w:rPr>
          <w:szCs w:val="20"/>
        </w:rPr>
        <w:t>guidance</w:t>
      </w:r>
      <w:r w:rsidR="006C2F94" w:rsidRPr="001152E8">
        <w:rPr>
          <w:szCs w:val="20"/>
        </w:rPr>
        <w:t xml:space="preserve"> on</w:t>
      </w:r>
      <w:r w:rsidR="00252FBC" w:rsidRPr="001152E8">
        <w:rPr>
          <w:szCs w:val="20"/>
        </w:rPr>
        <w:t xml:space="preserve"> licensing arrangements for device testing</w:t>
      </w:r>
      <w:r w:rsidR="00E27AF9" w:rsidRPr="001152E8">
        <w:rPr>
          <w:szCs w:val="20"/>
        </w:rPr>
        <w:t>.</w:t>
      </w:r>
    </w:p>
    <w:p w14:paraId="6C595CC0" w14:textId="69A28742" w:rsidR="00D16071" w:rsidRDefault="007B7293" w:rsidP="00D16071">
      <w:pPr>
        <w:pStyle w:val="Paragraph"/>
      </w:pPr>
      <w:r>
        <w:rPr>
          <w:szCs w:val="20"/>
        </w:rPr>
        <w:t>The submissions</w:t>
      </w:r>
      <w:r w:rsidR="005C43AA" w:rsidRPr="004B5596">
        <w:rPr>
          <w:szCs w:val="20"/>
        </w:rPr>
        <w:t xml:space="preserve"> </w:t>
      </w:r>
      <w:r w:rsidR="005767F7">
        <w:rPr>
          <w:szCs w:val="20"/>
        </w:rPr>
        <w:t xml:space="preserve">recommended </w:t>
      </w:r>
      <w:r>
        <w:rPr>
          <w:szCs w:val="20"/>
        </w:rPr>
        <w:t xml:space="preserve">various options for the duration of radiocommunication trials. One recommended </w:t>
      </w:r>
      <w:r w:rsidR="00EF760F">
        <w:rPr>
          <w:szCs w:val="20"/>
        </w:rPr>
        <w:t>we</w:t>
      </w:r>
      <w:r w:rsidR="00071026">
        <w:rPr>
          <w:szCs w:val="20"/>
        </w:rPr>
        <w:t xml:space="preserve"> </w:t>
      </w:r>
      <w:r>
        <w:rPr>
          <w:szCs w:val="20"/>
        </w:rPr>
        <w:t>be open to</w:t>
      </w:r>
      <w:r w:rsidR="00071026">
        <w:rPr>
          <w:szCs w:val="20"/>
        </w:rPr>
        <w:t xml:space="preserve"> durations of longer than 12 months for assigned </w:t>
      </w:r>
      <w:r w:rsidR="003B3B5B">
        <w:rPr>
          <w:szCs w:val="20"/>
        </w:rPr>
        <w:t>scientific</w:t>
      </w:r>
      <w:r w:rsidR="00071026">
        <w:rPr>
          <w:szCs w:val="20"/>
        </w:rPr>
        <w:t xml:space="preserve"> licences, while another </w:t>
      </w:r>
      <w:r w:rsidR="00E879DC">
        <w:t xml:space="preserve">suggested a timeframe of </w:t>
      </w:r>
      <w:r w:rsidR="00EF760F">
        <w:br/>
      </w:r>
      <w:r w:rsidR="00E879DC">
        <w:t>9 months</w:t>
      </w:r>
      <w:r w:rsidR="008437F7">
        <w:t xml:space="preserve"> </w:t>
      </w:r>
      <w:r w:rsidR="006404DA">
        <w:t xml:space="preserve">to </w:t>
      </w:r>
      <w:r w:rsidR="00BB41CA">
        <w:t xml:space="preserve">accommodate </w:t>
      </w:r>
      <w:r w:rsidR="00070125">
        <w:t xml:space="preserve">the </w:t>
      </w:r>
      <w:r w:rsidR="00DE0531">
        <w:t>large bodies of work associated with trials.</w:t>
      </w:r>
      <w:r>
        <w:t xml:space="preserve"> In contrast, one submitter</w:t>
      </w:r>
      <w:r w:rsidR="00D16071">
        <w:t xml:space="preserve"> </w:t>
      </w:r>
      <w:r>
        <w:t>expressed</w:t>
      </w:r>
      <w:r w:rsidR="00D16071">
        <w:t xml:space="preserve"> that the duration </w:t>
      </w:r>
      <w:r>
        <w:t xml:space="preserve">for trials </w:t>
      </w:r>
      <w:r w:rsidR="00D16071">
        <w:t>should</w:t>
      </w:r>
      <w:r>
        <w:t xml:space="preserve"> only</w:t>
      </w:r>
      <w:r w:rsidR="00D16071">
        <w:t xml:space="preserve"> be limited to 60 days.</w:t>
      </w:r>
    </w:p>
    <w:p w14:paraId="6CDDC1FA" w14:textId="77777777" w:rsidR="0012586D" w:rsidRDefault="0012586D" w:rsidP="0012586D">
      <w:pPr>
        <w:pStyle w:val="Heading2"/>
      </w:pPr>
      <w:bookmarkStart w:id="10" w:name="_Toc144196221"/>
      <w:r>
        <w:t>Our response</w:t>
      </w:r>
      <w:bookmarkEnd w:id="10"/>
    </w:p>
    <w:p w14:paraId="13A43B4E" w14:textId="27DD8394" w:rsidR="00F977E5" w:rsidRDefault="006B1504" w:rsidP="00F977E5">
      <w:pPr>
        <w:spacing w:line="240" w:lineRule="auto"/>
        <w:rPr>
          <w:rFonts w:cs="Arial"/>
          <w:color w:val="262626" w:themeColor="text1" w:themeTint="D9"/>
          <w:szCs w:val="20"/>
        </w:rPr>
      </w:pPr>
      <w:bookmarkStart w:id="11" w:name="_Toc348105641"/>
      <w:r w:rsidRPr="00161448">
        <w:rPr>
          <w:rFonts w:cs="Arial"/>
          <w:szCs w:val="20"/>
        </w:rPr>
        <w:t xml:space="preserve">While we consider the assigned scientific licensing framework to be largely performing as intended, we </w:t>
      </w:r>
      <w:r>
        <w:rPr>
          <w:rFonts w:cs="Arial"/>
          <w:szCs w:val="20"/>
        </w:rPr>
        <w:t xml:space="preserve">see value in updating </w:t>
      </w:r>
      <w:r w:rsidRPr="00161448">
        <w:rPr>
          <w:rFonts w:cs="Arial"/>
          <w:szCs w:val="20"/>
        </w:rPr>
        <w:t xml:space="preserve">our guidelines </w:t>
      </w:r>
      <w:r w:rsidRPr="00161448">
        <w:rPr>
          <w:rFonts w:cs="Arial"/>
          <w:color w:val="262626" w:themeColor="text1" w:themeTint="D9"/>
          <w:szCs w:val="20"/>
        </w:rPr>
        <w:t xml:space="preserve">to provide further guidance about </w:t>
      </w:r>
      <w:r w:rsidRPr="00161448">
        <w:rPr>
          <w:rFonts w:cs="Arial"/>
        </w:rPr>
        <w:t xml:space="preserve">using and applying for assigned </w:t>
      </w:r>
      <w:r w:rsidR="00A31698" w:rsidRPr="00161448">
        <w:rPr>
          <w:rFonts w:cs="Arial"/>
        </w:rPr>
        <w:t xml:space="preserve">scientific </w:t>
      </w:r>
      <w:r w:rsidRPr="00161448">
        <w:rPr>
          <w:rFonts w:cs="Arial"/>
        </w:rPr>
        <w:t>licences</w:t>
      </w:r>
      <w:r w:rsidR="00EF760F">
        <w:rPr>
          <w:rFonts w:cs="Arial"/>
        </w:rPr>
        <w:t xml:space="preserve">. This </w:t>
      </w:r>
      <w:r w:rsidRPr="00161448">
        <w:rPr>
          <w:rFonts w:cs="Arial"/>
        </w:rPr>
        <w:t>includ</w:t>
      </w:r>
      <w:r w:rsidR="00EF760F">
        <w:rPr>
          <w:rFonts w:cs="Arial"/>
        </w:rPr>
        <w:t>es</w:t>
      </w:r>
      <w:r w:rsidRPr="00161448">
        <w:rPr>
          <w:rFonts w:cs="Arial"/>
        </w:rPr>
        <w:t xml:space="preserve"> scientific trials, within broadcasting services bands spectrum, and for the use of high</w:t>
      </w:r>
      <w:r>
        <w:rPr>
          <w:rFonts w:cs="Arial"/>
        </w:rPr>
        <w:t>-</w:t>
      </w:r>
      <w:r w:rsidRPr="00161448">
        <w:rPr>
          <w:rFonts w:cs="Arial"/>
        </w:rPr>
        <w:t>power amateur stations</w:t>
      </w:r>
      <w:r w:rsidRPr="00161448">
        <w:rPr>
          <w:rFonts w:cs="Arial"/>
          <w:color w:val="262626" w:themeColor="text1" w:themeTint="D9"/>
          <w:szCs w:val="20"/>
        </w:rPr>
        <w:t>.</w:t>
      </w:r>
    </w:p>
    <w:p w14:paraId="047483EF" w14:textId="260354B0" w:rsidR="00187DD3" w:rsidRDefault="00187DD3" w:rsidP="00187DD3">
      <w:pPr>
        <w:pStyle w:val="Heading2"/>
      </w:pPr>
      <w:bookmarkStart w:id="12" w:name="_Toc144196222"/>
      <w:r>
        <w:t>Ou</w:t>
      </w:r>
      <w:r w:rsidR="00AD3DF6">
        <w:t>tcomes</w:t>
      </w:r>
      <w:bookmarkEnd w:id="12"/>
    </w:p>
    <w:p w14:paraId="6F2BE3FD" w14:textId="3A2C18C7" w:rsidR="005716FE" w:rsidRPr="00A17B1B" w:rsidRDefault="005716FE" w:rsidP="005716FE">
      <w:pPr>
        <w:pStyle w:val="Paragraphbeforelist"/>
      </w:pPr>
      <w:r>
        <w:t xml:space="preserve">We have updated the ACMA guidelines on scientific licences </w:t>
      </w:r>
      <w:r w:rsidR="00D81133">
        <w:t xml:space="preserve">(the </w:t>
      </w:r>
      <w:r w:rsidR="00EF760F">
        <w:t>g</w:t>
      </w:r>
      <w:r w:rsidR="00D81133">
        <w:t xml:space="preserve">uidelines) </w:t>
      </w:r>
      <w:r>
        <w:t>to</w:t>
      </w:r>
      <w:r w:rsidRPr="00A17B1B">
        <w:t>:</w:t>
      </w:r>
    </w:p>
    <w:p w14:paraId="01D64E89" w14:textId="48BF6C86" w:rsidR="005716FE" w:rsidRDefault="005716FE" w:rsidP="005716FE">
      <w:pPr>
        <w:pStyle w:val="Bulletlevel1"/>
      </w:pPr>
      <w:r>
        <w:t xml:space="preserve">describe </w:t>
      </w:r>
      <w:r w:rsidR="00EF760F">
        <w:t>our</w:t>
      </w:r>
      <w:r>
        <w:t xml:space="preserve"> general policy approach towards assigned </w:t>
      </w:r>
      <w:r w:rsidR="00A31698">
        <w:t xml:space="preserve">scientific </w:t>
      </w:r>
      <w:proofErr w:type="gramStart"/>
      <w:r>
        <w:t>licences</w:t>
      </w:r>
      <w:proofErr w:type="gramEnd"/>
    </w:p>
    <w:p w14:paraId="158F875C" w14:textId="72B32F89" w:rsidR="005716FE" w:rsidRPr="00A17B1B" w:rsidRDefault="005716FE" w:rsidP="005716FE">
      <w:pPr>
        <w:pStyle w:val="Bulletlevel1"/>
      </w:pPr>
      <w:r>
        <w:t xml:space="preserve">outline </w:t>
      </w:r>
      <w:r w:rsidR="00EF760F">
        <w:t>our</w:t>
      </w:r>
      <w:r>
        <w:t xml:space="preserve"> approach towards radiocommunications trials conducted under assigned </w:t>
      </w:r>
      <w:r w:rsidR="00A31698">
        <w:t xml:space="preserve">scientific </w:t>
      </w:r>
      <w:proofErr w:type="gramStart"/>
      <w:r>
        <w:t>licences</w:t>
      </w:r>
      <w:proofErr w:type="gramEnd"/>
    </w:p>
    <w:p w14:paraId="3E4880A2" w14:textId="733A8987" w:rsidR="005716FE" w:rsidRDefault="005716FE" w:rsidP="005716FE">
      <w:pPr>
        <w:pStyle w:val="Bulletlevel1last"/>
      </w:pPr>
      <w:r>
        <w:t>include guidance on applications to authorise higher power operation of amateur stations.</w:t>
      </w:r>
    </w:p>
    <w:p w14:paraId="7E7B97C5" w14:textId="41E9D111" w:rsidR="005716FE" w:rsidRPr="00A17B1B" w:rsidRDefault="005716FE" w:rsidP="005716FE">
      <w:pPr>
        <w:pStyle w:val="Bulletlevel1last"/>
        <w:numPr>
          <w:ilvl w:val="0"/>
          <w:numId w:val="0"/>
        </w:numPr>
        <w:ind w:left="295" w:hanging="295"/>
      </w:pPr>
      <w:r>
        <w:t xml:space="preserve">The </w:t>
      </w:r>
      <w:r w:rsidR="00EF760F">
        <w:t>g</w:t>
      </w:r>
      <w:r>
        <w:t xml:space="preserve">uidelines can be found </w:t>
      </w:r>
      <w:r w:rsidR="005069C1">
        <w:t xml:space="preserve">on the </w:t>
      </w:r>
      <w:hyperlink r:id="rId26" w:history="1">
        <w:r w:rsidR="005069C1" w:rsidRPr="00EF760F">
          <w:rPr>
            <w:rStyle w:val="Hyperlink"/>
          </w:rPr>
          <w:t>ACMA website</w:t>
        </w:r>
      </w:hyperlink>
      <w:r>
        <w:t>.</w:t>
      </w:r>
    </w:p>
    <w:bookmarkEnd w:id="11"/>
    <w:p w14:paraId="41B9D6A2" w14:textId="77777777" w:rsidR="00F400BC" w:rsidRDefault="00F400BC">
      <w:pPr>
        <w:spacing w:after="0" w:line="240" w:lineRule="auto"/>
        <w:rPr>
          <w:rFonts w:cs="Arial"/>
          <w:bCs/>
          <w:color w:val="323232"/>
          <w:kern w:val="32"/>
          <w:sz w:val="53"/>
          <w:szCs w:val="32"/>
        </w:rPr>
      </w:pPr>
      <w:r>
        <w:br w:type="page"/>
      </w:r>
    </w:p>
    <w:p w14:paraId="26F3DEB3" w14:textId="75510F03" w:rsidR="00FA0ED0" w:rsidRDefault="00993618" w:rsidP="00AE7E20">
      <w:pPr>
        <w:pStyle w:val="Heading1"/>
        <w:pageBreakBefore w:val="0"/>
      </w:pPr>
      <w:bookmarkStart w:id="13" w:name="_Toc144196223"/>
      <w:r>
        <w:lastRenderedPageBreak/>
        <w:t>Other matters</w:t>
      </w:r>
      <w:bookmarkEnd w:id="13"/>
    </w:p>
    <w:p w14:paraId="6D21575B" w14:textId="77777777" w:rsidR="00993618" w:rsidRDefault="00993618" w:rsidP="00993618">
      <w:pPr>
        <w:pStyle w:val="Heading2"/>
      </w:pPr>
      <w:bookmarkStart w:id="14" w:name="_Toc144196224"/>
      <w:r>
        <w:t>What stakeholders told us</w:t>
      </w:r>
      <w:bookmarkEnd w:id="14"/>
    </w:p>
    <w:p w14:paraId="2FE60392" w14:textId="77777777" w:rsidR="00DD7B1E" w:rsidRDefault="00993618" w:rsidP="00993618">
      <w:pPr>
        <w:rPr>
          <w:rFonts w:cs="Arial"/>
          <w:color w:val="000000"/>
          <w:szCs w:val="20"/>
        </w:rPr>
      </w:pPr>
      <w:r>
        <w:t xml:space="preserve">We note that </w:t>
      </w:r>
      <w:r>
        <w:rPr>
          <w:rFonts w:cs="Arial"/>
          <w:color w:val="000000"/>
          <w:szCs w:val="20"/>
        </w:rPr>
        <w:t>the submissions did not express any views in relation to the sunsetting of the Scientific LCD</w:t>
      </w:r>
      <w:r w:rsidR="00DD7B1E">
        <w:rPr>
          <w:rFonts w:cs="Arial"/>
          <w:color w:val="000000"/>
          <w:szCs w:val="20"/>
        </w:rPr>
        <w:t>.</w:t>
      </w:r>
    </w:p>
    <w:p w14:paraId="5BE16122" w14:textId="3A767851" w:rsidR="00993618" w:rsidRDefault="00DD7B1E" w:rsidP="00993618">
      <w:pPr>
        <w:rPr>
          <w:rFonts w:cs="Arial"/>
          <w:color w:val="000000"/>
          <w:szCs w:val="20"/>
        </w:rPr>
      </w:pPr>
      <w:r>
        <w:rPr>
          <w:rFonts w:cs="Arial"/>
          <w:color w:val="000000"/>
          <w:szCs w:val="20"/>
        </w:rPr>
        <w:t>O</w:t>
      </w:r>
      <w:r w:rsidR="00993618">
        <w:rPr>
          <w:rFonts w:cs="Arial"/>
          <w:color w:val="000000"/>
          <w:szCs w:val="20"/>
        </w:rPr>
        <w:t>ne submission opposed the use of scientific licences to authorise use of amateur stations, including for higher power.</w:t>
      </w:r>
    </w:p>
    <w:p w14:paraId="13384303" w14:textId="77777777" w:rsidR="00993618" w:rsidRDefault="00993618" w:rsidP="00993618">
      <w:pPr>
        <w:pStyle w:val="Heading2"/>
      </w:pPr>
      <w:bookmarkStart w:id="15" w:name="_Toc144196225"/>
      <w:r>
        <w:t>Our response</w:t>
      </w:r>
      <w:bookmarkEnd w:id="15"/>
    </w:p>
    <w:p w14:paraId="0C2B5907" w14:textId="7CD2122D" w:rsidR="00993618" w:rsidRDefault="00FC6E2D" w:rsidP="00993618">
      <w:r>
        <w:t>Since n</w:t>
      </w:r>
      <w:r w:rsidR="00025590">
        <w:t>o</w:t>
      </w:r>
      <w:r>
        <w:t xml:space="preserve"> views were expressed in relation to the sunsetting of the Scientific LCD, we decided to </w:t>
      </w:r>
      <w:r w:rsidR="009C6EC5">
        <w:t xml:space="preserve">proceed with </w:t>
      </w:r>
      <w:r w:rsidR="006D3069">
        <w:t xml:space="preserve">the plan outlined in the consultation paper – to </w:t>
      </w:r>
      <w:r w:rsidR="006D3069" w:rsidRPr="00665096">
        <w:t>repeal the Scientific LCD, and replace it with a new instrument</w:t>
      </w:r>
      <w:r w:rsidR="009C6EC5">
        <w:t xml:space="preserve">. </w:t>
      </w:r>
    </w:p>
    <w:p w14:paraId="6D17982E" w14:textId="77777777" w:rsidR="002167C2" w:rsidRDefault="005B5266" w:rsidP="00993618">
      <w:pPr>
        <w:rPr>
          <w:rFonts w:cs="Arial"/>
          <w:color w:val="000000"/>
          <w:szCs w:val="20"/>
        </w:rPr>
      </w:pPr>
      <w:r>
        <w:rPr>
          <w:rFonts w:cs="Arial"/>
          <w:color w:val="000000"/>
          <w:szCs w:val="20"/>
        </w:rPr>
        <w:t>I</w:t>
      </w:r>
      <w:r w:rsidR="00505E5D" w:rsidRPr="00505E5D">
        <w:rPr>
          <w:rFonts w:cs="Arial"/>
          <w:color w:val="000000"/>
          <w:szCs w:val="20"/>
        </w:rPr>
        <w:t xml:space="preserve">n September 2022, we published a </w:t>
      </w:r>
      <w:hyperlink r:id="rId27" w:history="1">
        <w:r w:rsidR="00505E5D" w:rsidRPr="00003173">
          <w:rPr>
            <w:rStyle w:val="Hyperlink"/>
            <w:rFonts w:cs="Arial"/>
            <w:szCs w:val="20"/>
          </w:rPr>
          <w:t>consultation paper</w:t>
        </w:r>
      </w:hyperlink>
      <w:r w:rsidR="00505E5D" w:rsidRPr="00505E5D">
        <w:rPr>
          <w:rFonts w:cs="Arial"/>
          <w:color w:val="000000"/>
          <w:szCs w:val="20"/>
        </w:rPr>
        <w:t xml:space="preserve"> </w:t>
      </w:r>
      <w:r w:rsidR="00505E5D">
        <w:rPr>
          <w:rFonts w:cs="Arial"/>
          <w:color w:val="000000"/>
          <w:szCs w:val="20"/>
        </w:rPr>
        <w:t xml:space="preserve">that, among other things, sought </w:t>
      </w:r>
      <w:r w:rsidR="00505E5D" w:rsidRPr="00505E5D">
        <w:rPr>
          <w:rFonts w:cs="Arial"/>
          <w:color w:val="000000"/>
          <w:szCs w:val="20"/>
        </w:rPr>
        <w:t>views on a proposal for a staged implementation of high-power authorisation</w:t>
      </w:r>
      <w:r w:rsidR="002167C2">
        <w:rPr>
          <w:rFonts w:cs="Arial"/>
          <w:color w:val="000000"/>
          <w:szCs w:val="20"/>
        </w:rPr>
        <w:t xml:space="preserve">. It included </w:t>
      </w:r>
      <w:r w:rsidR="00505E5D" w:rsidRPr="00505E5D">
        <w:rPr>
          <w:rFonts w:cs="Arial"/>
          <w:color w:val="000000"/>
          <w:szCs w:val="20"/>
        </w:rPr>
        <w:t>implementing scientific licensing for amateur high</w:t>
      </w:r>
      <w:r w:rsidR="006006B2">
        <w:rPr>
          <w:rFonts w:cs="Arial"/>
          <w:color w:val="000000"/>
          <w:szCs w:val="20"/>
        </w:rPr>
        <w:noBreakHyphen/>
      </w:r>
      <w:r w:rsidR="00505E5D" w:rsidRPr="00505E5D">
        <w:rPr>
          <w:rFonts w:cs="Arial"/>
          <w:color w:val="000000"/>
          <w:szCs w:val="20"/>
        </w:rPr>
        <w:t>power experimentation, and, in the medium-term, considering the establishment of a mechanism by which high</w:t>
      </w:r>
      <w:r w:rsidR="00790FC4">
        <w:rPr>
          <w:rFonts w:cs="Arial"/>
          <w:color w:val="000000"/>
          <w:szCs w:val="20"/>
        </w:rPr>
        <w:noBreakHyphen/>
      </w:r>
      <w:r w:rsidR="00505E5D" w:rsidRPr="00505E5D">
        <w:rPr>
          <w:rFonts w:cs="Arial"/>
          <w:color w:val="000000"/>
          <w:szCs w:val="20"/>
        </w:rPr>
        <w:t>power use-cases not enabled under scientific licensing can be authorised</w:t>
      </w:r>
      <w:r w:rsidR="006006B2">
        <w:rPr>
          <w:rFonts w:cs="Arial"/>
          <w:color w:val="000000"/>
          <w:szCs w:val="20"/>
        </w:rPr>
        <w:t xml:space="preserve">. </w:t>
      </w:r>
    </w:p>
    <w:p w14:paraId="46B9F4B3" w14:textId="541B0A0F" w:rsidR="00196283" w:rsidRPr="00F977E5" w:rsidRDefault="00890456" w:rsidP="00993618">
      <w:r>
        <w:rPr>
          <w:rFonts w:cs="Arial"/>
          <w:color w:val="000000"/>
          <w:szCs w:val="20"/>
        </w:rPr>
        <w:t xml:space="preserve">In the </w:t>
      </w:r>
      <w:hyperlink r:id="rId28" w:history="1">
        <w:r w:rsidRPr="00790FC4">
          <w:rPr>
            <w:rStyle w:val="Hyperlink"/>
            <w:rFonts w:cs="Arial"/>
            <w:szCs w:val="20"/>
          </w:rPr>
          <w:t>draft FYSO 2023–28</w:t>
        </w:r>
      </w:hyperlink>
      <w:r>
        <w:rPr>
          <w:rFonts w:cs="Arial"/>
          <w:color w:val="000000"/>
          <w:szCs w:val="20"/>
        </w:rPr>
        <w:t xml:space="preserve">, we outlined that we would </w:t>
      </w:r>
      <w:r>
        <w:t>publish information to support the consideration of applications for assigned scientific licences to authorise certain high</w:t>
      </w:r>
      <w:r w:rsidR="00790FC4">
        <w:noBreakHyphen/>
      </w:r>
      <w:r>
        <w:t xml:space="preserve">power experimentation uses by amateurs. This information is designed to assist applicants </w:t>
      </w:r>
      <w:r w:rsidR="002167C2">
        <w:t xml:space="preserve">to </w:t>
      </w:r>
      <w:r>
        <w:t xml:space="preserve">understand the matters we will take into account when assessing an application and the type of information that should accompany an application. </w:t>
      </w:r>
      <w:r>
        <w:rPr>
          <w:rFonts w:cs="Arial"/>
          <w:color w:val="000000"/>
          <w:szCs w:val="20"/>
        </w:rPr>
        <w:t xml:space="preserve"> </w:t>
      </w:r>
    </w:p>
    <w:p w14:paraId="29C76E84" w14:textId="5C6C8B24" w:rsidR="00F400BC" w:rsidRDefault="00F400BC" w:rsidP="00F400BC">
      <w:pPr>
        <w:pStyle w:val="Heading2"/>
      </w:pPr>
      <w:bookmarkStart w:id="16" w:name="_Toc144196226"/>
      <w:r>
        <w:t>Outcomes</w:t>
      </w:r>
      <w:bookmarkEnd w:id="16"/>
    </w:p>
    <w:p w14:paraId="0649CDB8" w14:textId="4B3F4611" w:rsidR="00730FFB" w:rsidRDefault="00730FFB" w:rsidP="00730FFB">
      <w:pPr>
        <w:spacing w:line="257" w:lineRule="auto"/>
        <w:rPr>
          <w:rFonts w:cs="Arial"/>
        </w:rPr>
      </w:pPr>
      <w:r>
        <w:rPr>
          <w:rFonts w:cs="Arial"/>
        </w:rPr>
        <w:t>T</w:t>
      </w:r>
      <w:r w:rsidRPr="00695615">
        <w:rPr>
          <w:rFonts w:cs="Arial"/>
        </w:rPr>
        <w:t>he conditions that apply to the scientific licence type of transmitter licence</w:t>
      </w:r>
      <w:r>
        <w:rPr>
          <w:rFonts w:cs="Arial"/>
        </w:rPr>
        <w:t xml:space="preserve"> are outlined in the </w:t>
      </w:r>
      <w:hyperlink r:id="rId29" w:history="1">
        <w:r w:rsidRPr="002167C2">
          <w:rPr>
            <w:rStyle w:val="Hyperlink"/>
            <w:rFonts w:cs="Arial"/>
            <w:szCs w:val="20"/>
          </w:rPr>
          <w:t>Radiocommunications Licence Conditions (Scientific Licence) Determination 2023</w:t>
        </w:r>
      </w:hyperlink>
      <w:r w:rsidRPr="00695615">
        <w:rPr>
          <w:rFonts w:cs="Arial"/>
          <w:color w:val="000000"/>
          <w:szCs w:val="20"/>
        </w:rPr>
        <w:t xml:space="preserve">, which </w:t>
      </w:r>
      <w:r>
        <w:rPr>
          <w:rFonts w:cs="Arial"/>
          <w:color w:val="000000"/>
          <w:szCs w:val="20"/>
        </w:rPr>
        <w:t xml:space="preserve">replaced the Scientific LCD in the transition to the </w:t>
      </w:r>
      <w:r w:rsidR="002167C2">
        <w:rPr>
          <w:rFonts w:cs="Arial"/>
          <w:color w:val="000000"/>
          <w:szCs w:val="20"/>
        </w:rPr>
        <w:br/>
      </w:r>
      <w:r>
        <w:rPr>
          <w:rFonts w:cs="Arial"/>
          <w:color w:val="000000"/>
          <w:szCs w:val="20"/>
        </w:rPr>
        <w:t>class licence.</w:t>
      </w:r>
      <w:r w:rsidRPr="00695615">
        <w:rPr>
          <w:rFonts w:cs="Arial"/>
        </w:rPr>
        <w:t xml:space="preserve"> </w:t>
      </w:r>
    </w:p>
    <w:p w14:paraId="73CF90C8" w14:textId="4843FF2F" w:rsidR="00FA0ED0" w:rsidRPr="00A17B1B" w:rsidRDefault="0085042C" w:rsidP="008B797B">
      <w:pPr>
        <w:pStyle w:val="Paragraphbeforelist"/>
      </w:pPr>
      <w:r>
        <w:t xml:space="preserve">The </w:t>
      </w:r>
      <w:hyperlink r:id="rId30" w:history="1">
        <w:r w:rsidR="002167C2" w:rsidRPr="002167C2">
          <w:rPr>
            <w:rStyle w:val="Hyperlink"/>
          </w:rPr>
          <w:t>scientific apparatus licences g</w:t>
        </w:r>
        <w:r w:rsidR="00EE2591" w:rsidRPr="002167C2">
          <w:rPr>
            <w:rStyle w:val="Hyperlink"/>
          </w:rPr>
          <w:t>uidelines</w:t>
        </w:r>
      </w:hyperlink>
      <w:r w:rsidR="007A1091">
        <w:t xml:space="preserve"> </w:t>
      </w:r>
      <w:r>
        <w:t>include guidance on applications to authorise higher</w:t>
      </w:r>
      <w:r w:rsidR="002167C2">
        <w:t>-</w:t>
      </w:r>
      <w:r>
        <w:t>power operation of amateur stations.</w:t>
      </w:r>
    </w:p>
    <w:sectPr w:rsidR="00FA0ED0" w:rsidRPr="00A17B1B" w:rsidSect="00C77380">
      <w:headerReference w:type="even" r:id="rId31"/>
      <w:headerReference w:type="default" r:id="rId32"/>
      <w:footerReference w:type="even" r:id="rId33"/>
      <w:footerReference w:type="default" r:id="rId34"/>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5B89" w14:textId="77777777" w:rsidR="005B73AB" w:rsidRDefault="005B73AB">
      <w:r>
        <w:separator/>
      </w:r>
    </w:p>
  </w:endnote>
  <w:endnote w:type="continuationSeparator" w:id="0">
    <w:p w14:paraId="05B99CDC" w14:textId="77777777" w:rsidR="005B73AB" w:rsidRDefault="005B73AB">
      <w:r>
        <w:continuationSeparator/>
      </w:r>
    </w:p>
  </w:endnote>
  <w:endnote w:type="continuationNotice" w:id="1">
    <w:p w14:paraId="2D0B1515" w14:textId="77777777" w:rsidR="005B73AB" w:rsidRDefault="005B73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8F0" w14:textId="77777777" w:rsidR="005E250B" w:rsidRDefault="005E250B" w:rsidP="005E250B">
    <w:pPr>
      <w:pStyle w:val="Footer"/>
      <w:jc w:val="right"/>
    </w:pPr>
    <w:r w:rsidRPr="005E250B">
      <w:rPr>
        <w:noProof/>
        <w:vertAlign w:val="subscript"/>
      </w:rPr>
      <w:drawing>
        <wp:inline distT="0" distB="0" distL="0" distR="0" wp14:anchorId="3F21FE49" wp14:editId="162508A5">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547A"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F3A5"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6966"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7DB845B8"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11EC"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610E5510"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6BEC"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187C30A7"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32A2"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0B882CF3"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A841"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48BB9890"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C2E4" w14:textId="77777777" w:rsidR="005B73AB" w:rsidRDefault="005B73AB" w:rsidP="00DB3A64">
      <w:pPr>
        <w:spacing w:after="0"/>
      </w:pPr>
      <w:r>
        <w:separator/>
      </w:r>
    </w:p>
  </w:footnote>
  <w:footnote w:type="continuationSeparator" w:id="0">
    <w:p w14:paraId="1496CDFC" w14:textId="77777777" w:rsidR="005B73AB" w:rsidRDefault="005B73AB">
      <w:r>
        <w:continuationSeparator/>
      </w:r>
    </w:p>
  </w:footnote>
  <w:footnote w:type="continuationNotice" w:id="1">
    <w:p w14:paraId="6CCCE7D9" w14:textId="77777777" w:rsidR="005B73AB" w:rsidRDefault="005B73AB">
      <w:pPr>
        <w:spacing w:after="0" w:line="240" w:lineRule="auto"/>
      </w:pPr>
    </w:p>
  </w:footnote>
  <w:footnote w:id="2">
    <w:p w14:paraId="7BFFD6A3" w14:textId="77777777" w:rsidR="001B4820" w:rsidRDefault="001B4820" w:rsidP="001B4820">
      <w:pPr>
        <w:pStyle w:val="FootnoteText"/>
      </w:pPr>
      <w:r>
        <w:rPr>
          <w:rStyle w:val="FootnoteReference"/>
        </w:rPr>
        <w:footnoteRef/>
      </w:r>
      <w:r>
        <w:t xml:space="preserve"> </w:t>
      </w:r>
      <w:r w:rsidRPr="00DA2A95">
        <w:rPr>
          <w:rFonts w:cs="Arial"/>
        </w:rPr>
        <w:t xml:space="preserve">The </w:t>
      </w:r>
      <w:r>
        <w:rPr>
          <w:rFonts w:cs="Arial"/>
        </w:rPr>
        <w:t>S</w:t>
      </w:r>
      <w:r w:rsidRPr="00DA2A95">
        <w:rPr>
          <w:rFonts w:cs="Arial"/>
        </w:rPr>
        <w:t>cientific LCD</w:t>
      </w:r>
      <w:r>
        <w:rPr>
          <w:rFonts w:cs="Arial"/>
        </w:rPr>
        <w:t xml:space="preserve"> </w:t>
      </w:r>
      <w:r w:rsidRPr="00482511">
        <w:rPr>
          <w:rFonts w:cs="Arial"/>
        </w:rPr>
        <w:t>imposed common conditions on scientific licences, and broadly set out the activities for which a scientific station may be used.</w:t>
      </w:r>
    </w:p>
  </w:footnote>
  <w:footnote w:id="3">
    <w:p w14:paraId="2C820843" w14:textId="199C6F71" w:rsidR="00644E8F" w:rsidRPr="00E04225" w:rsidRDefault="00644E8F">
      <w:pPr>
        <w:pStyle w:val="FootnoteText"/>
        <w:rPr>
          <w:rFonts w:cs="Arial"/>
        </w:rPr>
      </w:pPr>
      <w:r w:rsidRPr="00E04225">
        <w:rPr>
          <w:rStyle w:val="FootnoteReference"/>
          <w:rFonts w:cs="Arial"/>
        </w:rPr>
        <w:footnoteRef/>
      </w:r>
      <w:r w:rsidRPr="00E04225">
        <w:rPr>
          <w:rFonts w:cs="Arial"/>
        </w:rPr>
        <w:t xml:space="preserve"> </w:t>
      </w:r>
      <w:r w:rsidR="00812BC7" w:rsidRPr="00E04225">
        <w:rPr>
          <w:rFonts w:cs="Arial"/>
        </w:rPr>
        <w:t>Under section 137 of the Act, the ACMA must not issue a class licence that is inconsistent with a frequency band plan.</w:t>
      </w:r>
      <w:r w:rsidR="00BC5022" w:rsidRPr="00E04225">
        <w:rPr>
          <w:rFonts w:cs="Arial"/>
        </w:rPr>
        <w:t xml:space="preserve"> A </w:t>
      </w:r>
      <w:hyperlink r:id="rId1" w:anchor="frequency-band-plans" w:history="1">
        <w:r w:rsidR="00BC5022" w:rsidRPr="00E04225">
          <w:rPr>
            <w:rStyle w:val="Hyperlink"/>
            <w:rFonts w:cs="Arial"/>
          </w:rPr>
          <w:t>frequency band plan</w:t>
        </w:r>
      </w:hyperlink>
      <w:r w:rsidR="00BC5022" w:rsidRPr="00E04225">
        <w:rPr>
          <w:rFonts w:cs="Arial"/>
        </w:rPr>
        <w:t xml:space="preserve"> s</w:t>
      </w:r>
      <w:r w:rsidR="00786C95" w:rsidRPr="00E04225">
        <w:rPr>
          <w:rFonts w:cs="Arial"/>
        </w:rPr>
        <w:t>ets out</w:t>
      </w:r>
      <w:r w:rsidR="00BC5022" w:rsidRPr="00E04225">
        <w:rPr>
          <w:rFonts w:cs="Arial"/>
        </w:rPr>
        <w:t xml:space="preserve"> the</w:t>
      </w:r>
      <w:r w:rsidR="004A177C" w:rsidRPr="00E04225">
        <w:rPr>
          <w:rFonts w:cs="Arial"/>
        </w:rPr>
        <w:t xml:space="preserve"> purposes for which certain frequency bands may be used</w:t>
      </w:r>
      <w:r w:rsidR="000337DB" w:rsidRPr="00E04225">
        <w:rPr>
          <w:rFonts w:cs="Arial"/>
        </w:rPr>
        <w:t>.</w:t>
      </w:r>
    </w:p>
  </w:footnote>
  <w:footnote w:id="4">
    <w:p w14:paraId="48FC438C" w14:textId="3E37F78B" w:rsidR="00EF08B2" w:rsidRPr="005074AE" w:rsidRDefault="00EF08B2">
      <w:pPr>
        <w:pStyle w:val="FootnoteText"/>
        <w:rPr>
          <w:rFonts w:cs="Arial"/>
        </w:rPr>
      </w:pPr>
      <w:r w:rsidRPr="005074AE">
        <w:rPr>
          <w:rStyle w:val="FootnoteReference"/>
          <w:rFonts w:cs="Arial"/>
        </w:rPr>
        <w:footnoteRef/>
      </w:r>
      <w:r w:rsidRPr="005074AE">
        <w:rPr>
          <w:rFonts w:cs="Arial"/>
        </w:rPr>
        <w:t xml:space="preserve"> </w:t>
      </w:r>
      <w:r w:rsidR="005074AE" w:rsidRPr="005074AE">
        <w:rPr>
          <w:rFonts w:cs="Arial"/>
        </w:rPr>
        <w:t xml:space="preserve">These frequency band plans are inconsistent with the proposed class licence: the </w:t>
      </w:r>
      <w:r w:rsidR="005074AE" w:rsidRPr="002167C2">
        <w:rPr>
          <w:rFonts w:cs="Arial"/>
        </w:rPr>
        <w:t>Radiocommunications 1.5 GHz Frequency Band Plan</w:t>
      </w:r>
      <w:r w:rsidR="005074AE" w:rsidRPr="00155815">
        <w:rPr>
          <w:rFonts w:cs="Arial"/>
        </w:rPr>
        <w:t xml:space="preserve"> </w:t>
      </w:r>
      <w:r w:rsidR="005074AE" w:rsidRPr="002167C2">
        <w:rPr>
          <w:rFonts w:cs="Arial"/>
        </w:rPr>
        <w:t>2015</w:t>
      </w:r>
      <w:r w:rsidR="005074AE" w:rsidRPr="005074AE">
        <w:rPr>
          <w:rFonts w:cs="Arial"/>
        </w:rPr>
        <w:t xml:space="preserve">, the </w:t>
      </w:r>
      <w:r w:rsidR="005074AE" w:rsidRPr="002167C2">
        <w:rPr>
          <w:rFonts w:cs="Arial"/>
        </w:rPr>
        <w:t>Radiocommunications (Mobile-Satellite Service) (1980–2010 MHz and 2170–2200 MHz) Frequency Band Plan 2022</w:t>
      </w:r>
      <w:r w:rsidR="005074AE" w:rsidRPr="005074AE">
        <w:rPr>
          <w:rFonts w:cs="Arial"/>
        </w:rPr>
        <w:t xml:space="preserve">, and the </w:t>
      </w:r>
      <w:r w:rsidR="005074AE" w:rsidRPr="002167C2">
        <w:rPr>
          <w:rFonts w:cs="Arial"/>
        </w:rPr>
        <w:t>Radiocommunications (Television Outside Broadcasting) (2010–2110 MHz and 2200–2300 MHz) Frequency Band Plan 2022</w:t>
      </w:r>
      <w:r w:rsidR="005074AE" w:rsidRPr="005074AE">
        <w:rPr>
          <w:rFonts w:cs="Arial"/>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378E" w14:textId="77777777" w:rsidR="00C053A1" w:rsidRPr="00A5474E" w:rsidRDefault="00C053A1" w:rsidP="00A5474E">
    <w:pPr>
      <w:pStyle w:val="Header"/>
    </w:pPr>
    <w:r>
      <w:rPr>
        <w:noProof/>
      </w:rPr>
      <w:drawing>
        <wp:inline distT="0" distB="0" distL="0" distR="0" wp14:anchorId="420A22A5" wp14:editId="19DFF0B5">
          <wp:extent cx="6283434" cy="578076"/>
          <wp:effectExtent l="0" t="0" r="3175"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ED94"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DBBF"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D242"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29B53ADC" w14:textId="77777777">
      <w:trPr>
        <w:trHeight w:hRule="exact" w:val="988"/>
      </w:trPr>
      <w:tc>
        <w:tcPr>
          <w:tcW w:w="7678" w:type="dxa"/>
          <w:shd w:val="clear" w:color="auto" w:fill="auto"/>
        </w:tcPr>
        <w:p w14:paraId="398E7898" w14:textId="77777777" w:rsidR="00971914" w:rsidRDefault="00971914" w:rsidP="00971914">
          <w:pPr>
            <w:pStyle w:val="Header"/>
          </w:pPr>
        </w:p>
      </w:tc>
    </w:tr>
    <w:tr w:rsidR="00971914" w14:paraId="14095A08" w14:textId="77777777">
      <w:tc>
        <w:tcPr>
          <w:tcW w:w="7678" w:type="dxa"/>
          <w:shd w:val="clear" w:color="auto" w:fill="auto"/>
        </w:tcPr>
        <w:p w14:paraId="289FC305" w14:textId="77777777" w:rsidR="00971914" w:rsidRDefault="00971914" w:rsidP="00971914">
          <w:pPr>
            <w:pStyle w:val="GridTable31"/>
          </w:pPr>
          <w:r>
            <w:t xml:space="preserve">Contents </w:t>
          </w:r>
          <w:r w:rsidRPr="00915B1C">
            <w:rPr>
              <w:b w:val="0"/>
              <w:spacing w:val="0"/>
              <w:sz w:val="28"/>
              <w:szCs w:val="28"/>
            </w:rPr>
            <w:t>(Continued)</w:t>
          </w:r>
        </w:p>
      </w:tc>
    </w:tr>
    <w:tr w:rsidR="00971914" w14:paraId="47B11DCD" w14:textId="77777777">
      <w:trPr>
        <w:trHeight w:val="1220"/>
      </w:trPr>
      <w:tc>
        <w:tcPr>
          <w:tcW w:w="7678" w:type="dxa"/>
          <w:shd w:val="clear" w:color="auto" w:fill="auto"/>
        </w:tcPr>
        <w:p w14:paraId="45CF95C2" w14:textId="77777777" w:rsidR="00971914" w:rsidRDefault="00971914" w:rsidP="00971914"/>
      </w:tc>
    </w:tr>
  </w:tbl>
  <w:p w14:paraId="70D111A5"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0117B9E1" w14:textId="77777777">
      <w:trPr>
        <w:trHeight w:hRule="exact" w:val="988"/>
      </w:trPr>
      <w:tc>
        <w:tcPr>
          <w:tcW w:w="7678" w:type="dxa"/>
          <w:shd w:val="clear" w:color="auto" w:fill="auto"/>
        </w:tcPr>
        <w:p w14:paraId="2A61B2DE" w14:textId="77777777" w:rsidR="00971914" w:rsidRDefault="00971914" w:rsidP="00971914">
          <w:pPr>
            <w:pStyle w:val="Header"/>
          </w:pPr>
        </w:p>
      </w:tc>
    </w:tr>
    <w:tr w:rsidR="00971914" w14:paraId="47259757" w14:textId="77777777">
      <w:tc>
        <w:tcPr>
          <w:tcW w:w="7678" w:type="dxa"/>
          <w:shd w:val="clear" w:color="auto" w:fill="auto"/>
        </w:tcPr>
        <w:p w14:paraId="0642AE4E" w14:textId="77777777" w:rsidR="00971914" w:rsidRDefault="00971914" w:rsidP="00971914">
          <w:pPr>
            <w:pStyle w:val="GridTable31"/>
          </w:pPr>
          <w:r>
            <w:t xml:space="preserve">Contents </w:t>
          </w:r>
          <w:r w:rsidRPr="00915B1C">
            <w:rPr>
              <w:b w:val="0"/>
              <w:spacing w:val="0"/>
              <w:sz w:val="28"/>
              <w:szCs w:val="28"/>
            </w:rPr>
            <w:t>(Continued)</w:t>
          </w:r>
        </w:p>
      </w:tc>
    </w:tr>
    <w:tr w:rsidR="00971914" w14:paraId="11BE48FA" w14:textId="77777777">
      <w:trPr>
        <w:trHeight w:val="1220"/>
      </w:trPr>
      <w:tc>
        <w:tcPr>
          <w:tcW w:w="7678" w:type="dxa"/>
          <w:shd w:val="clear" w:color="auto" w:fill="auto"/>
        </w:tcPr>
        <w:p w14:paraId="082BC201" w14:textId="77777777" w:rsidR="00971914" w:rsidRDefault="00971914" w:rsidP="00971914"/>
      </w:tc>
    </w:tr>
  </w:tbl>
  <w:p w14:paraId="4C026387"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BF3E"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85FD"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3F73C3"/>
    <w:multiLevelType w:val="hybridMultilevel"/>
    <w:tmpl w:val="ABD0C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4B4E2985"/>
    <w:multiLevelType w:val="hybridMultilevel"/>
    <w:tmpl w:val="FBA0AAC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521768">
    <w:abstractNumId w:val="3"/>
  </w:num>
  <w:num w:numId="2" w16cid:durableId="969045093">
    <w:abstractNumId w:val="1"/>
  </w:num>
  <w:num w:numId="3" w16cid:durableId="1714190328">
    <w:abstractNumId w:val="2"/>
  </w:num>
  <w:num w:numId="4" w16cid:durableId="1292904938">
    <w:abstractNumId w:val="0"/>
  </w:num>
  <w:num w:numId="5" w16cid:durableId="1192914688">
    <w:abstractNumId w:val="6"/>
  </w:num>
  <w:num w:numId="6" w16cid:durableId="818768531">
    <w:abstractNumId w:val="10"/>
  </w:num>
  <w:num w:numId="7" w16cid:durableId="636617026">
    <w:abstractNumId w:val="8"/>
  </w:num>
  <w:num w:numId="8" w16cid:durableId="227307242">
    <w:abstractNumId w:val="9"/>
  </w:num>
  <w:num w:numId="9" w16cid:durableId="1325478460">
    <w:abstractNumId w:val="11"/>
  </w:num>
  <w:num w:numId="10" w16cid:durableId="26877423">
    <w:abstractNumId w:val="4"/>
  </w:num>
  <w:num w:numId="11" w16cid:durableId="529613017">
    <w:abstractNumId w:val="2"/>
    <w:lvlOverride w:ilvl="0">
      <w:startOverride w:val="1"/>
    </w:lvlOverride>
  </w:num>
  <w:num w:numId="12" w16cid:durableId="506287035">
    <w:abstractNumId w:val="2"/>
    <w:lvlOverride w:ilvl="0">
      <w:startOverride w:val="1"/>
    </w:lvlOverride>
  </w:num>
  <w:num w:numId="13" w16cid:durableId="1697151325">
    <w:abstractNumId w:val="7"/>
  </w:num>
  <w:num w:numId="14" w16cid:durableId="135176385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55"/>
    <w:rsid w:val="00000B91"/>
    <w:rsid w:val="000028F7"/>
    <w:rsid w:val="00002E28"/>
    <w:rsid w:val="00003173"/>
    <w:rsid w:val="00004BAF"/>
    <w:rsid w:val="00004C0F"/>
    <w:rsid w:val="0000515B"/>
    <w:rsid w:val="00007FDA"/>
    <w:rsid w:val="00010667"/>
    <w:rsid w:val="000120D5"/>
    <w:rsid w:val="00012332"/>
    <w:rsid w:val="000129D5"/>
    <w:rsid w:val="00015AE7"/>
    <w:rsid w:val="00016E21"/>
    <w:rsid w:val="0001719C"/>
    <w:rsid w:val="000204FE"/>
    <w:rsid w:val="000218CB"/>
    <w:rsid w:val="0002224E"/>
    <w:rsid w:val="000245E5"/>
    <w:rsid w:val="00025590"/>
    <w:rsid w:val="00026F91"/>
    <w:rsid w:val="00032D5D"/>
    <w:rsid w:val="000337DB"/>
    <w:rsid w:val="00034177"/>
    <w:rsid w:val="00040476"/>
    <w:rsid w:val="0004764C"/>
    <w:rsid w:val="0005011A"/>
    <w:rsid w:val="0005045A"/>
    <w:rsid w:val="00051C1E"/>
    <w:rsid w:val="000539F9"/>
    <w:rsid w:val="00054C27"/>
    <w:rsid w:val="00055340"/>
    <w:rsid w:val="00055EC3"/>
    <w:rsid w:val="00056222"/>
    <w:rsid w:val="000563CE"/>
    <w:rsid w:val="000659B6"/>
    <w:rsid w:val="0006686F"/>
    <w:rsid w:val="0006722A"/>
    <w:rsid w:val="00070125"/>
    <w:rsid w:val="00071026"/>
    <w:rsid w:val="00071583"/>
    <w:rsid w:val="000732CF"/>
    <w:rsid w:val="00073F8B"/>
    <w:rsid w:val="00075B96"/>
    <w:rsid w:val="00076CD0"/>
    <w:rsid w:val="000775DD"/>
    <w:rsid w:val="0008196A"/>
    <w:rsid w:val="000841D2"/>
    <w:rsid w:val="00084BA3"/>
    <w:rsid w:val="00085363"/>
    <w:rsid w:val="0008674D"/>
    <w:rsid w:val="000915ED"/>
    <w:rsid w:val="0009209D"/>
    <w:rsid w:val="00094372"/>
    <w:rsid w:val="0009463C"/>
    <w:rsid w:val="000969BD"/>
    <w:rsid w:val="000969BF"/>
    <w:rsid w:val="00096FFF"/>
    <w:rsid w:val="000971BD"/>
    <w:rsid w:val="00097484"/>
    <w:rsid w:val="000A0C22"/>
    <w:rsid w:val="000A1400"/>
    <w:rsid w:val="000A21AA"/>
    <w:rsid w:val="000A3C43"/>
    <w:rsid w:val="000A4A51"/>
    <w:rsid w:val="000A5D2B"/>
    <w:rsid w:val="000B0E92"/>
    <w:rsid w:val="000B3822"/>
    <w:rsid w:val="000B3A48"/>
    <w:rsid w:val="000B3ADF"/>
    <w:rsid w:val="000B4664"/>
    <w:rsid w:val="000B5BCD"/>
    <w:rsid w:val="000B5DE3"/>
    <w:rsid w:val="000C0A57"/>
    <w:rsid w:val="000C230C"/>
    <w:rsid w:val="000C2EE4"/>
    <w:rsid w:val="000C6AB4"/>
    <w:rsid w:val="000D1935"/>
    <w:rsid w:val="000D2DFE"/>
    <w:rsid w:val="000D71D9"/>
    <w:rsid w:val="000D76E0"/>
    <w:rsid w:val="000D7E8B"/>
    <w:rsid w:val="000E063D"/>
    <w:rsid w:val="000E35CB"/>
    <w:rsid w:val="000E4449"/>
    <w:rsid w:val="000E5C0E"/>
    <w:rsid w:val="000E6097"/>
    <w:rsid w:val="000F38EF"/>
    <w:rsid w:val="000F3EF5"/>
    <w:rsid w:val="000F4F9B"/>
    <w:rsid w:val="00100ADA"/>
    <w:rsid w:val="00101DB1"/>
    <w:rsid w:val="0010267F"/>
    <w:rsid w:val="00103829"/>
    <w:rsid w:val="00105F3B"/>
    <w:rsid w:val="00111FCE"/>
    <w:rsid w:val="00112262"/>
    <w:rsid w:val="0011287C"/>
    <w:rsid w:val="00113F84"/>
    <w:rsid w:val="001152E8"/>
    <w:rsid w:val="001229A5"/>
    <w:rsid w:val="00123670"/>
    <w:rsid w:val="00123F21"/>
    <w:rsid w:val="0012489B"/>
    <w:rsid w:val="00124C22"/>
    <w:rsid w:val="0012586D"/>
    <w:rsid w:val="00127B56"/>
    <w:rsid w:val="00130017"/>
    <w:rsid w:val="001301AE"/>
    <w:rsid w:val="00130F91"/>
    <w:rsid w:val="00132BAF"/>
    <w:rsid w:val="001349ED"/>
    <w:rsid w:val="00137424"/>
    <w:rsid w:val="00140318"/>
    <w:rsid w:val="00141AD9"/>
    <w:rsid w:val="00145AD4"/>
    <w:rsid w:val="00145E94"/>
    <w:rsid w:val="00146CE6"/>
    <w:rsid w:val="00151255"/>
    <w:rsid w:val="001518D5"/>
    <w:rsid w:val="00152434"/>
    <w:rsid w:val="00152903"/>
    <w:rsid w:val="00152FCB"/>
    <w:rsid w:val="00153FD5"/>
    <w:rsid w:val="00155815"/>
    <w:rsid w:val="0015614F"/>
    <w:rsid w:val="001577C2"/>
    <w:rsid w:val="001605EF"/>
    <w:rsid w:val="001633C4"/>
    <w:rsid w:val="001704D5"/>
    <w:rsid w:val="001711AC"/>
    <w:rsid w:val="00171591"/>
    <w:rsid w:val="0017263F"/>
    <w:rsid w:val="00172923"/>
    <w:rsid w:val="00173640"/>
    <w:rsid w:val="00173981"/>
    <w:rsid w:val="00174703"/>
    <w:rsid w:val="0017719D"/>
    <w:rsid w:val="00183FD7"/>
    <w:rsid w:val="00185CAB"/>
    <w:rsid w:val="001875B7"/>
    <w:rsid w:val="00187CB3"/>
    <w:rsid w:val="00187DD3"/>
    <w:rsid w:val="0019050A"/>
    <w:rsid w:val="001910D4"/>
    <w:rsid w:val="0019307F"/>
    <w:rsid w:val="00196283"/>
    <w:rsid w:val="00196814"/>
    <w:rsid w:val="001969DE"/>
    <w:rsid w:val="001976E3"/>
    <w:rsid w:val="001A0416"/>
    <w:rsid w:val="001A1279"/>
    <w:rsid w:val="001A12C1"/>
    <w:rsid w:val="001A44EC"/>
    <w:rsid w:val="001A5539"/>
    <w:rsid w:val="001B28D9"/>
    <w:rsid w:val="001B4820"/>
    <w:rsid w:val="001B58AA"/>
    <w:rsid w:val="001B6A56"/>
    <w:rsid w:val="001B7BB3"/>
    <w:rsid w:val="001B7E48"/>
    <w:rsid w:val="001C17CE"/>
    <w:rsid w:val="001C36CA"/>
    <w:rsid w:val="001C44D1"/>
    <w:rsid w:val="001C466A"/>
    <w:rsid w:val="001C6AEE"/>
    <w:rsid w:val="001C7630"/>
    <w:rsid w:val="001C7887"/>
    <w:rsid w:val="001D37F0"/>
    <w:rsid w:val="001D4DD0"/>
    <w:rsid w:val="001D6931"/>
    <w:rsid w:val="001D6D15"/>
    <w:rsid w:val="001D7EE4"/>
    <w:rsid w:val="001E0EC6"/>
    <w:rsid w:val="001E4E6C"/>
    <w:rsid w:val="001F2008"/>
    <w:rsid w:val="001F3048"/>
    <w:rsid w:val="001F6552"/>
    <w:rsid w:val="001F6E15"/>
    <w:rsid w:val="001F7558"/>
    <w:rsid w:val="002046E3"/>
    <w:rsid w:val="00205B57"/>
    <w:rsid w:val="002066D3"/>
    <w:rsid w:val="00211D98"/>
    <w:rsid w:val="00211FE6"/>
    <w:rsid w:val="00213B16"/>
    <w:rsid w:val="002157E0"/>
    <w:rsid w:val="002167C2"/>
    <w:rsid w:val="00216A57"/>
    <w:rsid w:val="00216B3D"/>
    <w:rsid w:val="00217448"/>
    <w:rsid w:val="0021798F"/>
    <w:rsid w:val="0022334F"/>
    <w:rsid w:val="00223DCC"/>
    <w:rsid w:val="00226819"/>
    <w:rsid w:val="002276F6"/>
    <w:rsid w:val="00233101"/>
    <w:rsid w:val="0023326A"/>
    <w:rsid w:val="00233817"/>
    <w:rsid w:val="002367FF"/>
    <w:rsid w:val="00240CE9"/>
    <w:rsid w:val="002411DC"/>
    <w:rsid w:val="002434BA"/>
    <w:rsid w:val="00244A28"/>
    <w:rsid w:val="00245651"/>
    <w:rsid w:val="00245B6F"/>
    <w:rsid w:val="00246089"/>
    <w:rsid w:val="00246093"/>
    <w:rsid w:val="00246702"/>
    <w:rsid w:val="00246752"/>
    <w:rsid w:val="00246CF9"/>
    <w:rsid w:val="00247C59"/>
    <w:rsid w:val="00247F2E"/>
    <w:rsid w:val="0025030A"/>
    <w:rsid w:val="00250ADC"/>
    <w:rsid w:val="00250B07"/>
    <w:rsid w:val="00250E10"/>
    <w:rsid w:val="002526A8"/>
    <w:rsid w:val="00252FBC"/>
    <w:rsid w:val="00257553"/>
    <w:rsid w:val="00260FB2"/>
    <w:rsid w:val="00262128"/>
    <w:rsid w:val="0026702F"/>
    <w:rsid w:val="00270FCF"/>
    <w:rsid w:val="0027165D"/>
    <w:rsid w:val="00272F66"/>
    <w:rsid w:val="00273CEB"/>
    <w:rsid w:val="002751D0"/>
    <w:rsid w:val="00275F9B"/>
    <w:rsid w:val="00281C89"/>
    <w:rsid w:val="0028282F"/>
    <w:rsid w:val="00284A74"/>
    <w:rsid w:val="0029103A"/>
    <w:rsid w:val="00291079"/>
    <w:rsid w:val="00294E82"/>
    <w:rsid w:val="0029593B"/>
    <w:rsid w:val="00297FC5"/>
    <w:rsid w:val="002A0417"/>
    <w:rsid w:val="002A16D8"/>
    <w:rsid w:val="002A1BC8"/>
    <w:rsid w:val="002A3820"/>
    <w:rsid w:val="002A3EF2"/>
    <w:rsid w:val="002A48A6"/>
    <w:rsid w:val="002A5405"/>
    <w:rsid w:val="002A5582"/>
    <w:rsid w:val="002B0DED"/>
    <w:rsid w:val="002B19A2"/>
    <w:rsid w:val="002B381A"/>
    <w:rsid w:val="002B4FCC"/>
    <w:rsid w:val="002B7408"/>
    <w:rsid w:val="002B7CFD"/>
    <w:rsid w:val="002C210F"/>
    <w:rsid w:val="002C54D8"/>
    <w:rsid w:val="002C7C4D"/>
    <w:rsid w:val="002D1BBA"/>
    <w:rsid w:val="002D1F3E"/>
    <w:rsid w:val="002D3600"/>
    <w:rsid w:val="002D3629"/>
    <w:rsid w:val="002D3FF2"/>
    <w:rsid w:val="002D70E4"/>
    <w:rsid w:val="002E00F1"/>
    <w:rsid w:val="002E19A2"/>
    <w:rsid w:val="002E3509"/>
    <w:rsid w:val="002E3971"/>
    <w:rsid w:val="002E4DDC"/>
    <w:rsid w:val="002E5FDD"/>
    <w:rsid w:val="002E7913"/>
    <w:rsid w:val="002F40D7"/>
    <w:rsid w:val="002F5F4E"/>
    <w:rsid w:val="002F767C"/>
    <w:rsid w:val="00301C8C"/>
    <w:rsid w:val="00302480"/>
    <w:rsid w:val="00302758"/>
    <w:rsid w:val="00303464"/>
    <w:rsid w:val="003068A6"/>
    <w:rsid w:val="003105B4"/>
    <w:rsid w:val="003125DD"/>
    <w:rsid w:val="003165E6"/>
    <w:rsid w:val="003215B5"/>
    <w:rsid w:val="003221CF"/>
    <w:rsid w:val="003228DC"/>
    <w:rsid w:val="003233ED"/>
    <w:rsid w:val="00324D9F"/>
    <w:rsid w:val="003266F1"/>
    <w:rsid w:val="00327948"/>
    <w:rsid w:val="0033000F"/>
    <w:rsid w:val="00332011"/>
    <w:rsid w:val="00332518"/>
    <w:rsid w:val="00332925"/>
    <w:rsid w:val="003332ED"/>
    <w:rsid w:val="003368DC"/>
    <w:rsid w:val="00345927"/>
    <w:rsid w:val="00350584"/>
    <w:rsid w:val="00350FDE"/>
    <w:rsid w:val="00351857"/>
    <w:rsid w:val="003545E8"/>
    <w:rsid w:val="0035522E"/>
    <w:rsid w:val="003572E0"/>
    <w:rsid w:val="003610E1"/>
    <w:rsid w:val="003644F9"/>
    <w:rsid w:val="003659C2"/>
    <w:rsid w:val="003671BE"/>
    <w:rsid w:val="00367615"/>
    <w:rsid w:val="00370EBF"/>
    <w:rsid w:val="00372485"/>
    <w:rsid w:val="00373200"/>
    <w:rsid w:val="0037391A"/>
    <w:rsid w:val="003741A0"/>
    <w:rsid w:val="003746F3"/>
    <w:rsid w:val="00375EF5"/>
    <w:rsid w:val="003767A5"/>
    <w:rsid w:val="00381D15"/>
    <w:rsid w:val="0038366D"/>
    <w:rsid w:val="00384932"/>
    <w:rsid w:val="003849F6"/>
    <w:rsid w:val="00384BE2"/>
    <w:rsid w:val="00385254"/>
    <w:rsid w:val="00395B32"/>
    <w:rsid w:val="0039777F"/>
    <w:rsid w:val="00397AC1"/>
    <w:rsid w:val="003A04DB"/>
    <w:rsid w:val="003A0745"/>
    <w:rsid w:val="003A5A81"/>
    <w:rsid w:val="003A5F5B"/>
    <w:rsid w:val="003A6202"/>
    <w:rsid w:val="003A789A"/>
    <w:rsid w:val="003B12EC"/>
    <w:rsid w:val="003B23F6"/>
    <w:rsid w:val="003B2F8A"/>
    <w:rsid w:val="003B3B5B"/>
    <w:rsid w:val="003B4D73"/>
    <w:rsid w:val="003C2708"/>
    <w:rsid w:val="003C3619"/>
    <w:rsid w:val="003C77E0"/>
    <w:rsid w:val="003D17D7"/>
    <w:rsid w:val="003D2678"/>
    <w:rsid w:val="003D71A3"/>
    <w:rsid w:val="003E231E"/>
    <w:rsid w:val="003E2B8A"/>
    <w:rsid w:val="003E3848"/>
    <w:rsid w:val="003E3BC7"/>
    <w:rsid w:val="003E4603"/>
    <w:rsid w:val="003E5958"/>
    <w:rsid w:val="003E6A25"/>
    <w:rsid w:val="003F052C"/>
    <w:rsid w:val="003F0C2A"/>
    <w:rsid w:val="003F10EE"/>
    <w:rsid w:val="003F16F6"/>
    <w:rsid w:val="003F1703"/>
    <w:rsid w:val="003F1B47"/>
    <w:rsid w:val="003F1BDB"/>
    <w:rsid w:val="003F4DC7"/>
    <w:rsid w:val="003F5235"/>
    <w:rsid w:val="003F5843"/>
    <w:rsid w:val="003F6B09"/>
    <w:rsid w:val="004027E4"/>
    <w:rsid w:val="00402E0C"/>
    <w:rsid w:val="00407BB0"/>
    <w:rsid w:val="00407BBE"/>
    <w:rsid w:val="00407C52"/>
    <w:rsid w:val="00410397"/>
    <w:rsid w:val="0041071D"/>
    <w:rsid w:val="00411517"/>
    <w:rsid w:val="004116D2"/>
    <w:rsid w:val="00412947"/>
    <w:rsid w:val="00414AFC"/>
    <w:rsid w:val="004151A7"/>
    <w:rsid w:val="004152DE"/>
    <w:rsid w:val="00415310"/>
    <w:rsid w:val="00415830"/>
    <w:rsid w:val="00417FC3"/>
    <w:rsid w:val="00421709"/>
    <w:rsid w:val="00422128"/>
    <w:rsid w:val="00423594"/>
    <w:rsid w:val="00423763"/>
    <w:rsid w:val="0042762F"/>
    <w:rsid w:val="00427DC7"/>
    <w:rsid w:val="00431613"/>
    <w:rsid w:val="00431792"/>
    <w:rsid w:val="00431C43"/>
    <w:rsid w:val="0043297A"/>
    <w:rsid w:val="00432EB2"/>
    <w:rsid w:val="004353DB"/>
    <w:rsid w:val="00435C3E"/>
    <w:rsid w:val="0043714F"/>
    <w:rsid w:val="00437E55"/>
    <w:rsid w:val="00440C01"/>
    <w:rsid w:val="00440C85"/>
    <w:rsid w:val="00440CBC"/>
    <w:rsid w:val="00440D75"/>
    <w:rsid w:val="004438B5"/>
    <w:rsid w:val="00443EB9"/>
    <w:rsid w:val="00445DDF"/>
    <w:rsid w:val="00447037"/>
    <w:rsid w:val="004511C5"/>
    <w:rsid w:val="0045124D"/>
    <w:rsid w:val="00452E84"/>
    <w:rsid w:val="00454596"/>
    <w:rsid w:val="0045605D"/>
    <w:rsid w:val="004569C5"/>
    <w:rsid w:val="0046135B"/>
    <w:rsid w:val="00461A30"/>
    <w:rsid w:val="00461C11"/>
    <w:rsid w:val="00461D47"/>
    <w:rsid w:val="004718CC"/>
    <w:rsid w:val="0048066A"/>
    <w:rsid w:val="00481695"/>
    <w:rsid w:val="004824ED"/>
    <w:rsid w:val="00482511"/>
    <w:rsid w:val="00495A96"/>
    <w:rsid w:val="00495BB3"/>
    <w:rsid w:val="004962DC"/>
    <w:rsid w:val="0049702B"/>
    <w:rsid w:val="004A177C"/>
    <w:rsid w:val="004A20A3"/>
    <w:rsid w:val="004A27CD"/>
    <w:rsid w:val="004A56BB"/>
    <w:rsid w:val="004A598C"/>
    <w:rsid w:val="004A6EFA"/>
    <w:rsid w:val="004A70D6"/>
    <w:rsid w:val="004B1751"/>
    <w:rsid w:val="004B5596"/>
    <w:rsid w:val="004B77A8"/>
    <w:rsid w:val="004C0253"/>
    <w:rsid w:val="004C3B82"/>
    <w:rsid w:val="004D0F54"/>
    <w:rsid w:val="004D56FF"/>
    <w:rsid w:val="004E38FB"/>
    <w:rsid w:val="004E39D3"/>
    <w:rsid w:val="004E4552"/>
    <w:rsid w:val="004E508A"/>
    <w:rsid w:val="004E5B6E"/>
    <w:rsid w:val="004E616D"/>
    <w:rsid w:val="004F1BDE"/>
    <w:rsid w:val="004F2CEE"/>
    <w:rsid w:val="004F4C81"/>
    <w:rsid w:val="004F556E"/>
    <w:rsid w:val="004F590C"/>
    <w:rsid w:val="004F591C"/>
    <w:rsid w:val="004F7F44"/>
    <w:rsid w:val="00500388"/>
    <w:rsid w:val="005037B4"/>
    <w:rsid w:val="00505E5D"/>
    <w:rsid w:val="005067F6"/>
    <w:rsid w:val="005069C1"/>
    <w:rsid w:val="00506AF9"/>
    <w:rsid w:val="005074AE"/>
    <w:rsid w:val="005079BF"/>
    <w:rsid w:val="005101C5"/>
    <w:rsid w:val="00512310"/>
    <w:rsid w:val="0051269A"/>
    <w:rsid w:val="005144FA"/>
    <w:rsid w:val="005219E7"/>
    <w:rsid w:val="00521B03"/>
    <w:rsid w:val="00521ED4"/>
    <w:rsid w:val="00525B37"/>
    <w:rsid w:val="00525DFA"/>
    <w:rsid w:val="005278A7"/>
    <w:rsid w:val="00527A01"/>
    <w:rsid w:val="00531628"/>
    <w:rsid w:val="00531B9A"/>
    <w:rsid w:val="00531D15"/>
    <w:rsid w:val="005369F5"/>
    <w:rsid w:val="00537604"/>
    <w:rsid w:val="00537918"/>
    <w:rsid w:val="005411DD"/>
    <w:rsid w:val="00542377"/>
    <w:rsid w:val="005424CB"/>
    <w:rsid w:val="005476EB"/>
    <w:rsid w:val="005507C7"/>
    <w:rsid w:val="005510D6"/>
    <w:rsid w:val="005511DB"/>
    <w:rsid w:val="00551782"/>
    <w:rsid w:val="00551824"/>
    <w:rsid w:val="00553BD0"/>
    <w:rsid w:val="00555F99"/>
    <w:rsid w:val="00563EF1"/>
    <w:rsid w:val="005643BC"/>
    <w:rsid w:val="00566AB4"/>
    <w:rsid w:val="00566FE4"/>
    <w:rsid w:val="0057073C"/>
    <w:rsid w:val="005716FE"/>
    <w:rsid w:val="00573F82"/>
    <w:rsid w:val="00575AC5"/>
    <w:rsid w:val="0057605D"/>
    <w:rsid w:val="005767F7"/>
    <w:rsid w:val="00580C7D"/>
    <w:rsid w:val="00581347"/>
    <w:rsid w:val="00581AC9"/>
    <w:rsid w:val="0058280B"/>
    <w:rsid w:val="005849F8"/>
    <w:rsid w:val="005858A8"/>
    <w:rsid w:val="005938DF"/>
    <w:rsid w:val="005940C2"/>
    <w:rsid w:val="00594E9C"/>
    <w:rsid w:val="005A099B"/>
    <w:rsid w:val="005A1007"/>
    <w:rsid w:val="005A2D9C"/>
    <w:rsid w:val="005A46F6"/>
    <w:rsid w:val="005A492E"/>
    <w:rsid w:val="005A55FE"/>
    <w:rsid w:val="005A6A11"/>
    <w:rsid w:val="005B2B0B"/>
    <w:rsid w:val="005B4CF2"/>
    <w:rsid w:val="005B5266"/>
    <w:rsid w:val="005B73AB"/>
    <w:rsid w:val="005C43AA"/>
    <w:rsid w:val="005C5600"/>
    <w:rsid w:val="005C75DD"/>
    <w:rsid w:val="005D1171"/>
    <w:rsid w:val="005D2502"/>
    <w:rsid w:val="005D40BB"/>
    <w:rsid w:val="005D47F3"/>
    <w:rsid w:val="005D49BF"/>
    <w:rsid w:val="005D4AA5"/>
    <w:rsid w:val="005D68A4"/>
    <w:rsid w:val="005D6F4E"/>
    <w:rsid w:val="005D7C73"/>
    <w:rsid w:val="005E112F"/>
    <w:rsid w:val="005E250B"/>
    <w:rsid w:val="005E3ACD"/>
    <w:rsid w:val="005E496C"/>
    <w:rsid w:val="005E5338"/>
    <w:rsid w:val="005E7226"/>
    <w:rsid w:val="005E7A57"/>
    <w:rsid w:val="005E7C05"/>
    <w:rsid w:val="005F028C"/>
    <w:rsid w:val="005F1DFC"/>
    <w:rsid w:val="005F24B0"/>
    <w:rsid w:val="005F2AD9"/>
    <w:rsid w:val="005F3A45"/>
    <w:rsid w:val="005F6823"/>
    <w:rsid w:val="006006B2"/>
    <w:rsid w:val="00601B57"/>
    <w:rsid w:val="00604315"/>
    <w:rsid w:val="00604E26"/>
    <w:rsid w:val="0060523F"/>
    <w:rsid w:val="006052CF"/>
    <w:rsid w:val="0060666D"/>
    <w:rsid w:val="00607B8D"/>
    <w:rsid w:val="00611F5C"/>
    <w:rsid w:val="00612ACD"/>
    <w:rsid w:val="006131CA"/>
    <w:rsid w:val="00613336"/>
    <w:rsid w:val="00616E09"/>
    <w:rsid w:val="00617F1A"/>
    <w:rsid w:val="0062016E"/>
    <w:rsid w:val="00622A3B"/>
    <w:rsid w:val="00622EEA"/>
    <w:rsid w:val="0062396C"/>
    <w:rsid w:val="00623CE0"/>
    <w:rsid w:val="00623FF9"/>
    <w:rsid w:val="00624060"/>
    <w:rsid w:val="00627D4E"/>
    <w:rsid w:val="00630E9A"/>
    <w:rsid w:val="00632B89"/>
    <w:rsid w:val="0063346D"/>
    <w:rsid w:val="00634478"/>
    <w:rsid w:val="006347E3"/>
    <w:rsid w:val="006359B6"/>
    <w:rsid w:val="00636985"/>
    <w:rsid w:val="006404DA"/>
    <w:rsid w:val="006406F2"/>
    <w:rsid w:val="006422B8"/>
    <w:rsid w:val="00642CD4"/>
    <w:rsid w:val="00644373"/>
    <w:rsid w:val="00644E8F"/>
    <w:rsid w:val="00645915"/>
    <w:rsid w:val="00645FD6"/>
    <w:rsid w:val="006519C3"/>
    <w:rsid w:val="00652B30"/>
    <w:rsid w:val="0065479B"/>
    <w:rsid w:val="00656345"/>
    <w:rsid w:val="00656DC6"/>
    <w:rsid w:val="00660EC6"/>
    <w:rsid w:val="006613B5"/>
    <w:rsid w:val="006637A6"/>
    <w:rsid w:val="00664110"/>
    <w:rsid w:val="00664D17"/>
    <w:rsid w:val="00666520"/>
    <w:rsid w:val="00666612"/>
    <w:rsid w:val="00667C5B"/>
    <w:rsid w:val="0067198E"/>
    <w:rsid w:val="006746B7"/>
    <w:rsid w:val="00677733"/>
    <w:rsid w:val="00687D3F"/>
    <w:rsid w:val="00691560"/>
    <w:rsid w:val="00691EB8"/>
    <w:rsid w:val="00692802"/>
    <w:rsid w:val="00692CDE"/>
    <w:rsid w:val="00693073"/>
    <w:rsid w:val="00694261"/>
    <w:rsid w:val="00695615"/>
    <w:rsid w:val="006977FF"/>
    <w:rsid w:val="006A01FA"/>
    <w:rsid w:val="006A0E6F"/>
    <w:rsid w:val="006A0E9E"/>
    <w:rsid w:val="006A25C7"/>
    <w:rsid w:val="006A4AAD"/>
    <w:rsid w:val="006A58FE"/>
    <w:rsid w:val="006A6DA2"/>
    <w:rsid w:val="006A7AB2"/>
    <w:rsid w:val="006B1504"/>
    <w:rsid w:val="006B52DE"/>
    <w:rsid w:val="006B5717"/>
    <w:rsid w:val="006B582F"/>
    <w:rsid w:val="006B5EB2"/>
    <w:rsid w:val="006C0CEB"/>
    <w:rsid w:val="006C1631"/>
    <w:rsid w:val="006C18A3"/>
    <w:rsid w:val="006C2F94"/>
    <w:rsid w:val="006C3B1E"/>
    <w:rsid w:val="006C47FD"/>
    <w:rsid w:val="006C48D7"/>
    <w:rsid w:val="006C5C19"/>
    <w:rsid w:val="006C70A0"/>
    <w:rsid w:val="006D1348"/>
    <w:rsid w:val="006D21AA"/>
    <w:rsid w:val="006D27CB"/>
    <w:rsid w:val="006D2F08"/>
    <w:rsid w:val="006D3069"/>
    <w:rsid w:val="006D576C"/>
    <w:rsid w:val="006D5865"/>
    <w:rsid w:val="006D7AE2"/>
    <w:rsid w:val="006E23E0"/>
    <w:rsid w:val="006E4B1B"/>
    <w:rsid w:val="006E5445"/>
    <w:rsid w:val="006E7D93"/>
    <w:rsid w:val="007029A3"/>
    <w:rsid w:val="00702EA1"/>
    <w:rsid w:val="0070346D"/>
    <w:rsid w:val="00705852"/>
    <w:rsid w:val="00706E4E"/>
    <w:rsid w:val="0070791C"/>
    <w:rsid w:val="00710AD1"/>
    <w:rsid w:val="007111DD"/>
    <w:rsid w:val="0071383C"/>
    <w:rsid w:val="007141A7"/>
    <w:rsid w:val="007152CD"/>
    <w:rsid w:val="007152FC"/>
    <w:rsid w:val="00715722"/>
    <w:rsid w:val="00715B5E"/>
    <w:rsid w:val="00717EF5"/>
    <w:rsid w:val="00721032"/>
    <w:rsid w:val="00721B55"/>
    <w:rsid w:val="007242E8"/>
    <w:rsid w:val="00725FE2"/>
    <w:rsid w:val="00726CE4"/>
    <w:rsid w:val="00730FFB"/>
    <w:rsid w:val="007336B3"/>
    <w:rsid w:val="00734143"/>
    <w:rsid w:val="0073437E"/>
    <w:rsid w:val="00735D69"/>
    <w:rsid w:val="00737D0C"/>
    <w:rsid w:val="00737E47"/>
    <w:rsid w:val="00740814"/>
    <w:rsid w:val="00740EAC"/>
    <w:rsid w:val="00742A97"/>
    <w:rsid w:val="007445B4"/>
    <w:rsid w:val="00744835"/>
    <w:rsid w:val="00744956"/>
    <w:rsid w:val="007451D7"/>
    <w:rsid w:val="00745A5C"/>
    <w:rsid w:val="0074605F"/>
    <w:rsid w:val="007472F8"/>
    <w:rsid w:val="00747E94"/>
    <w:rsid w:val="00754C83"/>
    <w:rsid w:val="0075606C"/>
    <w:rsid w:val="00760E05"/>
    <w:rsid w:val="00761E5C"/>
    <w:rsid w:val="00765DF8"/>
    <w:rsid w:val="00766749"/>
    <w:rsid w:val="00767C1B"/>
    <w:rsid w:val="00767E7C"/>
    <w:rsid w:val="00770241"/>
    <w:rsid w:val="00771386"/>
    <w:rsid w:val="007714A9"/>
    <w:rsid w:val="007722EA"/>
    <w:rsid w:val="007728BA"/>
    <w:rsid w:val="00773722"/>
    <w:rsid w:val="007748AB"/>
    <w:rsid w:val="00774F88"/>
    <w:rsid w:val="00774FDB"/>
    <w:rsid w:val="00776F61"/>
    <w:rsid w:val="007775FC"/>
    <w:rsid w:val="00777BA2"/>
    <w:rsid w:val="00781408"/>
    <w:rsid w:val="00784185"/>
    <w:rsid w:val="00784F7F"/>
    <w:rsid w:val="00786C95"/>
    <w:rsid w:val="007878BD"/>
    <w:rsid w:val="00790FC4"/>
    <w:rsid w:val="00793D2F"/>
    <w:rsid w:val="00795284"/>
    <w:rsid w:val="00796932"/>
    <w:rsid w:val="00796F25"/>
    <w:rsid w:val="007A1091"/>
    <w:rsid w:val="007A2E98"/>
    <w:rsid w:val="007A3BA3"/>
    <w:rsid w:val="007A5649"/>
    <w:rsid w:val="007A6CC0"/>
    <w:rsid w:val="007A7FEC"/>
    <w:rsid w:val="007B1499"/>
    <w:rsid w:val="007B19DA"/>
    <w:rsid w:val="007B1BBF"/>
    <w:rsid w:val="007B2960"/>
    <w:rsid w:val="007B355D"/>
    <w:rsid w:val="007B3A3F"/>
    <w:rsid w:val="007B46F8"/>
    <w:rsid w:val="007B7293"/>
    <w:rsid w:val="007B7980"/>
    <w:rsid w:val="007C0DEF"/>
    <w:rsid w:val="007C2881"/>
    <w:rsid w:val="007C31C3"/>
    <w:rsid w:val="007C40E1"/>
    <w:rsid w:val="007C47DA"/>
    <w:rsid w:val="007C5D5A"/>
    <w:rsid w:val="007C5E0B"/>
    <w:rsid w:val="007C607F"/>
    <w:rsid w:val="007C6E44"/>
    <w:rsid w:val="007C79DD"/>
    <w:rsid w:val="007D1337"/>
    <w:rsid w:val="007D1A97"/>
    <w:rsid w:val="007D2CD6"/>
    <w:rsid w:val="007D3063"/>
    <w:rsid w:val="007D3B5B"/>
    <w:rsid w:val="007D3CEB"/>
    <w:rsid w:val="007D7859"/>
    <w:rsid w:val="007E3375"/>
    <w:rsid w:val="007E7683"/>
    <w:rsid w:val="007E7783"/>
    <w:rsid w:val="007F0B82"/>
    <w:rsid w:val="007F49FA"/>
    <w:rsid w:val="007F54C4"/>
    <w:rsid w:val="007F6E9A"/>
    <w:rsid w:val="00800CCD"/>
    <w:rsid w:val="008044D4"/>
    <w:rsid w:val="008064A8"/>
    <w:rsid w:val="0080662A"/>
    <w:rsid w:val="008067D1"/>
    <w:rsid w:val="00807158"/>
    <w:rsid w:val="00810AB4"/>
    <w:rsid w:val="00812165"/>
    <w:rsid w:val="00812BC7"/>
    <w:rsid w:val="00817B56"/>
    <w:rsid w:val="00821378"/>
    <w:rsid w:val="00821A88"/>
    <w:rsid w:val="00822558"/>
    <w:rsid w:val="00822CBD"/>
    <w:rsid w:val="0082495D"/>
    <w:rsid w:val="00825719"/>
    <w:rsid w:val="00831AC3"/>
    <w:rsid w:val="00833566"/>
    <w:rsid w:val="008336F1"/>
    <w:rsid w:val="00836205"/>
    <w:rsid w:val="008364F1"/>
    <w:rsid w:val="00836FA2"/>
    <w:rsid w:val="00836FCE"/>
    <w:rsid w:val="008408FF"/>
    <w:rsid w:val="008420EA"/>
    <w:rsid w:val="008437F7"/>
    <w:rsid w:val="00843FE1"/>
    <w:rsid w:val="00845F37"/>
    <w:rsid w:val="00847EEE"/>
    <w:rsid w:val="0085042C"/>
    <w:rsid w:val="00851952"/>
    <w:rsid w:val="00851F3F"/>
    <w:rsid w:val="00854013"/>
    <w:rsid w:val="0085618F"/>
    <w:rsid w:val="00856A6D"/>
    <w:rsid w:val="00856EDC"/>
    <w:rsid w:val="00861A2E"/>
    <w:rsid w:val="008623B5"/>
    <w:rsid w:val="0086436D"/>
    <w:rsid w:val="00865C30"/>
    <w:rsid w:val="00870ABA"/>
    <w:rsid w:val="008710E1"/>
    <w:rsid w:val="008716E5"/>
    <w:rsid w:val="008812AD"/>
    <w:rsid w:val="00881CA9"/>
    <w:rsid w:val="00882402"/>
    <w:rsid w:val="008832B5"/>
    <w:rsid w:val="00883628"/>
    <w:rsid w:val="00885544"/>
    <w:rsid w:val="0088634E"/>
    <w:rsid w:val="00887D7D"/>
    <w:rsid w:val="00890456"/>
    <w:rsid w:val="00893AB8"/>
    <w:rsid w:val="008A04C8"/>
    <w:rsid w:val="008A13BA"/>
    <w:rsid w:val="008A3056"/>
    <w:rsid w:val="008A6913"/>
    <w:rsid w:val="008B5663"/>
    <w:rsid w:val="008B5CD6"/>
    <w:rsid w:val="008B70F3"/>
    <w:rsid w:val="008B71C4"/>
    <w:rsid w:val="008B76DF"/>
    <w:rsid w:val="008B797B"/>
    <w:rsid w:val="008C0896"/>
    <w:rsid w:val="008C0FEE"/>
    <w:rsid w:val="008C10F4"/>
    <w:rsid w:val="008C3960"/>
    <w:rsid w:val="008C402D"/>
    <w:rsid w:val="008C65F7"/>
    <w:rsid w:val="008D1EAD"/>
    <w:rsid w:val="008D3346"/>
    <w:rsid w:val="008D4B2B"/>
    <w:rsid w:val="008E2186"/>
    <w:rsid w:val="008E4247"/>
    <w:rsid w:val="008E4767"/>
    <w:rsid w:val="008E7A8C"/>
    <w:rsid w:val="008F01BC"/>
    <w:rsid w:val="008F03B3"/>
    <w:rsid w:val="008F1C5E"/>
    <w:rsid w:val="008F1FA8"/>
    <w:rsid w:val="008F672F"/>
    <w:rsid w:val="0090203B"/>
    <w:rsid w:val="00902432"/>
    <w:rsid w:val="00903285"/>
    <w:rsid w:val="009034FB"/>
    <w:rsid w:val="00906F40"/>
    <w:rsid w:val="0090731E"/>
    <w:rsid w:val="009073FA"/>
    <w:rsid w:val="00915B1C"/>
    <w:rsid w:val="009174F3"/>
    <w:rsid w:val="0091797D"/>
    <w:rsid w:val="00920062"/>
    <w:rsid w:val="00922BC6"/>
    <w:rsid w:val="00923CBA"/>
    <w:rsid w:val="009242EB"/>
    <w:rsid w:val="00926703"/>
    <w:rsid w:val="00927691"/>
    <w:rsid w:val="00927A5F"/>
    <w:rsid w:val="00927C42"/>
    <w:rsid w:val="00930510"/>
    <w:rsid w:val="00931287"/>
    <w:rsid w:val="0093142E"/>
    <w:rsid w:val="00935990"/>
    <w:rsid w:val="00935B63"/>
    <w:rsid w:val="0094078F"/>
    <w:rsid w:val="009408F5"/>
    <w:rsid w:val="00940FA3"/>
    <w:rsid w:val="00941FB0"/>
    <w:rsid w:val="009426D4"/>
    <w:rsid w:val="00947F25"/>
    <w:rsid w:val="00950159"/>
    <w:rsid w:val="009512A1"/>
    <w:rsid w:val="00953618"/>
    <w:rsid w:val="0095490B"/>
    <w:rsid w:val="0095682D"/>
    <w:rsid w:val="00960A33"/>
    <w:rsid w:val="0096106A"/>
    <w:rsid w:val="00964FBA"/>
    <w:rsid w:val="00966021"/>
    <w:rsid w:val="0097026D"/>
    <w:rsid w:val="00971914"/>
    <w:rsid w:val="009720B6"/>
    <w:rsid w:val="00972A52"/>
    <w:rsid w:val="009742C7"/>
    <w:rsid w:val="00974363"/>
    <w:rsid w:val="0097542B"/>
    <w:rsid w:val="009771A5"/>
    <w:rsid w:val="009778FC"/>
    <w:rsid w:val="00981898"/>
    <w:rsid w:val="00983016"/>
    <w:rsid w:val="00983CB6"/>
    <w:rsid w:val="00986EA2"/>
    <w:rsid w:val="00987A8E"/>
    <w:rsid w:val="0099238F"/>
    <w:rsid w:val="00993618"/>
    <w:rsid w:val="0099577C"/>
    <w:rsid w:val="00995C12"/>
    <w:rsid w:val="00996136"/>
    <w:rsid w:val="009A30E9"/>
    <w:rsid w:val="009B24A5"/>
    <w:rsid w:val="009B2601"/>
    <w:rsid w:val="009B3EF9"/>
    <w:rsid w:val="009B4E9E"/>
    <w:rsid w:val="009B61E5"/>
    <w:rsid w:val="009B7F6D"/>
    <w:rsid w:val="009C1690"/>
    <w:rsid w:val="009C4237"/>
    <w:rsid w:val="009C6881"/>
    <w:rsid w:val="009C6EC5"/>
    <w:rsid w:val="009C7759"/>
    <w:rsid w:val="009D043D"/>
    <w:rsid w:val="009D07C8"/>
    <w:rsid w:val="009D0A83"/>
    <w:rsid w:val="009D0C97"/>
    <w:rsid w:val="009D1D05"/>
    <w:rsid w:val="009D1DEA"/>
    <w:rsid w:val="009D30C9"/>
    <w:rsid w:val="009D6AF9"/>
    <w:rsid w:val="009D6C71"/>
    <w:rsid w:val="009E0631"/>
    <w:rsid w:val="009E16D0"/>
    <w:rsid w:val="009E1DFD"/>
    <w:rsid w:val="009E2051"/>
    <w:rsid w:val="009E274D"/>
    <w:rsid w:val="009E2866"/>
    <w:rsid w:val="009E38FD"/>
    <w:rsid w:val="009E509A"/>
    <w:rsid w:val="009E59FE"/>
    <w:rsid w:val="009F110E"/>
    <w:rsid w:val="009F13D6"/>
    <w:rsid w:val="009F314A"/>
    <w:rsid w:val="009F4C6B"/>
    <w:rsid w:val="009F78A8"/>
    <w:rsid w:val="00A00349"/>
    <w:rsid w:val="00A02AD6"/>
    <w:rsid w:val="00A04440"/>
    <w:rsid w:val="00A0690A"/>
    <w:rsid w:val="00A06D5B"/>
    <w:rsid w:val="00A07096"/>
    <w:rsid w:val="00A07318"/>
    <w:rsid w:val="00A11370"/>
    <w:rsid w:val="00A17B1B"/>
    <w:rsid w:val="00A224CE"/>
    <w:rsid w:val="00A22522"/>
    <w:rsid w:val="00A2440D"/>
    <w:rsid w:val="00A24882"/>
    <w:rsid w:val="00A24AFD"/>
    <w:rsid w:val="00A24F5C"/>
    <w:rsid w:val="00A25C01"/>
    <w:rsid w:val="00A26F55"/>
    <w:rsid w:val="00A315DA"/>
    <w:rsid w:val="00A31698"/>
    <w:rsid w:val="00A32F96"/>
    <w:rsid w:val="00A40871"/>
    <w:rsid w:val="00A412AB"/>
    <w:rsid w:val="00A4193E"/>
    <w:rsid w:val="00A4205A"/>
    <w:rsid w:val="00A440E0"/>
    <w:rsid w:val="00A442EF"/>
    <w:rsid w:val="00A456F1"/>
    <w:rsid w:val="00A51D1A"/>
    <w:rsid w:val="00A5418D"/>
    <w:rsid w:val="00A5474E"/>
    <w:rsid w:val="00A55820"/>
    <w:rsid w:val="00A620E8"/>
    <w:rsid w:val="00A64234"/>
    <w:rsid w:val="00A65D9E"/>
    <w:rsid w:val="00A67DD3"/>
    <w:rsid w:val="00A705F1"/>
    <w:rsid w:val="00A70ADF"/>
    <w:rsid w:val="00A71210"/>
    <w:rsid w:val="00A71466"/>
    <w:rsid w:val="00A71BB7"/>
    <w:rsid w:val="00A74B5E"/>
    <w:rsid w:val="00A76EE3"/>
    <w:rsid w:val="00A77E88"/>
    <w:rsid w:val="00A81BED"/>
    <w:rsid w:val="00A81EC4"/>
    <w:rsid w:val="00A824E8"/>
    <w:rsid w:val="00A83FB7"/>
    <w:rsid w:val="00A91E67"/>
    <w:rsid w:val="00A93D1C"/>
    <w:rsid w:val="00A967FD"/>
    <w:rsid w:val="00A9739F"/>
    <w:rsid w:val="00A97481"/>
    <w:rsid w:val="00AA2DE5"/>
    <w:rsid w:val="00AA3685"/>
    <w:rsid w:val="00AA3D18"/>
    <w:rsid w:val="00AA69B1"/>
    <w:rsid w:val="00AB156C"/>
    <w:rsid w:val="00AB15E3"/>
    <w:rsid w:val="00AB2183"/>
    <w:rsid w:val="00AB231C"/>
    <w:rsid w:val="00AB49C0"/>
    <w:rsid w:val="00AB55FF"/>
    <w:rsid w:val="00AB5A0D"/>
    <w:rsid w:val="00AB6814"/>
    <w:rsid w:val="00AB6959"/>
    <w:rsid w:val="00AB706D"/>
    <w:rsid w:val="00AC04BA"/>
    <w:rsid w:val="00AC0E39"/>
    <w:rsid w:val="00AC1156"/>
    <w:rsid w:val="00AC167A"/>
    <w:rsid w:val="00AC2E22"/>
    <w:rsid w:val="00AC36EF"/>
    <w:rsid w:val="00AD2324"/>
    <w:rsid w:val="00AD3082"/>
    <w:rsid w:val="00AD32B4"/>
    <w:rsid w:val="00AD3DF6"/>
    <w:rsid w:val="00AD4AD0"/>
    <w:rsid w:val="00AD5436"/>
    <w:rsid w:val="00AD60CD"/>
    <w:rsid w:val="00AD6C8C"/>
    <w:rsid w:val="00AE091D"/>
    <w:rsid w:val="00AE1FC2"/>
    <w:rsid w:val="00AE2349"/>
    <w:rsid w:val="00AE3B60"/>
    <w:rsid w:val="00AE49B8"/>
    <w:rsid w:val="00AE53A1"/>
    <w:rsid w:val="00AE7E20"/>
    <w:rsid w:val="00AF2484"/>
    <w:rsid w:val="00AF63E7"/>
    <w:rsid w:val="00AF6DCD"/>
    <w:rsid w:val="00AF6E17"/>
    <w:rsid w:val="00B0165D"/>
    <w:rsid w:val="00B01B60"/>
    <w:rsid w:val="00B02350"/>
    <w:rsid w:val="00B02A0F"/>
    <w:rsid w:val="00B031F3"/>
    <w:rsid w:val="00B04805"/>
    <w:rsid w:val="00B052A4"/>
    <w:rsid w:val="00B0659C"/>
    <w:rsid w:val="00B07295"/>
    <w:rsid w:val="00B10AD4"/>
    <w:rsid w:val="00B1182A"/>
    <w:rsid w:val="00B125DE"/>
    <w:rsid w:val="00B12898"/>
    <w:rsid w:val="00B13FDD"/>
    <w:rsid w:val="00B14A54"/>
    <w:rsid w:val="00B17636"/>
    <w:rsid w:val="00B21375"/>
    <w:rsid w:val="00B225B6"/>
    <w:rsid w:val="00B22EB2"/>
    <w:rsid w:val="00B2574B"/>
    <w:rsid w:val="00B2743B"/>
    <w:rsid w:val="00B27442"/>
    <w:rsid w:val="00B31167"/>
    <w:rsid w:val="00B329D8"/>
    <w:rsid w:val="00B32BB9"/>
    <w:rsid w:val="00B33AE1"/>
    <w:rsid w:val="00B37C38"/>
    <w:rsid w:val="00B41344"/>
    <w:rsid w:val="00B41973"/>
    <w:rsid w:val="00B41B21"/>
    <w:rsid w:val="00B4288C"/>
    <w:rsid w:val="00B43262"/>
    <w:rsid w:val="00B44100"/>
    <w:rsid w:val="00B45A2C"/>
    <w:rsid w:val="00B46CBA"/>
    <w:rsid w:val="00B46F94"/>
    <w:rsid w:val="00B46FCF"/>
    <w:rsid w:val="00B47D02"/>
    <w:rsid w:val="00B5194D"/>
    <w:rsid w:val="00B52BDB"/>
    <w:rsid w:val="00B6003C"/>
    <w:rsid w:val="00B61F03"/>
    <w:rsid w:val="00B626E4"/>
    <w:rsid w:val="00B62A1A"/>
    <w:rsid w:val="00B7230E"/>
    <w:rsid w:val="00B72E3F"/>
    <w:rsid w:val="00B72F4A"/>
    <w:rsid w:val="00B75024"/>
    <w:rsid w:val="00B76EFF"/>
    <w:rsid w:val="00B82C47"/>
    <w:rsid w:val="00B83C27"/>
    <w:rsid w:val="00B84BC3"/>
    <w:rsid w:val="00B84BDD"/>
    <w:rsid w:val="00B85BA6"/>
    <w:rsid w:val="00B86385"/>
    <w:rsid w:val="00B900CF"/>
    <w:rsid w:val="00B92812"/>
    <w:rsid w:val="00BA1225"/>
    <w:rsid w:val="00BA769E"/>
    <w:rsid w:val="00BB0F98"/>
    <w:rsid w:val="00BB25B4"/>
    <w:rsid w:val="00BB41CA"/>
    <w:rsid w:val="00BB45A1"/>
    <w:rsid w:val="00BB4F15"/>
    <w:rsid w:val="00BB651B"/>
    <w:rsid w:val="00BB7686"/>
    <w:rsid w:val="00BB770B"/>
    <w:rsid w:val="00BC0B51"/>
    <w:rsid w:val="00BC23F9"/>
    <w:rsid w:val="00BC3421"/>
    <w:rsid w:val="00BC5022"/>
    <w:rsid w:val="00BC732C"/>
    <w:rsid w:val="00BD4421"/>
    <w:rsid w:val="00BD688E"/>
    <w:rsid w:val="00BD7249"/>
    <w:rsid w:val="00BE2580"/>
    <w:rsid w:val="00BE266D"/>
    <w:rsid w:val="00BE35CB"/>
    <w:rsid w:val="00BE3938"/>
    <w:rsid w:val="00BE4C11"/>
    <w:rsid w:val="00BE6805"/>
    <w:rsid w:val="00BE71C0"/>
    <w:rsid w:val="00BF0681"/>
    <w:rsid w:val="00BF610C"/>
    <w:rsid w:val="00BF741D"/>
    <w:rsid w:val="00C0060B"/>
    <w:rsid w:val="00C0064A"/>
    <w:rsid w:val="00C01A6C"/>
    <w:rsid w:val="00C0277D"/>
    <w:rsid w:val="00C04A57"/>
    <w:rsid w:val="00C053A1"/>
    <w:rsid w:val="00C074BF"/>
    <w:rsid w:val="00C0799F"/>
    <w:rsid w:val="00C11B72"/>
    <w:rsid w:val="00C16198"/>
    <w:rsid w:val="00C17B21"/>
    <w:rsid w:val="00C2083D"/>
    <w:rsid w:val="00C22479"/>
    <w:rsid w:val="00C245AD"/>
    <w:rsid w:val="00C24A53"/>
    <w:rsid w:val="00C2528D"/>
    <w:rsid w:val="00C305AF"/>
    <w:rsid w:val="00C31160"/>
    <w:rsid w:val="00C3129D"/>
    <w:rsid w:val="00C337A2"/>
    <w:rsid w:val="00C34A05"/>
    <w:rsid w:val="00C35CCE"/>
    <w:rsid w:val="00C36ABC"/>
    <w:rsid w:val="00C4032F"/>
    <w:rsid w:val="00C41F72"/>
    <w:rsid w:val="00C44047"/>
    <w:rsid w:val="00C450F0"/>
    <w:rsid w:val="00C45155"/>
    <w:rsid w:val="00C457D9"/>
    <w:rsid w:val="00C4631D"/>
    <w:rsid w:val="00C46C67"/>
    <w:rsid w:val="00C5498F"/>
    <w:rsid w:val="00C55235"/>
    <w:rsid w:val="00C55B94"/>
    <w:rsid w:val="00C55D36"/>
    <w:rsid w:val="00C57D8A"/>
    <w:rsid w:val="00C60C1B"/>
    <w:rsid w:val="00C62E51"/>
    <w:rsid w:val="00C632F8"/>
    <w:rsid w:val="00C6386C"/>
    <w:rsid w:val="00C64CD0"/>
    <w:rsid w:val="00C652B2"/>
    <w:rsid w:val="00C6684F"/>
    <w:rsid w:val="00C66E0F"/>
    <w:rsid w:val="00C67C24"/>
    <w:rsid w:val="00C70E70"/>
    <w:rsid w:val="00C70F72"/>
    <w:rsid w:val="00C71AB9"/>
    <w:rsid w:val="00C71F6A"/>
    <w:rsid w:val="00C72DD3"/>
    <w:rsid w:val="00C75F8D"/>
    <w:rsid w:val="00C76334"/>
    <w:rsid w:val="00C77380"/>
    <w:rsid w:val="00C81F57"/>
    <w:rsid w:val="00C82940"/>
    <w:rsid w:val="00C82B12"/>
    <w:rsid w:val="00C84491"/>
    <w:rsid w:val="00C84553"/>
    <w:rsid w:val="00C85743"/>
    <w:rsid w:val="00C86445"/>
    <w:rsid w:val="00C87E8A"/>
    <w:rsid w:val="00C92A8A"/>
    <w:rsid w:val="00C957D9"/>
    <w:rsid w:val="00C97070"/>
    <w:rsid w:val="00C97736"/>
    <w:rsid w:val="00CA0962"/>
    <w:rsid w:val="00CA1A76"/>
    <w:rsid w:val="00CA2E54"/>
    <w:rsid w:val="00CA345A"/>
    <w:rsid w:val="00CA39FF"/>
    <w:rsid w:val="00CA611A"/>
    <w:rsid w:val="00CB06B7"/>
    <w:rsid w:val="00CB1E82"/>
    <w:rsid w:val="00CB4BA8"/>
    <w:rsid w:val="00CB52D7"/>
    <w:rsid w:val="00CB7126"/>
    <w:rsid w:val="00CC0D75"/>
    <w:rsid w:val="00CC33DB"/>
    <w:rsid w:val="00CC551C"/>
    <w:rsid w:val="00CC59C4"/>
    <w:rsid w:val="00CC6732"/>
    <w:rsid w:val="00CD0708"/>
    <w:rsid w:val="00CE0BB5"/>
    <w:rsid w:val="00CE0C9A"/>
    <w:rsid w:val="00CE3C96"/>
    <w:rsid w:val="00CE51A8"/>
    <w:rsid w:val="00CE78DD"/>
    <w:rsid w:val="00CE7C4E"/>
    <w:rsid w:val="00CF23B1"/>
    <w:rsid w:val="00CF369B"/>
    <w:rsid w:val="00CF5D76"/>
    <w:rsid w:val="00CF7BB9"/>
    <w:rsid w:val="00D00E28"/>
    <w:rsid w:val="00D0269E"/>
    <w:rsid w:val="00D02BFB"/>
    <w:rsid w:val="00D05D6C"/>
    <w:rsid w:val="00D05D7D"/>
    <w:rsid w:val="00D15810"/>
    <w:rsid w:val="00D16071"/>
    <w:rsid w:val="00D16D4E"/>
    <w:rsid w:val="00D16FE3"/>
    <w:rsid w:val="00D27C77"/>
    <w:rsid w:val="00D27F41"/>
    <w:rsid w:val="00D306EE"/>
    <w:rsid w:val="00D36441"/>
    <w:rsid w:val="00D37524"/>
    <w:rsid w:val="00D4064E"/>
    <w:rsid w:val="00D40DC1"/>
    <w:rsid w:val="00D41169"/>
    <w:rsid w:val="00D414E9"/>
    <w:rsid w:val="00D42EF0"/>
    <w:rsid w:val="00D437D5"/>
    <w:rsid w:val="00D43A54"/>
    <w:rsid w:val="00D4435B"/>
    <w:rsid w:val="00D44E9B"/>
    <w:rsid w:val="00D45308"/>
    <w:rsid w:val="00D45FD2"/>
    <w:rsid w:val="00D468DE"/>
    <w:rsid w:val="00D46CF1"/>
    <w:rsid w:val="00D47AEB"/>
    <w:rsid w:val="00D50D36"/>
    <w:rsid w:val="00D50DB9"/>
    <w:rsid w:val="00D51302"/>
    <w:rsid w:val="00D52C43"/>
    <w:rsid w:val="00D616E7"/>
    <w:rsid w:val="00D6341E"/>
    <w:rsid w:val="00D6507F"/>
    <w:rsid w:val="00D723B8"/>
    <w:rsid w:val="00D730BC"/>
    <w:rsid w:val="00D73912"/>
    <w:rsid w:val="00D74542"/>
    <w:rsid w:val="00D74F15"/>
    <w:rsid w:val="00D8014F"/>
    <w:rsid w:val="00D80AE8"/>
    <w:rsid w:val="00D81133"/>
    <w:rsid w:val="00D81478"/>
    <w:rsid w:val="00D82BFB"/>
    <w:rsid w:val="00D8325A"/>
    <w:rsid w:val="00D8488F"/>
    <w:rsid w:val="00D85226"/>
    <w:rsid w:val="00D85C23"/>
    <w:rsid w:val="00D87B94"/>
    <w:rsid w:val="00D92D49"/>
    <w:rsid w:val="00D92EC1"/>
    <w:rsid w:val="00D969D2"/>
    <w:rsid w:val="00D96DEA"/>
    <w:rsid w:val="00DA0792"/>
    <w:rsid w:val="00DA2A95"/>
    <w:rsid w:val="00DA4E41"/>
    <w:rsid w:val="00DB117A"/>
    <w:rsid w:val="00DB3A64"/>
    <w:rsid w:val="00DB5050"/>
    <w:rsid w:val="00DB5173"/>
    <w:rsid w:val="00DB6CBB"/>
    <w:rsid w:val="00DB7873"/>
    <w:rsid w:val="00DC1002"/>
    <w:rsid w:val="00DC187B"/>
    <w:rsid w:val="00DC23B9"/>
    <w:rsid w:val="00DC688B"/>
    <w:rsid w:val="00DC7DEF"/>
    <w:rsid w:val="00DD1A43"/>
    <w:rsid w:val="00DD3EDA"/>
    <w:rsid w:val="00DD5E88"/>
    <w:rsid w:val="00DD73C2"/>
    <w:rsid w:val="00DD78C0"/>
    <w:rsid w:val="00DD7B1E"/>
    <w:rsid w:val="00DD7E67"/>
    <w:rsid w:val="00DE0531"/>
    <w:rsid w:val="00DE3047"/>
    <w:rsid w:val="00DE319B"/>
    <w:rsid w:val="00DE742C"/>
    <w:rsid w:val="00DF0799"/>
    <w:rsid w:val="00DF2237"/>
    <w:rsid w:val="00DF34FE"/>
    <w:rsid w:val="00DF56AA"/>
    <w:rsid w:val="00DF56AF"/>
    <w:rsid w:val="00DF5BC9"/>
    <w:rsid w:val="00DF78E7"/>
    <w:rsid w:val="00DF7935"/>
    <w:rsid w:val="00E04225"/>
    <w:rsid w:val="00E110E0"/>
    <w:rsid w:val="00E11DA4"/>
    <w:rsid w:val="00E15371"/>
    <w:rsid w:val="00E15CB8"/>
    <w:rsid w:val="00E16DDB"/>
    <w:rsid w:val="00E179BF"/>
    <w:rsid w:val="00E214C2"/>
    <w:rsid w:val="00E23372"/>
    <w:rsid w:val="00E23B4B"/>
    <w:rsid w:val="00E24104"/>
    <w:rsid w:val="00E27AF9"/>
    <w:rsid w:val="00E27E81"/>
    <w:rsid w:val="00E302D0"/>
    <w:rsid w:val="00E35707"/>
    <w:rsid w:val="00E36351"/>
    <w:rsid w:val="00E36AA1"/>
    <w:rsid w:val="00E41ECB"/>
    <w:rsid w:val="00E42676"/>
    <w:rsid w:val="00E456C1"/>
    <w:rsid w:val="00E46D50"/>
    <w:rsid w:val="00E51921"/>
    <w:rsid w:val="00E536F9"/>
    <w:rsid w:val="00E54FD0"/>
    <w:rsid w:val="00E54FDB"/>
    <w:rsid w:val="00E5617D"/>
    <w:rsid w:val="00E563D7"/>
    <w:rsid w:val="00E600F0"/>
    <w:rsid w:val="00E65CEF"/>
    <w:rsid w:val="00E663F4"/>
    <w:rsid w:val="00E666F2"/>
    <w:rsid w:val="00E66DD4"/>
    <w:rsid w:val="00E7109F"/>
    <w:rsid w:val="00E7334F"/>
    <w:rsid w:val="00E73DA3"/>
    <w:rsid w:val="00E748CC"/>
    <w:rsid w:val="00E75415"/>
    <w:rsid w:val="00E775B1"/>
    <w:rsid w:val="00E8152A"/>
    <w:rsid w:val="00E81665"/>
    <w:rsid w:val="00E85663"/>
    <w:rsid w:val="00E85E72"/>
    <w:rsid w:val="00E87639"/>
    <w:rsid w:val="00E879DC"/>
    <w:rsid w:val="00E87E5B"/>
    <w:rsid w:val="00E90AB6"/>
    <w:rsid w:val="00E93629"/>
    <w:rsid w:val="00E93B5C"/>
    <w:rsid w:val="00E93E32"/>
    <w:rsid w:val="00E94CEC"/>
    <w:rsid w:val="00E96847"/>
    <w:rsid w:val="00EA04EF"/>
    <w:rsid w:val="00EA2B19"/>
    <w:rsid w:val="00EA44CE"/>
    <w:rsid w:val="00EA5327"/>
    <w:rsid w:val="00EA5ADE"/>
    <w:rsid w:val="00EA6F19"/>
    <w:rsid w:val="00EB45DD"/>
    <w:rsid w:val="00EB7090"/>
    <w:rsid w:val="00EC1BBE"/>
    <w:rsid w:val="00EC2B68"/>
    <w:rsid w:val="00EC3AEF"/>
    <w:rsid w:val="00EC4E42"/>
    <w:rsid w:val="00EC5CD7"/>
    <w:rsid w:val="00EC7648"/>
    <w:rsid w:val="00ED15D9"/>
    <w:rsid w:val="00ED33DA"/>
    <w:rsid w:val="00ED5D0F"/>
    <w:rsid w:val="00ED78AB"/>
    <w:rsid w:val="00EE0D15"/>
    <w:rsid w:val="00EE0DF4"/>
    <w:rsid w:val="00EE2591"/>
    <w:rsid w:val="00EE3427"/>
    <w:rsid w:val="00EE5FB3"/>
    <w:rsid w:val="00EE6F06"/>
    <w:rsid w:val="00EE7F79"/>
    <w:rsid w:val="00EF08B2"/>
    <w:rsid w:val="00EF57E2"/>
    <w:rsid w:val="00EF6953"/>
    <w:rsid w:val="00EF715A"/>
    <w:rsid w:val="00EF760F"/>
    <w:rsid w:val="00EF76BF"/>
    <w:rsid w:val="00EF7740"/>
    <w:rsid w:val="00F00BC8"/>
    <w:rsid w:val="00F01BC3"/>
    <w:rsid w:val="00F04157"/>
    <w:rsid w:val="00F04366"/>
    <w:rsid w:val="00F059A2"/>
    <w:rsid w:val="00F06E14"/>
    <w:rsid w:val="00F13B74"/>
    <w:rsid w:val="00F179D4"/>
    <w:rsid w:val="00F2105B"/>
    <w:rsid w:val="00F21CEA"/>
    <w:rsid w:val="00F234C9"/>
    <w:rsid w:val="00F24E36"/>
    <w:rsid w:val="00F32DEC"/>
    <w:rsid w:val="00F33C56"/>
    <w:rsid w:val="00F347C7"/>
    <w:rsid w:val="00F34848"/>
    <w:rsid w:val="00F400BC"/>
    <w:rsid w:val="00F42D46"/>
    <w:rsid w:val="00F43581"/>
    <w:rsid w:val="00F4395A"/>
    <w:rsid w:val="00F4441D"/>
    <w:rsid w:val="00F4496C"/>
    <w:rsid w:val="00F44F3A"/>
    <w:rsid w:val="00F45DD5"/>
    <w:rsid w:val="00F51F10"/>
    <w:rsid w:val="00F529A5"/>
    <w:rsid w:val="00F5460A"/>
    <w:rsid w:val="00F60F00"/>
    <w:rsid w:val="00F614C0"/>
    <w:rsid w:val="00F61C77"/>
    <w:rsid w:val="00F628DE"/>
    <w:rsid w:val="00F631A7"/>
    <w:rsid w:val="00F651EC"/>
    <w:rsid w:val="00F708DD"/>
    <w:rsid w:val="00F717E9"/>
    <w:rsid w:val="00F71AAE"/>
    <w:rsid w:val="00F75DB6"/>
    <w:rsid w:val="00F80176"/>
    <w:rsid w:val="00F81FCF"/>
    <w:rsid w:val="00F821CE"/>
    <w:rsid w:val="00F83848"/>
    <w:rsid w:val="00F84489"/>
    <w:rsid w:val="00F855C0"/>
    <w:rsid w:val="00F86792"/>
    <w:rsid w:val="00F90722"/>
    <w:rsid w:val="00F90E54"/>
    <w:rsid w:val="00F9284D"/>
    <w:rsid w:val="00F92CAB"/>
    <w:rsid w:val="00F943AE"/>
    <w:rsid w:val="00F95065"/>
    <w:rsid w:val="00F966B2"/>
    <w:rsid w:val="00F975E9"/>
    <w:rsid w:val="00F977E5"/>
    <w:rsid w:val="00FA0ED0"/>
    <w:rsid w:val="00FA1B7D"/>
    <w:rsid w:val="00FA334C"/>
    <w:rsid w:val="00FA36CE"/>
    <w:rsid w:val="00FA5B88"/>
    <w:rsid w:val="00FA62D6"/>
    <w:rsid w:val="00FA7A61"/>
    <w:rsid w:val="00FB1759"/>
    <w:rsid w:val="00FB464F"/>
    <w:rsid w:val="00FB4ABC"/>
    <w:rsid w:val="00FB761F"/>
    <w:rsid w:val="00FC07B9"/>
    <w:rsid w:val="00FC2116"/>
    <w:rsid w:val="00FC4102"/>
    <w:rsid w:val="00FC4E21"/>
    <w:rsid w:val="00FC5156"/>
    <w:rsid w:val="00FC5F6D"/>
    <w:rsid w:val="00FC6E2D"/>
    <w:rsid w:val="00FD0107"/>
    <w:rsid w:val="00FD106B"/>
    <w:rsid w:val="00FD1543"/>
    <w:rsid w:val="00FD2783"/>
    <w:rsid w:val="00FD2C2F"/>
    <w:rsid w:val="00FD3B31"/>
    <w:rsid w:val="00FD490A"/>
    <w:rsid w:val="00FD4DFC"/>
    <w:rsid w:val="00FD6DAD"/>
    <w:rsid w:val="00FE02C6"/>
    <w:rsid w:val="00FE1823"/>
    <w:rsid w:val="00FE19EC"/>
    <w:rsid w:val="00FE487A"/>
    <w:rsid w:val="00FE7484"/>
    <w:rsid w:val="00FF0569"/>
    <w:rsid w:val="00FF206E"/>
    <w:rsid w:val="00FF2A63"/>
    <w:rsid w:val="00FF3C69"/>
    <w:rsid w:val="00FF6B1E"/>
    <w:rsid w:val="00FF6E0A"/>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4CF5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BB5"/>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link w:val="FootnoteTextChar"/>
    <w:uiPriority w:val="23"/>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C82940"/>
    <w:pPr>
      <w:tabs>
        <w:tab w:val="clear" w:pos="845"/>
        <w:tab w:val="left" w:pos="295"/>
      </w:tabs>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C82940"/>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paragraph" w:styleId="NormalWeb">
    <w:name w:val="Normal (Web)"/>
    <w:basedOn w:val="Normal"/>
    <w:uiPriority w:val="99"/>
    <w:unhideWhenUsed/>
    <w:rsid w:val="00A67DD3"/>
    <w:pPr>
      <w:spacing w:before="100" w:beforeAutospacing="1" w:after="100" w:afterAutospacing="1" w:line="240" w:lineRule="auto"/>
    </w:pPr>
    <w:rPr>
      <w:rFonts w:ascii="Times New Roman" w:hAnsi="Times New Roman"/>
      <w:sz w:val="24"/>
    </w:rPr>
  </w:style>
  <w:style w:type="paragraph" w:styleId="ListParagraph">
    <w:name w:val="List Paragraph"/>
    <w:basedOn w:val="Normal"/>
    <w:uiPriority w:val="34"/>
    <w:qFormat/>
    <w:rsid w:val="003E4603"/>
    <w:pPr>
      <w:spacing w:after="0"/>
      <w:ind w:left="720"/>
      <w:contextualSpacing/>
    </w:pPr>
    <w:rPr>
      <w:rFonts w:ascii="HelveticaNeueLT Std Lt" w:hAnsi="HelveticaNeueLT Std Lt"/>
    </w:rPr>
  </w:style>
  <w:style w:type="character" w:customStyle="1" w:styleId="FootnoteTextChar">
    <w:name w:val="Footnote Text Char"/>
    <w:aliases w:val="Footnote text Char"/>
    <w:basedOn w:val="DefaultParagraphFont"/>
    <w:link w:val="FootnoteText"/>
    <w:uiPriority w:val="23"/>
    <w:rsid w:val="00152434"/>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1720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3537277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821729423">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licences/scientific-licence"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legislation.gov.au/Details/F2023L01129"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legislation.gov.au/Details/F2023L011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F2023L01122" TargetMode="Externa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consultations/2023-03/draft-five-year-spectrum-outlook-2023-28"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consultations/2022-09/proposed-amateur-class-licensing-arrangements-and-higher-power-operation-consultation-312022" TargetMode="External"/><Relationship Id="rId30" Type="http://schemas.openxmlformats.org/officeDocument/2006/relationships/hyperlink" Target="https://www.acma.gov.au/licences/scientific-licence" TargetMode="External"/><Relationship Id="rId35" Type="http://schemas.openxmlformats.org/officeDocument/2006/relationships/fontTable" Target="fontTable.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ma.gov.au/band-plans-allocate-spectr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2117</Words>
  <Characters>12069</Characters>
  <Application>Microsoft Office Word</Application>
  <DocSecurity>0</DocSecurity>
  <Lines>100</Lines>
  <Paragraphs>28</Paragraphs>
  <ScaleCrop>false</ScaleCrop>
  <Manager/>
  <Company/>
  <LinksUpToDate>false</LinksUpToDate>
  <CharactersWithSpaces>14158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2023-08-29T00:10:00Z</dcterms:created>
  <dcterms:modified xsi:type="dcterms:W3CDTF">2023-08-29T23:57:00Z</dcterms:modified>
  <cp:category/>
</cp:coreProperties>
</file>