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1799" w14:textId="20A9F5B3" w:rsidR="00C97736" w:rsidRDefault="00276291" w:rsidP="004D2E5D">
      <w:pPr>
        <w:pStyle w:val="ACMAReportTitle"/>
        <w:ind w:right="-97"/>
        <w:rPr>
          <w:rFonts w:cs="Arial"/>
        </w:rPr>
      </w:pPr>
      <w:r>
        <w:rPr>
          <w:rFonts w:cs="Arial"/>
        </w:rPr>
        <w:t xml:space="preserve">Draft </w:t>
      </w:r>
      <w:r w:rsidR="00504BF3">
        <w:rPr>
          <w:rFonts w:cs="Arial"/>
        </w:rPr>
        <w:t xml:space="preserve">Cost </w:t>
      </w:r>
      <w:r w:rsidR="002B1E3A">
        <w:rPr>
          <w:rFonts w:cs="Arial"/>
        </w:rPr>
        <w:t>R</w:t>
      </w:r>
      <w:r w:rsidR="00504BF3">
        <w:rPr>
          <w:rFonts w:cs="Arial"/>
        </w:rPr>
        <w:t xml:space="preserve">ecovery </w:t>
      </w:r>
      <w:r w:rsidR="002B1E3A">
        <w:rPr>
          <w:rFonts w:cs="Arial"/>
        </w:rPr>
        <w:t>I</w:t>
      </w:r>
      <w:r w:rsidR="00504BF3">
        <w:rPr>
          <w:rFonts w:cs="Arial"/>
        </w:rPr>
        <w:t xml:space="preserve">mplementation </w:t>
      </w:r>
      <w:r w:rsidR="002B1E3A">
        <w:rPr>
          <w:rFonts w:cs="Arial"/>
        </w:rPr>
        <w:t>S</w:t>
      </w:r>
      <w:r w:rsidR="00504BF3">
        <w:rPr>
          <w:rFonts w:cs="Arial"/>
        </w:rPr>
        <w:t>tatement</w:t>
      </w:r>
      <w:r w:rsidR="00EA751A">
        <w:rPr>
          <w:rFonts w:cs="Arial"/>
        </w:rPr>
        <w:t xml:space="preserve">: </w:t>
      </w:r>
      <w:r w:rsidR="003B1764">
        <w:rPr>
          <w:rFonts w:cs="Arial"/>
        </w:rPr>
        <w:t>F</w:t>
      </w:r>
      <w:r w:rsidR="00504BF3">
        <w:rPr>
          <w:rFonts w:cs="Arial"/>
        </w:rPr>
        <w:t>ees for radiocommunications, telecommunications and broadcasting services</w:t>
      </w:r>
    </w:p>
    <w:p w14:paraId="3537E85A" w14:textId="68B34952" w:rsidR="00C97736" w:rsidRPr="00E079DB" w:rsidRDefault="00E079DB" w:rsidP="00E079DB">
      <w:pPr>
        <w:pStyle w:val="Reportsubtitle0"/>
      </w:pPr>
      <w:r w:rsidRPr="00E079DB">
        <w:t xml:space="preserve">Budget </w:t>
      </w:r>
      <w:r w:rsidR="00833327">
        <w:t>y</w:t>
      </w:r>
      <w:r w:rsidRPr="00E079DB">
        <w:t>ear 202</w:t>
      </w:r>
      <w:r w:rsidR="000D4B65">
        <w:t>3</w:t>
      </w:r>
      <w:r w:rsidRPr="00E079DB">
        <w:t>–2</w:t>
      </w:r>
      <w:r w:rsidR="000D4B65">
        <w:t>4</w:t>
      </w:r>
    </w:p>
    <w:p w14:paraId="6E46768C" w14:textId="77777777" w:rsidR="00C66160" w:rsidRPr="000D76E0" w:rsidRDefault="00C66160" w:rsidP="0041071D">
      <w:pPr>
        <w:rPr>
          <w:rFonts w:cs="Arial"/>
        </w:rPr>
        <w:sectPr w:rsidR="00C66160"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3CD99F23" w14:textId="77777777" w:rsidR="0005011A" w:rsidRPr="00F44F3A" w:rsidRDefault="0005011A" w:rsidP="00FC07B9">
      <w:pPr>
        <w:pStyle w:val="ACMACorporateAddressHeader"/>
      </w:pPr>
      <w:r w:rsidRPr="00F44F3A">
        <w:lastRenderedPageBreak/>
        <w:t>Canberra</w:t>
      </w:r>
    </w:p>
    <w:p w14:paraId="03BAD56A"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3199F2DD" w14:textId="77777777" w:rsidR="0005011A" w:rsidRPr="00FC07B9" w:rsidRDefault="0005011A" w:rsidP="00FC07B9">
      <w:pPr>
        <w:pStyle w:val="ACMACorporateAddresses"/>
      </w:pPr>
      <w:r w:rsidRPr="00FC07B9">
        <w:t>PO Box 78</w:t>
      </w:r>
      <w:r w:rsidRPr="00FC07B9">
        <w:br/>
        <w:t>Belconnen ACT 2616</w:t>
      </w:r>
    </w:p>
    <w:p w14:paraId="7A06DA54"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3F2C4BE" w14:textId="77777777" w:rsidR="0005011A" w:rsidRPr="00F44F3A" w:rsidRDefault="0005011A" w:rsidP="00FC07B9">
      <w:pPr>
        <w:pStyle w:val="ACMACorporateAddressHeader"/>
      </w:pPr>
      <w:r w:rsidRPr="00F44F3A">
        <w:t>Melbourne</w:t>
      </w:r>
    </w:p>
    <w:p w14:paraId="4372B385"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25DD0F5"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426001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0DEA8A8" w14:textId="77777777" w:rsidR="0005011A" w:rsidRPr="00F44F3A" w:rsidRDefault="0005011A" w:rsidP="00FC07B9">
      <w:pPr>
        <w:pStyle w:val="ACMACorporateAddressHeader"/>
      </w:pPr>
      <w:r w:rsidRPr="00F44F3A">
        <w:t>Sydney</w:t>
      </w:r>
    </w:p>
    <w:p w14:paraId="38F90C40"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557B73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11C62CA"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906C6DC" w14:textId="77777777" w:rsidR="00140318" w:rsidRPr="006D46E5" w:rsidRDefault="00140318" w:rsidP="00FC07B9">
      <w:pPr>
        <w:pStyle w:val="ACMACopyrightHeader"/>
      </w:pPr>
      <w:r w:rsidRPr="00140318">
        <w:t>Copyright notice</w:t>
      </w:r>
    </w:p>
    <w:p w14:paraId="2407B9D8" w14:textId="77777777" w:rsidR="00140318" w:rsidRPr="006D46E5" w:rsidRDefault="00623FF9" w:rsidP="00623FF9">
      <w:pPr>
        <w:pStyle w:val="ACMACClogo"/>
      </w:pPr>
      <w:r>
        <w:rPr>
          <w:noProof/>
        </w:rPr>
        <w:drawing>
          <wp:inline distT="0" distB="0" distL="0" distR="0" wp14:anchorId="23B7E3B9" wp14:editId="51DF26E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577157BA" w14:textId="77777777" w:rsidR="00140318" w:rsidRPr="00431792" w:rsidRDefault="00107493" w:rsidP="00FC07B9">
      <w:pPr>
        <w:pStyle w:val="ACMACorporateAddresses"/>
        <w:rPr>
          <w:rStyle w:val="Hyperlink"/>
        </w:rPr>
      </w:pPr>
      <w:hyperlink r:id="rId13" w:tooltip="Creative Commons Licenses" w:history="1">
        <w:r w:rsidR="00140318" w:rsidRPr="00431792">
          <w:rPr>
            <w:rStyle w:val="Hyperlink"/>
          </w:rPr>
          <w:t>http://creativecommons.org/licenses/by/3.0/au/</w:t>
        </w:r>
      </w:hyperlink>
    </w:p>
    <w:p w14:paraId="323F669E" w14:textId="77777777" w:rsidR="00140318" w:rsidRPr="006D46E5" w:rsidRDefault="00140318" w:rsidP="00FC07B9">
      <w:pPr>
        <w:pStyle w:val="ACMACorporateAddresses"/>
      </w:pPr>
      <w:proofErr w:type="gramStart"/>
      <w:r w:rsidRPr="006D46E5">
        <w:t>With the exception of</w:t>
      </w:r>
      <w:proofErr w:type="gramEnd"/>
      <w:r w:rsidRPr="006D46E5">
        <w:t xml:space="preserve"> coats of arms, logos, emblems, images, other third-party material or devices protected by a trademark, this content is licensed under the Creative Commons Australia Attribution 3.0 Licence. </w:t>
      </w:r>
    </w:p>
    <w:p w14:paraId="45509264" w14:textId="3A076D39" w:rsidR="00140318" w:rsidRPr="006D46E5" w:rsidRDefault="00140318" w:rsidP="00FC07B9">
      <w:pPr>
        <w:pStyle w:val="ACMACorporateAddresses"/>
      </w:pPr>
      <w:r w:rsidRPr="006D46E5">
        <w:t>We request attribution as: © Commonwealth of Australia (Australian Communic</w:t>
      </w:r>
      <w:r w:rsidR="008408FF">
        <w:t>ations and Media Authority) 20</w:t>
      </w:r>
      <w:r w:rsidR="00F14AC9">
        <w:t>2</w:t>
      </w:r>
      <w:r w:rsidR="00656A4A">
        <w:t>3</w:t>
      </w:r>
      <w:r w:rsidRPr="006D46E5">
        <w:t>.</w:t>
      </w:r>
    </w:p>
    <w:p w14:paraId="3F0CDBBF" w14:textId="77777777" w:rsidR="00140318" w:rsidRPr="006D46E5" w:rsidRDefault="00140318" w:rsidP="00FC07B9">
      <w:pPr>
        <w:pStyle w:val="ACMACorporateAddresses"/>
      </w:pPr>
      <w:r>
        <w:t>All other rights are reserved.</w:t>
      </w:r>
    </w:p>
    <w:p w14:paraId="6B570AEC"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54AE617" w14:textId="77777777" w:rsidR="00140318" w:rsidRPr="006D46E5" w:rsidRDefault="00140318" w:rsidP="00FC07B9">
      <w:pPr>
        <w:pStyle w:val="ACMACorporateAddresses"/>
      </w:pPr>
      <w:r w:rsidRPr="006D46E5">
        <w:t>Written enquiries may be sent to:</w:t>
      </w:r>
    </w:p>
    <w:p w14:paraId="2569B8A1"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4" w:history="1">
        <w:r w:rsidRPr="00431792">
          <w:rPr>
            <w:rStyle w:val="Hyperlink"/>
          </w:rPr>
          <w:t>candinfo@acma.gov.au</w:t>
        </w:r>
      </w:hyperlink>
    </w:p>
    <w:p w14:paraId="63DCBBC6" w14:textId="77777777" w:rsidR="00D16FE3" w:rsidRDefault="00D16FE3" w:rsidP="00D16FE3">
      <w:pPr>
        <w:pStyle w:val="ACMACorporateAddresses"/>
        <w:rPr>
          <w:rStyle w:val="Hyperlink"/>
        </w:rPr>
      </w:pPr>
    </w:p>
    <w:p w14:paraId="261C791E"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ED0C300" w14:textId="5E4CB958" w:rsidR="004D2E5D" w:rsidRDefault="007A6CC0">
      <w:pPr>
        <w:pStyle w:val="TOC1"/>
        <w:rPr>
          <w:rFonts w:asciiTheme="minorHAnsi" w:eastAsiaTheme="minorEastAsia" w:hAnsiTheme="minorHAnsi" w:cstheme="minorBidi"/>
          <w:b w:val="0"/>
          <w:spacing w:val="0"/>
          <w:sz w:val="22"/>
          <w:szCs w:val="22"/>
        </w:rPr>
      </w:pPr>
      <w:r w:rsidRPr="009630CE">
        <w:rPr>
          <w:rFonts w:cs="Arial"/>
          <w:b w:val="0"/>
        </w:rPr>
        <w:lastRenderedPageBreak/>
        <w:fldChar w:fldCharType="begin"/>
      </w:r>
      <w:r w:rsidRPr="009630CE">
        <w:rPr>
          <w:rFonts w:cs="Arial"/>
          <w:b w:val="0"/>
        </w:rPr>
        <w:instrText xml:space="preserve"> TOC \o "1-3" \t "ACMA_ExecSummaryHeading,1" </w:instrText>
      </w:r>
      <w:r w:rsidRPr="009630CE">
        <w:rPr>
          <w:rFonts w:cs="Arial"/>
          <w:b w:val="0"/>
        </w:rPr>
        <w:fldChar w:fldCharType="separate"/>
      </w:r>
      <w:r w:rsidR="004D2E5D">
        <w:t>Introduction</w:t>
      </w:r>
      <w:r w:rsidR="004D2E5D">
        <w:tab/>
      </w:r>
      <w:r w:rsidR="004D2E5D">
        <w:fldChar w:fldCharType="begin"/>
      </w:r>
      <w:r w:rsidR="004D2E5D">
        <w:instrText xml:space="preserve"> PAGEREF _Toc143267694 \h </w:instrText>
      </w:r>
      <w:r w:rsidR="004D2E5D">
        <w:fldChar w:fldCharType="separate"/>
      </w:r>
      <w:r w:rsidR="0045208C">
        <w:t>1</w:t>
      </w:r>
      <w:r w:rsidR="004D2E5D">
        <w:fldChar w:fldCharType="end"/>
      </w:r>
    </w:p>
    <w:p w14:paraId="29D5D9FA" w14:textId="06A9BE4C" w:rsidR="004D2E5D" w:rsidRDefault="004D2E5D">
      <w:pPr>
        <w:pStyle w:val="TOC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Purpose of this Cost Recovery Implementation Statement</w:t>
      </w:r>
      <w:r>
        <w:tab/>
      </w:r>
      <w:r>
        <w:fldChar w:fldCharType="begin"/>
      </w:r>
      <w:r>
        <w:instrText xml:space="preserve"> PAGEREF _Toc143267695 \h </w:instrText>
      </w:r>
      <w:r>
        <w:fldChar w:fldCharType="separate"/>
      </w:r>
      <w:r w:rsidR="0045208C">
        <w:t>1</w:t>
      </w:r>
      <w:r>
        <w:fldChar w:fldCharType="end"/>
      </w:r>
    </w:p>
    <w:p w14:paraId="0C1812C8" w14:textId="55C0BB69" w:rsidR="004D2E5D" w:rsidRDefault="004D2E5D">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the regulatory charging activity</w:t>
      </w:r>
      <w:r>
        <w:tab/>
      </w:r>
      <w:r>
        <w:fldChar w:fldCharType="begin"/>
      </w:r>
      <w:r>
        <w:instrText xml:space="preserve"> PAGEREF _Toc143267696 \h </w:instrText>
      </w:r>
      <w:r>
        <w:fldChar w:fldCharType="separate"/>
      </w:r>
      <w:r w:rsidR="0045208C">
        <w:t>1</w:t>
      </w:r>
      <w:r>
        <w:fldChar w:fldCharType="end"/>
      </w:r>
    </w:p>
    <w:p w14:paraId="129536A9" w14:textId="59C63EAB" w:rsidR="004D2E5D" w:rsidRDefault="004D2E5D">
      <w:pPr>
        <w:pStyle w:val="TOC2"/>
        <w:rPr>
          <w:rFonts w:asciiTheme="minorHAnsi" w:eastAsiaTheme="minorEastAsia" w:hAnsiTheme="minorHAnsi" w:cstheme="minorBidi"/>
          <w:spacing w:val="0"/>
          <w:sz w:val="22"/>
          <w:szCs w:val="22"/>
        </w:rPr>
      </w:pPr>
      <w:r>
        <w:t>1.3</w:t>
      </w:r>
      <w:r>
        <w:rPr>
          <w:rFonts w:asciiTheme="minorHAnsi" w:eastAsiaTheme="minorEastAsia" w:hAnsiTheme="minorHAnsi" w:cstheme="minorBidi"/>
          <w:spacing w:val="0"/>
          <w:sz w:val="22"/>
          <w:szCs w:val="22"/>
        </w:rPr>
        <w:tab/>
      </w:r>
      <w:r>
        <w:t>Stakeholders</w:t>
      </w:r>
      <w:r>
        <w:tab/>
      </w:r>
      <w:r>
        <w:fldChar w:fldCharType="begin"/>
      </w:r>
      <w:r>
        <w:instrText xml:space="preserve"> PAGEREF _Toc143267697 \h </w:instrText>
      </w:r>
      <w:r>
        <w:fldChar w:fldCharType="separate"/>
      </w:r>
      <w:r w:rsidR="0045208C">
        <w:t>2</w:t>
      </w:r>
      <w:r>
        <w:fldChar w:fldCharType="end"/>
      </w:r>
    </w:p>
    <w:p w14:paraId="015EA71F" w14:textId="4C45C73B" w:rsidR="004D2E5D" w:rsidRDefault="004D2E5D">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Policy and statutory authority to cost recover</w:t>
      </w:r>
      <w:r>
        <w:tab/>
      </w:r>
      <w:r>
        <w:fldChar w:fldCharType="begin"/>
      </w:r>
      <w:r>
        <w:instrText xml:space="preserve"> PAGEREF _Toc143267698 \h </w:instrText>
      </w:r>
      <w:r>
        <w:fldChar w:fldCharType="separate"/>
      </w:r>
      <w:r w:rsidR="0045208C">
        <w:t>3</w:t>
      </w:r>
      <w:r>
        <w:fldChar w:fldCharType="end"/>
      </w:r>
    </w:p>
    <w:p w14:paraId="273E0CCE" w14:textId="0C6E1E86" w:rsidR="004D2E5D" w:rsidRDefault="004D2E5D">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charge</w:t>
      </w:r>
      <w:r>
        <w:tab/>
      </w:r>
      <w:r>
        <w:fldChar w:fldCharType="begin"/>
      </w:r>
      <w:r>
        <w:instrText xml:space="preserve"> PAGEREF _Toc143267699 \h </w:instrText>
      </w:r>
      <w:r>
        <w:fldChar w:fldCharType="separate"/>
      </w:r>
      <w:r w:rsidR="0045208C">
        <w:t>3</w:t>
      </w:r>
      <w:r>
        <w:fldChar w:fldCharType="end"/>
      </w:r>
    </w:p>
    <w:p w14:paraId="127E0BB0" w14:textId="45B415C7" w:rsidR="004D2E5D" w:rsidRDefault="004D2E5D">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_Toc143267700 \h </w:instrText>
      </w:r>
      <w:r>
        <w:fldChar w:fldCharType="separate"/>
      </w:r>
      <w:r w:rsidR="0045208C">
        <w:t>3</w:t>
      </w:r>
      <w:r>
        <w:fldChar w:fldCharType="end"/>
      </w:r>
    </w:p>
    <w:p w14:paraId="08931D8B" w14:textId="29FF8C01" w:rsidR="004D2E5D" w:rsidRDefault="004D2E5D">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_Toc143267701 \h </w:instrText>
      </w:r>
      <w:r>
        <w:fldChar w:fldCharType="separate"/>
      </w:r>
      <w:r w:rsidR="0045208C">
        <w:t>5</w:t>
      </w:r>
      <w:r>
        <w:fldChar w:fldCharType="end"/>
      </w:r>
    </w:p>
    <w:p w14:paraId="0EE11AFA" w14:textId="740B115B" w:rsidR="004D2E5D" w:rsidRDefault="004D2E5D">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Outputs and business processes of the activity</w:t>
      </w:r>
      <w:r>
        <w:tab/>
      </w:r>
      <w:r>
        <w:fldChar w:fldCharType="begin"/>
      </w:r>
      <w:r>
        <w:instrText xml:space="preserve"> PAGEREF _Toc143267702 \h </w:instrText>
      </w:r>
      <w:r>
        <w:fldChar w:fldCharType="separate"/>
      </w:r>
      <w:r w:rsidR="0045208C">
        <w:t>5</w:t>
      </w:r>
      <w:r>
        <w:fldChar w:fldCharType="end"/>
      </w:r>
    </w:p>
    <w:p w14:paraId="6CD4B0DD" w14:textId="5B22DAE7" w:rsidR="004D2E5D" w:rsidRDefault="004D2E5D">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Radiocommunications regulation, planning and licensing</w:t>
      </w:r>
      <w:r>
        <w:tab/>
      </w:r>
      <w:r>
        <w:fldChar w:fldCharType="begin"/>
      </w:r>
      <w:r>
        <w:instrText xml:space="preserve"> PAGEREF _Toc143267703 \h </w:instrText>
      </w:r>
      <w:r>
        <w:fldChar w:fldCharType="separate"/>
      </w:r>
      <w:r w:rsidR="0045208C">
        <w:t>5</w:t>
      </w:r>
      <w:r>
        <w:fldChar w:fldCharType="end"/>
      </w:r>
    </w:p>
    <w:p w14:paraId="3691EDC8" w14:textId="76B4A565" w:rsidR="004D2E5D" w:rsidRDefault="004D2E5D">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Telecommunications regulation, planning and licensing</w:t>
      </w:r>
      <w:r>
        <w:tab/>
      </w:r>
      <w:r>
        <w:fldChar w:fldCharType="begin"/>
      </w:r>
      <w:r>
        <w:instrText xml:space="preserve"> PAGEREF _Toc143267704 \h </w:instrText>
      </w:r>
      <w:r>
        <w:fldChar w:fldCharType="separate"/>
      </w:r>
      <w:r w:rsidR="0045208C">
        <w:t>7</w:t>
      </w:r>
      <w:r>
        <w:fldChar w:fldCharType="end"/>
      </w:r>
    </w:p>
    <w:p w14:paraId="175BEBA6" w14:textId="4D5F326B" w:rsidR="004D2E5D" w:rsidRDefault="004D2E5D">
      <w:pPr>
        <w:pStyle w:val="TOC3"/>
        <w:tabs>
          <w:tab w:val="left" w:pos="885"/>
        </w:tabs>
        <w:rPr>
          <w:rFonts w:asciiTheme="minorHAnsi" w:eastAsiaTheme="minorEastAsia" w:hAnsiTheme="minorHAnsi" w:cstheme="minorBidi"/>
        </w:rPr>
      </w:pPr>
      <w:r>
        <w:t>3.1.3</w:t>
      </w:r>
      <w:r>
        <w:rPr>
          <w:rFonts w:asciiTheme="minorHAnsi" w:eastAsiaTheme="minorEastAsia" w:hAnsiTheme="minorHAnsi" w:cstheme="minorBidi"/>
        </w:rPr>
        <w:tab/>
      </w:r>
      <w:r>
        <w:t>Broadcasting regulation, planning and licensing</w:t>
      </w:r>
      <w:r>
        <w:tab/>
      </w:r>
      <w:r>
        <w:fldChar w:fldCharType="begin"/>
      </w:r>
      <w:r>
        <w:instrText xml:space="preserve"> PAGEREF _Toc143267705 \h </w:instrText>
      </w:r>
      <w:r>
        <w:fldChar w:fldCharType="separate"/>
      </w:r>
      <w:r w:rsidR="0045208C">
        <w:t>8</w:t>
      </w:r>
      <w:r>
        <w:fldChar w:fldCharType="end"/>
      </w:r>
    </w:p>
    <w:p w14:paraId="3C6BF88D" w14:textId="15C5FDAD" w:rsidR="004D2E5D" w:rsidRDefault="004D2E5D">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Costs of performing ACMA activities</w:t>
      </w:r>
      <w:r>
        <w:tab/>
      </w:r>
      <w:r>
        <w:fldChar w:fldCharType="begin"/>
      </w:r>
      <w:r>
        <w:instrText xml:space="preserve"> PAGEREF _Toc143267706 \h </w:instrText>
      </w:r>
      <w:r>
        <w:fldChar w:fldCharType="separate"/>
      </w:r>
      <w:r w:rsidR="0045208C">
        <w:t>9</w:t>
      </w:r>
      <w:r>
        <w:fldChar w:fldCharType="end"/>
      </w:r>
    </w:p>
    <w:p w14:paraId="152B0A5F" w14:textId="3EAD3DD4" w:rsidR="004D2E5D" w:rsidRDefault="004D2E5D">
      <w:pPr>
        <w:pStyle w:val="TOC3"/>
        <w:tabs>
          <w:tab w:val="left" w:pos="885"/>
        </w:tabs>
        <w:rPr>
          <w:rFonts w:asciiTheme="minorHAnsi" w:eastAsiaTheme="minorEastAsia" w:hAnsiTheme="minorHAnsi" w:cstheme="minorBidi"/>
        </w:rPr>
      </w:pPr>
      <w:r>
        <w:t xml:space="preserve">3.2.1 </w:t>
      </w:r>
      <w:r>
        <w:rPr>
          <w:rFonts w:asciiTheme="minorHAnsi" w:eastAsiaTheme="minorEastAsia" w:hAnsiTheme="minorHAnsi" w:cstheme="minorBidi"/>
        </w:rPr>
        <w:tab/>
      </w:r>
      <w:r>
        <w:t>Hourly rates</w:t>
      </w:r>
      <w:r>
        <w:tab/>
      </w:r>
      <w:r>
        <w:fldChar w:fldCharType="begin"/>
      </w:r>
      <w:r>
        <w:instrText xml:space="preserve"> PAGEREF _Toc143267707 \h </w:instrText>
      </w:r>
      <w:r>
        <w:fldChar w:fldCharType="separate"/>
      </w:r>
      <w:r w:rsidR="0045208C">
        <w:t>9</w:t>
      </w:r>
      <w:r>
        <w:fldChar w:fldCharType="end"/>
      </w:r>
    </w:p>
    <w:p w14:paraId="2F39AD7D" w14:textId="38861280" w:rsidR="004D2E5D" w:rsidRDefault="004D2E5D">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Design of cost recovery fees</w:t>
      </w:r>
      <w:r>
        <w:tab/>
      </w:r>
      <w:r>
        <w:fldChar w:fldCharType="begin"/>
      </w:r>
      <w:r>
        <w:instrText xml:space="preserve"> PAGEREF _Toc143267708 \h </w:instrText>
      </w:r>
      <w:r>
        <w:fldChar w:fldCharType="separate"/>
      </w:r>
      <w:r w:rsidR="0045208C">
        <w:t>10</w:t>
      </w:r>
      <w:r>
        <w:fldChar w:fldCharType="end"/>
      </w:r>
    </w:p>
    <w:p w14:paraId="52C1591E" w14:textId="7ECBE42F" w:rsidR="004D2E5D" w:rsidRDefault="004D2E5D" w:rsidP="004D2E5D">
      <w:pPr>
        <w:pStyle w:val="TOC3"/>
        <w:tabs>
          <w:tab w:val="left" w:pos="885"/>
        </w:tabs>
        <w:rPr>
          <w:rFonts w:asciiTheme="minorHAnsi" w:eastAsiaTheme="minorEastAsia" w:hAnsiTheme="minorHAnsi" w:cstheme="minorBidi"/>
        </w:rPr>
      </w:pPr>
      <w:r>
        <w:t xml:space="preserve">3.3.2 </w:t>
      </w:r>
      <w:r>
        <w:tab/>
        <w:t>Area-wide licences</w:t>
      </w:r>
      <w:r>
        <w:tab/>
      </w:r>
      <w:r>
        <w:fldChar w:fldCharType="begin"/>
      </w:r>
      <w:r>
        <w:instrText xml:space="preserve"> PAGEREF _Toc143267709 \h </w:instrText>
      </w:r>
      <w:r>
        <w:fldChar w:fldCharType="separate"/>
      </w:r>
      <w:r w:rsidR="0045208C">
        <w:t>13</w:t>
      </w:r>
      <w:r>
        <w:fldChar w:fldCharType="end"/>
      </w:r>
    </w:p>
    <w:p w14:paraId="5E84C364" w14:textId="1A7A2EFE" w:rsidR="004D2E5D" w:rsidRDefault="004D2E5D">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_Toc143267710 \h </w:instrText>
      </w:r>
      <w:r>
        <w:fldChar w:fldCharType="separate"/>
      </w:r>
      <w:r w:rsidR="0045208C">
        <w:t>16</w:t>
      </w:r>
      <w:r>
        <w:fldChar w:fldCharType="end"/>
      </w:r>
    </w:p>
    <w:p w14:paraId="2648B7F5" w14:textId="5514908F" w:rsidR="004D2E5D" w:rsidRDefault="004D2E5D">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_Toc143267711 \h </w:instrText>
      </w:r>
      <w:r>
        <w:fldChar w:fldCharType="separate"/>
      </w:r>
      <w:r w:rsidR="0045208C">
        <w:t>17</w:t>
      </w:r>
      <w:r>
        <w:fldChar w:fldCharType="end"/>
      </w:r>
    </w:p>
    <w:p w14:paraId="4EC609AB" w14:textId="7B1095DC" w:rsidR="004D2E5D" w:rsidRDefault="004D2E5D">
      <w:pPr>
        <w:pStyle w:val="TOC1"/>
        <w:tabs>
          <w:tab w:val="left" w:pos="885"/>
        </w:tabs>
        <w:rPr>
          <w:rFonts w:asciiTheme="minorHAnsi" w:eastAsiaTheme="minorEastAsia" w:hAnsiTheme="minorHAnsi" w:cstheme="minorBidi"/>
          <w:b w:val="0"/>
          <w:spacing w:val="0"/>
          <w:sz w:val="22"/>
          <w:szCs w:val="22"/>
        </w:rPr>
      </w:pPr>
      <w:r>
        <w:t>6.</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_Toc143267712 \h </w:instrText>
      </w:r>
      <w:r>
        <w:fldChar w:fldCharType="separate"/>
      </w:r>
      <w:r w:rsidR="0045208C">
        <w:t>18</w:t>
      </w:r>
      <w:r>
        <w:fldChar w:fldCharType="end"/>
      </w:r>
    </w:p>
    <w:p w14:paraId="1E6DD2E5" w14:textId="54224ED3" w:rsidR="004D2E5D" w:rsidRDefault="004D2E5D">
      <w:pPr>
        <w:pStyle w:val="TOC1"/>
        <w:tabs>
          <w:tab w:val="left" w:pos="885"/>
        </w:tabs>
        <w:rPr>
          <w:rFonts w:asciiTheme="minorHAnsi" w:eastAsiaTheme="minorEastAsia" w:hAnsiTheme="minorHAnsi" w:cstheme="minorBidi"/>
          <w:b w:val="0"/>
          <w:spacing w:val="0"/>
          <w:sz w:val="22"/>
          <w:szCs w:val="22"/>
        </w:rPr>
      </w:pPr>
      <w:r>
        <w:t>7A.</w:t>
      </w:r>
      <w:r>
        <w:rPr>
          <w:rFonts w:asciiTheme="minorHAnsi" w:eastAsiaTheme="minorEastAsia" w:hAnsiTheme="minorHAnsi" w:cstheme="minorBidi"/>
          <w:b w:val="0"/>
          <w:spacing w:val="0"/>
          <w:sz w:val="22"/>
          <w:szCs w:val="22"/>
        </w:rPr>
        <w:tab/>
      </w:r>
      <w:r>
        <w:t>Financial performance</w:t>
      </w:r>
      <w:r>
        <w:tab/>
      </w:r>
      <w:r>
        <w:fldChar w:fldCharType="begin"/>
      </w:r>
      <w:r>
        <w:instrText xml:space="preserve"> PAGEREF _Toc143267713 \h </w:instrText>
      </w:r>
      <w:r>
        <w:fldChar w:fldCharType="separate"/>
      </w:r>
      <w:r w:rsidR="0045208C">
        <w:t>19</w:t>
      </w:r>
      <w:r>
        <w:fldChar w:fldCharType="end"/>
      </w:r>
    </w:p>
    <w:p w14:paraId="764052A3" w14:textId="277A3682" w:rsidR="004D2E5D" w:rsidRDefault="004D2E5D">
      <w:pPr>
        <w:pStyle w:val="TOC1"/>
        <w:tabs>
          <w:tab w:val="left" w:pos="885"/>
        </w:tabs>
        <w:rPr>
          <w:rFonts w:asciiTheme="minorHAnsi" w:eastAsiaTheme="minorEastAsia" w:hAnsiTheme="minorHAnsi" w:cstheme="minorBidi"/>
          <w:b w:val="0"/>
          <w:spacing w:val="0"/>
          <w:sz w:val="22"/>
          <w:szCs w:val="22"/>
        </w:rPr>
      </w:pPr>
      <w:r>
        <w:t>7B.</w:t>
      </w:r>
      <w:r>
        <w:rPr>
          <w:rFonts w:asciiTheme="minorHAnsi" w:eastAsiaTheme="minorEastAsia" w:hAnsiTheme="minorHAnsi" w:cstheme="minorBidi"/>
          <w:b w:val="0"/>
          <w:spacing w:val="0"/>
          <w:sz w:val="22"/>
          <w:szCs w:val="22"/>
        </w:rPr>
        <w:tab/>
      </w:r>
      <w:r>
        <w:t>Non-financial performance</w:t>
      </w:r>
      <w:r>
        <w:tab/>
      </w:r>
      <w:r>
        <w:fldChar w:fldCharType="begin"/>
      </w:r>
      <w:r>
        <w:instrText xml:space="preserve"> PAGEREF _Toc143267714 \h </w:instrText>
      </w:r>
      <w:r>
        <w:fldChar w:fldCharType="separate"/>
      </w:r>
      <w:r w:rsidR="0045208C">
        <w:t>20</w:t>
      </w:r>
      <w:r>
        <w:fldChar w:fldCharType="end"/>
      </w:r>
    </w:p>
    <w:p w14:paraId="1CAF20F1" w14:textId="44500F95" w:rsidR="004D2E5D" w:rsidRDefault="004D2E5D">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_Toc143267715 \h </w:instrText>
      </w:r>
      <w:r>
        <w:fldChar w:fldCharType="separate"/>
      </w:r>
      <w:r w:rsidR="0045208C">
        <w:t>21</w:t>
      </w:r>
      <w:r>
        <w:fldChar w:fldCharType="end"/>
      </w:r>
    </w:p>
    <w:p w14:paraId="058F7C6B" w14:textId="1E09421B" w:rsidR="004D2E5D" w:rsidRDefault="004D2E5D">
      <w:pPr>
        <w:pStyle w:val="TOC1"/>
        <w:tabs>
          <w:tab w:val="left" w:pos="885"/>
        </w:tabs>
        <w:rPr>
          <w:rFonts w:asciiTheme="minorHAnsi" w:eastAsiaTheme="minorEastAsia" w:hAnsiTheme="minorHAnsi" w:cstheme="minorBidi"/>
          <w:b w:val="0"/>
          <w:spacing w:val="0"/>
          <w:sz w:val="22"/>
          <w:szCs w:val="22"/>
        </w:rPr>
      </w:pPr>
      <w:r>
        <w:t>9.</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_Toc143267716 \h </w:instrText>
      </w:r>
      <w:r>
        <w:fldChar w:fldCharType="separate"/>
      </w:r>
      <w:r w:rsidR="0045208C">
        <w:t>22</w:t>
      </w:r>
      <w:r>
        <w:fldChar w:fldCharType="end"/>
      </w:r>
    </w:p>
    <w:p w14:paraId="6CA4D78E" w14:textId="16F8C683" w:rsidR="004D2E5D" w:rsidRDefault="004D2E5D">
      <w:pPr>
        <w:pStyle w:val="TOC1"/>
        <w:rPr>
          <w:rFonts w:asciiTheme="minorHAnsi" w:eastAsiaTheme="minorEastAsia" w:hAnsiTheme="minorHAnsi" w:cstheme="minorBidi"/>
          <w:b w:val="0"/>
          <w:spacing w:val="0"/>
          <w:sz w:val="22"/>
          <w:szCs w:val="22"/>
        </w:rPr>
      </w:pPr>
      <w:r>
        <w:t>Acronyms and shortened forms</w:t>
      </w:r>
      <w:r>
        <w:tab/>
      </w:r>
      <w:r>
        <w:fldChar w:fldCharType="begin"/>
      </w:r>
      <w:r>
        <w:instrText xml:space="preserve"> PAGEREF _Toc143267717 \h </w:instrText>
      </w:r>
      <w:r>
        <w:fldChar w:fldCharType="separate"/>
      </w:r>
      <w:r w:rsidR="0045208C">
        <w:t>23</w:t>
      </w:r>
      <w:r>
        <w:fldChar w:fldCharType="end"/>
      </w:r>
    </w:p>
    <w:p w14:paraId="0AEE55C1" w14:textId="30AE4C2F" w:rsidR="004D2E5D" w:rsidRDefault="004D2E5D">
      <w:pPr>
        <w:pStyle w:val="TOC1"/>
        <w:rPr>
          <w:rFonts w:asciiTheme="minorHAnsi" w:eastAsiaTheme="minorEastAsia" w:hAnsiTheme="minorHAnsi" w:cstheme="minorBidi"/>
          <w:b w:val="0"/>
          <w:spacing w:val="0"/>
          <w:sz w:val="22"/>
          <w:szCs w:val="22"/>
        </w:rPr>
      </w:pPr>
      <w:r>
        <w:lastRenderedPageBreak/>
        <w:t>Appendix A – Fees for the ACMA’s cost recovery activities</w:t>
      </w:r>
      <w:r>
        <w:tab/>
      </w:r>
      <w:r>
        <w:fldChar w:fldCharType="begin"/>
      </w:r>
      <w:r>
        <w:instrText xml:space="preserve"> PAGEREF _Toc143267718 \h </w:instrText>
      </w:r>
      <w:r>
        <w:fldChar w:fldCharType="separate"/>
      </w:r>
      <w:r w:rsidR="0045208C">
        <w:t>24</w:t>
      </w:r>
      <w:r>
        <w:fldChar w:fldCharType="end"/>
      </w:r>
    </w:p>
    <w:p w14:paraId="745C87A1" w14:textId="7F03D084" w:rsidR="004D2E5D" w:rsidRDefault="004D2E5D">
      <w:pPr>
        <w:pStyle w:val="TOC2"/>
        <w:rPr>
          <w:rFonts w:asciiTheme="minorHAnsi" w:eastAsiaTheme="minorEastAsia" w:hAnsiTheme="minorHAnsi" w:cstheme="minorBidi"/>
          <w:spacing w:val="0"/>
          <w:sz w:val="22"/>
          <w:szCs w:val="22"/>
        </w:rPr>
      </w:pPr>
      <w:r>
        <w:t>Fees under the Radiocommunications (Charges) Determination 2022</w:t>
      </w:r>
      <w:r>
        <w:tab/>
      </w:r>
      <w:r>
        <w:fldChar w:fldCharType="begin"/>
      </w:r>
      <w:r>
        <w:instrText xml:space="preserve"> PAGEREF _Toc143267719 \h </w:instrText>
      </w:r>
      <w:r>
        <w:fldChar w:fldCharType="separate"/>
      </w:r>
      <w:r w:rsidR="0045208C">
        <w:t>24</w:t>
      </w:r>
      <w:r>
        <w:fldChar w:fldCharType="end"/>
      </w:r>
    </w:p>
    <w:p w14:paraId="1CCC2660" w14:textId="0B400AA1" w:rsidR="004D2E5D" w:rsidRDefault="004D2E5D">
      <w:pPr>
        <w:pStyle w:val="TOC2"/>
        <w:rPr>
          <w:rFonts w:asciiTheme="minorHAnsi" w:eastAsiaTheme="minorEastAsia" w:hAnsiTheme="minorHAnsi" w:cstheme="minorBidi"/>
          <w:spacing w:val="0"/>
          <w:sz w:val="22"/>
          <w:szCs w:val="22"/>
        </w:rPr>
      </w:pPr>
      <w:r>
        <w:t>Fees under the Radiocommunications (Digital Radio Multiplex Transmitter Licences – Application Fee) Determination 2022</w:t>
      </w:r>
      <w:r>
        <w:tab/>
      </w:r>
      <w:r>
        <w:fldChar w:fldCharType="begin"/>
      </w:r>
      <w:r>
        <w:instrText xml:space="preserve"> PAGEREF _Toc143267720 \h </w:instrText>
      </w:r>
      <w:r>
        <w:fldChar w:fldCharType="separate"/>
      </w:r>
      <w:r w:rsidR="0045208C">
        <w:t>43</w:t>
      </w:r>
      <w:r>
        <w:fldChar w:fldCharType="end"/>
      </w:r>
    </w:p>
    <w:p w14:paraId="5EE8E027" w14:textId="0083026F" w:rsidR="004D2E5D" w:rsidRDefault="004D2E5D">
      <w:pPr>
        <w:pStyle w:val="TOC2"/>
        <w:rPr>
          <w:rFonts w:asciiTheme="minorHAnsi" w:eastAsiaTheme="minorEastAsia" w:hAnsiTheme="minorHAnsi" w:cstheme="minorBidi"/>
          <w:spacing w:val="0"/>
          <w:sz w:val="22"/>
          <w:szCs w:val="22"/>
        </w:rPr>
      </w:pPr>
      <w:r>
        <w:t>Fees under the Telecommunications (Charges) Determination 2022</w:t>
      </w:r>
      <w:r>
        <w:tab/>
      </w:r>
      <w:r>
        <w:fldChar w:fldCharType="begin"/>
      </w:r>
      <w:r>
        <w:instrText xml:space="preserve"> PAGEREF _Toc143267721 \h </w:instrText>
      </w:r>
      <w:r>
        <w:fldChar w:fldCharType="separate"/>
      </w:r>
      <w:r w:rsidR="0045208C">
        <w:t>43</w:t>
      </w:r>
      <w:r>
        <w:fldChar w:fldCharType="end"/>
      </w:r>
    </w:p>
    <w:p w14:paraId="26EC299C" w14:textId="6CA85E91" w:rsidR="004D2E5D" w:rsidRDefault="004D2E5D">
      <w:pPr>
        <w:pStyle w:val="TOC2"/>
        <w:rPr>
          <w:rFonts w:asciiTheme="minorHAnsi" w:eastAsiaTheme="minorEastAsia" w:hAnsiTheme="minorHAnsi" w:cstheme="minorBidi"/>
          <w:spacing w:val="0"/>
          <w:sz w:val="22"/>
          <w:szCs w:val="22"/>
        </w:rPr>
      </w:pPr>
      <w:r>
        <w:t>Fees under the Telecommunications (Carrier Licence Application Charge) (Application) Determination 2022</w:t>
      </w:r>
      <w:r>
        <w:tab/>
      </w:r>
      <w:r>
        <w:fldChar w:fldCharType="begin"/>
      </w:r>
      <w:r>
        <w:instrText xml:space="preserve"> PAGEREF _Toc143267722 \h </w:instrText>
      </w:r>
      <w:r>
        <w:fldChar w:fldCharType="separate"/>
      </w:r>
      <w:r w:rsidR="0045208C">
        <w:t>46</w:t>
      </w:r>
      <w:r>
        <w:fldChar w:fldCharType="end"/>
      </w:r>
    </w:p>
    <w:p w14:paraId="4D051FA9" w14:textId="5AF20CA9" w:rsidR="004D2E5D" w:rsidRDefault="004D2E5D">
      <w:pPr>
        <w:pStyle w:val="TOC2"/>
        <w:rPr>
          <w:rFonts w:asciiTheme="minorHAnsi" w:eastAsiaTheme="minorEastAsia" w:hAnsiTheme="minorHAnsi" w:cstheme="minorBidi"/>
          <w:spacing w:val="0"/>
          <w:sz w:val="22"/>
          <w:szCs w:val="22"/>
        </w:rPr>
      </w:pPr>
      <w:r>
        <w:t>Fees under the Broadcasting (Charges) Determination 2017 </w:t>
      </w:r>
      <w:r>
        <w:tab/>
      </w:r>
      <w:r>
        <w:fldChar w:fldCharType="begin"/>
      </w:r>
      <w:r>
        <w:instrText xml:space="preserve"> PAGEREF _Toc143267723 \h </w:instrText>
      </w:r>
      <w:r>
        <w:fldChar w:fldCharType="separate"/>
      </w:r>
      <w:r w:rsidR="0045208C">
        <w:t>46</w:t>
      </w:r>
      <w:r>
        <w:fldChar w:fldCharType="end"/>
      </w:r>
    </w:p>
    <w:p w14:paraId="790057E0" w14:textId="589C7600" w:rsidR="004D56FF" w:rsidRPr="000D76E0" w:rsidRDefault="007A6CC0">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9630CE">
        <w:rPr>
          <w:rFonts w:cs="Arial"/>
          <w:b/>
          <w:noProof/>
          <w:spacing w:val="-14"/>
          <w:sz w:val="28"/>
        </w:rPr>
        <w:fldChar w:fldCharType="end"/>
      </w:r>
    </w:p>
    <w:p w14:paraId="1D381FB1" w14:textId="659A4740" w:rsidR="00504BF3" w:rsidRPr="000D76E0" w:rsidRDefault="00504BF3" w:rsidP="00AF4063">
      <w:pPr>
        <w:pStyle w:val="Heading1"/>
        <w:tabs>
          <w:tab w:val="left" w:pos="4920"/>
        </w:tabs>
      </w:pPr>
      <w:bookmarkStart w:id="0" w:name="_Introduction"/>
      <w:bookmarkStart w:id="1" w:name="_Toc400965212"/>
      <w:bookmarkStart w:id="2" w:name="_Toc107236622"/>
      <w:bookmarkStart w:id="3" w:name="_Toc135817032"/>
      <w:bookmarkStart w:id="4" w:name="_Toc143267694"/>
      <w:bookmarkEnd w:id="0"/>
      <w:r>
        <w:lastRenderedPageBreak/>
        <w:t>Introduction</w:t>
      </w:r>
      <w:bookmarkEnd w:id="1"/>
      <w:bookmarkEnd w:id="2"/>
      <w:bookmarkEnd w:id="3"/>
      <w:bookmarkEnd w:id="4"/>
      <w:r w:rsidRPr="00FF3C69">
        <w:t xml:space="preserve"> </w:t>
      </w:r>
    </w:p>
    <w:p w14:paraId="0D2491C3" w14:textId="4A1B7333" w:rsidR="00504BF3" w:rsidRPr="00DF1CB8" w:rsidRDefault="00504BF3" w:rsidP="00097698">
      <w:pPr>
        <w:pStyle w:val="Heading2"/>
      </w:pPr>
      <w:bookmarkStart w:id="5" w:name="_1.1_Purpose_of"/>
      <w:bookmarkStart w:id="6" w:name="_Toc400965213"/>
      <w:bookmarkStart w:id="7" w:name="_Toc107236623"/>
      <w:bookmarkStart w:id="8" w:name="_Toc135817033"/>
      <w:bookmarkStart w:id="9" w:name="_Toc143267695"/>
      <w:bookmarkEnd w:id="5"/>
      <w:r w:rsidRPr="00DF1CB8">
        <w:t>1.1</w:t>
      </w:r>
      <w:r w:rsidRPr="00DF1CB8">
        <w:tab/>
        <w:t>Purpose of th</w:t>
      </w:r>
      <w:r w:rsidR="00E57139">
        <w:t xml:space="preserve">is </w:t>
      </w:r>
      <w:r w:rsidRPr="00DF1CB8">
        <w:t>Cost Recovery Implementation Statement</w:t>
      </w:r>
      <w:bookmarkEnd w:id="6"/>
      <w:bookmarkEnd w:id="7"/>
      <w:bookmarkEnd w:id="8"/>
      <w:bookmarkEnd w:id="9"/>
    </w:p>
    <w:p w14:paraId="6100ED89" w14:textId="60190909" w:rsidR="00882262" w:rsidRPr="00B252EC" w:rsidRDefault="00882262" w:rsidP="00504BF3">
      <w:pPr>
        <w:rPr>
          <w:szCs w:val="20"/>
        </w:rPr>
      </w:pPr>
      <w:r w:rsidRPr="00B252EC">
        <w:rPr>
          <w:szCs w:val="20"/>
        </w:rPr>
        <w:t xml:space="preserve">In accordance with the </w:t>
      </w:r>
      <w:r w:rsidRPr="00B252EC">
        <w:rPr>
          <w:szCs w:val="20"/>
          <w:u w:color="0000FF"/>
        </w:rPr>
        <w:t>Australian Government Charging Framework</w:t>
      </w:r>
      <w:r w:rsidRPr="00B252EC">
        <w:rPr>
          <w:szCs w:val="20"/>
        </w:rPr>
        <w:t xml:space="preserve">, we are required to prepare and publish a </w:t>
      </w:r>
      <w:r w:rsidRPr="00B252EC">
        <w:rPr>
          <w:rFonts w:cs="Arial"/>
        </w:rPr>
        <w:t xml:space="preserve">Cost Recovery Implementation Statement (CRIS) </w:t>
      </w:r>
      <w:r w:rsidR="00882E27" w:rsidRPr="00B252EC">
        <w:rPr>
          <w:szCs w:val="20"/>
        </w:rPr>
        <w:t>before charg</w:t>
      </w:r>
      <w:r w:rsidR="004C0D97" w:rsidRPr="00B252EC">
        <w:rPr>
          <w:szCs w:val="20"/>
        </w:rPr>
        <w:t>ing can commence</w:t>
      </w:r>
      <w:r w:rsidRPr="00B252EC">
        <w:rPr>
          <w:szCs w:val="20"/>
        </w:rPr>
        <w:t xml:space="preserve">. </w:t>
      </w:r>
    </w:p>
    <w:p w14:paraId="09860533" w14:textId="35A89EB2" w:rsidR="008F0A10" w:rsidRPr="00B252EC" w:rsidRDefault="00504BF3" w:rsidP="00504BF3">
      <w:pPr>
        <w:rPr>
          <w:rFonts w:cs="Arial"/>
        </w:rPr>
      </w:pPr>
      <w:r w:rsidRPr="00B252EC">
        <w:rPr>
          <w:rFonts w:cs="Arial"/>
        </w:rPr>
        <w:t xml:space="preserve">This Cost Recovery Implementation Statement (CRIS) provides information on how </w:t>
      </w:r>
      <w:r w:rsidR="005C07FD" w:rsidRPr="00B252EC">
        <w:rPr>
          <w:rFonts w:cs="Arial"/>
        </w:rPr>
        <w:t xml:space="preserve">the </w:t>
      </w:r>
      <w:r w:rsidRPr="00B252EC">
        <w:rPr>
          <w:rFonts w:cs="Arial"/>
        </w:rPr>
        <w:t>Australian Communications and Media Authority (ACMA)</w:t>
      </w:r>
      <w:bookmarkStart w:id="10" w:name="_Hlk135732974"/>
      <w:r w:rsidRPr="00B252EC">
        <w:rPr>
          <w:rFonts w:cs="Arial"/>
        </w:rPr>
        <w:t xml:space="preserve"> implements cost recovery for its radiocommunications, telecommunications and broadcasting </w:t>
      </w:r>
      <w:r w:rsidR="005C07FD" w:rsidRPr="00B252EC">
        <w:rPr>
          <w:rFonts w:cs="Arial"/>
        </w:rPr>
        <w:t xml:space="preserve">fees for </w:t>
      </w:r>
      <w:r w:rsidRPr="00B252EC">
        <w:rPr>
          <w:rFonts w:cs="Arial"/>
        </w:rPr>
        <w:t>service.</w:t>
      </w:r>
      <w:bookmarkEnd w:id="10"/>
      <w:r w:rsidRPr="00B252EC">
        <w:rPr>
          <w:rFonts w:cs="Arial"/>
        </w:rPr>
        <w:t xml:space="preserve"> </w:t>
      </w:r>
      <w:r w:rsidR="00540F4E" w:rsidRPr="00520341">
        <w:rPr>
          <w:rFonts w:cs="Arial"/>
        </w:rPr>
        <w:t xml:space="preserve">Appendix </w:t>
      </w:r>
      <w:r w:rsidRPr="00520341">
        <w:rPr>
          <w:rFonts w:cs="Arial"/>
        </w:rPr>
        <w:t>A</w:t>
      </w:r>
      <w:r w:rsidR="00A54BAC" w:rsidRPr="00B252EC">
        <w:rPr>
          <w:rFonts w:cs="Arial"/>
        </w:rPr>
        <w:t xml:space="preserve"> outlines these fees</w:t>
      </w:r>
      <w:r w:rsidRPr="00B252EC">
        <w:rPr>
          <w:rFonts w:cs="Arial"/>
        </w:rPr>
        <w:t>.</w:t>
      </w:r>
    </w:p>
    <w:p w14:paraId="4EF88BC1" w14:textId="20DCD368" w:rsidR="00504BF3" w:rsidRPr="008F0A10" w:rsidRDefault="00E2006E" w:rsidP="00504BF3">
      <w:pPr>
        <w:rPr>
          <w:szCs w:val="20"/>
        </w:rPr>
      </w:pPr>
      <w:r>
        <w:rPr>
          <w:rFonts w:cs="Arial"/>
        </w:rPr>
        <w:t xml:space="preserve">The CRIS </w:t>
      </w:r>
      <w:r w:rsidR="00D81094">
        <w:rPr>
          <w:rFonts w:cs="Arial"/>
        </w:rPr>
        <w:t>includes</w:t>
      </w:r>
      <w:r w:rsidR="00D81094" w:rsidRPr="00DF1CB8">
        <w:rPr>
          <w:rFonts w:cs="Arial"/>
        </w:rPr>
        <w:t xml:space="preserve"> </w:t>
      </w:r>
      <w:r w:rsidR="00504BF3" w:rsidRPr="00DF1CB8">
        <w:rPr>
          <w:rFonts w:cs="Arial"/>
        </w:rPr>
        <w:t xml:space="preserve">financial </w:t>
      </w:r>
      <w:r w:rsidR="004260A0">
        <w:rPr>
          <w:rFonts w:cs="Arial"/>
        </w:rPr>
        <w:t xml:space="preserve">and non-financial information </w:t>
      </w:r>
      <w:r w:rsidR="00504BF3" w:rsidRPr="00DF1CB8">
        <w:rPr>
          <w:rFonts w:cs="Arial"/>
        </w:rPr>
        <w:t xml:space="preserve">for </w:t>
      </w:r>
      <w:r w:rsidR="00540F4E">
        <w:rPr>
          <w:rFonts w:cs="Arial"/>
        </w:rPr>
        <w:t xml:space="preserve">our </w:t>
      </w:r>
      <w:r w:rsidR="00504BF3" w:rsidRPr="00DF1CB8">
        <w:rPr>
          <w:rFonts w:cs="Arial"/>
        </w:rPr>
        <w:t xml:space="preserve">activities and contains financial forecasts </w:t>
      </w:r>
      <w:r w:rsidR="00493093">
        <w:rPr>
          <w:rFonts w:cs="Arial"/>
        </w:rPr>
        <w:t>over the 202</w:t>
      </w:r>
      <w:r w:rsidR="00A92F1F">
        <w:rPr>
          <w:rFonts w:cs="Arial"/>
        </w:rPr>
        <w:t>3</w:t>
      </w:r>
      <w:r w:rsidR="00AF4063">
        <w:rPr>
          <w:rFonts w:cs="Arial"/>
        </w:rPr>
        <w:t>–</w:t>
      </w:r>
      <w:r w:rsidR="00493093">
        <w:rPr>
          <w:rFonts w:cs="Arial"/>
        </w:rPr>
        <w:t>2</w:t>
      </w:r>
      <w:r w:rsidR="00A92F1F">
        <w:rPr>
          <w:rFonts w:cs="Arial"/>
        </w:rPr>
        <w:t>4</w:t>
      </w:r>
      <w:r w:rsidR="00493093">
        <w:rPr>
          <w:rFonts w:cs="Arial"/>
        </w:rPr>
        <w:t xml:space="preserve"> </w:t>
      </w:r>
      <w:r w:rsidR="00504BF3" w:rsidRPr="00DF1CB8">
        <w:rPr>
          <w:rFonts w:cs="Arial"/>
        </w:rPr>
        <w:t xml:space="preserve">and </w:t>
      </w:r>
      <w:r w:rsidR="00493093">
        <w:rPr>
          <w:rFonts w:cs="Arial"/>
        </w:rPr>
        <w:t>3</w:t>
      </w:r>
      <w:r w:rsidR="00504BF3" w:rsidRPr="00DF1CB8">
        <w:rPr>
          <w:rFonts w:cs="Arial"/>
        </w:rPr>
        <w:t xml:space="preserve"> forward years</w:t>
      </w:r>
      <w:r w:rsidR="00493093">
        <w:rPr>
          <w:rFonts w:cs="Arial"/>
        </w:rPr>
        <w:t xml:space="preserve"> (financial years 202</w:t>
      </w:r>
      <w:r w:rsidR="00A92F1F">
        <w:rPr>
          <w:rFonts w:cs="Arial"/>
        </w:rPr>
        <w:t>4</w:t>
      </w:r>
      <w:r w:rsidR="00AF4063">
        <w:rPr>
          <w:rFonts w:cs="Arial"/>
        </w:rPr>
        <w:t>–</w:t>
      </w:r>
      <w:r w:rsidR="00493093">
        <w:rPr>
          <w:rFonts w:cs="Arial"/>
        </w:rPr>
        <w:t>2</w:t>
      </w:r>
      <w:r w:rsidR="00A92F1F">
        <w:rPr>
          <w:rFonts w:cs="Arial"/>
        </w:rPr>
        <w:t>5</w:t>
      </w:r>
      <w:r w:rsidR="00493093">
        <w:rPr>
          <w:rFonts w:cs="Arial"/>
        </w:rPr>
        <w:t xml:space="preserve"> to 202</w:t>
      </w:r>
      <w:r w:rsidR="00A92F1F">
        <w:rPr>
          <w:rFonts w:cs="Arial"/>
        </w:rPr>
        <w:t>6</w:t>
      </w:r>
      <w:r w:rsidR="00AF4063">
        <w:rPr>
          <w:rFonts w:cs="Arial"/>
        </w:rPr>
        <w:t>–</w:t>
      </w:r>
      <w:r w:rsidR="00493093">
        <w:rPr>
          <w:rFonts w:cs="Arial"/>
        </w:rPr>
        <w:t>2</w:t>
      </w:r>
      <w:r w:rsidR="00A92F1F">
        <w:rPr>
          <w:rFonts w:cs="Arial"/>
        </w:rPr>
        <w:t>7</w:t>
      </w:r>
      <w:r w:rsidR="00493093">
        <w:rPr>
          <w:rFonts w:cs="Arial"/>
        </w:rPr>
        <w:t>)</w:t>
      </w:r>
      <w:r w:rsidR="002C5FDF">
        <w:rPr>
          <w:rFonts w:cs="Arial"/>
        </w:rPr>
        <w:t xml:space="preserve"> – see Table </w:t>
      </w:r>
      <w:r w:rsidR="00537FCD" w:rsidRPr="001720CB">
        <w:rPr>
          <w:rFonts w:cs="Arial"/>
        </w:rPr>
        <w:t>5</w:t>
      </w:r>
      <w:r w:rsidR="00504BF3" w:rsidRPr="00DF1CB8">
        <w:rPr>
          <w:rFonts w:cs="Arial"/>
        </w:rPr>
        <w:t xml:space="preserve">. </w:t>
      </w:r>
      <w:r w:rsidR="007A4349">
        <w:rPr>
          <w:rFonts w:cs="Arial"/>
        </w:rPr>
        <w:t>We</w:t>
      </w:r>
      <w:r w:rsidR="00504BF3" w:rsidRPr="00DF1CB8">
        <w:rPr>
          <w:rFonts w:cs="Arial"/>
        </w:rPr>
        <w:t xml:space="preserve"> will maintain the CRIS until the activities or cost recovery </w:t>
      </w:r>
      <w:r w:rsidR="00894426">
        <w:rPr>
          <w:rFonts w:cs="Arial"/>
        </w:rPr>
        <w:t xml:space="preserve">arrangements </w:t>
      </w:r>
      <w:r w:rsidR="00504BF3" w:rsidRPr="00DF1CB8">
        <w:rPr>
          <w:rFonts w:cs="Arial"/>
        </w:rPr>
        <w:t>for the activities have been discontinued.</w:t>
      </w:r>
    </w:p>
    <w:p w14:paraId="30164182" w14:textId="3BC6A6D9" w:rsidR="00504BF3" w:rsidRPr="00DF1CB8" w:rsidRDefault="00504BF3" w:rsidP="00504BF3">
      <w:pPr>
        <w:pStyle w:val="Heading2"/>
      </w:pPr>
      <w:bookmarkStart w:id="11" w:name="_1.2_Background_and"/>
      <w:bookmarkStart w:id="12" w:name="_Toc400965214"/>
      <w:bookmarkStart w:id="13" w:name="_Toc107236624"/>
      <w:bookmarkStart w:id="14" w:name="_Toc135817034"/>
      <w:bookmarkStart w:id="15" w:name="_Toc143267696"/>
      <w:bookmarkEnd w:id="11"/>
      <w:r w:rsidRPr="00DF1CB8">
        <w:t>1.2</w:t>
      </w:r>
      <w:r w:rsidRPr="00DF1CB8">
        <w:tab/>
        <w:t>Background</w:t>
      </w:r>
      <w:bookmarkEnd w:id="12"/>
      <w:r w:rsidR="005E4C4D">
        <w:t xml:space="preserve"> and description of the regulatory charging activity</w:t>
      </w:r>
      <w:bookmarkEnd w:id="13"/>
      <w:bookmarkEnd w:id="14"/>
      <w:bookmarkEnd w:id="15"/>
    </w:p>
    <w:p w14:paraId="60DBDC43" w14:textId="61679FB5" w:rsidR="00504BF3" w:rsidRPr="00DF1CB8" w:rsidRDefault="005C07FD" w:rsidP="00504BF3">
      <w:pPr>
        <w:rPr>
          <w:rFonts w:cs="Arial"/>
        </w:rPr>
      </w:pPr>
      <w:r w:rsidRPr="00E423CF">
        <w:t>The ACMA is a statutory authority within the Infrastructure, Transport, Regional Development</w:t>
      </w:r>
      <w:r>
        <w:t xml:space="preserve">, </w:t>
      </w:r>
      <w:proofErr w:type="gramStart"/>
      <w:r w:rsidRPr="00E423CF">
        <w:t>Communications</w:t>
      </w:r>
      <w:proofErr w:type="gramEnd"/>
      <w:r w:rsidRPr="00E423CF">
        <w:t xml:space="preserve"> </w:t>
      </w:r>
      <w:r>
        <w:t xml:space="preserve">and the Arts </w:t>
      </w:r>
      <w:r w:rsidR="00493093" w:rsidRPr="00E423CF">
        <w:t>p</w:t>
      </w:r>
      <w:r w:rsidRPr="00E423CF">
        <w:t xml:space="preserve">ortfolio of the Australian Government. </w:t>
      </w:r>
      <w:r w:rsidR="00D81094">
        <w:t>We are</w:t>
      </w:r>
      <w:r w:rsidR="00D81094" w:rsidRPr="00E423CF">
        <w:t xml:space="preserve"> </w:t>
      </w:r>
      <w:r w:rsidR="0031166F" w:rsidRPr="0031166F">
        <w:rPr>
          <w:rFonts w:cs="Arial"/>
        </w:rPr>
        <w:t>Australia's regulator for broadcasting, radiocommunications, telecommunications and interactive gambling, among other functions.</w:t>
      </w:r>
    </w:p>
    <w:p w14:paraId="6D9DCD7B" w14:textId="418F5E72" w:rsidR="00504BF3" w:rsidRPr="00DF1CB8" w:rsidRDefault="007A4349" w:rsidP="00504BF3">
      <w:pPr>
        <w:spacing w:after="80"/>
        <w:rPr>
          <w:rFonts w:cs="Arial"/>
        </w:rPr>
      </w:pPr>
      <w:r>
        <w:rPr>
          <w:rFonts w:cs="Arial"/>
        </w:rPr>
        <w:t>Our</w:t>
      </w:r>
      <w:r w:rsidR="00504BF3" w:rsidRPr="00DF1CB8">
        <w:rPr>
          <w:rFonts w:cs="Arial"/>
        </w:rPr>
        <w:t xml:space="preserve"> activities include:</w:t>
      </w:r>
    </w:p>
    <w:p w14:paraId="59E0CB0A" w14:textId="34271F12" w:rsidR="00504BF3" w:rsidRPr="00DF1CB8" w:rsidRDefault="00504BF3" w:rsidP="001720CB">
      <w:pPr>
        <w:pStyle w:val="Bulletlevel1"/>
      </w:pPr>
      <w:r w:rsidRPr="00DF1CB8">
        <w:t>regulating telecommunications and broadcasting services</w:t>
      </w:r>
      <w:r w:rsidR="00533AD0">
        <w:t xml:space="preserve"> </w:t>
      </w:r>
      <w:r w:rsidRPr="00DF1CB8">
        <w:t>and datacasting services</w:t>
      </w:r>
    </w:p>
    <w:p w14:paraId="1FDA1314" w14:textId="5BDFBF58" w:rsidR="00504BF3" w:rsidRPr="00DF1CB8" w:rsidRDefault="00504BF3" w:rsidP="0041763F">
      <w:pPr>
        <w:pStyle w:val="Bulletlevel1"/>
      </w:pPr>
      <w:r w:rsidRPr="00DF1CB8">
        <w:t>managing access to radiofrequency spectrum bands through radiocommunications licence arrangements, and resolving competing demands for that spectrum through price-based allocation methods</w:t>
      </w:r>
    </w:p>
    <w:p w14:paraId="0C1AB4F2" w14:textId="31BC6996" w:rsidR="00504BF3" w:rsidRPr="00DF1CB8" w:rsidRDefault="00504BF3" w:rsidP="0041763F">
      <w:pPr>
        <w:pStyle w:val="Bulletlevel1"/>
      </w:pPr>
      <w:r w:rsidRPr="00DF1CB8">
        <w:t>planning the availability of segments of radiofrequency spectrum bands used by broadcasting services, and managing access to that spectrum through broadcasting licence arrangements</w:t>
      </w:r>
    </w:p>
    <w:p w14:paraId="779C50BF" w14:textId="242B786F" w:rsidR="00504BF3" w:rsidRPr="00DF1CB8" w:rsidRDefault="00504BF3" w:rsidP="0041763F">
      <w:pPr>
        <w:pStyle w:val="Bulletlevel1"/>
      </w:pPr>
      <w:r w:rsidRPr="00DF1CB8">
        <w:t>regulating compliance with the relevant legislation, licence conditions, codes of practice, standards, service guarantees and other safeguards</w:t>
      </w:r>
    </w:p>
    <w:p w14:paraId="42D2AF5D" w14:textId="32B8051B" w:rsidR="00504BF3" w:rsidRPr="00DF1CB8" w:rsidRDefault="00504BF3" w:rsidP="0041763F">
      <w:pPr>
        <w:pStyle w:val="Bulletlevel1"/>
      </w:pPr>
      <w:r w:rsidRPr="00DF1CB8">
        <w:t>promoting and facilitating industry self-regulatory and co-regulatory solutions to emerging issues</w:t>
      </w:r>
    </w:p>
    <w:p w14:paraId="279E65EB" w14:textId="58A89AEC" w:rsidR="00504BF3" w:rsidRPr="00DF1CB8" w:rsidRDefault="00504BF3" w:rsidP="0041763F">
      <w:pPr>
        <w:pStyle w:val="Bulletlevel1"/>
      </w:pPr>
      <w:r w:rsidRPr="00DF1CB8">
        <w:t>facilitating the provision of community information to promote informed decisions about communications products and services</w:t>
      </w:r>
    </w:p>
    <w:p w14:paraId="02B8A7C4" w14:textId="574C3FD3" w:rsidR="00504BF3" w:rsidRPr="00DF1CB8" w:rsidRDefault="00504BF3" w:rsidP="0041763F">
      <w:pPr>
        <w:pStyle w:val="Bulletlevel1"/>
      </w:pPr>
      <w:r w:rsidRPr="00DF1CB8">
        <w:t>reporting on matters relating to the communications industry, including its performance</w:t>
      </w:r>
    </w:p>
    <w:p w14:paraId="0108B0F2" w14:textId="6EB091D1" w:rsidR="00504BF3" w:rsidRPr="00DF1CB8" w:rsidRDefault="00504BF3" w:rsidP="0041763F">
      <w:pPr>
        <w:pStyle w:val="Bulletlevel1"/>
      </w:pPr>
      <w:r w:rsidRPr="00DF1CB8">
        <w:t>representing Australia’s communications interests internationally</w:t>
      </w:r>
    </w:p>
    <w:p w14:paraId="4578E3DF" w14:textId="77777777" w:rsidR="00504BF3" w:rsidRPr="00DF1CB8" w:rsidRDefault="00504BF3" w:rsidP="00097698">
      <w:pPr>
        <w:pStyle w:val="ListBulletLast"/>
      </w:pPr>
      <w:r w:rsidRPr="00DF1CB8">
        <w:t>advising the government on specific matters from time to time.</w:t>
      </w:r>
    </w:p>
    <w:p w14:paraId="091D419D" w14:textId="77777777" w:rsidR="00656A4A" w:rsidRDefault="00504BF3" w:rsidP="0041763F">
      <w:pPr>
        <w:rPr>
          <w:rFonts w:cs="Arial"/>
        </w:rPr>
      </w:pPr>
      <w:r w:rsidRPr="00DF1CB8">
        <w:rPr>
          <w:rFonts w:cs="Arial"/>
        </w:rPr>
        <w:t xml:space="preserve">The policy objective of recovering service costs </w:t>
      </w:r>
      <w:r w:rsidR="00DF6ADB">
        <w:rPr>
          <w:rFonts w:cs="Arial"/>
        </w:rPr>
        <w:t xml:space="preserve">is to </w:t>
      </w:r>
      <w:r w:rsidRPr="00DF1CB8">
        <w:rPr>
          <w:rFonts w:cs="Arial"/>
        </w:rPr>
        <w:t xml:space="preserve">ensure that those who </w:t>
      </w:r>
      <w:r w:rsidR="00B307FB">
        <w:rPr>
          <w:rFonts w:cs="Arial"/>
        </w:rPr>
        <w:t xml:space="preserve">require and </w:t>
      </w:r>
      <w:r w:rsidRPr="00DF1CB8">
        <w:rPr>
          <w:rFonts w:cs="Arial"/>
        </w:rPr>
        <w:t xml:space="preserve">use </w:t>
      </w:r>
      <w:r>
        <w:rPr>
          <w:rFonts w:cs="Arial"/>
        </w:rPr>
        <w:t>g</w:t>
      </w:r>
      <w:r w:rsidRPr="00DF1CB8">
        <w:rPr>
          <w:rFonts w:cs="Arial"/>
        </w:rPr>
        <w:t>overnment services meet the costs of th</w:t>
      </w:r>
      <w:r w:rsidR="00E57139">
        <w:rPr>
          <w:rFonts w:cs="Arial"/>
        </w:rPr>
        <w:t>o</w:t>
      </w:r>
      <w:r w:rsidRPr="00DF1CB8">
        <w:rPr>
          <w:rFonts w:cs="Arial"/>
        </w:rPr>
        <w:t xml:space="preserve">se activities. </w:t>
      </w:r>
      <w:r w:rsidR="00D81094">
        <w:rPr>
          <w:rFonts w:cs="Arial"/>
        </w:rPr>
        <w:t xml:space="preserve">We </w:t>
      </w:r>
      <w:r w:rsidR="00DC3A2E" w:rsidRPr="00DC3A2E">
        <w:rPr>
          <w:rFonts w:cs="Arial"/>
        </w:rPr>
        <w:t xml:space="preserve">reviewed </w:t>
      </w:r>
      <w:r w:rsidR="00D81094">
        <w:rPr>
          <w:rFonts w:cs="Arial"/>
        </w:rPr>
        <w:t>our</w:t>
      </w:r>
      <w:r w:rsidR="00D81094" w:rsidRPr="00DC3A2E">
        <w:rPr>
          <w:rFonts w:cs="Arial"/>
        </w:rPr>
        <w:t xml:space="preserve"> </w:t>
      </w:r>
      <w:r w:rsidR="00DC3A2E" w:rsidRPr="00DC3A2E">
        <w:rPr>
          <w:rFonts w:cs="Arial"/>
        </w:rPr>
        <w:t>existing activities to assess the ongoing requirement for the activity</w:t>
      </w:r>
      <w:r w:rsidR="00D81094">
        <w:rPr>
          <w:rFonts w:cs="Arial"/>
        </w:rPr>
        <w:t>,</w:t>
      </w:r>
      <w:r w:rsidR="00DC3A2E" w:rsidRPr="00DC3A2E">
        <w:rPr>
          <w:rFonts w:cs="Arial"/>
        </w:rPr>
        <w:t xml:space="preserve"> the appropriateness of the current level and application of fees</w:t>
      </w:r>
      <w:r w:rsidR="00D81094">
        <w:rPr>
          <w:rFonts w:cs="Arial"/>
        </w:rPr>
        <w:t>,</w:t>
      </w:r>
      <w:r w:rsidR="00AF7322">
        <w:rPr>
          <w:rFonts w:cs="Arial"/>
        </w:rPr>
        <w:t xml:space="preserve"> and </w:t>
      </w:r>
      <w:r w:rsidR="00D81094">
        <w:rPr>
          <w:rFonts w:cs="Arial"/>
        </w:rPr>
        <w:t xml:space="preserve">our </w:t>
      </w:r>
      <w:r w:rsidR="005C10C9">
        <w:rPr>
          <w:rFonts w:cs="Arial"/>
        </w:rPr>
        <w:t xml:space="preserve">standard and special </w:t>
      </w:r>
      <w:r w:rsidR="00514E4B">
        <w:rPr>
          <w:rFonts w:cs="Arial"/>
        </w:rPr>
        <w:t>hourly rate</w:t>
      </w:r>
      <w:r w:rsidR="005C10C9">
        <w:rPr>
          <w:rFonts w:cs="Arial"/>
        </w:rPr>
        <w:t>s</w:t>
      </w:r>
      <w:r w:rsidR="00DC3A2E" w:rsidRPr="00DC3A2E">
        <w:rPr>
          <w:rFonts w:cs="Arial"/>
        </w:rPr>
        <w:t xml:space="preserve">. The review has been undertaken in the context of existing </w:t>
      </w:r>
      <w:r w:rsidR="00DC3A2E" w:rsidRPr="00DC3A2E">
        <w:rPr>
          <w:rFonts w:cs="Arial"/>
        </w:rPr>
        <w:lastRenderedPageBreak/>
        <w:t xml:space="preserve">legislation that has established the ACMA’s powers to recover the costs of </w:t>
      </w:r>
      <w:r w:rsidR="00D81094">
        <w:rPr>
          <w:rFonts w:cs="Arial"/>
        </w:rPr>
        <w:t xml:space="preserve">our </w:t>
      </w:r>
      <w:r w:rsidR="00DC3A2E" w:rsidRPr="00DC3A2E">
        <w:rPr>
          <w:rFonts w:cs="Arial"/>
        </w:rPr>
        <w:t>activities.</w:t>
      </w:r>
      <w:r w:rsidR="00DC3A2E">
        <w:rPr>
          <w:rFonts w:cs="Arial"/>
        </w:rPr>
        <w:t xml:space="preserve"> </w:t>
      </w:r>
    </w:p>
    <w:p w14:paraId="31206BF8" w14:textId="092DF1CB" w:rsidR="00CE6C9C" w:rsidRDefault="008042F9" w:rsidP="0041763F">
      <w:pPr>
        <w:rPr>
          <w:rFonts w:cs="Arial"/>
        </w:rPr>
      </w:pPr>
      <w:r>
        <w:rPr>
          <w:rFonts w:cs="Arial"/>
        </w:rPr>
        <w:t xml:space="preserve">Following </w:t>
      </w:r>
      <w:r w:rsidR="005C10C9">
        <w:rPr>
          <w:rFonts w:cs="Arial"/>
        </w:rPr>
        <w:t>the</w:t>
      </w:r>
      <w:r>
        <w:rPr>
          <w:rFonts w:cs="Arial"/>
        </w:rPr>
        <w:t xml:space="preserve"> </w:t>
      </w:r>
      <w:r w:rsidR="005929F9">
        <w:rPr>
          <w:rFonts w:cs="Arial"/>
        </w:rPr>
        <w:t xml:space="preserve">review, </w:t>
      </w:r>
      <w:r w:rsidR="00D81094">
        <w:rPr>
          <w:rFonts w:cs="Arial"/>
        </w:rPr>
        <w:t xml:space="preserve">we </w:t>
      </w:r>
      <w:r w:rsidR="005929F9">
        <w:rPr>
          <w:rFonts w:cs="Arial"/>
        </w:rPr>
        <w:t xml:space="preserve">propose to maintain </w:t>
      </w:r>
      <w:r w:rsidR="00D81094">
        <w:rPr>
          <w:rFonts w:cs="Arial"/>
        </w:rPr>
        <w:t xml:space="preserve">our </w:t>
      </w:r>
      <w:r w:rsidR="005929F9">
        <w:rPr>
          <w:rFonts w:cs="Arial"/>
        </w:rPr>
        <w:t xml:space="preserve">special and standard </w:t>
      </w:r>
      <w:r w:rsidR="00804066">
        <w:rPr>
          <w:rFonts w:cs="Arial"/>
        </w:rPr>
        <w:t xml:space="preserve">hourly rates and fee amounts </w:t>
      </w:r>
      <w:r w:rsidR="007F4BDD">
        <w:rPr>
          <w:rFonts w:cs="Arial"/>
        </w:rPr>
        <w:t xml:space="preserve">at </w:t>
      </w:r>
      <w:r w:rsidR="00D81094">
        <w:rPr>
          <w:rFonts w:cs="Arial"/>
        </w:rPr>
        <w:t xml:space="preserve">the </w:t>
      </w:r>
      <w:r w:rsidR="007F4BDD">
        <w:rPr>
          <w:rFonts w:cs="Arial"/>
        </w:rPr>
        <w:t>current rates</w:t>
      </w:r>
      <w:r w:rsidR="00FF4A51">
        <w:rPr>
          <w:rFonts w:cs="Arial"/>
        </w:rPr>
        <w:t xml:space="preserve"> </w:t>
      </w:r>
      <w:r w:rsidR="007F4BDD">
        <w:rPr>
          <w:rFonts w:cs="Arial"/>
        </w:rPr>
        <w:t>implemented on 1 October 2022.</w:t>
      </w:r>
    </w:p>
    <w:p w14:paraId="773DCE31" w14:textId="4F38FA2C" w:rsidR="00D22486" w:rsidRPr="00DF1CB8" w:rsidRDefault="00BF72BE" w:rsidP="00097698">
      <w:pPr>
        <w:pStyle w:val="Heading2"/>
      </w:pPr>
      <w:bookmarkStart w:id="16" w:name="_1.3_Stakeholders"/>
      <w:bookmarkStart w:id="17" w:name="_Toc400965223"/>
      <w:bookmarkStart w:id="18" w:name="_Toc107236625"/>
      <w:bookmarkStart w:id="19" w:name="_Toc135817035"/>
      <w:bookmarkStart w:id="20" w:name="_Toc143267697"/>
      <w:bookmarkEnd w:id="16"/>
      <w:r>
        <w:t>1.3</w:t>
      </w:r>
      <w:r w:rsidR="00D22486">
        <w:tab/>
      </w:r>
      <w:bookmarkEnd w:id="17"/>
      <w:r w:rsidR="00AE48ED">
        <w:t>Stakeholders</w:t>
      </w:r>
      <w:bookmarkEnd w:id="18"/>
      <w:bookmarkEnd w:id="19"/>
      <w:bookmarkEnd w:id="20"/>
    </w:p>
    <w:p w14:paraId="191C2D8E" w14:textId="1927027D" w:rsidR="00D22486" w:rsidRPr="00DF1CB8" w:rsidRDefault="00A50B46" w:rsidP="00D22486">
      <w:pPr>
        <w:rPr>
          <w:rFonts w:cs="Arial"/>
        </w:rPr>
      </w:pPr>
      <w:r>
        <w:rPr>
          <w:rFonts w:cs="Arial"/>
        </w:rPr>
        <w:t>Table 1</w:t>
      </w:r>
      <w:r w:rsidR="00D22486" w:rsidRPr="00DF1CB8">
        <w:rPr>
          <w:rFonts w:cs="Arial"/>
        </w:rPr>
        <w:t xml:space="preserve"> provides a list of relevant stakeholders for radiocommunications, telecommunications and broadcasting services.</w:t>
      </w:r>
    </w:p>
    <w:p w14:paraId="19BC334F" w14:textId="696954F6" w:rsidR="002A5863" w:rsidRDefault="002A5863" w:rsidP="002A5863">
      <w:pPr>
        <w:rPr>
          <w:rFonts w:cs="Arial"/>
        </w:rPr>
      </w:pPr>
      <w:r>
        <w:rPr>
          <w:rFonts w:cs="Arial"/>
        </w:rPr>
        <w:t xml:space="preserve">For the activities listed in </w:t>
      </w:r>
      <w:r w:rsidR="00540F4E">
        <w:rPr>
          <w:rFonts w:cs="Arial"/>
        </w:rPr>
        <w:t xml:space="preserve">Appendix </w:t>
      </w:r>
      <w:r w:rsidR="00A50B46">
        <w:rPr>
          <w:rFonts w:cs="Arial"/>
        </w:rPr>
        <w:t>A</w:t>
      </w:r>
      <w:r w:rsidR="00D22486" w:rsidRPr="00DF1CB8">
        <w:rPr>
          <w:rFonts w:cs="Arial"/>
        </w:rPr>
        <w:t xml:space="preserve">, </w:t>
      </w:r>
      <w:r w:rsidRPr="00DF1CB8">
        <w:rPr>
          <w:rFonts w:cs="Arial"/>
        </w:rPr>
        <w:t>the ACMA’s activities can be directly attributed to the benefit that the</w:t>
      </w:r>
      <w:r w:rsidR="00E23A04">
        <w:rPr>
          <w:rFonts w:cs="Arial"/>
        </w:rPr>
        <w:t xml:space="preserve"> service</w:t>
      </w:r>
      <w:r w:rsidR="00540F4E">
        <w:rPr>
          <w:rFonts w:cs="Arial"/>
        </w:rPr>
        <w:t>-</w:t>
      </w:r>
      <w:r w:rsidR="00E23A04">
        <w:rPr>
          <w:rFonts w:cs="Arial"/>
        </w:rPr>
        <w:t>user</w:t>
      </w:r>
      <w:r w:rsidRPr="00DF1CB8">
        <w:rPr>
          <w:rFonts w:cs="Arial"/>
        </w:rPr>
        <w:t xml:space="preserve"> receive</w:t>
      </w:r>
      <w:r w:rsidR="001D4955">
        <w:rPr>
          <w:rFonts w:cs="Arial"/>
        </w:rPr>
        <w:t>s</w:t>
      </w:r>
      <w:r w:rsidRPr="00DF1CB8">
        <w:rPr>
          <w:rFonts w:cs="Arial"/>
        </w:rPr>
        <w:t>. Therefore</w:t>
      </w:r>
      <w:r>
        <w:rPr>
          <w:rFonts w:cs="Arial"/>
        </w:rPr>
        <w:t>,</w:t>
      </w:r>
      <w:r w:rsidRPr="00DF1CB8">
        <w:rPr>
          <w:rFonts w:cs="Arial"/>
        </w:rPr>
        <w:t xml:space="preserve"> it is appropriate that the service user pay a fee for the service.</w:t>
      </w:r>
    </w:p>
    <w:p w14:paraId="1D06CD30" w14:textId="77777777" w:rsidR="00A51603" w:rsidRPr="0071652B" w:rsidRDefault="00A51603" w:rsidP="00026262">
      <w:pPr>
        <w:pStyle w:val="Tableheading0"/>
        <w:rPr>
          <w:rFonts w:cs="Arial"/>
        </w:rPr>
      </w:pPr>
      <w:r w:rsidRPr="0071652B">
        <w:t>Key stakeholders</w:t>
      </w:r>
    </w:p>
    <w:tbl>
      <w:tblPr>
        <w:tblW w:w="878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2124"/>
        <w:gridCol w:w="1559"/>
        <w:gridCol w:w="5106"/>
      </w:tblGrid>
      <w:tr w:rsidR="00A51603" w:rsidRPr="00CB3078" w14:paraId="1D631853" w14:textId="77777777" w:rsidTr="00A67C39">
        <w:trPr>
          <w:trHeight w:val="285"/>
          <w:tblHeader/>
        </w:trPr>
        <w:tc>
          <w:tcPr>
            <w:tcW w:w="2124" w:type="dxa"/>
            <w:tcBorders>
              <w:bottom w:val="single" w:sz="2" w:space="0" w:color="000000" w:themeColor="text1"/>
            </w:tcBorders>
            <w:shd w:val="clear" w:color="auto" w:fill="404040" w:themeFill="text1" w:themeFillTint="BF"/>
          </w:tcPr>
          <w:p w14:paraId="28FA724C" w14:textId="77777777" w:rsidR="00A51603" w:rsidRPr="00FC2A10" w:rsidRDefault="00A51603" w:rsidP="00A67C39">
            <w:pPr>
              <w:pStyle w:val="TableHeading"/>
              <w:rPr>
                <w:color w:val="FFFFFF" w:themeColor="background1"/>
              </w:rPr>
            </w:pPr>
            <w:r w:rsidRPr="00FC2A10">
              <w:rPr>
                <w:color w:val="FFFFFF" w:themeColor="background1"/>
              </w:rPr>
              <w:t xml:space="preserve">Activity </w:t>
            </w:r>
            <w:r>
              <w:rPr>
                <w:color w:val="FFFFFF" w:themeColor="background1"/>
              </w:rPr>
              <w:t>g</w:t>
            </w:r>
            <w:r w:rsidRPr="00FC2A10">
              <w:rPr>
                <w:color w:val="FFFFFF" w:themeColor="background1"/>
              </w:rPr>
              <w:t>roup</w:t>
            </w:r>
          </w:p>
        </w:tc>
        <w:tc>
          <w:tcPr>
            <w:tcW w:w="1559" w:type="dxa"/>
            <w:tcBorders>
              <w:bottom w:val="single" w:sz="2" w:space="0" w:color="000000" w:themeColor="text1"/>
            </w:tcBorders>
            <w:shd w:val="clear" w:color="auto" w:fill="404040" w:themeFill="text1" w:themeFillTint="BF"/>
          </w:tcPr>
          <w:p w14:paraId="2AFF8881" w14:textId="560D8488" w:rsidR="00A51603" w:rsidRPr="00FC2A10" w:rsidRDefault="00A51603" w:rsidP="00A67C39">
            <w:pPr>
              <w:pStyle w:val="TableHeading"/>
              <w:rPr>
                <w:color w:val="FFFFFF" w:themeColor="background1"/>
              </w:rPr>
            </w:pPr>
            <w:r w:rsidRPr="00FC2A10">
              <w:rPr>
                <w:color w:val="FFFFFF" w:themeColor="background1"/>
              </w:rPr>
              <w:t>Type</w:t>
            </w:r>
            <w:r w:rsidR="00D81094">
              <w:rPr>
                <w:color w:val="FFFFFF" w:themeColor="background1"/>
              </w:rPr>
              <w:t xml:space="preserve"> of service</w:t>
            </w:r>
          </w:p>
        </w:tc>
        <w:tc>
          <w:tcPr>
            <w:tcW w:w="5106" w:type="dxa"/>
            <w:tcBorders>
              <w:bottom w:val="single" w:sz="2" w:space="0" w:color="000000" w:themeColor="text1"/>
            </w:tcBorders>
            <w:shd w:val="clear" w:color="auto" w:fill="404040" w:themeFill="text1" w:themeFillTint="BF"/>
          </w:tcPr>
          <w:p w14:paraId="28248DDD" w14:textId="77777777" w:rsidR="00A51603" w:rsidRPr="00FC2A10" w:rsidRDefault="00A51603" w:rsidP="00A67C39">
            <w:pPr>
              <w:pStyle w:val="TableHeading"/>
              <w:rPr>
                <w:color w:val="FFFFFF" w:themeColor="background1"/>
              </w:rPr>
            </w:pPr>
            <w:r w:rsidRPr="00FC2A10">
              <w:rPr>
                <w:color w:val="FFFFFF" w:themeColor="background1"/>
              </w:rPr>
              <w:t>Key stakeholders</w:t>
            </w:r>
          </w:p>
        </w:tc>
      </w:tr>
      <w:tr w:rsidR="00A51603" w14:paraId="2922926E" w14:textId="77777777" w:rsidTr="00D81094">
        <w:tc>
          <w:tcPr>
            <w:tcW w:w="2124" w:type="dxa"/>
            <w:vMerge w:val="restart"/>
            <w:shd w:val="clear" w:color="auto" w:fill="auto"/>
            <w:tcMar>
              <w:top w:w="57" w:type="dxa"/>
              <w:bottom w:w="57" w:type="dxa"/>
            </w:tcMar>
            <w:vAlign w:val="center"/>
          </w:tcPr>
          <w:p w14:paraId="7DA8F51A" w14:textId="77777777" w:rsidR="00A51603" w:rsidRPr="00097698" w:rsidRDefault="00A51603" w:rsidP="00BB7460">
            <w:pPr>
              <w:pStyle w:val="TableBody"/>
              <w:rPr>
                <w:rFonts w:cs="Arial"/>
                <w:szCs w:val="20"/>
              </w:rPr>
            </w:pPr>
            <w:r w:rsidRPr="00097698">
              <w:rPr>
                <w:rFonts w:cs="Arial"/>
                <w:szCs w:val="20"/>
              </w:rPr>
              <w:t>Radiocommunications</w:t>
            </w:r>
          </w:p>
        </w:tc>
        <w:tc>
          <w:tcPr>
            <w:tcW w:w="1559" w:type="dxa"/>
            <w:vMerge w:val="restart"/>
            <w:shd w:val="clear" w:color="auto" w:fill="auto"/>
            <w:tcMar>
              <w:top w:w="57" w:type="dxa"/>
              <w:bottom w:w="57" w:type="dxa"/>
            </w:tcMar>
            <w:vAlign w:val="center"/>
          </w:tcPr>
          <w:p w14:paraId="55CFD530" w14:textId="77777777" w:rsidR="00A51603" w:rsidRPr="00097698" w:rsidRDefault="00A51603" w:rsidP="00BB7460">
            <w:pPr>
              <w:pStyle w:val="TableBody"/>
              <w:rPr>
                <w:rFonts w:cs="Arial"/>
                <w:szCs w:val="20"/>
              </w:rPr>
            </w:pPr>
            <w:r w:rsidRPr="00097698">
              <w:rPr>
                <w:rFonts w:cs="Arial"/>
                <w:szCs w:val="20"/>
              </w:rPr>
              <w:t>Apparatus licences</w:t>
            </w:r>
          </w:p>
        </w:tc>
        <w:tc>
          <w:tcPr>
            <w:tcW w:w="5106" w:type="dxa"/>
            <w:shd w:val="clear" w:color="auto" w:fill="auto"/>
            <w:tcMar>
              <w:top w:w="57" w:type="dxa"/>
              <w:bottom w:w="57" w:type="dxa"/>
            </w:tcMar>
          </w:tcPr>
          <w:p w14:paraId="21327E43" w14:textId="77777777" w:rsidR="00A51603" w:rsidRPr="00097698" w:rsidRDefault="00A51603" w:rsidP="00BB7460">
            <w:pPr>
              <w:pStyle w:val="TableBody"/>
              <w:rPr>
                <w:rFonts w:cs="Arial"/>
                <w:szCs w:val="20"/>
              </w:rPr>
            </w:pPr>
            <w:r w:rsidRPr="00097698">
              <w:rPr>
                <w:rFonts w:cs="Arial"/>
                <w:szCs w:val="20"/>
              </w:rPr>
              <w:t>Community, commercial and national broadcasters</w:t>
            </w:r>
          </w:p>
        </w:tc>
      </w:tr>
      <w:tr w:rsidR="00A51603" w14:paraId="1FAF1048" w14:textId="77777777" w:rsidTr="00D81094">
        <w:tc>
          <w:tcPr>
            <w:tcW w:w="2124" w:type="dxa"/>
            <w:vMerge/>
            <w:shd w:val="clear" w:color="auto" w:fill="auto"/>
            <w:tcMar>
              <w:top w:w="57" w:type="dxa"/>
              <w:bottom w:w="57" w:type="dxa"/>
            </w:tcMar>
            <w:vAlign w:val="center"/>
          </w:tcPr>
          <w:p w14:paraId="2E584161"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vAlign w:val="center"/>
          </w:tcPr>
          <w:p w14:paraId="0AD101A8"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0F392E3A" w14:textId="4A438140" w:rsidR="00A51603" w:rsidRPr="00097698" w:rsidRDefault="00A51603" w:rsidP="00BB7460">
            <w:pPr>
              <w:pStyle w:val="TableBody"/>
              <w:rPr>
                <w:rFonts w:cs="Arial"/>
                <w:szCs w:val="20"/>
              </w:rPr>
            </w:pPr>
            <w:r w:rsidRPr="00097698">
              <w:rPr>
                <w:rFonts w:cs="Arial"/>
                <w:szCs w:val="20"/>
              </w:rPr>
              <w:t>Individual</w:t>
            </w:r>
            <w:r w:rsidR="00D81094">
              <w:rPr>
                <w:rFonts w:cs="Arial"/>
                <w:szCs w:val="20"/>
              </w:rPr>
              <w:t>s</w:t>
            </w:r>
            <w:r w:rsidRPr="00097698">
              <w:rPr>
                <w:rFonts w:cs="Arial"/>
                <w:szCs w:val="20"/>
              </w:rPr>
              <w:t xml:space="preserve"> (for amateur and marine services)</w:t>
            </w:r>
          </w:p>
        </w:tc>
      </w:tr>
      <w:tr w:rsidR="00A51603" w14:paraId="1D640D72" w14:textId="77777777" w:rsidTr="00D81094">
        <w:tc>
          <w:tcPr>
            <w:tcW w:w="2124" w:type="dxa"/>
            <w:vMerge/>
            <w:shd w:val="clear" w:color="auto" w:fill="auto"/>
            <w:tcMar>
              <w:top w:w="57" w:type="dxa"/>
              <w:bottom w:w="57" w:type="dxa"/>
            </w:tcMar>
            <w:vAlign w:val="center"/>
          </w:tcPr>
          <w:p w14:paraId="1A107040"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vAlign w:val="center"/>
          </w:tcPr>
          <w:p w14:paraId="03AF15C7"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6EE3348E" w14:textId="77777777" w:rsidR="00A51603" w:rsidRPr="00097698" w:rsidRDefault="00A51603" w:rsidP="00BB7460">
            <w:pPr>
              <w:pStyle w:val="TableBody"/>
              <w:rPr>
                <w:rFonts w:cs="Arial"/>
                <w:szCs w:val="20"/>
              </w:rPr>
            </w:pPr>
            <w:r w:rsidRPr="00097698">
              <w:rPr>
                <w:rFonts w:cs="Arial"/>
                <w:szCs w:val="20"/>
              </w:rPr>
              <w:t>Government entities</w:t>
            </w:r>
          </w:p>
        </w:tc>
      </w:tr>
      <w:tr w:rsidR="00A51603" w14:paraId="451E3C93" w14:textId="77777777" w:rsidTr="00D81094">
        <w:tc>
          <w:tcPr>
            <w:tcW w:w="2124" w:type="dxa"/>
            <w:vMerge/>
            <w:shd w:val="clear" w:color="auto" w:fill="auto"/>
            <w:tcMar>
              <w:top w:w="57" w:type="dxa"/>
              <w:bottom w:w="57" w:type="dxa"/>
            </w:tcMar>
            <w:vAlign w:val="center"/>
          </w:tcPr>
          <w:p w14:paraId="22648A95"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vAlign w:val="center"/>
          </w:tcPr>
          <w:p w14:paraId="06254A81"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5FA7D834" w14:textId="77777777" w:rsidR="00A51603" w:rsidRPr="00097698" w:rsidRDefault="00A51603" w:rsidP="00BB7460">
            <w:pPr>
              <w:pStyle w:val="TableBody"/>
              <w:rPr>
                <w:rFonts w:cs="Arial"/>
                <w:szCs w:val="20"/>
              </w:rPr>
            </w:pPr>
            <w:r w:rsidRPr="00097698">
              <w:rPr>
                <w:rFonts w:cs="Arial"/>
                <w:szCs w:val="20"/>
              </w:rPr>
              <w:t>Commercial organisations (mining, construction, communications companies)</w:t>
            </w:r>
          </w:p>
        </w:tc>
      </w:tr>
      <w:tr w:rsidR="00A51603" w14:paraId="295E8C44" w14:textId="77777777" w:rsidTr="00D81094">
        <w:tc>
          <w:tcPr>
            <w:tcW w:w="2124" w:type="dxa"/>
            <w:vMerge/>
            <w:shd w:val="clear" w:color="auto" w:fill="auto"/>
            <w:tcMar>
              <w:top w:w="57" w:type="dxa"/>
              <w:bottom w:w="57" w:type="dxa"/>
            </w:tcMar>
            <w:vAlign w:val="center"/>
          </w:tcPr>
          <w:p w14:paraId="3406ACA5"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vAlign w:val="center"/>
          </w:tcPr>
          <w:p w14:paraId="7F19F63A"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2208096E" w14:textId="77777777" w:rsidR="00A51603" w:rsidRPr="00097698" w:rsidRDefault="00A51603" w:rsidP="00BB7460">
            <w:pPr>
              <w:pStyle w:val="TableBody"/>
              <w:rPr>
                <w:rFonts w:cs="Arial"/>
                <w:szCs w:val="20"/>
              </w:rPr>
            </w:pPr>
            <w:r w:rsidRPr="00097698">
              <w:rPr>
                <w:rFonts w:cs="Arial"/>
                <w:szCs w:val="20"/>
              </w:rPr>
              <w:t xml:space="preserve">Telecommunications carriers </w:t>
            </w:r>
          </w:p>
        </w:tc>
      </w:tr>
      <w:tr w:rsidR="00A51603" w14:paraId="6915F579" w14:textId="77777777" w:rsidTr="00D81094">
        <w:tc>
          <w:tcPr>
            <w:tcW w:w="2124" w:type="dxa"/>
            <w:vMerge/>
            <w:shd w:val="clear" w:color="auto" w:fill="auto"/>
            <w:tcMar>
              <w:top w:w="57" w:type="dxa"/>
              <w:bottom w:w="57" w:type="dxa"/>
            </w:tcMar>
            <w:vAlign w:val="center"/>
          </w:tcPr>
          <w:p w14:paraId="2B37D53C" w14:textId="77777777" w:rsidR="00A51603" w:rsidRPr="00097698" w:rsidRDefault="00A51603" w:rsidP="00BB7460">
            <w:pPr>
              <w:pStyle w:val="TableBody"/>
              <w:rPr>
                <w:rFonts w:cs="Arial"/>
                <w:szCs w:val="20"/>
              </w:rPr>
            </w:pPr>
          </w:p>
        </w:tc>
        <w:tc>
          <w:tcPr>
            <w:tcW w:w="1559" w:type="dxa"/>
            <w:vMerge w:val="restart"/>
            <w:shd w:val="clear" w:color="auto" w:fill="auto"/>
            <w:tcMar>
              <w:top w:w="57" w:type="dxa"/>
              <w:bottom w:w="57" w:type="dxa"/>
            </w:tcMar>
            <w:vAlign w:val="center"/>
          </w:tcPr>
          <w:p w14:paraId="17FC320C" w14:textId="77777777" w:rsidR="00A51603" w:rsidRPr="00097698" w:rsidRDefault="00A51603" w:rsidP="00BB7460">
            <w:pPr>
              <w:pStyle w:val="TableBody"/>
              <w:rPr>
                <w:rFonts w:cs="Arial"/>
                <w:szCs w:val="20"/>
              </w:rPr>
            </w:pPr>
            <w:r w:rsidRPr="00097698">
              <w:rPr>
                <w:rFonts w:cs="Arial"/>
                <w:szCs w:val="20"/>
              </w:rPr>
              <w:t>Spectrum licences</w:t>
            </w:r>
          </w:p>
        </w:tc>
        <w:tc>
          <w:tcPr>
            <w:tcW w:w="5106" w:type="dxa"/>
            <w:shd w:val="clear" w:color="auto" w:fill="auto"/>
            <w:tcMar>
              <w:top w:w="57" w:type="dxa"/>
              <w:bottom w:w="57" w:type="dxa"/>
            </w:tcMar>
          </w:tcPr>
          <w:p w14:paraId="4118A245" w14:textId="77777777" w:rsidR="00A51603" w:rsidRPr="00097698" w:rsidRDefault="00A51603" w:rsidP="00BB7460">
            <w:pPr>
              <w:pStyle w:val="TableBody"/>
              <w:rPr>
                <w:rFonts w:cs="Arial"/>
                <w:szCs w:val="20"/>
              </w:rPr>
            </w:pPr>
            <w:r w:rsidRPr="00097698">
              <w:rPr>
                <w:rFonts w:cs="Arial"/>
                <w:szCs w:val="20"/>
              </w:rPr>
              <w:t xml:space="preserve">Major telecommunications carriers </w:t>
            </w:r>
          </w:p>
        </w:tc>
      </w:tr>
      <w:tr w:rsidR="00A51603" w14:paraId="7305F292" w14:textId="77777777" w:rsidTr="00D81094">
        <w:tc>
          <w:tcPr>
            <w:tcW w:w="2124" w:type="dxa"/>
            <w:vMerge/>
            <w:shd w:val="clear" w:color="auto" w:fill="auto"/>
            <w:tcMar>
              <w:top w:w="57" w:type="dxa"/>
              <w:bottom w:w="57" w:type="dxa"/>
            </w:tcMar>
            <w:vAlign w:val="center"/>
          </w:tcPr>
          <w:p w14:paraId="0A771CF2"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vAlign w:val="center"/>
          </w:tcPr>
          <w:p w14:paraId="169E184E"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4A171824" w14:textId="51D8CAE8" w:rsidR="00A51603" w:rsidRPr="00097698" w:rsidRDefault="00A51603" w:rsidP="00BB7460">
            <w:pPr>
              <w:pStyle w:val="TableBody"/>
              <w:rPr>
                <w:rFonts w:cs="Arial"/>
                <w:szCs w:val="20"/>
              </w:rPr>
            </w:pPr>
            <w:r w:rsidRPr="00097698">
              <w:rPr>
                <w:rFonts w:cs="Arial"/>
                <w:szCs w:val="20"/>
              </w:rPr>
              <w:t xml:space="preserve">Government entities </w:t>
            </w:r>
          </w:p>
        </w:tc>
      </w:tr>
      <w:tr w:rsidR="003B6A3C" w14:paraId="2174F864" w14:textId="77777777" w:rsidTr="00D81094">
        <w:tc>
          <w:tcPr>
            <w:tcW w:w="2124" w:type="dxa"/>
            <w:vMerge/>
            <w:shd w:val="clear" w:color="auto" w:fill="auto"/>
            <w:tcMar>
              <w:top w:w="57" w:type="dxa"/>
              <w:bottom w:w="57" w:type="dxa"/>
            </w:tcMar>
            <w:vAlign w:val="center"/>
          </w:tcPr>
          <w:p w14:paraId="54C941FA" w14:textId="77777777" w:rsidR="003B6A3C" w:rsidRPr="00097698" w:rsidRDefault="003B6A3C" w:rsidP="00BB7460">
            <w:pPr>
              <w:pStyle w:val="TableBody"/>
              <w:rPr>
                <w:rFonts w:cs="Arial"/>
                <w:szCs w:val="20"/>
              </w:rPr>
            </w:pPr>
          </w:p>
        </w:tc>
        <w:tc>
          <w:tcPr>
            <w:tcW w:w="1559" w:type="dxa"/>
            <w:vMerge/>
            <w:shd w:val="clear" w:color="auto" w:fill="auto"/>
            <w:tcMar>
              <w:top w:w="57" w:type="dxa"/>
              <w:bottom w:w="57" w:type="dxa"/>
            </w:tcMar>
            <w:vAlign w:val="center"/>
          </w:tcPr>
          <w:p w14:paraId="47F4E63E" w14:textId="77777777" w:rsidR="003B6A3C" w:rsidRPr="00097698" w:rsidRDefault="003B6A3C" w:rsidP="00BB7460">
            <w:pPr>
              <w:pStyle w:val="TableBody"/>
              <w:rPr>
                <w:rFonts w:cs="Arial"/>
                <w:szCs w:val="20"/>
              </w:rPr>
            </w:pPr>
          </w:p>
        </w:tc>
        <w:tc>
          <w:tcPr>
            <w:tcW w:w="5106" w:type="dxa"/>
            <w:shd w:val="clear" w:color="auto" w:fill="auto"/>
            <w:tcMar>
              <w:top w:w="57" w:type="dxa"/>
              <w:bottom w:w="57" w:type="dxa"/>
            </w:tcMar>
          </w:tcPr>
          <w:p w14:paraId="1931AADF" w14:textId="30E2C712" w:rsidR="003B6A3C" w:rsidRPr="00097698" w:rsidRDefault="00C879A6" w:rsidP="00BB7460">
            <w:pPr>
              <w:pStyle w:val="TableBody"/>
              <w:rPr>
                <w:rFonts w:cs="Arial"/>
                <w:szCs w:val="20"/>
              </w:rPr>
            </w:pPr>
            <w:r>
              <w:rPr>
                <w:rFonts w:cs="Arial"/>
                <w:szCs w:val="20"/>
              </w:rPr>
              <w:t>Television broadcasters</w:t>
            </w:r>
          </w:p>
        </w:tc>
      </w:tr>
      <w:tr w:rsidR="00D00DD2" w14:paraId="48FAA627" w14:textId="77777777" w:rsidTr="00D81094">
        <w:trPr>
          <w:trHeight w:val="147"/>
        </w:trPr>
        <w:tc>
          <w:tcPr>
            <w:tcW w:w="2124" w:type="dxa"/>
            <w:vMerge/>
            <w:shd w:val="clear" w:color="auto" w:fill="auto"/>
            <w:tcMar>
              <w:top w:w="57" w:type="dxa"/>
              <w:bottom w:w="57" w:type="dxa"/>
            </w:tcMar>
            <w:vAlign w:val="center"/>
          </w:tcPr>
          <w:p w14:paraId="4637AE8B" w14:textId="77777777" w:rsidR="00D00DD2" w:rsidRPr="00097698" w:rsidRDefault="00D00DD2" w:rsidP="00BB7460">
            <w:pPr>
              <w:pStyle w:val="TableBody"/>
              <w:rPr>
                <w:rFonts w:cs="Arial"/>
                <w:szCs w:val="20"/>
              </w:rPr>
            </w:pPr>
          </w:p>
        </w:tc>
        <w:tc>
          <w:tcPr>
            <w:tcW w:w="1559" w:type="dxa"/>
            <w:shd w:val="clear" w:color="auto" w:fill="auto"/>
            <w:tcMar>
              <w:top w:w="57" w:type="dxa"/>
              <w:bottom w:w="57" w:type="dxa"/>
            </w:tcMar>
            <w:vAlign w:val="center"/>
          </w:tcPr>
          <w:p w14:paraId="612FECBA" w14:textId="2BD67395" w:rsidR="00D00DD2" w:rsidRPr="0071652B" w:rsidRDefault="00D45FEA" w:rsidP="00BB7460">
            <w:pPr>
              <w:pStyle w:val="TableBody"/>
              <w:rPr>
                <w:rFonts w:cs="Arial"/>
                <w:szCs w:val="20"/>
              </w:rPr>
            </w:pPr>
            <w:r>
              <w:rPr>
                <w:rFonts w:cs="Arial"/>
                <w:szCs w:val="20"/>
              </w:rPr>
              <w:t>Device</w:t>
            </w:r>
            <w:r w:rsidRPr="0071652B">
              <w:rPr>
                <w:rFonts w:cs="Arial"/>
                <w:szCs w:val="20"/>
              </w:rPr>
              <w:t xml:space="preserve"> </w:t>
            </w:r>
            <w:r w:rsidR="00D00DD2" w:rsidRPr="0071652B">
              <w:rPr>
                <w:rFonts w:cs="Arial"/>
                <w:szCs w:val="20"/>
              </w:rPr>
              <w:t>testing</w:t>
            </w:r>
          </w:p>
        </w:tc>
        <w:tc>
          <w:tcPr>
            <w:tcW w:w="5106" w:type="dxa"/>
            <w:shd w:val="clear" w:color="auto" w:fill="auto"/>
            <w:tcMar>
              <w:top w:w="57" w:type="dxa"/>
              <w:bottom w:w="57" w:type="dxa"/>
            </w:tcMar>
          </w:tcPr>
          <w:p w14:paraId="06997A6F" w14:textId="2AB0D7E3" w:rsidR="00D00DD2" w:rsidRPr="0071652B" w:rsidRDefault="00D00DD2" w:rsidP="00BB7460">
            <w:pPr>
              <w:pStyle w:val="TableBody"/>
              <w:rPr>
                <w:rFonts w:cs="Arial"/>
                <w:szCs w:val="20"/>
              </w:rPr>
            </w:pPr>
            <w:r w:rsidRPr="0071652B">
              <w:rPr>
                <w:rFonts w:cs="Arial"/>
                <w:szCs w:val="20"/>
              </w:rPr>
              <w:t>Federal/state police forces</w:t>
            </w:r>
          </w:p>
        </w:tc>
      </w:tr>
      <w:tr w:rsidR="00A51603" w14:paraId="628C84CC" w14:textId="77777777" w:rsidTr="00D81094">
        <w:tc>
          <w:tcPr>
            <w:tcW w:w="2124" w:type="dxa"/>
            <w:vMerge/>
            <w:shd w:val="clear" w:color="auto" w:fill="auto"/>
            <w:tcMar>
              <w:top w:w="57" w:type="dxa"/>
              <w:bottom w:w="57" w:type="dxa"/>
            </w:tcMar>
            <w:vAlign w:val="center"/>
          </w:tcPr>
          <w:p w14:paraId="623019D9" w14:textId="77777777" w:rsidR="00A51603" w:rsidRPr="00097698" w:rsidRDefault="00A51603" w:rsidP="00BB7460">
            <w:pPr>
              <w:pStyle w:val="TableBody"/>
              <w:rPr>
                <w:rFonts w:cs="Arial"/>
                <w:szCs w:val="20"/>
              </w:rPr>
            </w:pPr>
          </w:p>
        </w:tc>
        <w:tc>
          <w:tcPr>
            <w:tcW w:w="1559" w:type="dxa"/>
            <w:vMerge w:val="restart"/>
            <w:shd w:val="clear" w:color="auto" w:fill="auto"/>
            <w:tcMar>
              <w:top w:w="57" w:type="dxa"/>
              <w:bottom w:w="57" w:type="dxa"/>
            </w:tcMar>
            <w:vAlign w:val="center"/>
          </w:tcPr>
          <w:p w14:paraId="6A5C77DD" w14:textId="77777777" w:rsidR="00A51603" w:rsidRPr="00097698" w:rsidRDefault="00A51603" w:rsidP="00BB7460">
            <w:pPr>
              <w:pStyle w:val="TableBody"/>
              <w:rPr>
                <w:rFonts w:cs="Arial"/>
                <w:szCs w:val="20"/>
              </w:rPr>
            </w:pPr>
            <w:r w:rsidRPr="00097698">
              <w:rPr>
                <w:rFonts w:cs="Arial"/>
                <w:szCs w:val="20"/>
              </w:rPr>
              <w:t xml:space="preserve">Examinations </w:t>
            </w:r>
          </w:p>
        </w:tc>
        <w:tc>
          <w:tcPr>
            <w:tcW w:w="5106" w:type="dxa"/>
            <w:shd w:val="clear" w:color="auto" w:fill="auto"/>
            <w:tcMar>
              <w:top w:w="57" w:type="dxa"/>
              <w:bottom w:w="57" w:type="dxa"/>
            </w:tcMar>
          </w:tcPr>
          <w:p w14:paraId="786F57E9" w14:textId="77777777" w:rsidR="00A51603" w:rsidRPr="00097698" w:rsidRDefault="00A51603" w:rsidP="00BB7460">
            <w:pPr>
              <w:pStyle w:val="TableBody"/>
              <w:rPr>
                <w:rFonts w:cs="Arial"/>
                <w:szCs w:val="20"/>
              </w:rPr>
            </w:pPr>
            <w:r w:rsidRPr="00097698">
              <w:rPr>
                <w:rFonts w:cs="Arial"/>
                <w:szCs w:val="20"/>
              </w:rPr>
              <w:t>Amateur radio operators</w:t>
            </w:r>
          </w:p>
        </w:tc>
      </w:tr>
      <w:tr w:rsidR="00A51603" w14:paraId="45086CE5" w14:textId="77777777" w:rsidTr="00D81094">
        <w:tc>
          <w:tcPr>
            <w:tcW w:w="2124" w:type="dxa"/>
            <w:vMerge/>
            <w:shd w:val="clear" w:color="auto" w:fill="auto"/>
            <w:tcMar>
              <w:top w:w="57" w:type="dxa"/>
              <w:bottom w:w="57" w:type="dxa"/>
            </w:tcMar>
            <w:vAlign w:val="center"/>
          </w:tcPr>
          <w:p w14:paraId="43CF6964"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vAlign w:val="center"/>
          </w:tcPr>
          <w:p w14:paraId="070AEEA8"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497267E4" w14:textId="77777777" w:rsidR="00A51603" w:rsidRPr="00097698" w:rsidRDefault="00A51603" w:rsidP="00BB7460">
            <w:pPr>
              <w:pStyle w:val="TableBody"/>
              <w:rPr>
                <w:rFonts w:cs="Arial"/>
                <w:szCs w:val="20"/>
              </w:rPr>
            </w:pPr>
            <w:r w:rsidRPr="00097698">
              <w:rPr>
                <w:rFonts w:cs="Arial"/>
                <w:szCs w:val="20"/>
              </w:rPr>
              <w:t>Marine radio operators</w:t>
            </w:r>
          </w:p>
        </w:tc>
      </w:tr>
      <w:tr w:rsidR="00A51603" w14:paraId="3EC625BA" w14:textId="77777777" w:rsidTr="00D81094">
        <w:tc>
          <w:tcPr>
            <w:tcW w:w="2124" w:type="dxa"/>
            <w:vMerge/>
            <w:shd w:val="clear" w:color="auto" w:fill="auto"/>
            <w:tcMar>
              <w:top w:w="57" w:type="dxa"/>
              <w:bottom w:w="57" w:type="dxa"/>
            </w:tcMar>
            <w:vAlign w:val="center"/>
          </w:tcPr>
          <w:p w14:paraId="6F466993" w14:textId="77777777" w:rsidR="00A51603" w:rsidRPr="00097698" w:rsidRDefault="00A51603" w:rsidP="00BB7460">
            <w:pPr>
              <w:pStyle w:val="TableBody"/>
              <w:rPr>
                <w:rFonts w:cs="Arial"/>
                <w:szCs w:val="20"/>
              </w:rPr>
            </w:pPr>
          </w:p>
        </w:tc>
        <w:tc>
          <w:tcPr>
            <w:tcW w:w="1559" w:type="dxa"/>
            <w:vMerge w:val="restart"/>
            <w:shd w:val="clear" w:color="auto" w:fill="auto"/>
            <w:tcMar>
              <w:top w:w="57" w:type="dxa"/>
              <w:bottom w:w="57" w:type="dxa"/>
            </w:tcMar>
            <w:vAlign w:val="center"/>
          </w:tcPr>
          <w:p w14:paraId="7B4D2B2D" w14:textId="77777777" w:rsidR="00A51603" w:rsidRPr="00097698" w:rsidRDefault="00A51603" w:rsidP="00BB7460">
            <w:pPr>
              <w:pStyle w:val="TableBody"/>
              <w:rPr>
                <w:rFonts w:cs="Arial"/>
                <w:szCs w:val="20"/>
              </w:rPr>
            </w:pPr>
            <w:r w:rsidRPr="00097698">
              <w:rPr>
                <w:rFonts w:cs="Arial"/>
                <w:szCs w:val="20"/>
              </w:rPr>
              <w:t>Other services</w:t>
            </w:r>
          </w:p>
        </w:tc>
        <w:tc>
          <w:tcPr>
            <w:tcW w:w="5106" w:type="dxa"/>
            <w:shd w:val="clear" w:color="auto" w:fill="auto"/>
            <w:tcMar>
              <w:top w:w="57" w:type="dxa"/>
              <w:bottom w:w="57" w:type="dxa"/>
            </w:tcMar>
          </w:tcPr>
          <w:p w14:paraId="5A7E6A70" w14:textId="77777777" w:rsidR="00A51603" w:rsidRPr="00097698" w:rsidRDefault="00A51603" w:rsidP="00BB7460">
            <w:pPr>
              <w:pStyle w:val="TableBody"/>
              <w:rPr>
                <w:rFonts w:cs="Arial"/>
                <w:szCs w:val="20"/>
              </w:rPr>
            </w:pPr>
            <w:r w:rsidRPr="00097698">
              <w:rPr>
                <w:rFonts w:cs="Arial"/>
                <w:szCs w:val="20"/>
              </w:rPr>
              <w:t>Satellite operators</w:t>
            </w:r>
          </w:p>
        </w:tc>
      </w:tr>
      <w:tr w:rsidR="00A51603" w14:paraId="7F37E7D0" w14:textId="77777777" w:rsidTr="00D81094">
        <w:tc>
          <w:tcPr>
            <w:tcW w:w="2124" w:type="dxa"/>
            <w:vMerge/>
            <w:shd w:val="clear" w:color="auto" w:fill="auto"/>
            <w:tcMar>
              <w:top w:w="57" w:type="dxa"/>
              <w:bottom w:w="57" w:type="dxa"/>
            </w:tcMar>
          </w:tcPr>
          <w:p w14:paraId="52A21EA5"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tcPr>
          <w:p w14:paraId="307E841F"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009F6D7C" w14:textId="77777777" w:rsidR="00A51603" w:rsidRPr="00097698" w:rsidRDefault="00A51603" w:rsidP="00BB7460">
            <w:pPr>
              <w:pStyle w:val="TableBody"/>
              <w:rPr>
                <w:rFonts w:cs="Arial"/>
                <w:szCs w:val="20"/>
              </w:rPr>
            </w:pPr>
            <w:r w:rsidRPr="00097698">
              <w:rPr>
                <w:rFonts w:cs="Arial"/>
                <w:szCs w:val="20"/>
              </w:rPr>
              <w:t>Australian search and rescue service</w:t>
            </w:r>
          </w:p>
        </w:tc>
      </w:tr>
      <w:tr w:rsidR="00A51603" w14:paraId="7F92B540" w14:textId="77777777" w:rsidTr="00D81094">
        <w:tc>
          <w:tcPr>
            <w:tcW w:w="2124" w:type="dxa"/>
            <w:vMerge/>
            <w:shd w:val="clear" w:color="auto" w:fill="auto"/>
            <w:tcMar>
              <w:top w:w="57" w:type="dxa"/>
              <w:bottom w:w="57" w:type="dxa"/>
            </w:tcMar>
          </w:tcPr>
          <w:p w14:paraId="1EC5187E"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tcPr>
          <w:p w14:paraId="0A495771"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3AAC5056" w14:textId="77777777" w:rsidR="00A51603" w:rsidRPr="00097698" w:rsidRDefault="00A51603" w:rsidP="00BB7460">
            <w:pPr>
              <w:pStyle w:val="TableBody"/>
              <w:rPr>
                <w:rFonts w:cs="Arial"/>
                <w:szCs w:val="20"/>
              </w:rPr>
            </w:pPr>
            <w:r w:rsidRPr="00097698">
              <w:rPr>
                <w:rFonts w:cs="Arial"/>
                <w:szCs w:val="20"/>
              </w:rPr>
              <w:t>Commercial and community organisations</w:t>
            </w:r>
          </w:p>
        </w:tc>
      </w:tr>
      <w:tr w:rsidR="00A51603" w14:paraId="4105A881" w14:textId="77777777" w:rsidTr="00D81094">
        <w:tc>
          <w:tcPr>
            <w:tcW w:w="2124" w:type="dxa"/>
            <w:vMerge/>
            <w:tcBorders>
              <w:bottom w:val="single" w:sz="2" w:space="0" w:color="000000" w:themeColor="text1"/>
            </w:tcBorders>
            <w:shd w:val="clear" w:color="auto" w:fill="auto"/>
            <w:tcMar>
              <w:top w:w="57" w:type="dxa"/>
              <w:bottom w:w="57" w:type="dxa"/>
            </w:tcMar>
          </w:tcPr>
          <w:p w14:paraId="3A40596D" w14:textId="77777777" w:rsidR="00A51603" w:rsidRPr="00097698" w:rsidRDefault="00A51603" w:rsidP="00BB7460">
            <w:pPr>
              <w:pStyle w:val="TableBody"/>
              <w:rPr>
                <w:rFonts w:cs="Arial"/>
                <w:szCs w:val="20"/>
              </w:rPr>
            </w:pPr>
          </w:p>
        </w:tc>
        <w:tc>
          <w:tcPr>
            <w:tcW w:w="1559" w:type="dxa"/>
            <w:vMerge/>
            <w:tcBorders>
              <w:bottom w:val="single" w:sz="2" w:space="0" w:color="000000" w:themeColor="text1"/>
            </w:tcBorders>
            <w:shd w:val="clear" w:color="auto" w:fill="auto"/>
            <w:tcMar>
              <w:top w:w="57" w:type="dxa"/>
              <w:bottom w:w="57" w:type="dxa"/>
            </w:tcMar>
          </w:tcPr>
          <w:p w14:paraId="51B38A21" w14:textId="77777777" w:rsidR="00A51603" w:rsidRPr="00097698" w:rsidRDefault="00A51603" w:rsidP="00BB7460">
            <w:pPr>
              <w:pStyle w:val="TableBody"/>
              <w:rPr>
                <w:rFonts w:cs="Arial"/>
                <w:szCs w:val="20"/>
              </w:rPr>
            </w:pPr>
          </w:p>
        </w:tc>
        <w:tc>
          <w:tcPr>
            <w:tcW w:w="5106" w:type="dxa"/>
            <w:tcBorders>
              <w:bottom w:val="single" w:sz="2" w:space="0" w:color="000000" w:themeColor="text1"/>
            </w:tcBorders>
            <w:shd w:val="clear" w:color="auto" w:fill="auto"/>
            <w:tcMar>
              <w:top w:w="57" w:type="dxa"/>
              <w:bottom w:w="57" w:type="dxa"/>
            </w:tcMar>
          </w:tcPr>
          <w:p w14:paraId="6FC70487" w14:textId="77777777" w:rsidR="00A51603" w:rsidRPr="00097698" w:rsidRDefault="00A51603" w:rsidP="00BB7460">
            <w:pPr>
              <w:pStyle w:val="TableBody"/>
              <w:rPr>
                <w:rFonts w:cs="Arial"/>
                <w:szCs w:val="20"/>
              </w:rPr>
            </w:pPr>
            <w:r w:rsidRPr="00097698">
              <w:rPr>
                <w:rFonts w:cs="Arial"/>
                <w:szCs w:val="20"/>
              </w:rPr>
              <w:t>Individuals</w:t>
            </w:r>
          </w:p>
        </w:tc>
      </w:tr>
      <w:tr w:rsidR="00A51603" w14:paraId="1D9B5321" w14:textId="77777777" w:rsidTr="00D81094">
        <w:tc>
          <w:tcPr>
            <w:tcW w:w="2124" w:type="dxa"/>
            <w:vMerge w:val="restart"/>
            <w:shd w:val="clear" w:color="auto" w:fill="auto"/>
            <w:tcMar>
              <w:top w:w="57" w:type="dxa"/>
              <w:bottom w:w="57" w:type="dxa"/>
            </w:tcMar>
            <w:vAlign w:val="center"/>
          </w:tcPr>
          <w:p w14:paraId="111E2147" w14:textId="77777777" w:rsidR="00A51603" w:rsidRPr="00097698" w:rsidRDefault="00A51603" w:rsidP="00BB7460">
            <w:pPr>
              <w:pStyle w:val="TableBody"/>
              <w:rPr>
                <w:rFonts w:cs="Arial"/>
                <w:szCs w:val="20"/>
              </w:rPr>
            </w:pPr>
            <w:r w:rsidRPr="00097698">
              <w:rPr>
                <w:rFonts w:cs="Arial"/>
                <w:szCs w:val="20"/>
              </w:rPr>
              <w:t>Telecommunications</w:t>
            </w:r>
          </w:p>
        </w:tc>
        <w:tc>
          <w:tcPr>
            <w:tcW w:w="1559" w:type="dxa"/>
            <w:vMerge w:val="restart"/>
            <w:shd w:val="clear" w:color="auto" w:fill="auto"/>
            <w:tcMar>
              <w:top w:w="57" w:type="dxa"/>
              <w:bottom w:w="57" w:type="dxa"/>
            </w:tcMar>
          </w:tcPr>
          <w:p w14:paraId="4BEF4E0D"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36921779" w14:textId="77777777" w:rsidR="00A51603" w:rsidRPr="00097698" w:rsidRDefault="00A51603" w:rsidP="00BB7460">
            <w:pPr>
              <w:pStyle w:val="TableBody"/>
              <w:rPr>
                <w:rFonts w:cs="Arial"/>
                <w:szCs w:val="20"/>
              </w:rPr>
            </w:pPr>
            <w:r w:rsidRPr="00097698">
              <w:rPr>
                <w:rFonts w:cs="Arial"/>
                <w:szCs w:val="20"/>
              </w:rPr>
              <w:t>Telecommunications carriers</w:t>
            </w:r>
          </w:p>
        </w:tc>
      </w:tr>
      <w:tr w:rsidR="00A51603" w14:paraId="66C90629" w14:textId="77777777" w:rsidTr="00D81094">
        <w:trPr>
          <w:trHeight w:val="85"/>
        </w:trPr>
        <w:tc>
          <w:tcPr>
            <w:tcW w:w="2124" w:type="dxa"/>
            <w:vMerge/>
            <w:shd w:val="clear" w:color="auto" w:fill="auto"/>
            <w:tcMar>
              <w:top w:w="57" w:type="dxa"/>
              <w:bottom w:w="57" w:type="dxa"/>
            </w:tcMar>
          </w:tcPr>
          <w:p w14:paraId="6AD0C81E" w14:textId="77777777" w:rsidR="00A51603" w:rsidRPr="00097698" w:rsidRDefault="00A51603" w:rsidP="00BB7460">
            <w:pPr>
              <w:pStyle w:val="TableBody"/>
              <w:rPr>
                <w:rFonts w:cs="Arial"/>
                <w:szCs w:val="20"/>
              </w:rPr>
            </w:pPr>
          </w:p>
        </w:tc>
        <w:tc>
          <w:tcPr>
            <w:tcW w:w="1559" w:type="dxa"/>
            <w:vMerge/>
            <w:shd w:val="clear" w:color="auto" w:fill="auto"/>
            <w:tcMar>
              <w:top w:w="57" w:type="dxa"/>
              <w:bottom w:w="57" w:type="dxa"/>
            </w:tcMar>
          </w:tcPr>
          <w:p w14:paraId="669A0A67" w14:textId="77777777" w:rsidR="00A51603" w:rsidRPr="00097698" w:rsidRDefault="00A51603" w:rsidP="00BB7460">
            <w:pPr>
              <w:pStyle w:val="TableBody"/>
              <w:rPr>
                <w:rFonts w:cs="Arial"/>
                <w:szCs w:val="20"/>
              </w:rPr>
            </w:pPr>
          </w:p>
        </w:tc>
        <w:tc>
          <w:tcPr>
            <w:tcW w:w="5106" w:type="dxa"/>
            <w:shd w:val="clear" w:color="auto" w:fill="auto"/>
            <w:tcMar>
              <w:top w:w="57" w:type="dxa"/>
              <w:bottom w:w="57" w:type="dxa"/>
            </w:tcMar>
          </w:tcPr>
          <w:p w14:paraId="3E8DF3A6" w14:textId="1AC26039" w:rsidR="00A51603" w:rsidRPr="00097698" w:rsidRDefault="00A51603" w:rsidP="00BB7460">
            <w:pPr>
              <w:pStyle w:val="TableBody"/>
              <w:rPr>
                <w:rFonts w:cs="Arial"/>
                <w:szCs w:val="20"/>
              </w:rPr>
            </w:pPr>
            <w:r w:rsidRPr="00097698">
              <w:rPr>
                <w:rFonts w:cs="Arial"/>
                <w:szCs w:val="20"/>
              </w:rPr>
              <w:t>Telecommunications carriage service providers</w:t>
            </w:r>
            <w:r w:rsidR="00B7586B">
              <w:rPr>
                <w:rFonts w:cs="Arial"/>
                <w:szCs w:val="20"/>
              </w:rPr>
              <w:t xml:space="preserve"> </w:t>
            </w:r>
          </w:p>
        </w:tc>
      </w:tr>
      <w:tr w:rsidR="006B2F34" w14:paraId="551C7EA0" w14:textId="77777777" w:rsidTr="00D81094">
        <w:trPr>
          <w:trHeight w:val="210"/>
        </w:trPr>
        <w:tc>
          <w:tcPr>
            <w:tcW w:w="2124" w:type="dxa"/>
            <w:vMerge w:val="restart"/>
            <w:shd w:val="clear" w:color="auto" w:fill="auto"/>
            <w:tcMar>
              <w:top w:w="57" w:type="dxa"/>
              <w:bottom w:w="57" w:type="dxa"/>
            </w:tcMar>
            <w:vAlign w:val="center"/>
          </w:tcPr>
          <w:p w14:paraId="48FE5173" w14:textId="77777777" w:rsidR="006B2F34" w:rsidRPr="00097698" w:rsidRDefault="006B2F34" w:rsidP="00BB7460">
            <w:pPr>
              <w:pStyle w:val="TableBody"/>
              <w:rPr>
                <w:rFonts w:cs="Arial"/>
                <w:szCs w:val="20"/>
              </w:rPr>
            </w:pPr>
            <w:r w:rsidRPr="00097698">
              <w:rPr>
                <w:rFonts w:cs="Arial"/>
                <w:szCs w:val="20"/>
              </w:rPr>
              <w:t>Broadcasting services</w:t>
            </w:r>
          </w:p>
        </w:tc>
        <w:tc>
          <w:tcPr>
            <w:tcW w:w="1559" w:type="dxa"/>
            <w:vMerge w:val="restart"/>
            <w:shd w:val="clear" w:color="auto" w:fill="auto"/>
            <w:tcMar>
              <w:top w:w="57" w:type="dxa"/>
              <w:bottom w:w="57" w:type="dxa"/>
            </w:tcMar>
          </w:tcPr>
          <w:p w14:paraId="5F877A99" w14:textId="77777777" w:rsidR="006B2F34" w:rsidRPr="00097698" w:rsidRDefault="006B2F34" w:rsidP="00BB7460">
            <w:pPr>
              <w:pStyle w:val="TableBody"/>
              <w:rPr>
                <w:rFonts w:cs="Arial"/>
                <w:szCs w:val="20"/>
              </w:rPr>
            </w:pPr>
          </w:p>
        </w:tc>
        <w:tc>
          <w:tcPr>
            <w:tcW w:w="5106" w:type="dxa"/>
            <w:shd w:val="clear" w:color="auto" w:fill="auto"/>
            <w:tcMar>
              <w:top w:w="57" w:type="dxa"/>
              <w:bottom w:w="57" w:type="dxa"/>
            </w:tcMar>
          </w:tcPr>
          <w:p w14:paraId="6B7726E8" w14:textId="77777777" w:rsidR="006B2F34" w:rsidRPr="00097698" w:rsidRDefault="006B2F34" w:rsidP="00BB7460">
            <w:pPr>
              <w:pStyle w:val="TableBody"/>
              <w:rPr>
                <w:rFonts w:cs="Arial"/>
                <w:szCs w:val="20"/>
              </w:rPr>
            </w:pPr>
            <w:r w:rsidRPr="00097698">
              <w:rPr>
                <w:rFonts w:cs="Arial"/>
                <w:szCs w:val="20"/>
              </w:rPr>
              <w:t xml:space="preserve">Commercial broadcasters </w:t>
            </w:r>
          </w:p>
        </w:tc>
      </w:tr>
      <w:tr w:rsidR="006B2F34" w14:paraId="7331798D" w14:textId="77777777" w:rsidTr="00D81094">
        <w:tc>
          <w:tcPr>
            <w:tcW w:w="2124" w:type="dxa"/>
            <w:vMerge/>
            <w:shd w:val="clear" w:color="auto" w:fill="auto"/>
            <w:tcMar>
              <w:top w:w="57" w:type="dxa"/>
              <w:bottom w:w="57" w:type="dxa"/>
            </w:tcMar>
          </w:tcPr>
          <w:p w14:paraId="4132B324" w14:textId="77777777" w:rsidR="006B2F34" w:rsidRPr="00097698" w:rsidRDefault="006B2F34" w:rsidP="00BB7460">
            <w:pPr>
              <w:pStyle w:val="TableBody"/>
              <w:rPr>
                <w:szCs w:val="20"/>
              </w:rPr>
            </w:pPr>
          </w:p>
        </w:tc>
        <w:tc>
          <w:tcPr>
            <w:tcW w:w="1559" w:type="dxa"/>
            <w:vMerge/>
            <w:shd w:val="clear" w:color="auto" w:fill="auto"/>
            <w:tcMar>
              <w:top w:w="57" w:type="dxa"/>
              <w:bottom w:w="57" w:type="dxa"/>
            </w:tcMar>
          </w:tcPr>
          <w:p w14:paraId="510F3EF3" w14:textId="77777777" w:rsidR="006B2F34" w:rsidRPr="00097698" w:rsidRDefault="006B2F34" w:rsidP="00BB7460">
            <w:pPr>
              <w:pStyle w:val="TableBody"/>
              <w:rPr>
                <w:szCs w:val="20"/>
              </w:rPr>
            </w:pPr>
          </w:p>
        </w:tc>
        <w:tc>
          <w:tcPr>
            <w:tcW w:w="5106" w:type="dxa"/>
            <w:shd w:val="clear" w:color="auto" w:fill="auto"/>
            <w:tcMar>
              <w:top w:w="57" w:type="dxa"/>
              <w:bottom w:w="57" w:type="dxa"/>
            </w:tcMar>
          </w:tcPr>
          <w:p w14:paraId="50EEC612" w14:textId="77777777" w:rsidR="006B2F34" w:rsidRPr="00097698" w:rsidRDefault="006B2F34" w:rsidP="00BB7460">
            <w:pPr>
              <w:pStyle w:val="TableBody"/>
              <w:rPr>
                <w:szCs w:val="20"/>
              </w:rPr>
            </w:pPr>
            <w:r w:rsidRPr="00097698">
              <w:rPr>
                <w:szCs w:val="20"/>
              </w:rPr>
              <w:t>Community broadcasters</w:t>
            </w:r>
          </w:p>
        </w:tc>
      </w:tr>
      <w:tr w:rsidR="006B2F34" w14:paraId="4D8001C1" w14:textId="77777777" w:rsidTr="00D81094">
        <w:tc>
          <w:tcPr>
            <w:tcW w:w="2124" w:type="dxa"/>
            <w:vMerge/>
            <w:shd w:val="clear" w:color="auto" w:fill="auto"/>
            <w:tcMar>
              <w:top w:w="57" w:type="dxa"/>
              <w:bottom w:w="57" w:type="dxa"/>
            </w:tcMar>
          </w:tcPr>
          <w:p w14:paraId="0D94709D" w14:textId="77777777" w:rsidR="006B2F34" w:rsidRPr="00097698" w:rsidRDefault="006B2F34" w:rsidP="00BB7460">
            <w:pPr>
              <w:pStyle w:val="TableBody"/>
              <w:rPr>
                <w:szCs w:val="20"/>
              </w:rPr>
            </w:pPr>
          </w:p>
        </w:tc>
        <w:tc>
          <w:tcPr>
            <w:tcW w:w="1559" w:type="dxa"/>
            <w:vMerge/>
            <w:shd w:val="clear" w:color="auto" w:fill="auto"/>
            <w:tcMar>
              <w:top w:w="57" w:type="dxa"/>
              <w:bottom w:w="57" w:type="dxa"/>
            </w:tcMar>
          </w:tcPr>
          <w:p w14:paraId="12B0FE5F" w14:textId="77777777" w:rsidR="006B2F34" w:rsidRPr="00097698" w:rsidRDefault="006B2F34" w:rsidP="00BB7460">
            <w:pPr>
              <w:pStyle w:val="TableBody"/>
              <w:rPr>
                <w:szCs w:val="20"/>
              </w:rPr>
            </w:pPr>
          </w:p>
        </w:tc>
        <w:tc>
          <w:tcPr>
            <w:tcW w:w="5106" w:type="dxa"/>
            <w:shd w:val="clear" w:color="auto" w:fill="auto"/>
            <w:tcMar>
              <w:top w:w="57" w:type="dxa"/>
              <w:bottom w:w="57" w:type="dxa"/>
            </w:tcMar>
          </w:tcPr>
          <w:p w14:paraId="2B1B32FE" w14:textId="3CCDFD24" w:rsidR="006B2F34" w:rsidRPr="00097698" w:rsidRDefault="006B2F34" w:rsidP="00BB7460">
            <w:pPr>
              <w:pStyle w:val="TableBody"/>
              <w:rPr>
                <w:szCs w:val="20"/>
              </w:rPr>
            </w:pPr>
            <w:r>
              <w:rPr>
                <w:szCs w:val="20"/>
              </w:rPr>
              <w:t>National broadcasters</w:t>
            </w:r>
          </w:p>
        </w:tc>
      </w:tr>
    </w:tbl>
    <w:p w14:paraId="2711BF8F" w14:textId="37C2B5F8" w:rsidR="00504BF3" w:rsidRPr="00631B35" w:rsidRDefault="00504BF3" w:rsidP="00097698">
      <w:pPr>
        <w:pStyle w:val="Heading1"/>
      </w:pPr>
      <w:bookmarkStart w:id="21" w:name="_2._Policy_and"/>
      <w:bookmarkStart w:id="22" w:name="_Toc400965215"/>
      <w:bookmarkStart w:id="23" w:name="_Toc107236626"/>
      <w:bookmarkStart w:id="24" w:name="_Toc135817036"/>
      <w:bookmarkStart w:id="25" w:name="_Toc143267698"/>
      <w:bookmarkEnd w:id="21"/>
      <w:r w:rsidRPr="00631B35">
        <w:lastRenderedPageBreak/>
        <w:t>2.</w:t>
      </w:r>
      <w:r w:rsidRPr="00631B35">
        <w:tab/>
        <w:t>Policy and statutory authority to</w:t>
      </w:r>
      <w:r w:rsidR="00937348" w:rsidRPr="00631B35">
        <w:t xml:space="preserve"> </w:t>
      </w:r>
      <w:r w:rsidRPr="00631B35">
        <w:t>cost recover</w:t>
      </w:r>
      <w:bookmarkEnd w:id="22"/>
      <w:bookmarkEnd w:id="23"/>
      <w:bookmarkEnd w:id="24"/>
      <w:bookmarkEnd w:id="25"/>
    </w:p>
    <w:p w14:paraId="6EEE8BC4" w14:textId="1C152A66" w:rsidR="00504BF3" w:rsidRPr="00DF1CB8" w:rsidRDefault="00504BF3" w:rsidP="00504BF3">
      <w:pPr>
        <w:pStyle w:val="Heading2"/>
      </w:pPr>
      <w:bookmarkStart w:id="26" w:name="_2.1_Government_policy"/>
      <w:bookmarkStart w:id="27" w:name="_Toc400965216"/>
      <w:bookmarkStart w:id="28" w:name="_Toc107236627"/>
      <w:bookmarkStart w:id="29" w:name="_Toc135817037"/>
      <w:bookmarkStart w:id="30" w:name="_Toc143267699"/>
      <w:bookmarkEnd w:id="26"/>
      <w:r w:rsidRPr="00DF1CB8">
        <w:t>2.1</w:t>
      </w:r>
      <w:r w:rsidRPr="00DF1CB8">
        <w:tab/>
        <w:t xml:space="preserve">Government policy approval to </w:t>
      </w:r>
      <w:bookmarkEnd w:id="27"/>
      <w:r w:rsidR="00704415">
        <w:t>charge</w:t>
      </w:r>
      <w:bookmarkEnd w:id="28"/>
      <w:bookmarkEnd w:id="29"/>
      <w:bookmarkEnd w:id="30"/>
    </w:p>
    <w:p w14:paraId="5017FCC0" w14:textId="3386B0BE" w:rsidR="007D69B0" w:rsidRPr="00031E88" w:rsidRDefault="5AD8C99E" w:rsidP="00504BF3">
      <w:pPr>
        <w:rPr>
          <w:rFonts w:cs="Arial"/>
        </w:rPr>
      </w:pPr>
      <w:r w:rsidRPr="0A01FD67">
        <w:rPr>
          <w:rFonts w:cs="Arial"/>
        </w:rPr>
        <w:t xml:space="preserve">As an outcome of the </w:t>
      </w:r>
      <w:r w:rsidR="21A665F2" w:rsidRPr="0A01FD67">
        <w:rPr>
          <w:rFonts w:cs="Arial"/>
        </w:rPr>
        <w:t xml:space="preserve">prior </w:t>
      </w:r>
      <w:r w:rsidR="0C073D5B" w:rsidRPr="0A01FD67">
        <w:rPr>
          <w:rFonts w:cs="Arial"/>
        </w:rPr>
        <w:t xml:space="preserve">Department of </w:t>
      </w:r>
      <w:r w:rsidRPr="0A01FD67">
        <w:rPr>
          <w:rFonts w:cs="Arial"/>
        </w:rPr>
        <w:t xml:space="preserve">Communications </w:t>
      </w:r>
      <w:r w:rsidR="0C073D5B" w:rsidRPr="0A01FD67">
        <w:rPr>
          <w:rFonts w:cs="Arial"/>
        </w:rPr>
        <w:t xml:space="preserve">and the Arts </w:t>
      </w:r>
      <w:r w:rsidRPr="0A01FD67">
        <w:rPr>
          <w:rFonts w:cs="Arial"/>
        </w:rPr>
        <w:t>Portfolio Charging Review in the 2019</w:t>
      </w:r>
      <w:r w:rsidR="21909969" w:rsidRPr="0A01FD67">
        <w:rPr>
          <w:rFonts w:cs="Arial"/>
        </w:rPr>
        <w:t>–</w:t>
      </w:r>
      <w:r w:rsidRPr="0A01FD67">
        <w:rPr>
          <w:rFonts w:cs="Arial"/>
        </w:rPr>
        <w:t xml:space="preserve">20 financial year, </w:t>
      </w:r>
      <w:r w:rsidR="0E5E99A2" w:rsidRPr="0A01FD67">
        <w:rPr>
          <w:rFonts w:cs="Arial"/>
        </w:rPr>
        <w:t xml:space="preserve">and more recently the amendments made to the </w:t>
      </w:r>
      <w:r w:rsidR="0E5E99A2" w:rsidRPr="0A01FD67">
        <w:rPr>
          <w:rFonts w:cs="Arial"/>
          <w:i/>
          <w:iCs/>
        </w:rPr>
        <w:t>Radiocommunications Act 1992</w:t>
      </w:r>
      <w:r w:rsidR="0E5E99A2" w:rsidRPr="0A01FD67">
        <w:rPr>
          <w:rFonts w:cs="Arial"/>
        </w:rPr>
        <w:t xml:space="preserve"> </w:t>
      </w:r>
      <w:r w:rsidR="008425EF">
        <w:rPr>
          <w:rFonts w:cs="Arial"/>
        </w:rPr>
        <w:t>by</w:t>
      </w:r>
      <w:r w:rsidR="0E5E99A2" w:rsidRPr="0A01FD67">
        <w:rPr>
          <w:rFonts w:cs="Arial"/>
        </w:rPr>
        <w:t xml:space="preserve"> the </w:t>
      </w:r>
      <w:r w:rsidR="0E5E99A2" w:rsidRPr="0A01FD67">
        <w:rPr>
          <w:i/>
          <w:iCs/>
        </w:rPr>
        <w:t xml:space="preserve">Radiocommunications Legislation Amendment (Reform and Modernisation) Act 2020, </w:t>
      </w:r>
      <w:r w:rsidRPr="0A01FD67">
        <w:rPr>
          <w:rFonts w:cs="Arial"/>
        </w:rPr>
        <w:t>t</w:t>
      </w:r>
      <w:r w:rsidR="71089103" w:rsidRPr="0A01FD67">
        <w:rPr>
          <w:rFonts w:cs="Arial"/>
        </w:rPr>
        <w:t xml:space="preserve">he Australian Government </w:t>
      </w:r>
      <w:r w:rsidRPr="0A01FD67">
        <w:rPr>
          <w:rFonts w:cs="Arial"/>
        </w:rPr>
        <w:t>confirmed the appropriateness of</w:t>
      </w:r>
      <w:r w:rsidR="71089103" w:rsidRPr="0A01FD67">
        <w:rPr>
          <w:rFonts w:cs="Arial"/>
        </w:rPr>
        <w:t xml:space="preserve"> the cost recovery arrangements for the </w:t>
      </w:r>
      <w:r w:rsidR="376D6B24" w:rsidRPr="0A01FD67">
        <w:rPr>
          <w:rFonts w:cs="Arial"/>
        </w:rPr>
        <w:t>fee</w:t>
      </w:r>
      <w:r w:rsidR="21909969" w:rsidRPr="0A01FD67">
        <w:rPr>
          <w:rFonts w:cs="Arial"/>
        </w:rPr>
        <w:t>-</w:t>
      </w:r>
      <w:r w:rsidR="376D6B24" w:rsidRPr="0A01FD67">
        <w:rPr>
          <w:rFonts w:cs="Arial"/>
        </w:rPr>
        <w:t>related activities</w:t>
      </w:r>
      <w:r w:rsidR="71089103" w:rsidRPr="0A01FD67">
        <w:rPr>
          <w:rFonts w:cs="Arial"/>
        </w:rPr>
        <w:t xml:space="preserve"> listed in </w:t>
      </w:r>
      <w:r w:rsidR="00540F4E">
        <w:rPr>
          <w:rFonts w:cs="Arial"/>
        </w:rPr>
        <w:t>Appendix</w:t>
      </w:r>
      <w:r w:rsidR="00540F4E" w:rsidRPr="0A01FD67">
        <w:rPr>
          <w:rFonts w:cs="Arial"/>
        </w:rPr>
        <w:t xml:space="preserve"> </w:t>
      </w:r>
      <w:r w:rsidR="71089103" w:rsidRPr="0A01FD67">
        <w:rPr>
          <w:rFonts w:cs="Arial"/>
        </w:rPr>
        <w:t>A</w:t>
      </w:r>
      <w:r w:rsidR="21909969" w:rsidRPr="0A01FD67">
        <w:rPr>
          <w:rFonts w:cs="Arial"/>
        </w:rPr>
        <w:t>.</w:t>
      </w:r>
      <w:r w:rsidR="67F5E538" w:rsidRPr="0A01FD67">
        <w:rPr>
          <w:rFonts w:cs="Arial"/>
        </w:rPr>
        <w:t xml:space="preserve"> </w:t>
      </w:r>
    </w:p>
    <w:p w14:paraId="2C2688BE" w14:textId="5AFEB6D6" w:rsidR="00504BF3" w:rsidRPr="00DF1CB8" w:rsidRDefault="00504BF3" w:rsidP="00504BF3">
      <w:pPr>
        <w:pStyle w:val="Heading2"/>
      </w:pPr>
      <w:bookmarkStart w:id="31" w:name="_2.2_Statutory_authority"/>
      <w:bookmarkStart w:id="32" w:name="_Toc400965217"/>
      <w:bookmarkStart w:id="33" w:name="_Toc107236628"/>
      <w:bookmarkStart w:id="34" w:name="_Toc135817038"/>
      <w:bookmarkStart w:id="35" w:name="_Toc143267700"/>
      <w:bookmarkEnd w:id="31"/>
      <w:r w:rsidRPr="00DF1CB8">
        <w:t>2.2</w:t>
      </w:r>
      <w:r w:rsidRPr="00DF1CB8">
        <w:tab/>
        <w:t>Statutory authority to impose cost recovery charge</w:t>
      </w:r>
      <w:bookmarkEnd w:id="32"/>
      <w:r w:rsidR="00E57139">
        <w:t>s</w:t>
      </w:r>
      <w:bookmarkEnd w:id="33"/>
      <w:bookmarkEnd w:id="34"/>
      <w:bookmarkEnd w:id="35"/>
    </w:p>
    <w:p w14:paraId="3C7A9340" w14:textId="67B845FB" w:rsidR="001D5ECD" w:rsidRDefault="00504BF3" w:rsidP="00504BF3">
      <w:pPr>
        <w:rPr>
          <w:rFonts w:cs="Arial"/>
        </w:rPr>
      </w:pPr>
      <w:r w:rsidRPr="00DF1CB8">
        <w:rPr>
          <w:rFonts w:cs="Arial"/>
        </w:rPr>
        <w:t xml:space="preserve">Under section 60 of the </w:t>
      </w:r>
      <w:r w:rsidR="0087372E">
        <w:rPr>
          <w:rFonts w:cs="Arial"/>
          <w:i/>
          <w:iCs/>
        </w:rPr>
        <w:t xml:space="preserve">Australian Communications and Media Authority Act 2005 </w:t>
      </w:r>
      <w:r w:rsidR="0087372E">
        <w:rPr>
          <w:rFonts w:cs="Arial"/>
        </w:rPr>
        <w:t>(</w:t>
      </w:r>
      <w:r w:rsidR="00BF2A72">
        <w:rPr>
          <w:rFonts w:cs="Arial"/>
        </w:rPr>
        <w:t xml:space="preserve">the </w:t>
      </w:r>
      <w:r w:rsidRPr="00DF1CB8">
        <w:rPr>
          <w:rFonts w:cs="Arial"/>
        </w:rPr>
        <w:t>ACMA Act</w:t>
      </w:r>
      <w:r w:rsidR="0087372E">
        <w:rPr>
          <w:rFonts w:cs="Arial"/>
        </w:rPr>
        <w:t>)</w:t>
      </w:r>
      <w:r w:rsidRPr="00DF1CB8">
        <w:rPr>
          <w:rFonts w:cs="Arial"/>
        </w:rPr>
        <w:t xml:space="preserve">, </w:t>
      </w:r>
      <w:r w:rsidR="00980005">
        <w:rPr>
          <w:rFonts w:cs="Arial"/>
        </w:rPr>
        <w:t xml:space="preserve">the </w:t>
      </w:r>
      <w:r w:rsidRPr="00DF1CB8">
        <w:rPr>
          <w:rFonts w:cs="Arial"/>
        </w:rPr>
        <w:t>ACMA may, by written instrument</w:t>
      </w:r>
      <w:r w:rsidR="00937348">
        <w:rPr>
          <w:rFonts w:cs="Arial"/>
        </w:rPr>
        <w:t>,</w:t>
      </w:r>
      <w:r w:rsidRPr="00DF1CB8">
        <w:rPr>
          <w:rFonts w:cs="Arial"/>
        </w:rPr>
        <w:t xml:space="preserve"> make </w:t>
      </w:r>
      <w:r w:rsidRPr="00A14A24">
        <w:rPr>
          <w:rFonts w:cs="Arial"/>
        </w:rPr>
        <w:t xml:space="preserve">determinations fixing charges for services provided by </w:t>
      </w:r>
      <w:r w:rsidR="00980005" w:rsidRPr="00A14A24">
        <w:rPr>
          <w:rFonts w:cs="Arial"/>
        </w:rPr>
        <w:t xml:space="preserve">the </w:t>
      </w:r>
      <w:r w:rsidRPr="00A14A24">
        <w:rPr>
          <w:rFonts w:cs="Arial"/>
        </w:rPr>
        <w:t xml:space="preserve">ACMA and any matter in </w:t>
      </w:r>
      <w:r w:rsidR="00763777" w:rsidRPr="00A14A24">
        <w:rPr>
          <w:rFonts w:cs="Arial"/>
        </w:rPr>
        <w:t xml:space="preserve">relation to </w:t>
      </w:r>
      <w:r w:rsidRPr="00A14A24">
        <w:rPr>
          <w:rFonts w:cs="Arial"/>
        </w:rPr>
        <w:t xml:space="preserve">which expenses are incurred by </w:t>
      </w:r>
      <w:r w:rsidR="00980005" w:rsidRPr="00A14A24">
        <w:rPr>
          <w:rFonts w:cs="Arial"/>
        </w:rPr>
        <w:t xml:space="preserve">the </w:t>
      </w:r>
      <w:r w:rsidRPr="00A14A24">
        <w:rPr>
          <w:rFonts w:cs="Arial"/>
        </w:rPr>
        <w:t xml:space="preserve">ACMA under specified pieces of legislation. Specific provisions of the </w:t>
      </w:r>
      <w:r w:rsidR="00A13668">
        <w:rPr>
          <w:rFonts w:cs="Arial"/>
          <w:i/>
          <w:iCs/>
        </w:rPr>
        <w:t>Radiocommunications Act 1992</w:t>
      </w:r>
      <w:r w:rsidR="00847590">
        <w:rPr>
          <w:rFonts w:cs="Arial"/>
        </w:rPr>
        <w:t xml:space="preserve">, </w:t>
      </w:r>
      <w:r w:rsidRPr="00A14A24">
        <w:rPr>
          <w:rFonts w:cs="Arial"/>
        </w:rPr>
        <w:t xml:space="preserve">the </w:t>
      </w:r>
      <w:r w:rsidRPr="00A14A24">
        <w:rPr>
          <w:rFonts w:cs="Arial"/>
          <w:i/>
        </w:rPr>
        <w:t>Telecommunications (Carrier Licence Charges) Act 1997</w:t>
      </w:r>
      <w:r w:rsidRPr="00A14A24">
        <w:rPr>
          <w:rFonts w:cs="Arial"/>
        </w:rPr>
        <w:t xml:space="preserve"> </w:t>
      </w:r>
      <w:r w:rsidR="00847590">
        <w:rPr>
          <w:rFonts w:cs="Arial"/>
        </w:rPr>
        <w:t xml:space="preserve">and the </w:t>
      </w:r>
      <w:r w:rsidR="00847590" w:rsidRPr="00847590">
        <w:rPr>
          <w:rFonts w:cs="Arial"/>
          <w:i/>
          <w:iCs/>
        </w:rPr>
        <w:t>Telecommunications (Numbering Charges) Act 1997</w:t>
      </w:r>
      <w:r w:rsidR="00847590">
        <w:rPr>
          <w:rFonts w:cs="Arial"/>
          <w:i/>
          <w:iCs/>
        </w:rPr>
        <w:t xml:space="preserve"> </w:t>
      </w:r>
      <w:r w:rsidRPr="00A14A24">
        <w:rPr>
          <w:rFonts w:cs="Arial"/>
        </w:rPr>
        <w:t>also empower</w:t>
      </w:r>
      <w:r w:rsidR="008D5A99">
        <w:rPr>
          <w:rFonts w:cs="Arial"/>
        </w:rPr>
        <w:t xml:space="preserve"> us </w:t>
      </w:r>
      <w:r w:rsidRPr="00A14A24">
        <w:rPr>
          <w:rFonts w:cs="Arial"/>
        </w:rPr>
        <w:t xml:space="preserve">to make instruments </w:t>
      </w:r>
      <w:r w:rsidR="00787C58">
        <w:rPr>
          <w:rFonts w:cs="Arial"/>
        </w:rPr>
        <w:t xml:space="preserve">to </w:t>
      </w:r>
      <w:r w:rsidR="00714E00" w:rsidRPr="00A14A24">
        <w:rPr>
          <w:rFonts w:cs="Arial"/>
        </w:rPr>
        <w:t>impos</w:t>
      </w:r>
      <w:r w:rsidR="00787C58">
        <w:rPr>
          <w:rFonts w:cs="Arial"/>
        </w:rPr>
        <w:t xml:space="preserve">e </w:t>
      </w:r>
      <w:r w:rsidRPr="00A14A24">
        <w:rPr>
          <w:rFonts w:cs="Arial"/>
        </w:rPr>
        <w:t xml:space="preserve">charges. </w:t>
      </w:r>
    </w:p>
    <w:p w14:paraId="64BA4611" w14:textId="5E01FD95" w:rsidR="00375497" w:rsidRPr="00B252EC" w:rsidRDefault="00965765" w:rsidP="00504BF3">
      <w:pPr>
        <w:rPr>
          <w:rFonts w:cs="Arial"/>
        </w:rPr>
      </w:pPr>
      <w:r w:rsidRPr="00B252EC">
        <w:rPr>
          <w:rFonts w:cs="Arial"/>
        </w:rPr>
        <w:t xml:space="preserve">A new amateur radio qualification framework and accreditation scheme </w:t>
      </w:r>
      <w:r w:rsidR="00432AB3" w:rsidRPr="00371B0E">
        <w:rPr>
          <w:rFonts w:cs="Arial"/>
        </w:rPr>
        <w:t>is being</w:t>
      </w:r>
      <w:r w:rsidR="007B2FC9" w:rsidRPr="00B252EC">
        <w:rPr>
          <w:rFonts w:cs="Arial"/>
        </w:rPr>
        <w:t xml:space="preserve"> developed </w:t>
      </w:r>
      <w:r w:rsidRPr="00B252EC">
        <w:rPr>
          <w:rFonts w:cs="Arial"/>
        </w:rPr>
        <w:t>to support the transition of non-assigned amateur radio licences to class licensing</w:t>
      </w:r>
      <w:r w:rsidR="003C5C96" w:rsidRPr="00B252EC">
        <w:rPr>
          <w:rFonts w:cs="Arial"/>
        </w:rPr>
        <w:t xml:space="preserve"> from February 2024.</w:t>
      </w:r>
      <w:r w:rsidRPr="00B252EC">
        <w:rPr>
          <w:rFonts w:cs="Arial"/>
        </w:rPr>
        <w:t xml:space="preserve"> </w:t>
      </w:r>
      <w:r w:rsidR="00432AB3" w:rsidRPr="00371B0E">
        <w:rPr>
          <w:rFonts w:cs="Arial"/>
        </w:rPr>
        <w:t>The current arrangements that the ACMA has with the University of Tasmania</w:t>
      </w:r>
      <w:r w:rsidR="00540F4E">
        <w:rPr>
          <w:rFonts w:cs="Arial"/>
        </w:rPr>
        <w:t>,</w:t>
      </w:r>
      <w:r w:rsidR="00432AB3" w:rsidRPr="00371B0E">
        <w:rPr>
          <w:rFonts w:cs="Arial"/>
        </w:rPr>
        <w:t xml:space="preserve"> represented by the </w:t>
      </w:r>
      <w:r w:rsidR="00432AB3" w:rsidRPr="00371B0E" w:rsidDel="00E42DD7">
        <w:rPr>
          <w:rFonts w:cs="Arial"/>
        </w:rPr>
        <w:t>Australian Maritime College (</w:t>
      </w:r>
      <w:r w:rsidR="00432AB3" w:rsidRPr="00371B0E">
        <w:rPr>
          <w:rFonts w:cs="Arial"/>
        </w:rPr>
        <w:t xml:space="preserve">AMC), </w:t>
      </w:r>
      <w:r w:rsidR="00540F4E">
        <w:rPr>
          <w:rFonts w:cs="Arial"/>
        </w:rPr>
        <w:t>to</w:t>
      </w:r>
      <w:r w:rsidR="00432AB3" w:rsidRPr="00371B0E">
        <w:rPr>
          <w:rFonts w:cs="Arial"/>
        </w:rPr>
        <w:t xml:space="preserve"> conduct amateur radio examinations and the call sign services, end on 18 February 2024.</w:t>
      </w:r>
      <w:r w:rsidRPr="00B252EC">
        <w:rPr>
          <w:rFonts w:cs="Arial"/>
        </w:rPr>
        <w:t xml:space="preserve"> </w:t>
      </w:r>
    </w:p>
    <w:p w14:paraId="34CDB31B" w14:textId="048F5CFB" w:rsidR="00707D2F" w:rsidRPr="00BF2A72" w:rsidRDefault="00E84CE2" w:rsidP="00707D2F">
      <w:pPr>
        <w:rPr>
          <w:rFonts w:cs="Arial"/>
        </w:rPr>
      </w:pPr>
      <w:r w:rsidRPr="00B252EC">
        <w:rPr>
          <w:rFonts w:cs="Arial"/>
        </w:rPr>
        <w:t xml:space="preserve">Through this CRIS, we are proposing to introduce </w:t>
      </w:r>
      <w:proofErr w:type="gramStart"/>
      <w:r w:rsidRPr="00B252EC">
        <w:rPr>
          <w:rFonts w:cs="Arial"/>
        </w:rPr>
        <w:t>a number of</w:t>
      </w:r>
      <w:proofErr w:type="gramEnd"/>
      <w:r w:rsidRPr="00B252EC">
        <w:rPr>
          <w:rFonts w:cs="Arial"/>
        </w:rPr>
        <w:t xml:space="preserve"> new fees to enable the ACMA to </w:t>
      </w:r>
      <w:r w:rsidR="00432AB3" w:rsidRPr="002265D5">
        <w:rPr>
          <w:rFonts w:cs="Arial"/>
        </w:rPr>
        <w:t xml:space="preserve">charge, on a cost recovery basis, for the provision of </w:t>
      </w:r>
      <w:r w:rsidRPr="00B252EC">
        <w:rPr>
          <w:rFonts w:cs="Arial"/>
        </w:rPr>
        <w:t xml:space="preserve">amateur radio call sign </w:t>
      </w:r>
      <w:r w:rsidR="003A11E9">
        <w:rPr>
          <w:rFonts w:cs="Arial"/>
        </w:rPr>
        <w:t xml:space="preserve">and </w:t>
      </w:r>
      <w:r w:rsidR="003A11E9" w:rsidRPr="00B252EC">
        <w:rPr>
          <w:rFonts w:cs="Arial"/>
        </w:rPr>
        <w:t xml:space="preserve">qualifications </w:t>
      </w:r>
      <w:r w:rsidRPr="00B252EC">
        <w:rPr>
          <w:rFonts w:cs="Arial"/>
        </w:rPr>
        <w:t xml:space="preserve">services, </w:t>
      </w:r>
      <w:r w:rsidR="003A11E9">
        <w:rPr>
          <w:rFonts w:cs="Arial"/>
        </w:rPr>
        <w:t>including recognition of prior learning</w:t>
      </w:r>
      <w:r w:rsidRPr="00B252EC">
        <w:rPr>
          <w:rFonts w:cs="Arial"/>
        </w:rPr>
        <w:t>, with further details provided i</w:t>
      </w:r>
      <w:r w:rsidRPr="00BF2A72">
        <w:rPr>
          <w:rFonts w:cs="Arial"/>
        </w:rPr>
        <w:t>n section</w:t>
      </w:r>
      <w:r w:rsidR="00147E70" w:rsidRPr="00BF2A72">
        <w:rPr>
          <w:rFonts w:cs="Arial"/>
        </w:rPr>
        <w:t>s</w:t>
      </w:r>
      <w:r w:rsidRPr="00BF2A72">
        <w:rPr>
          <w:rFonts w:cs="Arial"/>
        </w:rPr>
        <w:t xml:space="preserve"> 3.1.1 </w:t>
      </w:r>
      <w:r w:rsidR="00147E70" w:rsidRPr="00BF2A72">
        <w:rPr>
          <w:rFonts w:cs="Arial"/>
        </w:rPr>
        <w:t>and 3.</w:t>
      </w:r>
      <w:r w:rsidR="00B76AB3" w:rsidRPr="00BF2A72">
        <w:rPr>
          <w:rFonts w:cs="Arial"/>
        </w:rPr>
        <w:t xml:space="preserve">3.1 </w:t>
      </w:r>
      <w:r w:rsidRPr="00BF2A72">
        <w:rPr>
          <w:rFonts w:cs="Arial"/>
        </w:rPr>
        <w:t>of this CRIS.</w:t>
      </w:r>
    </w:p>
    <w:p w14:paraId="525CEE4C" w14:textId="73ACFB57" w:rsidR="00707D2F" w:rsidRDefault="00707D2F" w:rsidP="00707D2F">
      <w:pPr>
        <w:rPr>
          <w:rFonts w:cs="Arial"/>
        </w:rPr>
      </w:pPr>
      <w:r w:rsidRPr="00BF2A72">
        <w:rPr>
          <w:rFonts w:cs="Arial"/>
        </w:rPr>
        <w:t>We are also proposing to issue area-wide receive licences (AWRLs) in the upcoming allocation process of apparatus licences in the 3.8 GHz band in metropolitan and regional areas</w:t>
      </w:r>
      <w:r w:rsidR="00667D8D" w:rsidRPr="00BF2A72">
        <w:rPr>
          <w:rFonts w:cs="Arial"/>
        </w:rPr>
        <w:t xml:space="preserve">. Accordingly, we are also consulting on </w:t>
      </w:r>
      <w:r w:rsidR="00B86CA1" w:rsidRPr="00BF2A72">
        <w:rPr>
          <w:rFonts w:cs="Arial"/>
        </w:rPr>
        <w:t>the</w:t>
      </w:r>
      <w:r w:rsidR="00667D8D" w:rsidRPr="00BF2A72">
        <w:rPr>
          <w:rFonts w:cs="Arial"/>
        </w:rPr>
        <w:t xml:space="preserve"> proposed</w:t>
      </w:r>
      <w:r w:rsidRPr="00BF2A72">
        <w:rPr>
          <w:rFonts w:cs="Arial"/>
        </w:rPr>
        <w:t xml:space="preserve"> introduc</w:t>
      </w:r>
      <w:r w:rsidR="00B86CA1" w:rsidRPr="00BF2A72">
        <w:rPr>
          <w:rFonts w:cs="Arial"/>
        </w:rPr>
        <w:t>tion</w:t>
      </w:r>
      <w:r w:rsidRPr="00BF2A72">
        <w:rPr>
          <w:rFonts w:cs="Arial"/>
        </w:rPr>
        <w:t xml:space="preserve"> </w:t>
      </w:r>
      <w:r w:rsidR="00752559" w:rsidRPr="00BF2A72">
        <w:rPr>
          <w:rFonts w:cs="Arial"/>
        </w:rPr>
        <w:t>of</w:t>
      </w:r>
      <w:r w:rsidRPr="00BF2A72">
        <w:rPr>
          <w:rFonts w:cs="Arial"/>
        </w:rPr>
        <w:t xml:space="preserve"> additional charge</w:t>
      </w:r>
      <w:r w:rsidR="00667D8D" w:rsidRPr="00BF2A72">
        <w:rPr>
          <w:rFonts w:cs="Arial"/>
        </w:rPr>
        <w:t>s</w:t>
      </w:r>
      <w:r w:rsidRPr="00BF2A72">
        <w:rPr>
          <w:rFonts w:cs="Arial"/>
        </w:rPr>
        <w:t xml:space="preserve"> associated with the issue </w:t>
      </w:r>
      <w:r w:rsidR="00134D73" w:rsidRPr="00BF2A72">
        <w:rPr>
          <w:rFonts w:cs="Arial"/>
        </w:rPr>
        <w:t xml:space="preserve">and variation </w:t>
      </w:r>
      <w:r w:rsidRPr="00BF2A72">
        <w:rPr>
          <w:rFonts w:cs="Arial"/>
        </w:rPr>
        <w:t>of an AWRL. Further details are provided in section 3</w:t>
      </w:r>
      <w:r w:rsidRPr="009A6C9C">
        <w:rPr>
          <w:rFonts w:cs="Arial"/>
        </w:rPr>
        <w:t>.3.2 of this CRIS.</w:t>
      </w:r>
    </w:p>
    <w:p w14:paraId="5D58AD99" w14:textId="1B56E28D" w:rsidR="00504BF3" w:rsidRDefault="00117901" w:rsidP="00504BF3">
      <w:pPr>
        <w:rPr>
          <w:rFonts w:cs="Arial"/>
        </w:rPr>
      </w:pPr>
      <w:r w:rsidRPr="00B252EC">
        <w:rPr>
          <w:rFonts w:cs="Arial"/>
        </w:rPr>
        <w:t>These fees will be implemented through amendment</w:t>
      </w:r>
      <w:r w:rsidR="00432AB3" w:rsidRPr="002265D5">
        <w:rPr>
          <w:rFonts w:cs="Arial"/>
        </w:rPr>
        <w:t>s</w:t>
      </w:r>
      <w:r w:rsidRPr="00B252EC">
        <w:rPr>
          <w:rFonts w:cs="Arial"/>
        </w:rPr>
        <w:t xml:space="preserve"> to t</w:t>
      </w:r>
      <w:r w:rsidR="00934F55" w:rsidRPr="00B252EC">
        <w:rPr>
          <w:rFonts w:cs="Arial"/>
        </w:rPr>
        <w:t xml:space="preserve">he </w:t>
      </w:r>
      <w:r w:rsidR="00A8329B" w:rsidRPr="00B252EC">
        <w:rPr>
          <w:rFonts w:cs="Arial"/>
        </w:rPr>
        <w:t>R</w:t>
      </w:r>
      <w:r w:rsidR="00B16D94" w:rsidRPr="00B252EC">
        <w:rPr>
          <w:rFonts w:cs="Arial"/>
        </w:rPr>
        <w:t>adiocommunications (Charges) Determination 202</w:t>
      </w:r>
      <w:r w:rsidR="00432AB3" w:rsidRPr="002265D5">
        <w:rPr>
          <w:rFonts w:cs="Arial"/>
        </w:rPr>
        <w:t>2</w:t>
      </w:r>
      <w:r w:rsidR="00B16D94" w:rsidRPr="00B252EC">
        <w:rPr>
          <w:rFonts w:cs="Arial"/>
        </w:rPr>
        <w:t xml:space="preserve"> </w:t>
      </w:r>
      <w:r w:rsidR="004F53AB" w:rsidRPr="00B252EC">
        <w:rPr>
          <w:rFonts w:cs="Arial"/>
        </w:rPr>
        <w:t>(</w:t>
      </w:r>
      <w:r w:rsidR="008811FA">
        <w:rPr>
          <w:rFonts w:cs="Arial"/>
        </w:rPr>
        <w:t xml:space="preserve">the Radiocommunications </w:t>
      </w:r>
      <w:r w:rsidR="004F53AB" w:rsidRPr="00B252EC">
        <w:rPr>
          <w:rFonts w:cs="Arial"/>
        </w:rPr>
        <w:t>Determination)</w:t>
      </w:r>
      <w:r w:rsidR="00D96C00" w:rsidRPr="00B252EC">
        <w:rPr>
          <w:rFonts w:cs="Arial"/>
        </w:rPr>
        <w:t>.</w:t>
      </w:r>
      <w:r w:rsidR="008C6A2F" w:rsidRPr="00B252EC">
        <w:rPr>
          <w:rFonts w:cs="Arial"/>
        </w:rPr>
        <w:t xml:space="preserve"> </w:t>
      </w:r>
      <w:r w:rsidR="008315CE" w:rsidRPr="002265D5">
        <w:rPr>
          <w:rFonts w:cs="Arial"/>
        </w:rPr>
        <w:t>It is also proposed that e</w:t>
      </w:r>
      <w:r w:rsidR="00770F3C" w:rsidRPr="002265D5">
        <w:rPr>
          <w:rFonts w:cs="Arial"/>
        </w:rPr>
        <w:t xml:space="preserve">xisting </w:t>
      </w:r>
      <w:r w:rsidR="00333192" w:rsidRPr="002265D5">
        <w:rPr>
          <w:rFonts w:cs="Arial"/>
        </w:rPr>
        <w:t>charges</w:t>
      </w:r>
      <w:r w:rsidR="00770F3C" w:rsidRPr="002265D5">
        <w:rPr>
          <w:rFonts w:cs="Arial"/>
        </w:rPr>
        <w:t xml:space="preserve"> in the </w:t>
      </w:r>
      <w:r w:rsidR="008811FA">
        <w:rPr>
          <w:rFonts w:cs="Arial"/>
        </w:rPr>
        <w:t xml:space="preserve">Radiocommunications </w:t>
      </w:r>
      <w:r w:rsidR="005873C0" w:rsidRPr="002265D5">
        <w:rPr>
          <w:rFonts w:cs="Arial"/>
        </w:rPr>
        <w:t xml:space="preserve">Determination that </w:t>
      </w:r>
      <w:r w:rsidR="008315CE" w:rsidRPr="002265D5">
        <w:rPr>
          <w:rFonts w:cs="Arial"/>
        </w:rPr>
        <w:t xml:space="preserve">relate to the ACMA conducting amateur radio examinations will be amended </w:t>
      </w:r>
      <w:proofErr w:type="gramStart"/>
      <w:r w:rsidR="00CA7EE5" w:rsidRPr="002265D5">
        <w:rPr>
          <w:rFonts w:cs="Arial"/>
        </w:rPr>
        <w:t>as a result of</w:t>
      </w:r>
      <w:proofErr w:type="gramEnd"/>
      <w:r w:rsidR="00CA7EE5" w:rsidRPr="002265D5">
        <w:rPr>
          <w:rFonts w:cs="Arial"/>
        </w:rPr>
        <w:t xml:space="preserve"> the introduction of the ACMA recognition certificates. </w:t>
      </w:r>
      <w:r w:rsidR="00D96C00" w:rsidRPr="00B252EC">
        <w:rPr>
          <w:rFonts w:cs="Arial"/>
        </w:rPr>
        <w:t xml:space="preserve">No </w:t>
      </w:r>
      <w:r w:rsidR="000F4413" w:rsidRPr="00B252EC">
        <w:rPr>
          <w:rFonts w:cs="Arial"/>
        </w:rPr>
        <w:t xml:space="preserve">other </w:t>
      </w:r>
      <w:r w:rsidR="00753844" w:rsidRPr="002265D5">
        <w:rPr>
          <w:rFonts w:cs="Arial"/>
        </w:rPr>
        <w:t>sub</w:t>
      </w:r>
      <w:r w:rsidR="00893F8F" w:rsidRPr="002265D5">
        <w:rPr>
          <w:rFonts w:cs="Arial"/>
        </w:rPr>
        <w:t>stantive</w:t>
      </w:r>
      <w:r w:rsidR="00753844" w:rsidRPr="002265D5">
        <w:rPr>
          <w:rFonts w:cs="Arial"/>
        </w:rPr>
        <w:t xml:space="preserve"> </w:t>
      </w:r>
      <w:r w:rsidR="00D96C00" w:rsidRPr="00B252EC">
        <w:rPr>
          <w:rFonts w:cs="Arial"/>
        </w:rPr>
        <w:t xml:space="preserve">changes are proposed </w:t>
      </w:r>
      <w:r w:rsidR="00A566B9" w:rsidRPr="00B252EC">
        <w:rPr>
          <w:rFonts w:cs="Arial"/>
        </w:rPr>
        <w:t>to</w:t>
      </w:r>
      <w:r w:rsidR="005B5041" w:rsidRPr="00B252EC">
        <w:rPr>
          <w:rFonts w:cs="Arial"/>
        </w:rPr>
        <w:t xml:space="preserve"> th</w:t>
      </w:r>
      <w:r w:rsidR="00534198" w:rsidRPr="00B252EC">
        <w:rPr>
          <w:rFonts w:cs="Arial"/>
        </w:rPr>
        <w:t xml:space="preserve">e </w:t>
      </w:r>
      <w:r w:rsidR="008811FA">
        <w:rPr>
          <w:rFonts w:cs="Arial"/>
        </w:rPr>
        <w:t xml:space="preserve">Radiocommunications </w:t>
      </w:r>
      <w:r w:rsidR="00534198" w:rsidRPr="00B252EC">
        <w:rPr>
          <w:rFonts w:cs="Arial"/>
        </w:rPr>
        <w:t>Determination</w:t>
      </w:r>
      <w:r w:rsidR="00F0141C" w:rsidRPr="00B252EC">
        <w:rPr>
          <w:rFonts w:cs="Arial"/>
        </w:rPr>
        <w:t xml:space="preserve">. </w:t>
      </w:r>
      <w:r w:rsidR="00DC72DE" w:rsidRPr="00B252EC" w:rsidDel="005B5041">
        <w:rPr>
          <w:rFonts w:cs="Arial"/>
        </w:rPr>
        <w:t>N</w:t>
      </w:r>
      <w:r w:rsidR="005F1E5A" w:rsidRPr="00B252EC" w:rsidDel="005B5041">
        <w:rPr>
          <w:rFonts w:cs="Arial"/>
        </w:rPr>
        <w:t xml:space="preserve">o changes </w:t>
      </w:r>
      <w:r w:rsidR="00C876EA" w:rsidRPr="00B252EC">
        <w:rPr>
          <w:rFonts w:cs="Arial"/>
        </w:rPr>
        <w:t>are proposed</w:t>
      </w:r>
      <w:r w:rsidR="000313FE" w:rsidRPr="00B252EC" w:rsidDel="005B5041">
        <w:rPr>
          <w:rFonts w:cs="Arial"/>
        </w:rPr>
        <w:t xml:space="preserve"> </w:t>
      </w:r>
      <w:r w:rsidR="005F1E5A" w:rsidRPr="00B252EC" w:rsidDel="005B5041">
        <w:rPr>
          <w:rFonts w:cs="Arial"/>
        </w:rPr>
        <w:t>to</w:t>
      </w:r>
      <w:r w:rsidR="00EB446C" w:rsidRPr="00B252EC" w:rsidDel="005B5041">
        <w:rPr>
          <w:rFonts w:cs="Arial"/>
        </w:rPr>
        <w:t xml:space="preserve"> </w:t>
      </w:r>
      <w:r w:rsidR="00504BF3" w:rsidRPr="00B252EC" w:rsidDel="005B5041">
        <w:rPr>
          <w:rFonts w:cs="Arial"/>
        </w:rPr>
        <w:t xml:space="preserve">the </w:t>
      </w:r>
      <w:r w:rsidR="00390DD5" w:rsidRPr="00B252EC">
        <w:rPr>
          <w:rFonts w:cs="Arial"/>
        </w:rPr>
        <w:t xml:space="preserve">other </w:t>
      </w:r>
      <w:r w:rsidR="003D2B93" w:rsidRPr="00B252EC">
        <w:rPr>
          <w:rFonts w:cs="Arial"/>
        </w:rPr>
        <w:t>instruments</w:t>
      </w:r>
      <w:r w:rsidR="00504BF3" w:rsidRPr="00B252EC">
        <w:rPr>
          <w:rFonts w:cs="Arial"/>
        </w:rPr>
        <w:t xml:space="preserve"> </w:t>
      </w:r>
      <w:r w:rsidR="00F163EE" w:rsidRPr="00B252EC">
        <w:rPr>
          <w:rFonts w:cs="Arial"/>
        </w:rPr>
        <w:t xml:space="preserve">listed in Table 2 </w:t>
      </w:r>
      <w:r w:rsidR="000313FE" w:rsidRPr="00B252EC">
        <w:rPr>
          <w:rFonts w:cs="Arial"/>
        </w:rPr>
        <w:t>below</w:t>
      </w:r>
      <w:r w:rsidR="00446B27" w:rsidRPr="00B252EC">
        <w:rPr>
          <w:rFonts w:cs="Arial"/>
        </w:rPr>
        <w:t>.</w:t>
      </w:r>
      <w:r w:rsidR="006326DC">
        <w:rPr>
          <w:rFonts w:cs="Arial"/>
        </w:rPr>
        <w:t xml:space="preserve"> </w:t>
      </w:r>
    </w:p>
    <w:p w14:paraId="766638B1" w14:textId="77777777" w:rsidR="00D123FB" w:rsidRDefault="00D123FB" w:rsidP="00504BF3">
      <w:pPr>
        <w:rPr>
          <w:rFonts w:cs="Arial"/>
        </w:rPr>
      </w:pPr>
    </w:p>
    <w:p w14:paraId="09D1E572" w14:textId="77777777" w:rsidR="00D123FB" w:rsidRDefault="00D123FB" w:rsidP="00504BF3">
      <w:pPr>
        <w:rPr>
          <w:rFonts w:cs="Arial"/>
        </w:rPr>
      </w:pPr>
    </w:p>
    <w:p w14:paraId="23D257C4" w14:textId="77777777" w:rsidR="00D123FB" w:rsidRPr="00A14A24" w:rsidRDefault="00D123FB" w:rsidP="00504BF3">
      <w:pPr>
        <w:rPr>
          <w:rFonts w:cs="Arial"/>
        </w:rPr>
      </w:pPr>
    </w:p>
    <w:p w14:paraId="2E08B8D9" w14:textId="3F17B962" w:rsidR="00A51603" w:rsidRPr="00A14A24" w:rsidRDefault="00A51603" w:rsidP="00097698">
      <w:pPr>
        <w:pStyle w:val="ACMATableHeader"/>
        <w:rPr>
          <w:rFonts w:cs="Arial"/>
        </w:rPr>
      </w:pPr>
      <w:bookmarkStart w:id="36" w:name="_Hlk100051153"/>
      <w:r w:rsidRPr="00A14A24">
        <w:lastRenderedPageBreak/>
        <w:t>List of legal instruments outlining fees for service</w:t>
      </w:r>
    </w:p>
    <w:tbl>
      <w:tblPr>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676"/>
        <w:gridCol w:w="3999"/>
        <w:gridCol w:w="3827"/>
      </w:tblGrid>
      <w:tr w:rsidR="00A51603" w:rsidRPr="00A14A24" w14:paraId="023CFD2B" w14:textId="77777777" w:rsidTr="0045208C">
        <w:trPr>
          <w:tblHeader/>
        </w:trPr>
        <w:tc>
          <w:tcPr>
            <w:tcW w:w="676" w:type="dxa"/>
            <w:shd w:val="clear" w:color="auto" w:fill="404040" w:themeFill="text1" w:themeFillTint="BF"/>
          </w:tcPr>
          <w:bookmarkEnd w:id="36"/>
          <w:p w14:paraId="1FA836C0" w14:textId="77777777" w:rsidR="00A51603" w:rsidRPr="00A14A24" w:rsidRDefault="00A51603" w:rsidP="00BB7460">
            <w:pPr>
              <w:pStyle w:val="TableHeading"/>
              <w:rPr>
                <w:color w:val="FFFFFF" w:themeColor="background1"/>
              </w:rPr>
            </w:pPr>
            <w:r w:rsidRPr="00A14A24">
              <w:rPr>
                <w:color w:val="FFFFFF" w:themeColor="background1"/>
              </w:rPr>
              <w:t>No.</w:t>
            </w:r>
          </w:p>
        </w:tc>
        <w:tc>
          <w:tcPr>
            <w:tcW w:w="3999" w:type="dxa"/>
            <w:shd w:val="clear" w:color="auto" w:fill="404040" w:themeFill="text1" w:themeFillTint="BF"/>
          </w:tcPr>
          <w:p w14:paraId="13491608" w14:textId="77777777" w:rsidR="00A51603" w:rsidRPr="00A14A24" w:rsidRDefault="00A51603" w:rsidP="00BB7460">
            <w:pPr>
              <w:pStyle w:val="TableHeading"/>
              <w:rPr>
                <w:color w:val="FFFFFF" w:themeColor="background1"/>
              </w:rPr>
            </w:pPr>
            <w:r w:rsidRPr="00A14A24">
              <w:rPr>
                <w:color w:val="FFFFFF" w:themeColor="background1"/>
              </w:rPr>
              <w:t>Determination</w:t>
            </w:r>
          </w:p>
        </w:tc>
        <w:tc>
          <w:tcPr>
            <w:tcW w:w="3827" w:type="dxa"/>
            <w:shd w:val="clear" w:color="auto" w:fill="404040" w:themeFill="text1" w:themeFillTint="BF"/>
          </w:tcPr>
          <w:p w14:paraId="75DEDFCF" w14:textId="77777777" w:rsidR="00A51603" w:rsidRPr="00A14A24" w:rsidRDefault="00A51603" w:rsidP="00BB7460">
            <w:pPr>
              <w:pStyle w:val="TableHeading"/>
              <w:rPr>
                <w:color w:val="FFFFFF" w:themeColor="background1"/>
              </w:rPr>
            </w:pPr>
            <w:r w:rsidRPr="00A14A24">
              <w:rPr>
                <w:color w:val="FFFFFF" w:themeColor="background1"/>
              </w:rPr>
              <w:t>Made under</w:t>
            </w:r>
          </w:p>
        </w:tc>
      </w:tr>
      <w:tr w:rsidR="00A51603" w:rsidRPr="00A14A24" w14:paraId="0F6D12D0" w14:textId="77777777" w:rsidTr="0045208C">
        <w:trPr>
          <w:tblHeader/>
        </w:trPr>
        <w:tc>
          <w:tcPr>
            <w:tcW w:w="676" w:type="dxa"/>
            <w:tcMar>
              <w:top w:w="57" w:type="dxa"/>
              <w:bottom w:w="57" w:type="dxa"/>
            </w:tcMar>
          </w:tcPr>
          <w:p w14:paraId="78C8FC8F" w14:textId="77777777" w:rsidR="00A51603" w:rsidRPr="00A14A24" w:rsidRDefault="00A51603" w:rsidP="00BB7460">
            <w:pPr>
              <w:pStyle w:val="TableBody"/>
            </w:pPr>
            <w:r w:rsidRPr="00A14A24">
              <w:t>1</w:t>
            </w:r>
          </w:p>
        </w:tc>
        <w:tc>
          <w:tcPr>
            <w:tcW w:w="3999" w:type="dxa"/>
            <w:tcMar>
              <w:top w:w="57" w:type="dxa"/>
              <w:bottom w:w="57" w:type="dxa"/>
            </w:tcMar>
          </w:tcPr>
          <w:p w14:paraId="518E0505" w14:textId="251175B3" w:rsidR="00A51603" w:rsidRPr="00CA57D0" w:rsidRDefault="00A51603" w:rsidP="00BB7460">
            <w:pPr>
              <w:pStyle w:val="TableBody"/>
            </w:pPr>
            <w:r w:rsidRPr="002265D5">
              <w:rPr>
                <w:rFonts w:cs="Arial"/>
              </w:rPr>
              <w:t xml:space="preserve">Radiocommunications </w:t>
            </w:r>
            <w:r w:rsidR="00462930" w:rsidRPr="002265D5">
              <w:rPr>
                <w:rFonts w:cs="Arial"/>
              </w:rPr>
              <w:t xml:space="preserve">(Charges) </w:t>
            </w:r>
            <w:r w:rsidRPr="002265D5">
              <w:rPr>
                <w:rFonts w:cs="Arial"/>
              </w:rPr>
              <w:t>Determination</w:t>
            </w:r>
            <w:r w:rsidR="00462930" w:rsidRPr="002265D5">
              <w:rPr>
                <w:rFonts w:cs="Arial"/>
              </w:rPr>
              <w:t xml:space="preserve"> </w:t>
            </w:r>
            <w:r w:rsidR="00FB4256" w:rsidRPr="002265D5">
              <w:rPr>
                <w:rFonts w:cs="Arial"/>
              </w:rPr>
              <w:t>202</w:t>
            </w:r>
            <w:r w:rsidR="00432AB3" w:rsidRPr="002265D5">
              <w:rPr>
                <w:rFonts w:cs="Arial"/>
              </w:rPr>
              <w:t>2</w:t>
            </w:r>
          </w:p>
        </w:tc>
        <w:tc>
          <w:tcPr>
            <w:tcW w:w="3827" w:type="dxa"/>
            <w:tcMar>
              <w:top w:w="57" w:type="dxa"/>
              <w:bottom w:w="57" w:type="dxa"/>
            </w:tcMar>
          </w:tcPr>
          <w:p w14:paraId="5063602A" w14:textId="77777777" w:rsidR="00A51603" w:rsidRPr="00A14A24" w:rsidRDefault="00A51603" w:rsidP="00BB7460">
            <w:pPr>
              <w:pStyle w:val="TableBody"/>
            </w:pPr>
            <w:r w:rsidRPr="00A14A24">
              <w:rPr>
                <w:rFonts w:cs="Arial"/>
              </w:rPr>
              <w:t>Subsection 60(1) of the ACMA Act</w:t>
            </w:r>
          </w:p>
        </w:tc>
      </w:tr>
      <w:tr w:rsidR="00A51603" w:rsidRPr="00A14A24" w14:paraId="59FC7BA2" w14:textId="77777777" w:rsidTr="0045208C">
        <w:trPr>
          <w:tblHeader/>
        </w:trPr>
        <w:tc>
          <w:tcPr>
            <w:tcW w:w="676" w:type="dxa"/>
            <w:tcMar>
              <w:top w:w="57" w:type="dxa"/>
              <w:bottom w:w="57" w:type="dxa"/>
            </w:tcMar>
          </w:tcPr>
          <w:p w14:paraId="66776A16" w14:textId="77777777" w:rsidR="00A51603" w:rsidRPr="00A14A24" w:rsidRDefault="00A51603" w:rsidP="00BB7460">
            <w:pPr>
              <w:pStyle w:val="TableBody"/>
            </w:pPr>
            <w:r w:rsidRPr="00A14A24">
              <w:t>2</w:t>
            </w:r>
          </w:p>
        </w:tc>
        <w:tc>
          <w:tcPr>
            <w:tcW w:w="3999" w:type="dxa"/>
            <w:tcMar>
              <w:top w:w="57" w:type="dxa"/>
              <w:bottom w:w="57" w:type="dxa"/>
            </w:tcMar>
          </w:tcPr>
          <w:p w14:paraId="0E2DB47F" w14:textId="41D1826B" w:rsidR="00A51603" w:rsidRPr="00A14A24" w:rsidRDefault="00A51603" w:rsidP="00BB7460">
            <w:pPr>
              <w:pStyle w:val="TableBody"/>
            </w:pPr>
            <w:r w:rsidRPr="00A14A24">
              <w:rPr>
                <w:rFonts w:cs="Arial"/>
              </w:rPr>
              <w:t>Radiocommunications (Digital Radio Multiplex Transmitter Licence – Application Fee) Determination 20</w:t>
            </w:r>
            <w:r w:rsidR="00D17C99" w:rsidRPr="00A14A24">
              <w:rPr>
                <w:rFonts w:cs="Arial"/>
              </w:rPr>
              <w:t>2</w:t>
            </w:r>
            <w:r w:rsidR="00DA138E" w:rsidRPr="00A14A24">
              <w:rPr>
                <w:rFonts w:cs="Arial"/>
              </w:rPr>
              <w:t>2</w:t>
            </w:r>
          </w:p>
        </w:tc>
        <w:tc>
          <w:tcPr>
            <w:tcW w:w="3827" w:type="dxa"/>
            <w:tcMar>
              <w:top w:w="57" w:type="dxa"/>
              <w:bottom w:w="57" w:type="dxa"/>
            </w:tcMar>
          </w:tcPr>
          <w:p w14:paraId="0A723233" w14:textId="033F16FF" w:rsidR="00A51603" w:rsidRPr="00A14A24" w:rsidRDefault="00A51603" w:rsidP="00BB7460">
            <w:pPr>
              <w:pStyle w:val="TableBody"/>
            </w:pPr>
            <w:r w:rsidRPr="00A14A24">
              <w:rPr>
                <w:rFonts w:cs="Arial"/>
              </w:rPr>
              <w:t xml:space="preserve">Paragraphs 102C(2)(b) and 102D(2)(b) of the </w:t>
            </w:r>
            <w:r w:rsidRPr="00BA45D0">
              <w:rPr>
                <w:rFonts w:cs="Arial"/>
              </w:rPr>
              <w:t>Radiocommunications Act</w:t>
            </w:r>
            <w:r w:rsidR="00DA138E" w:rsidRPr="00BA45D0">
              <w:rPr>
                <w:rFonts w:cs="Arial"/>
              </w:rPr>
              <w:t xml:space="preserve"> </w:t>
            </w:r>
            <w:r w:rsidRPr="00A14A24">
              <w:rPr>
                <w:rFonts w:cs="Arial"/>
                <w:i/>
              </w:rPr>
              <w:t xml:space="preserve"> </w:t>
            </w:r>
          </w:p>
        </w:tc>
      </w:tr>
      <w:tr w:rsidR="00A51603" w:rsidRPr="00A14A24" w14:paraId="55015626" w14:textId="77777777" w:rsidTr="0045208C">
        <w:trPr>
          <w:tblHeader/>
        </w:trPr>
        <w:tc>
          <w:tcPr>
            <w:tcW w:w="676" w:type="dxa"/>
            <w:tcMar>
              <w:top w:w="57" w:type="dxa"/>
              <w:bottom w:w="57" w:type="dxa"/>
            </w:tcMar>
          </w:tcPr>
          <w:p w14:paraId="461FDD07" w14:textId="77777777" w:rsidR="00A51603" w:rsidRPr="00A14A24" w:rsidRDefault="00A51603" w:rsidP="00BB7460">
            <w:pPr>
              <w:pStyle w:val="TableBody"/>
            </w:pPr>
            <w:r w:rsidRPr="00A14A24">
              <w:t>3</w:t>
            </w:r>
          </w:p>
        </w:tc>
        <w:tc>
          <w:tcPr>
            <w:tcW w:w="3999" w:type="dxa"/>
            <w:tcMar>
              <w:top w:w="57" w:type="dxa"/>
              <w:bottom w:w="57" w:type="dxa"/>
            </w:tcMar>
          </w:tcPr>
          <w:p w14:paraId="4F6F33F4" w14:textId="1D8511EC" w:rsidR="00A51603" w:rsidRPr="00A14A24" w:rsidRDefault="00A51603" w:rsidP="00BB7460">
            <w:pPr>
              <w:pStyle w:val="TableBody"/>
            </w:pPr>
            <w:r w:rsidRPr="00A14A24">
              <w:rPr>
                <w:rFonts w:cs="Arial"/>
              </w:rPr>
              <w:t>Telecommunications (Charges) Determination 20</w:t>
            </w:r>
            <w:r w:rsidR="00D17C99" w:rsidRPr="00A14A24">
              <w:rPr>
                <w:rFonts w:cs="Arial"/>
              </w:rPr>
              <w:t>2</w:t>
            </w:r>
            <w:r w:rsidR="00DA138E" w:rsidRPr="00A14A24">
              <w:rPr>
                <w:rFonts w:cs="Arial"/>
              </w:rPr>
              <w:t>2</w:t>
            </w:r>
            <w:r w:rsidR="007D156F" w:rsidRPr="00A14A24">
              <w:rPr>
                <w:rFonts w:cs="Arial"/>
              </w:rPr>
              <w:t xml:space="preserve"> </w:t>
            </w:r>
          </w:p>
        </w:tc>
        <w:tc>
          <w:tcPr>
            <w:tcW w:w="3827" w:type="dxa"/>
            <w:tcMar>
              <w:top w:w="57" w:type="dxa"/>
              <w:bottom w:w="57" w:type="dxa"/>
            </w:tcMar>
          </w:tcPr>
          <w:p w14:paraId="7828EC62" w14:textId="77777777" w:rsidR="00A51603" w:rsidRPr="00A14A24" w:rsidRDefault="00A51603" w:rsidP="00BB7460">
            <w:pPr>
              <w:pStyle w:val="TableBody"/>
            </w:pPr>
            <w:r w:rsidRPr="00A14A24">
              <w:rPr>
                <w:rFonts w:cs="Arial"/>
              </w:rPr>
              <w:t>Subsection 60(1) of the ACMA Act</w:t>
            </w:r>
          </w:p>
        </w:tc>
      </w:tr>
      <w:tr w:rsidR="00A51603" w:rsidRPr="00A14A24" w14:paraId="54A2B2A4" w14:textId="77777777" w:rsidTr="0045208C">
        <w:trPr>
          <w:tblHeader/>
        </w:trPr>
        <w:tc>
          <w:tcPr>
            <w:tcW w:w="676" w:type="dxa"/>
            <w:tcMar>
              <w:top w:w="57" w:type="dxa"/>
              <w:bottom w:w="57" w:type="dxa"/>
            </w:tcMar>
          </w:tcPr>
          <w:p w14:paraId="2F52D509" w14:textId="77777777" w:rsidR="00A51603" w:rsidRPr="00A14A24" w:rsidRDefault="00A51603" w:rsidP="00BB7460">
            <w:pPr>
              <w:pStyle w:val="TableBody"/>
            </w:pPr>
            <w:r w:rsidRPr="00A14A24">
              <w:t>4</w:t>
            </w:r>
          </w:p>
        </w:tc>
        <w:tc>
          <w:tcPr>
            <w:tcW w:w="3999" w:type="dxa"/>
            <w:tcMar>
              <w:top w:w="57" w:type="dxa"/>
              <w:bottom w:w="57" w:type="dxa"/>
            </w:tcMar>
          </w:tcPr>
          <w:p w14:paraId="17C37CF5" w14:textId="150D566A" w:rsidR="00A51603" w:rsidRPr="00A14A24" w:rsidRDefault="00A51603" w:rsidP="00BB7460">
            <w:pPr>
              <w:pStyle w:val="TableBody"/>
            </w:pPr>
            <w:r w:rsidRPr="00A14A24">
              <w:rPr>
                <w:rFonts w:cs="Arial"/>
              </w:rPr>
              <w:t>Telecommunications (Carrier Licence Charge</w:t>
            </w:r>
            <w:r w:rsidR="00DB1DA5" w:rsidRPr="00A14A24">
              <w:rPr>
                <w:rFonts w:cs="Arial"/>
              </w:rPr>
              <w:t>s</w:t>
            </w:r>
            <w:r w:rsidRPr="00A14A24">
              <w:rPr>
                <w:rFonts w:cs="Arial"/>
              </w:rPr>
              <w:t xml:space="preserve">) </w:t>
            </w:r>
            <w:r w:rsidR="001D6C47" w:rsidRPr="00A14A24">
              <w:rPr>
                <w:rFonts w:cs="Arial"/>
              </w:rPr>
              <w:t>(Application)</w:t>
            </w:r>
            <w:r w:rsidR="00D17C99" w:rsidRPr="00A14A24">
              <w:rPr>
                <w:rFonts w:cs="Arial"/>
              </w:rPr>
              <w:t xml:space="preserve"> </w:t>
            </w:r>
            <w:r w:rsidRPr="00A14A24">
              <w:rPr>
                <w:rFonts w:cs="Arial"/>
              </w:rPr>
              <w:t>Determination 20</w:t>
            </w:r>
            <w:r w:rsidR="00D17C99" w:rsidRPr="00A14A24">
              <w:rPr>
                <w:rFonts w:cs="Arial"/>
              </w:rPr>
              <w:t>2</w:t>
            </w:r>
            <w:r w:rsidR="00DA138E" w:rsidRPr="00A14A24">
              <w:rPr>
                <w:rFonts w:cs="Arial"/>
              </w:rPr>
              <w:t>2</w:t>
            </w:r>
            <w:r w:rsidR="007D156F" w:rsidRPr="00A14A24">
              <w:rPr>
                <w:rFonts w:cs="Arial"/>
              </w:rPr>
              <w:t xml:space="preserve"> </w:t>
            </w:r>
          </w:p>
        </w:tc>
        <w:tc>
          <w:tcPr>
            <w:tcW w:w="3827" w:type="dxa"/>
            <w:tcMar>
              <w:top w:w="57" w:type="dxa"/>
              <w:bottom w:w="57" w:type="dxa"/>
            </w:tcMar>
          </w:tcPr>
          <w:p w14:paraId="419D8FCE" w14:textId="2AF183F7" w:rsidR="00A51603" w:rsidRPr="00A14A24" w:rsidRDefault="00A51603" w:rsidP="00BB7460">
            <w:pPr>
              <w:pStyle w:val="TableBody"/>
            </w:pPr>
            <w:r w:rsidRPr="00A14A24">
              <w:rPr>
                <w:rFonts w:cs="Arial"/>
              </w:rPr>
              <w:t xml:space="preserve">Subsection 9(1) of the </w:t>
            </w:r>
            <w:r w:rsidRPr="0041763F">
              <w:rPr>
                <w:rFonts w:cs="Arial"/>
                <w:iCs/>
              </w:rPr>
              <w:t>Telecommunications (Carrier Licence Charges) Act</w:t>
            </w:r>
            <w:r w:rsidRPr="00A14A24">
              <w:rPr>
                <w:rFonts w:cs="Arial"/>
                <w:i/>
              </w:rPr>
              <w:t xml:space="preserve"> </w:t>
            </w:r>
          </w:p>
        </w:tc>
      </w:tr>
      <w:tr w:rsidR="00A51603" w:rsidRPr="00A14A24" w14:paraId="197C0AAE" w14:textId="77777777" w:rsidTr="0045208C">
        <w:trPr>
          <w:tblHeader/>
        </w:trPr>
        <w:tc>
          <w:tcPr>
            <w:tcW w:w="676" w:type="dxa"/>
            <w:tcMar>
              <w:top w:w="57" w:type="dxa"/>
              <w:bottom w:w="57" w:type="dxa"/>
            </w:tcMar>
          </w:tcPr>
          <w:p w14:paraId="00AC317F" w14:textId="77777777" w:rsidR="00A51603" w:rsidRPr="00A14A24" w:rsidRDefault="00A51603" w:rsidP="00BB7460">
            <w:pPr>
              <w:pStyle w:val="TableBody"/>
            </w:pPr>
            <w:r w:rsidRPr="00A14A24">
              <w:t>5</w:t>
            </w:r>
          </w:p>
        </w:tc>
        <w:tc>
          <w:tcPr>
            <w:tcW w:w="3999" w:type="dxa"/>
            <w:tcMar>
              <w:top w:w="57" w:type="dxa"/>
              <w:bottom w:w="57" w:type="dxa"/>
            </w:tcMar>
          </w:tcPr>
          <w:p w14:paraId="61C9E0D6" w14:textId="78E49DEB" w:rsidR="00A51603" w:rsidRPr="00A14A24" w:rsidRDefault="00A51603" w:rsidP="00BB7460">
            <w:pPr>
              <w:pStyle w:val="TableBody"/>
            </w:pPr>
            <w:r w:rsidRPr="00A14A24">
              <w:rPr>
                <w:rFonts w:cs="Arial"/>
              </w:rPr>
              <w:t xml:space="preserve">Broadcasting </w:t>
            </w:r>
            <w:r w:rsidR="00395935">
              <w:rPr>
                <w:rFonts w:cs="Arial"/>
              </w:rPr>
              <w:t>(</w:t>
            </w:r>
            <w:r w:rsidRPr="00A14A24">
              <w:rPr>
                <w:rFonts w:cs="Arial"/>
              </w:rPr>
              <w:t xml:space="preserve">Charges) Determination </w:t>
            </w:r>
            <w:r w:rsidR="009C19B2">
              <w:rPr>
                <w:rFonts w:cs="Arial"/>
              </w:rPr>
              <w:t>2017</w:t>
            </w:r>
          </w:p>
        </w:tc>
        <w:tc>
          <w:tcPr>
            <w:tcW w:w="3827" w:type="dxa"/>
            <w:tcMar>
              <w:top w:w="57" w:type="dxa"/>
              <w:bottom w:w="57" w:type="dxa"/>
            </w:tcMar>
          </w:tcPr>
          <w:p w14:paraId="18C35AB8" w14:textId="434458DF" w:rsidR="00A51603" w:rsidRPr="00A14A24" w:rsidRDefault="00A51603" w:rsidP="00BB7460">
            <w:pPr>
              <w:pStyle w:val="TableBody"/>
            </w:pPr>
            <w:r w:rsidRPr="00A14A24">
              <w:rPr>
                <w:rFonts w:cs="Arial"/>
              </w:rPr>
              <w:t>Subsection 60(1) of the ACMA Act</w:t>
            </w:r>
          </w:p>
        </w:tc>
      </w:tr>
    </w:tbl>
    <w:p w14:paraId="46B273C7" w14:textId="77777777" w:rsidR="00A51603" w:rsidRPr="00A14A24" w:rsidRDefault="00A51603" w:rsidP="00097698">
      <w:pPr>
        <w:pStyle w:val="ACMATableHeader"/>
        <w:numPr>
          <w:ilvl w:val="0"/>
          <w:numId w:val="0"/>
        </w:numPr>
        <w:rPr>
          <w:rFonts w:cs="Arial"/>
        </w:rPr>
      </w:pPr>
    </w:p>
    <w:p w14:paraId="640813BA" w14:textId="77777777" w:rsidR="00504BF3" w:rsidRPr="00A14A24" w:rsidRDefault="00504BF3" w:rsidP="00504BF3">
      <w:pPr>
        <w:pStyle w:val="Heading1"/>
      </w:pPr>
      <w:bookmarkStart w:id="37" w:name="_3._Cost_recovery"/>
      <w:bookmarkStart w:id="38" w:name="_Toc107236629"/>
      <w:bookmarkStart w:id="39" w:name="_Toc135817039"/>
      <w:bookmarkStart w:id="40" w:name="_Toc143267701"/>
      <w:bookmarkEnd w:id="37"/>
      <w:r w:rsidRPr="00A14A24">
        <w:lastRenderedPageBreak/>
        <w:t>3.</w:t>
      </w:r>
      <w:bookmarkStart w:id="41" w:name="_Toc400965218"/>
      <w:r w:rsidRPr="00A14A24">
        <w:tab/>
        <w:t>Cost recovery model</w:t>
      </w:r>
      <w:bookmarkEnd w:id="38"/>
      <w:bookmarkEnd w:id="39"/>
      <w:bookmarkEnd w:id="40"/>
      <w:bookmarkEnd w:id="41"/>
    </w:p>
    <w:p w14:paraId="24E9A402" w14:textId="3BA9C068" w:rsidR="00504BF3" w:rsidRPr="00A14A24" w:rsidRDefault="00504BF3" w:rsidP="00504BF3">
      <w:pPr>
        <w:pStyle w:val="Heading2"/>
      </w:pPr>
      <w:bookmarkStart w:id="42" w:name="_3.1_Outputs_and"/>
      <w:bookmarkStart w:id="43" w:name="_Toc400965219"/>
      <w:bookmarkStart w:id="44" w:name="_Toc107236630"/>
      <w:bookmarkStart w:id="45" w:name="_Toc135817040"/>
      <w:bookmarkStart w:id="46" w:name="_Toc143267702"/>
      <w:bookmarkEnd w:id="42"/>
      <w:r w:rsidRPr="00A14A24">
        <w:t>3.1</w:t>
      </w:r>
      <w:r w:rsidRPr="00A14A24">
        <w:tab/>
        <w:t xml:space="preserve">Outputs </w:t>
      </w:r>
      <w:r w:rsidR="00151727" w:rsidRPr="00A14A24">
        <w:t xml:space="preserve">and business processes </w:t>
      </w:r>
      <w:r w:rsidRPr="00A14A24">
        <w:t>of the activity</w:t>
      </w:r>
      <w:bookmarkEnd w:id="43"/>
      <w:bookmarkEnd w:id="44"/>
      <w:bookmarkEnd w:id="45"/>
      <w:bookmarkEnd w:id="46"/>
    </w:p>
    <w:p w14:paraId="47BD058D" w14:textId="6F3E01A7" w:rsidR="00567982" w:rsidRPr="00A14A24" w:rsidRDefault="00504BF3" w:rsidP="0041763F">
      <w:bookmarkStart w:id="47" w:name="_Hlk135733150"/>
      <w:bookmarkStart w:id="48" w:name="_Hlk100041500"/>
      <w:r w:rsidRPr="00A14A24">
        <w:t>Th</w:t>
      </w:r>
      <w:r w:rsidR="00765E54" w:rsidRPr="00A14A24">
        <w:t xml:space="preserve">e </w:t>
      </w:r>
      <w:r w:rsidR="00CC4D26" w:rsidRPr="00A14A24">
        <w:t xml:space="preserve">ACMA’s </w:t>
      </w:r>
      <w:r w:rsidRPr="00A14A24">
        <w:t xml:space="preserve">activities </w:t>
      </w:r>
      <w:r w:rsidR="00D02044" w:rsidRPr="00A14A24">
        <w:t xml:space="preserve">for radiocommunications, telecommunications and broadcasting services </w:t>
      </w:r>
      <w:r w:rsidR="00D17C99" w:rsidRPr="00A14A24">
        <w:t>that are subject to charging arrangement</w:t>
      </w:r>
      <w:r w:rsidR="00B936A1" w:rsidRPr="00A14A24">
        <w:t>s</w:t>
      </w:r>
      <w:bookmarkEnd w:id="47"/>
      <w:r w:rsidR="00D17C99" w:rsidRPr="00A14A24">
        <w:t xml:space="preserve"> </w:t>
      </w:r>
      <w:r w:rsidR="00765E54" w:rsidRPr="00A14A24">
        <w:t xml:space="preserve">are outlined </w:t>
      </w:r>
      <w:r w:rsidRPr="00A14A24">
        <w:t xml:space="preserve">in </w:t>
      </w:r>
      <w:r w:rsidR="00E669D8">
        <w:t>Appendix</w:t>
      </w:r>
      <w:r w:rsidR="00E669D8" w:rsidRPr="00A14A24">
        <w:t xml:space="preserve"> </w:t>
      </w:r>
      <w:r w:rsidRPr="00A14A24">
        <w:t>A</w:t>
      </w:r>
      <w:r w:rsidR="00937348" w:rsidRPr="00A14A24">
        <w:t xml:space="preserve">, </w:t>
      </w:r>
      <w:r w:rsidR="00A525ED" w:rsidRPr="00A14A24">
        <w:t xml:space="preserve">which provides the </w:t>
      </w:r>
      <w:bookmarkEnd w:id="48"/>
      <w:r w:rsidR="00567982" w:rsidRPr="00A14A24">
        <w:t>current fees</w:t>
      </w:r>
      <w:r w:rsidR="00E252DC">
        <w:t xml:space="preserve"> and </w:t>
      </w:r>
      <w:r w:rsidR="007C74B9">
        <w:t xml:space="preserve">the </w:t>
      </w:r>
      <w:r w:rsidR="00567982" w:rsidRPr="00A14A24">
        <w:t>relevant descriptions</w:t>
      </w:r>
      <w:r w:rsidR="00556D03">
        <w:t>.</w:t>
      </w:r>
      <w:r w:rsidR="00567982" w:rsidRPr="00A14A24">
        <w:t xml:space="preserve"> </w:t>
      </w:r>
    </w:p>
    <w:p w14:paraId="0036A552" w14:textId="6D213DF2" w:rsidR="00567982" w:rsidRPr="00A14A24" w:rsidRDefault="00567982" w:rsidP="00A14A24">
      <w:pPr>
        <w:pStyle w:val="Heading3"/>
      </w:pPr>
      <w:bookmarkStart w:id="49" w:name="_3.1.1_Radiocommunications_regulatio"/>
      <w:bookmarkStart w:id="50" w:name="_Toc107236631"/>
      <w:bookmarkStart w:id="51" w:name="_Toc135817041"/>
      <w:bookmarkStart w:id="52" w:name="_Toc143267703"/>
      <w:bookmarkEnd w:id="49"/>
      <w:r w:rsidRPr="00A14A24">
        <w:t>3.1.1</w:t>
      </w:r>
      <w:r w:rsidRPr="00A14A24">
        <w:tab/>
        <w:t>Radiocommunications regulation, planning and licensing</w:t>
      </w:r>
      <w:bookmarkEnd w:id="50"/>
      <w:bookmarkEnd w:id="51"/>
      <w:bookmarkEnd w:id="52"/>
      <w:r w:rsidRPr="00A14A24">
        <w:t xml:space="preserve"> </w:t>
      </w:r>
    </w:p>
    <w:p w14:paraId="353BDF11" w14:textId="18AAC7F3" w:rsidR="00504BF3" w:rsidRPr="00A14A24" w:rsidRDefault="00567982" w:rsidP="00504BF3">
      <w:pPr>
        <w:rPr>
          <w:rFonts w:cs="Arial"/>
        </w:rPr>
      </w:pPr>
      <w:r w:rsidRPr="00B03779">
        <w:rPr>
          <w:rFonts w:cs="Arial"/>
        </w:rPr>
        <w:t xml:space="preserve">The </w:t>
      </w:r>
      <w:r w:rsidR="008811FA">
        <w:t xml:space="preserve">Radiocommunications </w:t>
      </w:r>
      <w:r w:rsidR="00712F21" w:rsidRPr="0041763F">
        <w:t>Determination</w:t>
      </w:r>
      <w:r w:rsidR="00712F21">
        <w:rPr>
          <w:rFonts w:cs="Arial"/>
        </w:rPr>
        <w:t xml:space="preserve"> specifies</w:t>
      </w:r>
      <w:r w:rsidR="000B4C62">
        <w:rPr>
          <w:rFonts w:cs="Arial"/>
        </w:rPr>
        <w:t xml:space="preserve"> the charges for a range of </w:t>
      </w:r>
      <w:r w:rsidRPr="00A14A24">
        <w:rPr>
          <w:rFonts w:cs="Arial"/>
        </w:rPr>
        <w:t>radiocommunications activities</w:t>
      </w:r>
      <w:r w:rsidR="000B4C62">
        <w:rPr>
          <w:rFonts w:cs="Arial"/>
        </w:rPr>
        <w:t xml:space="preserve">, </w:t>
      </w:r>
      <w:r w:rsidRPr="00A14A24">
        <w:rPr>
          <w:rFonts w:cs="Arial"/>
        </w:rPr>
        <w:t xml:space="preserve">which are grouped under the following </w:t>
      </w:r>
      <w:r w:rsidR="00D02044" w:rsidRPr="00A14A24">
        <w:rPr>
          <w:rFonts w:cs="Arial"/>
        </w:rPr>
        <w:t xml:space="preserve">output </w:t>
      </w:r>
      <w:r w:rsidRPr="00A14A24">
        <w:rPr>
          <w:rFonts w:cs="Arial"/>
        </w:rPr>
        <w:t>categories</w:t>
      </w:r>
      <w:r w:rsidR="00464E12">
        <w:rPr>
          <w:rFonts w:cs="Arial"/>
        </w:rPr>
        <w:t>.</w:t>
      </w:r>
      <w:r w:rsidR="00765E54" w:rsidRPr="00A14A24">
        <w:rPr>
          <w:rFonts w:cs="Arial"/>
        </w:rPr>
        <w:t xml:space="preserve"> </w:t>
      </w:r>
    </w:p>
    <w:p w14:paraId="54E96F62" w14:textId="73DC6C80" w:rsidR="00504BF3" w:rsidRPr="00A14A24" w:rsidRDefault="00504BF3" w:rsidP="0034483B">
      <w:pPr>
        <w:pStyle w:val="Bodysubheader0"/>
      </w:pPr>
      <w:r w:rsidRPr="00A14A24">
        <w:t xml:space="preserve">Issue, </w:t>
      </w:r>
      <w:proofErr w:type="gramStart"/>
      <w:r w:rsidRPr="00A14A24">
        <w:t>transfer</w:t>
      </w:r>
      <w:proofErr w:type="gramEnd"/>
      <w:r w:rsidRPr="00A14A24">
        <w:t xml:space="preserve"> and renewal of radiocommunications licences</w:t>
      </w:r>
    </w:p>
    <w:p w14:paraId="1A62E523" w14:textId="543EB290" w:rsidR="00504BF3" w:rsidRPr="00A14A24" w:rsidRDefault="008D5A99" w:rsidP="00504BF3">
      <w:pPr>
        <w:spacing w:after="80"/>
        <w:rPr>
          <w:rFonts w:cs="Arial"/>
        </w:rPr>
      </w:pPr>
      <w:r>
        <w:rPr>
          <w:rFonts w:cs="Arial"/>
        </w:rPr>
        <w:t xml:space="preserve">We </w:t>
      </w:r>
      <w:r w:rsidR="00504BF3" w:rsidRPr="00A14A24">
        <w:rPr>
          <w:rFonts w:cs="Arial"/>
        </w:rPr>
        <w:t xml:space="preserve">allocate or assign access to radiofrequency spectrum through one of </w:t>
      </w:r>
      <w:r w:rsidR="000A600A">
        <w:rPr>
          <w:rFonts w:cs="Arial"/>
        </w:rPr>
        <w:t>3</w:t>
      </w:r>
      <w:r w:rsidR="000A600A" w:rsidRPr="00A14A24">
        <w:rPr>
          <w:rFonts w:cs="Arial"/>
        </w:rPr>
        <w:t xml:space="preserve"> </w:t>
      </w:r>
      <w:r w:rsidR="00504BF3" w:rsidRPr="00A14A24">
        <w:rPr>
          <w:rFonts w:cs="Arial"/>
        </w:rPr>
        <w:t>types of licence:</w:t>
      </w:r>
    </w:p>
    <w:p w14:paraId="5EFD1DB8" w14:textId="04551875" w:rsidR="00504BF3" w:rsidRPr="00A14A24" w:rsidRDefault="00504BF3" w:rsidP="00A10836">
      <w:pPr>
        <w:pStyle w:val="Bulletlevel1"/>
      </w:pPr>
      <w:r w:rsidRPr="00A14A24">
        <w:t xml:space="preserve">apparatus </w:t>
      </w:r>
    </w:p>
    <w:p w14:paraId="2F6A09EA" w14:textId="4F97E152" w:rsidR="00504BF3" w:rsidRPr="00A14A24" w:rsidRDefault="00504BF3" w:rsidP="00A10836">
      <w:pPr>
        <w:pStyle w:val="Bulletlevel1"/>
      </w:pPr>
      <w:r w:rsidRPr="00A14A24">
        <w:t xml:space="preserve">spectrum </w:t>
      </w:r>
    </w:p>
    <w:p w14:paraId="120B2955" w14:textId="10ABF610" w:rsidR="00504BF3" w:rsidRDefault="00504BF3" w:rsidP="00567982">
      <w:pPr>
        <w:pStyle w:val="ListBulletLast"/>
      </w:pPr>
      <w:r w:rsidRPr="00A14A24">
        <w:t>class.</w:t>
      </w:r>
    </w:p>
    <w:p w14:paraId="5FB0294E" w14:textId="1EE69DC4" w:rsidR="00575ED7" w:rsidRDefault="00575ED7" w:rsidP="006D14AE">
      <w:pPr>
        <w:pStyle w:val="Paragraphbeforelist"/>
      </w:pPr>
      <w:r>
        <w:t xml:space="preserve">The </w:t>
      </w:r>
      <w:r w:rsidR="008811FA">
        <w:t xml:space="preserve">Radiocommunications </w:t>
      </w:r>
      <w:r w:rsidR="00CC7BCC">
        <w:t>D</w:t>
      </w:r>
      <w:r>
        <w:t xml:space="preserve">etermination includes charges for the issue, renewal or variation of apparatus licences and </w:t>
      </w:r>
      <w:r w:rsidR="00B20166">
        <w:t xml:space="preserve">certain </w:t>
      </w:r>
      <w:r>
        <w:t>charges associated with spectrum licences</w:t>
      </w:r>
      <w:r w:rsidR="005B1617">
        <w:t>:</w:t>
      </w:r>
    </w:p>
    <w:p w14:paraId="0673BC1D" w14:textId="1D89CAC0" w:rsidR="00575ED7" w:rsidRPr="00A14A24" w:rsidRDefault="00323C0E" w:rsidP="0041763F">
      <w:pPr>
        <w:pStyle w:val="Bulletlevel1"/>
      </w:pPr>
      <w:r w:rsidRPr="00486A84">
        <w:rPr>
          <w:b/>
          <w:bCs/>
        </w:rPr>
        <w:t>Class licences</w:t>
      </w:r>
      <w:r w:rsidR="008D5A99">
        <w:t>: c</w:t>
      </w:r>
      <w:r w:rsidR="00575ED7" w:rsidRPr="00A14A24">
        <w:t xml:space="preserve">lass licences authorise the operation of </w:t>
      </w:r>
      <w:r w:rsidR="00AC1D52">
        <w:t>r</w:t>
      </w:r>
      <w:r w:rsidR="00575ED7" w:rsidRPr="00A14A24">
        <w:t>adiocommunications devices</w:t>
      </w:r>
      <w:r w:rsidR="00E53B1E">
        <w:t xml:space="preserve"> </w:t>
      </w:r>
      <w:r w:rsidR="00E53B1E" w:rsidRPr="0095577B">
        <w:t>where coordination of individual transmitters is not required to manage interference risk</w:t>
      </w:r>
      <w:r w:rsidR="008D5A99">
        <w:t>s</w:t>
      </w:r>
      <w:r w:rsidR="00575ED7" w:rsidRPr="00A14A24">
        <w:t>. Devices that are currently subject to class licensing in Australia include mobile phone handsets, cordless telephones</w:t>
      </w:r>
      <w:r w:rsidR="008D5A99">
        <w:t>,</w:t>
      </w:r>
      <w:r w:rsidR="00575ED7" w:rsidRPr="00A14A24">
        <w:t xml:space="preserve"> and a range of other low-power devices, such as </w:t>
      </w:r>
      <w:r w:rsidR="008D5A99">
        <w:t>w</w:t>
      </w:r>
      <w:r w:rsidR="004B1A15" w:rsidRPr="004B1A15">
        <w:t>i-</w:t>
      </w:r>
      <w:r w:rsidR="008D5A99">
        <w:t>f</w:t>
      </w:r>
      <w:r w:rsidR="004B1A15" w:rsidRPr="004B1A15">
        <w:t xml:space="preserve">i transmitters, </w:t>
      </w:r>
      <w:r w:rsidR="00575ED7" w:rsidRPr="00A14A24">
        <w:t xml:space="preserve">garage door openers and wireless identification tags. </w:t>
      </w:r>
      <w:r w:rsidR="000A600A">
        <w:t>Our</w:t>
      </w:r>
      <w:r w:rsidR="00575ED7" w:rsidRPr="00A14A24">
        <w:t xml:space="preserve"> class</w:t>
      </w:r>
      <w:r w:rsidR="008D5A99">
        <w:t>-</w:t>
      </w:r>
      <w:r w:rsidR="00575ED7" w:rsidRPr="00A14A24">
        <w:t>licensing arrangements provide permission for each operator to operate the equipment without the need to obtain an individual licence. Accordingly, class licences are excluded from cost recovery arrangements.</w:t>
      </w:r>
    </w:p>
    <w:p w14:paraId="6C4FAF35" w14:textId="6473E193" w:rsidR="00B713A2" w:rsidRPr="0086284C" w:rsidRDefault="00504BF3" w:rsidP="0041763F">
      <w:pPr>
        <w:pStyle w:val="Bulletlevel1"/>
      </w:pPr>
      <w:r w:rsidRPr="00AF22C2">
        <w:rPr>
          <w:b/>
          <w:bCs/>
        </w:rPr>
        <w:t>Apparatus licences</w:t>
      </w:r>
      <w:r w:rsidR="008D5A99">
        <w:t>: a</w:t>
      </w:r>
      <w:r w:rsidRPr="00A14A24">
        <w:t>pparatus licences are issued to authorise the operation of radiocommunications devices. The fees applicable to the activities involved in issuing</w:t>
      </w:r>
      <w:r w:rsidR="0094493E">
        <w:t xml:space="preserve">, </w:t>
      </w:r>
      <w:r w:rsidRPr="00A14A24">
        <w:t>renewing</w:t>
      </w:r>
      <w:r w:rsidR="0094493E">
        <w:t xml:space="preserve"> or varying</w:t>
      </w:r>
      <w:r w:rsidRPr="00A14A24">
        <w:t xml:space="preserve"> apparatus licences are </w:t>
      </w:r>
      <w:r w:rsidRPr="00475AC8">
        <w:t xml:space="preserve">outlined in </w:t>
      </w:r>
      <w:r w:rsidR="001E0DEF" w:rsidRPr="00475AC8">
        <w:t>P</w:t>
      </w:r>
      <w:r w:rsidRPr="00475AC8">
        <w:t>art</w:t>
      </w:r>
      <w:r w:rsidR="006E20C7" w:rsidRPr="00475AC8">
        <w:t xml:space="preserve"> 2</w:t>
      </w:r>
      <w:r w:rsidR="00403BAF">
        <w:t xml:space="preserve"> of Schedule 1 </w:t>
      </w:r>
      <w:r w:rsidRPr="00DB56A0">
        <w:t>to the</w:t>
      </w:r>
      <w:r w:rsidRPr="00A14A24">
        <w:t xml:space="preserve"> </w:t>
      </w:r>
      <w:r w:rsidR="008811FA">
        <w:t xml:space="preserve">Radiocommunications </w:t>
      </w:r>
      <w:r w:rsidR="00CC7BCC">
        <w:t>D</w:t>
      </w:r>
      <w:r w:rsidR="006E20C7" w:rsidRPr="00A14A24">
        <w:t>etermination</w:t>
      </w:r>
      <w:r w:rsidRPr="00A14A24">
        <w:t>.</w:t>
      </w:r>
      <w:r w:rsidR="0086284C">
        <w:t xml:space="preserve"> </w:t>
      </w:r>
      <w:r w:rsidRPr="0086284C">
        <w:t xml:space="preserve">The types of services that may operate under the apparatus licensing regime include mobile </w:t>
      </w:r>
      <w:r w:rsidR="0008655E" w:rsidRPr="0086284C">
        <w:t>broadband</w:t>
      </w:r>
      <w:r w:rsidRPr="0086284C">
        <w:t xml:space="preserve">, </w:t>
      </w:r>
      <w:r w:rsidR="0008655E" w:rsidRPr="0086284C">
        <w:t xml:space="preserve">emergency services, </w:t>
      </w:r>
      <w:r w:rsidRPr="0086284C">
        <w:t xml:space="preserve">amateur </w:t>
      </w:r>
      <w:r w:rsidR="0008655E" w:rsidRPr="0086284C">
        <w:t>radio</w:t>
      </w:r>
      <w:r w:rsidRPr="0086284C">
        <w:t xml:space="preserve">, </w:t>
      </w:r>
      <w:r w:rsidR="0008655E" w:rsidRPr="0086284C">
        <w:t>satellite</w:t>
      </w:r>
      <w:r w:rsidR="00E24AAD" w:rsidRPr="0086284C">
        <w:t xml:space="preserve">, </w:t>
      </w:r>
      <w:proofErr w:type="gramStart"/>
      <w:r w:rsidRPr="0086284C">
        <w:t>broadcasting</w:t>
      </w:r>
      <w:proofErr w:type="gramEnd"/>
      <w:r w:rsidRPr="0086284C">
        <w:t xml:space="preserve"> and land mobile.</w:t>
      </w:r>
      <w:r w:rsidR="00B713A2" w:rsidRPr="0086284C">
        <w:t xml:space="preserve"> As licence applicants receive a direct benefit from the right to use</w:t>
      </w:r>
      <w:r w:rsidR="00A3634F" w:rsidRPr="0086284C">
        <w:t xml:space="preserve"> </w:t>
      </w:r>
      <w:r w:rsidR="001E23A0" w:rsidRPr="0086284C">
        <w:t>radiocommunications devices</w:t>
      </w:r>
      <w:r w:rsidR="00B713A2" w:rsidRPr="0086284C">
        <w:t xml:space="preserve"> and/or supply services, </w:t>
      </w:r>
      <w:r w:rsidR="000A600A" w:rsidRPr="0086284C">
        <w:t>we</w:t>
      </w:r>
      <w:r w:rsidR="008D7D49" w:rsidRPr="0086284C">
        <w:t xml:space="preserve"> consider </w:t>
      </w:r>
      <w:r w:rsidR="00B713A2" w:rsidRPr="0086284C">
        <w:t>these activities are appropriate to be subject to cost recovery arrangements.</w:t>
      </w:r>
    </w:p>
    <w:p w14:paraId="5D6C0985" w14:textId="6715CEA1" w:rsidR="00ED5C5C" w:rsidRPr="00A14A24" w:rsidRDefault="00504BF3" w:rsidP="0041763F">
      <w:pPr>
        <w:pStyle w:val="Bulletlevel1last"/>
      </w:pPr>
      <w:r w:rsidRPr="00AF22C2">
        <w:rPr>
          <w:b/>
          <w:bCs/>
        </w:rPr>
        <w:t>Spectrum licences</w:t>
      </w:r>
      <w:r w:rsidR="0086284C">
        <w:t>: s</w:t>
      </w:r>
      <w:r w:rsidRPr="00A14A24">
        <w:t>pectrum licences are tradeable</w:t>
      </w:r>
      <w:r w:rsidR="0086284C">
        <w:t xml:space="preserve"> and </w:t>
      </w:r>
      <w:r w:rsidRPr="00A14A24">
        <w:t xml:space="preserve">technology-flexible (that is, the licence is not normally limited to any </w:t>
      </w:r>
      <w:proofErr w:type="gramStart"/>
      <w:r w:rsidRPr="00A14A24">
        <w:t>particular technology</w:t>
      </w:r>
      <w:proofErr w:type="gramEnd"/>
      <w:r w:rsidRPr="00A14A24">
        <w:t>, system or service)</w:t>
      </w:r>
      <w:r w:rsidR="0086284C">
        <w:t xml:space="preserve"> and provide the </w:t>
      </w:r>
      <w:r w:rsidRPr="00A14A24">
        <w:t>right to access specified spectrum</w:t>
      </w:r>
      <w:r w:rsidR="00AB4490">
        <w:t xml:space="preserve"> </w:t>
      </w:r>
      <w:r w:rsidR="00AB4490" w:rsidRPr="00AB4490">
        <w:t>within a defined geographical area</w:t>
      </w:r>
      <w:r w:rsidRPr="00A14A24">
        <w:t>. Spectrum licences are</w:t>
      </w:r>
      <w:r w:rsidR="00E71618">
        <w:t xml:space="preserve"> mainly allocated by</w:t>
      </w:r>
      <w:r w:rsidRPr="00A14A24">
        <w:t xml:space="preserve"> auction</w:t>
      </w:r>
      <w:r w:rsidR="00BB0447" w:rsidRPr="00A14A24">
        <w:t xml:space="preserve"> </w:t>
      </w:r>
      <w:r w:rsidR="005D78CA" w:rsidRPr="00A14A24">
        <w:t>or</w:t>
      </w:r>
      <w:r w:rsidR="005D78CA">
        <w:t>,</w:t>
      </w:r>
      <w:r w:rsidR="005D78CA" w:rsidRPr="005D78CA">
        <w:t xml:space="preserve"> in limited circumstances, </w:t>
      </w:r>
      <w:r w:rsidR="005409C8">
        <w:t>allocated</w:t>
      </w:r>
      <w:r w:rsidR="001A6944">
        <w:t xml:space="preserve"> </w:t>
      </w:r>
      <w:r w:rsidR="00C64074" w:rsidRPr="00A14A24">
        <w:t xml:space="preserve">for </w:t>
      </w:r>
      <w:r w:rsidRPr="00A14A24">
        <w:t xml:space="preserve">a pre-determined price. </w:t>
      </w:r>
    </w:p>
    <w:p w14:paraId="0AE9A51B" w14:textId="72289676" w:rsidR="00154E76" w:rsidRPr="00A14A24" w:rsidRDefault="000A600A" w:rsidP="00504BF3">
      <w:r w:rsidDel="00F804F2">
        <w:rPr>
          <w:rFonts w:cs="Arial"/>
        </w:rPr>
        <w:t>We</w:t>
      </w:r>
      <w:r w:rsidR="00B713A2" w:rsidDel="00F804F2">
        <w:rPr>
          <w:rFonts w:cs="Arial"/>
        </w:rPr>
        <w:t xml:space="preserve"> </w:t>
      </w:r>
      <w:r w:rsidR="00B713A2">
        <w:rPr>
          <w:rFonts w:cs="Arial"/>
        </w:rPr>
        <w:t xml:space="preserve">recover </w:t>
      </w:r>
      <w:r w:rsidR="002F2B48" w:rsidDel="008C6E4D">
        <w:rPr>
          <w:rFonts w:cs="Arial"/>
        </w:rPr>
        <w:t xml:space="preserve">the cost of </w:t>
      </w:r>
      <w:r w:rsidR="00B713A2">
        <w:rPr>
          <w:rFonts w:cs="Arial"/>
        </w:rPr>
        <w:t>part</w:t>
      </w:r>
      <w:r w:rsidR="008C6E4D">
        <w:rPr>
          <w:rFonts w:cs="Arial"/>
        </w:rPr>
        <w:t xml:space="preserve"> of</w:t>
      </w:r>
      <w:r w:rsidR="00B713A2">
        <w:rPr>
          <w:rFonts w:cs="Arial"/>
        </w:rPr>
        <w:t xml:space="preserve"> </w:t>
      </w:r>
      <w:r>
        <w:rPr>
          <w:rFonts w:cs="Arial"/>
        </w:rPr>
        <w:t xml:space="preserve">our </w:t>
      </w:r>
      <w:r w:rsidR="00B713A2">
        <w:rPr>
          <w:rFonts w:cs="Arial"/>
        </w:rPr>
        <w:t xml:space="preserve">spectrum management activities through the </w:t>
      </w:r>
      <w:r w:rsidR="00154E76" w:rsidRPr="00A14A24">
        <w:rPr>
          <w:rFonts w:cs="Arial"/>
        </w:rPr>
        <w:t xml:space="preserve">fees applicable to </w:t>
      </w:r>
      <w:r w:rsidR="008D4646">
        <w:rPr>
          <w:rFonts w:cs="Arial"/>
        </w:rPr>
        <w:t xml:space="preserve">certain </w:t>
      </w:r>
      <w:r w:rsidR="00154E76" w:rsidRPr="00A14A24">
        <w:rPr>
          <w:rFonts w:cs="Arial"/>
        </w:rPr>
        <w:t xml:space="preserve">activities </w:t>
      </w:r>
      <w:r w:rsidR="008D4646">
        <w:rPr>
          <w:rFonts w:cs="Arial"/>
        </w:rPr>
        <w:t xml:space="preserve">associated with </w:t>
      </w:r>
      <w:r w:rsidR="007266D9">
        <w:rPr>
          <w:rFonts w:cs="Arial"/>
        </w:rPr>
        <w:t>spectrum licensing</w:t>
      </w:r>
      <w:r w:rsidR="0086284C">
        <w:rPr>
          <w:rFonts w:cs="Arial"/>
        </w:rPr>
        <w:t>,</w:t>
      </w:r>
      <w:r w:rsidR="007266D9">
        <w:rPr>
          <w:rFonts w:cs="Arial"/>
        </w:rPr>
        <w:t xml:space="preserve"> </w:t>
      </w:r>
      <w:r w:rsidR="00B713A2">
        <w:rPr>
          <w:rFonts w:cs="Arial"/>
        </w:rPr>
        <w:t>as</w:t>
      </w:r>
      <w:r w:rsidR="00B713A2" w:rsidRPr="00A14A24">
        <w:rPr>
          <w:rFonts w:cs="Arial"/>
        </w:rPr>
        <w:t xml:space="preserve"> </w:t>
      </w:r>
      <w:r w:rsidR="00154E76" w:rsidRPr="00A14A24">
        <w:rPr>
          <w:rFonts w:cs="Arial"/>
        </w:rPr>
        <w:t xml:space="preserve">outlined </w:t>
      </w:r>
      <w:r w:rsidR="00154E76" w:rsidRPr="00475AC8">
        <w:rPr>
          <w:rFonts w:cs="Arial"/>
        </w:rPr>
        <w:t xml:space="preserve">in Part </w:t>
      </w:r>
      <w:r w:rsidR="006E20C7" w:rsidRPr="00475AC8">
        <w:rPr>
          <w:rFonts w:cs="Arial"/>
        </w:rPr>
        <w:t>5</w:t>
      </w:r>
      <w:r w:rsidR="009B083D">
        <w:rPr>
          <w:rFonts w:cs="Arial"/>
        </w:rPr>
        <w:t xml:space="preserve"> of Schedule 1</w:t>
      </w:r>
      <w:r w:rsidR="003F6F77">
        <w:rPr>
          <w:rFonts w:cs="Arial"/>
        </w:rPr>
        <w:t xml:space="preserve"> </w:t>
      </w:r>
      <w:r w:rsidR="00154E76" w:rsidRPr="00475AC8">
        <w:rPr>
          <w:rFonts w:cs="Arial"/>
        </w:rPr>
        <w:t xml:space="preserve">to the </w:t>
      </w:r>
      <w:hyperlink r:id="rId24" w:history="1">
        <w:proofErr w:type="spellStart"/>
        <w:r w:rsidR="003550D5">
          <w:t>Radcoms</w:t>
        </w:r>
        <w:proofErr w:type="spellEnd"/>
      </w:hyperlink>
      <w:r w:rsidR="006E20C7" w:rsidRPr="00475AC8">
        <w:t xml:space="preserve"> </w:t>
      </w:r>
      <w:r w:rsidR="00CC7BCC">
        <w:t>D</w:t>
      </w:r>
      <w:r w:rsidR="006E20C7" w:rsidRPr="00475AC8">
        <w:t>etermination</w:t>
      </w:r>
      <w:r w:rsidR="00154E76" w:rsidRPr="00475AC8">
        <w:t>.</w:t>
      </w:r>
    </w:p>
    <w:p w14:paraId="73CB4CE5" w14:textId="35147BEC" w:rsidR="00504BF3" w:rsidRPr="00A14A24" w:rsidRDefault="00D96922" w:rsidP="00D47C61">
      <w:pPr>
        <w:pStyle w:val="Bodysubheader0"/>
        <w:keepNext/>
        <w:keepLines/>
      </w:pPr>
      <w:r>
        <w:lastRenderedPageBreak/>
        <w:t>Device t</w:t>
      </w:r>
      <w:r w:rsidR="00504BF3" w:rsidRPr="00A14A24">
        <w:t>esting</w:t>
      </w:r>
    </w:p>
    <w:p w14:paraId="0C1E11C9" w14:textId="2DCD511E" w:rsidR="000108F2" w:rsidRDefault="00631286" w:rsidP="00AE3CB3">
      <w:pPr>
        <w:keepNext/>
        <w:keepLines/>
        <w:rPr>
          <w:rFonts w:eastAsiaTheme="minorEastAsia" w:cs="Arial"/>
          <w:lang w:val="en-GB" w:eastAsia="en-US"/>
        </w:rPr>
      </w:pPr>
      <w:r w:rsidRPr="00A14A24">
        <w:rPr>
          <w:rFonts w:eastAsiaTheme="minorEastAsia" w:cs="Arial"/>
          <w:lang w:val="en-GB" w:eastAsia="en-US"/>
        </w:rPr>
        <w:t>D</w:t>
      </w:r>
      <w:r w:rsidR="000108F2" w:rsidRPr="00A14A24">
        <w:rPr>
          <w:rFonts w:eastAsiaTheme="minorEastAsia" w:cs="Arial"/>
          <w:lang w:val="en-GB" w:eastAsia="en-US"/>
        </w:rPr>
        <w:t xml:space="preserve">ue to </w:t>
      </w:r>
      <w:r w:rsidR="00997368">
        <w:rPr>
          <w:rFonts w:eastAsiaTheme="minorEastAsia" w:cs="Arial"/>
          <w:lang w:val="en-GB" w:eastAsia="en-US"/>
        </w:rPr>
        <w:t xml:space="preserve">amendments made to the </w:t>
      </w:r>
      <w:hyperlink r:id="rId25" w:history="1">
        <w:r w:rsidR="008807F7" w:rsidRPr="000A600A">
          <w:rPr>
            <w:rStyle w:val="Hyperlink"/>
            <w:rFonts w:eastAsiaTheme="minorEastAsia" w:cs="Arial"/>
            <w:lang w:val="en-GB" w:eastAsia="en-US"/>
          </w:rPr>
          <w:t xml:space="preserve">Radiocommunications (Compliance Labelling – Devices) </w:t>
        </w:r>
        <w:r w:rsidR="000108F2" w:rsidRPr="000A600A">
          <w:rPr>
            <w:rStyle w:val="Hyperlink"/>
            <w:rFonts w:eastAsiaTheme="minorEastAsia" w:cs="Arial"/>
            <w:lang w:val="en-GB" w:eastAsia="en-US"/>
          </w:rPr>
          <w:t>Notice 2014</w:t>
        </w:r>
      </w:hyperlink>
      <w:r w:rsidR="000108F2" w:rsidRPr="00A14A24">
        <w:rPr>
          <w:rFonts w:eastAsiaTheme="minorEastAsia" w:cs="Arial"/>
          <w:lang w:val="en-GB" w:eastAsia="en-US"/>
        </w:rPr>
        <w:t xml:space="preserve">, </w:t>
      </w:r>
      <w:r w:rsidR="0064698B">
        <w:rPr>
          <w:rFonts w:eastAsiaTheme="minorEastAsia" w:cs="Arial"/>
          <w:lang w:val="en-GB" w:eastAsia="en-US"/>
        </w:rPr>
        <w:t xml:space="preserve">the ACMA </w:t>
      </w:r>
      <w:r w:rsidR="006A453A" w:rsidRPr="00A14A24">
        <w:rPr>
          <w:rFonts w:eastAsiaTheme="minorEastAsia" w:cs="Arial"/>
          <w:lang w:val="en-GB" w:eastAsia="en-US"/>
        </w:rPr>
        <w:t>no longer provide</w:t>
      </w:r>
      <w:r w:rsidR="0064698B">
        <w:rPr>
          <w:rFonts w:eastAsiaTheme="minorEastAsia" w:cs="Arial"/>
          <w:lang w:val="en-GB" w:eastAsia="en-US"/>
        </w:rPr>
        <w:t>s</w:t>
      </w:r>
      <w:r w:rsidR="006A453A" w:rsidRPr="00A14A24">
        <w:rPr>
          <w:rFonts w:eastAsiaTheme="minorEastAsia" w:cs="Arial"/>
          <w:lang w:val="en-GB" w:eastAsia="en-US"/>
        </w:rPr>
        <w:t xml:space="preserve"> th</w:t>
      </w:r>
      <w:r w:rsidR="00CA5AEE" w:rsidRPr="00A14A24">
        <w:rPr>
          <w:rFonts w:eastAsiaTheme="minorEastAsia" w:cs="Arial"/>
          <w:lang w:val="en-GB" w:eastAsia="en-US"/>
        </w:rPr>
        <w:t xml:space="preserve">is </w:t>
      </w:r>
      <w:r w:rsidR="005B1617">
        <w:rPr>
          <w:rFonts w:eastAsiaTheme="minorEastAsia" w:cs="Arial"/>
          <w:lang w:val="en-GB" w:eastAsia="en-US"/>
        </w:rPr>
        <w:t>device testing</w:t>
      </w:r>
      <w:r w:rsidR="005B1617" w:rsidRPr="00A14A24">
        <w:rPr>
          <w:rFonts w:eastAsiaTheme="minorEastAsia" w:cs="Arial"/>
          <w:lang w:val="en-GB" w:eastAsia="en-US"/>
        </w:rPr>
        <w:t xml:space="preserve"> </w:t>
      </w:r>
      <w:r w:rsidR="006A453A" w:rsidRPr="00A14A24">
        <w:rPr>
          <w:rFonts w:eastAsiaTheme="minorEastAsia" w:cs="Arial"/>
          <w:lang w:val="en-GB" w:eastAsia="en-US"/>
        </w:rPr>
        <w:t>on a commercial basis</w:t>
      </w:r>
      <w:r w:rsidR="005B1617">
        <w:rPr>
          <w:rFonts w:eastAsiaTheme="minorEastAsia" w:cs="Arial"/>
          <w:lang w:val="en-GB" w:eastAsia="en-US"/>
        </w:rPr>
        <w:t>.</w:t>
      </w:r>
      <w:r w:rsidR="0064698B">
        <w:rPr>
          <w:rFonts w:eastAsiaTheme="minorEastAsia" w:cs="Arial"/>
          <w:lang w:val="en-GB" w:eastAsia="en-US"/>
        </w:rPr>
        <w:t xml:space="preserve"> </w:t>
      </w:r>
      <w:r w:rsidR="005B1617">
        <w:rPr>
          <w:rFonts w:eastAsiaTheme="minorEastAsia" w:cs="Arial"/>
          <w:lang w:val="en-GB" w:eastAsia="en-US"/>
        </w:rPr>
        <w:t>H</w:t>
      </w:r>
      <w:r w:rsidR="0064698B">
        <w:rPr>
          <w:rFonts w:eastAsiaTheme="minorEastAsia" w:cs="Arial"/>
          <w:lang w:val="en-GB" w:eastAsia="en-US"/>
        </w:rPr>
        <w:t>owever</w:t>
      </w:r>
      <w:r w:rsidR="005B1617">
        <w:rPr>
          <w:rFonts w:eastAsiaTheme="minorEastAsia" w:cs="Arial"/>
          <w:lang w:val="en-GB" w:eastAsia="en-US"/>
        </w:rPr>
        <w:t>,</w:t>
      </w:r>
      <w:r w:rsidR="000D5EC6">
        <w:rPr>
          <w:rFonts w:eastAsiaTheme="minorEastAsia" w:cs="Arial"/>
          <w:lang w:val="en-GB" w:eastAsia="en-US"/>
        </w:rPr>
        <w:t xml:space="preserve"> </w:t>
      </w:r>
      <w:r w:rsidR="000108F2" w:rsidRPr="00A14A24">
        <w:rPr>
          <w:rFonts w:eastAsiaTheme="minorEastAsia" w:cs="Arial"/>
          <w:lang w:val="en-GB" w:eastAsia="en-US"/>
        </w:rPr>
        <w:t xml:space="preserve">a fee </w:t>
      </w:r>
      <w:r w:rsidR="00060FEF">
        <w:rPr>
          <w:rFonts w:eastAsiaTheme="minorEastAsia" w:cs="Arial"/>
          <w:lang w:val="en-GB" w:eastAsia="en-US"/>
        </w:rPr>
        <w:t>(</w:t>
      </w:r>
      <w:r w:rsidR="00D02044" w:rsidRPr="00A14A24">
        <w:rPr>
          <w:rFonts w:eastAsiaTheme="minorEastAsia" w:cs="Arial"/>
          <w:lang w:val="en-GB" w:eastAsia="en-US"/>
        </w:rPr>
        <w:t xml:space="preserve">charged at a </w:t>
      </w:r>
      <w:r w:rsidR="00D02044" w:rsidRPr="00DB1267">
        <w:rPr>
          <w:rFonts w:eastAsiaTheme="minorEastAsia" w:cs="Arial"/>
          <w:lang w:val="en-GB" w:eastAsia="en-US"/>
        </w:rPr>
        <w:t xml:space="preserve">special hourly rate </w:t>
      </w:r>
      <w:r w:rsidR="000F5235" w:rsidRPr="00DB1267">
        <w:rPr>
          <w:rFonts w:eastAsiaTheme="minorEastAsia" w:cs="Arial"/>
          <w:lang w:val="en-GB" w:eastAsia="en-US"/>
        </w:rPr>
        <w:t>B</w:t>
      </w:r>
      <w:r w:rsidR="00D02044" w:rsidRPr="00A14A24">
        <w:rPr>
          <w:rFonts w:eastAsiaTheme="minorEastAsia" w:cs="Arial"/>
          <w:lang w:val="en-GB" w:eastAsia="en-US"/>
        </w:rPr>
        <w:t xml:space="preserve"> </w:t>
      </w:r>
      <w:r w:rsidR="005B1617">
        <w:rPr>
          <w:rFonts w:eastAsiaTheme="minorEastAsia" w:cs="Arial"/>
          <w:lang w:val="en-GB" w:eastAsia="en-US"/>
        </w:rPr>
        <w:t xml:space="preserve">– </w:t>
      </w:r>
      <w:r w:rsidR="004B5E84">
        <w:rPr>
          <w:rFonts w:eastAsiaTheme="minorEastAsia" w:cs="Arial"/>
          <w:lang w:val="en-GB" w:eastAsia="en-US"/>
        </w:rPr>
        <w:t xml:space="preserve">see </w:t>
      </w:r>
      <w:r w:rsidR="000504B9">
        <w:rPr>
          <w:rFonts w:eastAsiaTheme="minorEastAsia" w:cs="Arial"/>
          <w:lang w:val="en-GB" w:eastAsia="en-US"/>
        </w:rPr>
        <w:t xml:space="preserve">Part 1 of Schedule 1 to the </w:t>
      </w:r>
      <w:r w:rsidR="008811FA">
        <w:rPr>
          <w:rFonts w:eastAsiaTheme="minorEastAsia" w:cs="Arial"/>
          <w:lang w:val="en-GB" w:eastAsia="en-US"/>
        </w:rPr>
        <w:t xml:space="preserve">Radiocommunications </w:t>
      </w:r>
      <w:r w:rsidR="00CC7BCC">
        <w:rPr>
          <w:rFonts w:eastAsiaTheme="minorEastAsia" w:cs="Arial"/>
          <w:lang w:val="en-GB" w:eastAsia="en-US"/>
        </w:rPr>
        <w:t>D</w:t>
      </w:r>
      <w:r w:rsidR="00D02044" w:rsidRPr="00A14A24">
        <w:rPr>
          <w:rFonts w:eastAsiaTheme="minorEastAsia" w:cs="Arial"/>
          <w:lang w:val="en-GB" w:eastAsia="en-US"/>
        </w:rPr>
        <w:t>etermination</w:t>
      </w:r>
      <w:r w:rsidR="00060FEF">
        <w:rPr>
          <w:rFonts w:eastAsiaTheme="minorEastAsia" w:cs="Arial"/>
          <w:lang w:val="en-GB" w:eastAsia="en-US"/>
        </w:rPr>
        <w:t>)</w:t>
      </w:r>
      <w:r w:rsidR="00D02044" w:rsidRPr="00A14A24">
        <w:rPr>
          <w:rFonts w:eastAsiaTheme="minorEastAsia" w:cs="Arial"/>
          <w:lang w:val="en-GB" w:eastAsia="en-US"/>
        </w:rPr>
        <w:t xml:space="preserve"> </w:t>
      </w:r>
      <w:r w:rsidR="00060FEF">
        <w:rPr>
          <w:rFonts w:eastAsiaTheme="minorEastAsia" w:cs="Arial"/>
          <w:lang w:val="en-GB" w:eastAsia="en-US"/>
        </w:rPr>
        <w:t>has been retained</w:t>
      </w:r>
      <w:r w:rsidR="000108F2" w:rsidRPr="00DB1267">
        <w:rPr>
          <w:rFonts w:eastAsiaTheme="minorEastAsia" w:cs="Arial"/>
          <w:lang w:val="en-GB" w:eastAsia="en-US"/>
        </w:rPr>
        <w:t xml:space="preserve"> </w:t>
      </w:r>
      <w:r w:rsidR="000D5EC6">
        <w:rPr>
          <w:rFonts w:eastAsiaTheme="minorEastAsia" w:cs="Arial"/>
          <w:lang w:val="en-GB" w:eastAsia="en-US"/>
        </w:rPr>
        <w:t xml:space="preserve">to cover any </w:t>
      </w:r>
      <w:r w:rsidR="000108F2" w:rsidRPr="00DB1267">
        <w:rPr>
          <w:rFonts w:eastAsiaTheme="minorEastAsia" w:cs="Arial"/>
          <w:lang w:val="en-GB" w:eastAsia="en-US"/>
        </w:rPr>
        <w:t xml:space="preserve">special circumstances where </w:t>
      </w:r>
      <w:r w:rsidR="000A600A">
        <w:rPr>
          <w:rFonts w:eastAsiaTheme="minorEastAsia" w:cs="Arial"/>
          <w:lang w:val="en-GB" w:eastAsia="en-US"/>
        </w:rPr>
        <w:t xml:space="preserve">we </w:t>
      </w:r>
      <w:r w:rsidR="005B1617">
        <w:rPr>
          <w:rFonts w:eastAsiaTheme="minorEastAsia" w:cs="Arial"/>
          <w:lang w:val="en-GB" w:eastAsia="en-US"/>
        </w:rPr>
        <w:t xml:space="preserve">may </w:t>
      </w:r>
      <w:r w:rsidR="00110054">
        <w:rPr>
          <w:rFonts w:eastAsiaTheme="minorEastAsia" w:cs="Arial"/>
          <w:lang w:val="en-GB" w:eastAsia="en-US"/>
        </w:rPr>
        <w:t xml:space="preserve">be </w:t>
      </w:r>
      <w:r w:rsidR="000108F2" w:rsidRPr="00CB4AE3">
        <w:rPr>
          <w:rFonts w:eastAsiaTheme="minorEastAsia" w:cs="Arial"/>
          <w:lang w:val="en-GB" w:eastAsia="en-US"/>
        </w:rPr>
        <w:t xml:space="preserve">required to undertake testing </w:t>
      </w:r>
      <w:r w:rsidR="00F012F0" w:rsidRPr="00CB4AE3">
        <w:rPr>
          <w:rFonts w:eastAsiaTheme="minorEastAsia" w:cs="Arial"/>
          <w:lang w:val="en-GB" w:eastAsia="en-US"/>
        </w:rPr>
        <w:t>in the</w:t>
      </w:r>
      <w:r w:rsidR="00EC6F03" w:rsidRPr="00CB4AE3">
        <w:rPr>
          <w:rFonts w:eastAsiaTheme="minorEastAsia" w:cs="Arial"/>
          <w:lang w:val="en-GB" w:eastAsia="en-US"/>
        </w:rPr>
        <w:t xml:space="preserve"> </w:t>
      </w:r>
      <w:r w:rsidR="00F012F0" w:rsidRPr="00CB4AE3">
        <w:rPr>
          <w:rFonts w:eastAsiaTheme="minorEastAsia" w:cs="Arial"/>
          <w:lang w:val="en-GB" w:eastAsia="en-US"/>
        </w:rPr>
        <w:t>future</w:t>
      </w:r>
      <w:r w:rsidR="000108F2" w:rsidRPr="00CB4AE3">
        <w:rPr>
          <w:rFonts w:eastAsiaTheme="minorEastAsia" w:cs="Arial"/>
          <w:lang w:val="en-GB" w:eastAsia="en-US"/>
        </w:rPr>
        <w:t>.</w:t>
      </w:r>
    </w:p>
    <w:p w14:paraId="33F3B134" w14:textId="40B00880" w:rsidR="00AE2A03" w:rsidRDefault="00AE2A03" w:rsidP="00AE2A03">
      <w:pPr>
        <w:pStyle w:val="Bodysubheader0"/>
        <w:keepNext/>
      </w:pPr>
      <w:r w:rsidRPr="00775EA1">
        <w:t>Examinations</w:t>
      </w:r>
    </w:p>
    <w:p w14:paraId="1A4D31FF" w14:textId="7202A896" w:rsidR="00727931" w:rsidRPr="00EC60CC" w:rsidRDefault="000D0594" w:rsidP="008131A2">
      <w:pPr>
        <w:rPr>
          <w:rFonts w:cs="Arial"/>
        </w:rPr>
      </w:pPr>
      <w:r>
        <w:t xml:space="preserve">Marine and </w:t>
      </w:r>
      <w:r>
        <w:rPr>
          <w:rFonts w:cs="Arial"/>
        </w:rPr>
        <w:t>a</w:t>
      </w:r>
      <w:r w:rsidR="007A6D03" w:rsidRPr="00657B4B">
        <w:rPr>
          <w:rFonts w:cs="Arial"/>
        </w:rPr>
        <w:t>mateur</w:t>
      </w:r>
      <w:r w:rsidR="002E2B8E" w:rsidRPr="00657B4B">
        <w:rPr>
          <w:rFonts w:cs="Arial"/>
        </w:rPr>
        <w:t xml:space="preserve"> </w:t>
      </w:r>
      <w:r w:rsidR="007A6D03" w:rsidRPr="00657B4B">
        <w:rPr>
          <w:rFonts w:cs="Arial"/>
        </w:rPr>
        <w:t>radio examinations are currently undertaken by a third</w:t>
      </w:r>
      <w:r w:rsidR="003A299D" w:rsidRPr="00657B4B">
        <w:rPr>
          <w:rFonts w:cs="Arial"/>
        </w:rPr>
        <w:t> </w:t>
      </w:r>
      <w:r w:rsidR="007A6D03" w:rsidRPr="00657B4B">
        <w:rPr>
          <w:rFonts w:cs="Arial"/>
        </w:rPr>
        <w:t xml:space="preserve">party under ACMA </w:t>
      </w:r>
      <w:r w:rsidR="00293539" w:rsidRPr="00657B4B">
        <w:rPr>
          <w:rFonts w:cs="Arial"/>
        </w:rPr>
        <w:t xml:space="preserve">approvals and </w:t>
      </w:r>
      <w:r w:rsidR="007A6D03" w:rsidRPr="00657B4B">
        <w:rPr>
          <w:rFonts w:cs="Arial"/>
        </w:rPr>
        <w:t xml:space="preserve">delegations, complemented by deeds of agreement with </w:t>
      </w:r>
      <w:r w:rsidR="007A6D03" w:rsidRPr="00EC60CC">
        <w:rPr>
          <w:rFonts w:cs="Arial"/>
        </w:rPr>
        <w:t xml:space="preserve">the </w:t>
      </w:r>
      <w:r w:rsidR="00293539" w:rsidRPr="00EC60CC">
        <w:rPr>
          <w:rFonts w:cs="Arial"/>
        </w:rPr>
        <w:t>Commonwealth</w:t>
      </w:r>
      <w:r w:rsidR="007A6D03" w:rsidRPr="00EC60CC">
        <w:rPr>
          <w:rFonts w:cs="Arial"/>
        </w:rPr>
        <w:t>.</w:t>
      </w:r>
    </w:p>
    <w:p w14:paraId="7F2D6BFB" w14:textId="457E9473" w:rsidR="00ED11D5" w:rsidRPr="00657B4B" w:rsidRDefault="00ED11D5" w:rsidP="00121F3F">
      <w:pPr>
        <w:pStyle w:val="Paragraph"/>
      </w:pPr>
      <w:bookmarkStart w:id="53" w:name="_Hlk99717232"/>
      <w:r w:rsidRPr="00657B4B">
        <w:t>While the ACMA does not intend to conduct examinations under the</w:t>
      </w:r>
      <w:r w:rsidR="00DA6D12" w:rsidRPr="00657B4B">
        <w:t>se</w:t>
      </w:r>
      <w:r w:rsidRPr="00657B4B">
        <w:t xml:space="preserve"> arrangements, </w:t>
      </w:r>
      <w:r w:rsidR="005B1617" w:rsidRPr="00657B4B">
        <w:t xml:space="preserve">if </w:t>
      </w:r>
      <w:r w:rsidRPr="00657B4B">
        <w:t>a situation arise where we are required to provide the examination service</w:t>
      </w:r>
      <w:r w:rsidR="00610449" w:rsidRPr="00657B4B">
        <w:t>,</w:t>
      </w:r>
      <w:r w:rsidR="00451EE1" w:rsidRPr="00657B4B">
        <w:t xml:space="preserve"> charges are intended to apply</w:t>
      </w:r>
      <w:r w:rsidR="002E5408" w:rsidRPr="00657B4B">
        <w:t xml:space="preserve"> – see item</w:t>
      </w:r>
      <w:r w:rsidR="00A616DD" w:rsidRPr="00657B4B">
        <w:t>s</w:t>
      </w:r>
      <w:r w:rsidR="002E5408" w:rsidRPr="00657B4B">
        <w:t xml:space="preserve"> 4.1.</w:t>
      </w:r>
      <w:r w:rsidR="00A616DD" w:rsidRPr="00657B4B">
        <w:t>1</w:t>
      </w:r>
      <w:r w:rsidR="002E5408" w:rsidRPr="00657B4B">
        <w:t xml:space="preserve"> </w:t>
      </w:r>
      <w:r w:rsidR="000D0594">
        <w:t>to</w:t>
      </w:r>
      <w:r w:rsidR="000D0594" w:rsidRPr="00657B4B">
        <w:t xml:space="preserve"> </w:t>
      </w:r>
      <w:r w:rsidR="00A616DD" w:rsidRPr="00657B4B">
        <w:t>4.1.</w:t>
      </w:r>
      <w:r w:rsidR="000D0594">
        <w:t>4</w:t>
      </w:r>
      <w:r w:rsidR="000D0594" w:rsidRPr="00657B4B">
        <w:t xml:space="preserve"> </w:t>
      </w:r>
      <w:r w:rsidR="002E5408" w:rsidRPr="00657B4B">
        <w:t xml:space="preserve">of Table 1 of Part 4 of Schedule 1 to the </w:t>
      </w:r>
      <w:r w:rsidR="00BF2A72" w:rsidRPr="00657B4B">
        <w:t xml:space="preserve">Radiocommunications </w:t>
      </w:r>
      <w:r w:rsidR="002E5408" w:rsidRPr="00657B4B">
        <w:t>Determination.</w:t>
      </w:r>
      <w:r w:rsidR="004254C2" w:rsidRPr="00657B4B">
        <w:t xml:space="preserve"> </w:t>
      </w:r>
    </w:p>
    <w:bookmarkEnd w:id="53"/>
    <w:p w14:paraId="179C2999" w14:textId="7256E961" w:rsidR="00504BF3" w:rsidRPr="00A14A24" w:rsidRDefault="00504BF3" w:rsidP="00AF22C2">
      <w:pPr>
        <w:pStyle w:val="Bodysubheader0"/>
      </w:pPr>
      <w:r w:rsidRPr="00A14A24">
        <w:t>Interference investigation</w:t>
      </w:r>
      <w:r w:rsidR="00E57139" w:rsidRPr="00A14A24">
        <w:t>s</w:t>
      </w:r>
      <w:r w:rsidR="00C96817" w:rsidRPr="00A14A24">
        <w:t xml:space="preserve"> </w:t>
      </w:r>
    </w:p>
    <w:p w14:paraId="5CF48D66" w14:textId="06106346" w:rsidR="00504BF3" w:rsidRPr="00A14A24" w:rsidRDefault="009E00F8" w:rsidP="00504BF3">
      <w:pPr>
        <w:rPr>
          <w:rFonts w:cs="Arial"/>
        </w:rPr>
      </w:pPr>
      <w:r>
        <w:rPr>
          <w:rFonts w:cs="Arial"/>
        </w:rPr>
        <w:t xml:space="preserve">We </w:t>
      </w:r>
      <w:r w:rsidR="00C96817" w:rsidRPr="00A14A24">
        <w:rPr>
          <w:rFonts w:cs="Arial"/>
        </w:rPr>
        <w:t>ha</w:t>
      </w:r>
      <w:r>
        <w:rPr>
          <w:rFonts w:cs="Arial"/>
        </w:rPr>
        <w:t>ve</w:t>
      </w:r>
      <w:r w:rsidR="00C96817" w:rsidRPr="00A14A24">
        <w:rPr>
          <w:rFonts w:cs="Arial"/>
        </w:rPr>
        <w:t xml:space="preserve"> </w:t>
      </w:r>
      <w:r w:rsidR="00504BF3" w:rsidRPr="00A14A24">
        <w:rPr>
          <w:rFonts w:cs="Arial"/>
        </w:rPr>
        <w:t xml:space="preserve">adopted a policy for the management of interference to terrestrial television and radio broadcast reception using an evidence-based approach. According to the policy, </w:t>
      </w:r>
      <w:r w:rsidR="00984D5D" w:rsidRPr="00A14A24">
        <w:rPr>
          <w:rFonts w:cs="Arial"/>
        </w:rPr>
        <w:t xml:space="preserve">a </w:t>
      </w:r>
      <w:r w:rsidR="00504BF3" w:rsidRPr="00A14A24">
        <w:rPr>
          <w:rFonts w:cs="Arial"/>
        </w:rPr>
        <w:t xml:space="preserve">complainant is required to provide evidence to </w:t>
      </w:r>
      <w:r w:rsidR="000F5235" w:rsidRPr="00A14A24">
        <w:rPr>
          <w:rFonts w:cs="Arial"/>
        </w:rPr>
        <w:t xml:space="preserve">the </w:t>
      </w:r>
      <w:r w:rsidR="00504BF3" w:rsidRPr="00A14A24">
        <w:rPr>
          <w:rFonts w:cs="Arial"/>
        </w:rPr>
        <w:t xml:space="preserve">ACMA to prove that their broadcast reception problems are not caused by faulty installations or by the viewer attempting to receive a broadcast signal from outside the coverage area. </w:t>
      </w:r>
    </w:p>
    <w:p w14:paraId="2CE17273" w14:textId="7D2E9956" w:rsidR="00450710" w:rsidRPr="00344ABF" w:rsidRDefault="007F2C4B" w:rsidP="00AF22C2">
      <w:pPr>
        <w:keepNext/>
        <w:keepLines/>
        <w:spacing w:after="80"/>
      </w:pPr>
      <w:r w:rsidRPr="00344ABF">
        <w:t xml:space="preserve">To better focus </w:t>
      </w:r>
      <w:r w:rsidR="009E00F8">
        <w:t>our</w:t>
      </w:r>
      <w:r w:rsidR="009E00F8" w:rsidRPr="00344ABF">
        <w:t xml:space="preserve"> </w:t>
      </w:r>
      <w:r w:rsidRPr="00344ABF">
        <w:t>investigation activit</w:t>
      </w:r>
      <w:r w:rsidR="00614B3B" w:rsidRPr="00344ABF">
        <w:t>ies</w:t>
      </w:r>
      <w:r w:rsidRPr="00344ABF">
        <w:t xml:space="preserve">, </w:t>
      </w:r>
      <w:r w:rsidR="00B713A2">
        <w:t>the</w:t>
      </w:r>
      <w:r w:rsidR="00D55381">
        <w:t xml:space="preserve">re is a </w:t>
      </w:r>
      <w:r w:rsidR="00765E54" w:rsidRPr="00344ABF">
        <w:t>c</w:t>
      </w:r>
      <w:r w:rsidR="00765E54" w:rsidRPr="00F04ECD">
        <w:t>ost recovery fee</w:t>
      </w:r>
      <w:r w:rsidR="00765E54" w:rsidRPr="00344ABF">
        <w:t xml:space="preserve"> </w:t>
      </w:r>
      <w:r w:rsidR="00C96817" w:rsidRPr="00344ABF">
        <w:t>(</w:t>
      </w:r>
      <w:r w:rsidR="004B5E84" w:rsidRPr="00344ABF">
        <w:t xml:space="preserve">see </w:t>
      </w:r>
      <w:r w:rsidR="00CD0B22" w:rsidRPr="00344ABF">
        <w:t>item 7.2.7</w:t>
      </w:r>
      <w:r w:rsidR="00CD0B22">
        <w:t xml:space="preserve"> of Table 2 of Part 7 </w:t>
      </w:r>
      <w:r w:rsidR="003A3332">
        <w:t xml:space="preserve">of Schedule 1 </w:t>
      </w:r>
      <w:r w:rsidR="00CD0B22">
        <w:t xml:space="preserve">to the </w:t>
      </w:r>
      <w:r w:rsidR="00BF2A72">
        <w:t xml:space="preserve">Radiocommunications </w:t>
      </w:r>
      <w:r w:rsidR="00CC7BCC">
        <w:t>D</w:t>
      </w:r>
      <w:r w:rsidR="0042379A" w:rsidRPr="00344ABF">
        <w:t>etermination</w:t>
      </w:r>
      <w:r w:rsidR="009E00F8" w:rsidRPr="00344ABF">
        <w:t>)</w:t>
      </w:r>
      <w:r w:rsidR="009E00F8">
        <w:t xml:space="preserve"> </w:t>
      </w:r>
      <w:r w:rsidR="00765E54" w:rsidRPr="00344ABF">
        <w:t>for investigati</w:t>
      </w:r>
      <w:r w:rsidR="00450710" w:rsidRPr="00344ABF">
        <w:t>ng</w:t>
      </w:r>
      <w:r w:rsidR="00765E54" w:rsidRPr="00344ABF">
        <w:t xml:space="preserve"> a complaint of interference </w:t>
      </w:r>
      <w:r w:rsidR="00132F0E" w:rsidRPr="00344ABF">
        <w:t xml:space="preserve">to </w:t>
      </w:r>
      <w:r w:rsidRPr="00344ABF">
        <w:t>television or radio broadcasting reception or the operation of a device</w:t>
      </w:r>
      <w:r w:rsidR="00EB1EC2">
        <w:t xml:space="preserve">. It is to </w:t>
      </w:r>
      <w:r w:rsidR="00C96817" w:rsidRPr="00344ABF">
        <w:t>be applied</w:t>
      </w:r>
      <w:r w:rsidR="00EB1EC2">
        <w:t xml:space="preserve"> </w:t>
      </w:r>
      <w:r w:rsidRPr="00344ABF">
        <w:t>where</w:t>
      </w:r>
      <w:r w:rsidR="00450710" w:rsidRPr="00344ABF">
        <w:t>:</w:t>
      </w:r>
    </w:p>
    <w:p w14:paraId="5FF06AEF" w14:textId="61998540" w:rsidR="00765E54" w:rsidRPr="00344ABF" w:rsidRDefault="00765E54" w:rsidP="00A10836">
      <w:pPr>
        <w:pStyle w:val="Bulletlevel1"/>
      </w:pPr>
      <w:r w:rsidRPr="00344ABF">
        <w:t xml:space="preserve">the </w:t>
      </w:r>
      <w:r w:rsidR="007F2C4B" w:rsidRPr="00344ABF">
        <w:t xml:space="preserve">source of the interference </w:t>
      </w:r>
      <w:r w:rsidR="000E6AEC" w:rsidRPr="00344ABF">
        <w:t xml:space="preserve">is wholly or mainly under the control of the </w:t>
      </w:r>
      <w:r w:rsidRPr="00344ABF">
        <w:t>person making the complaint</w:t>
      </w:r>
      <w:r w:rsidR="000E6AEC" w:rsidRPr="00344ABF">
        <w:t xml:space="preserve"> about</w:t>
      </w:r>
      <w:r w:rsidRPr="00344ABF">
        <w:t xml:space="preserve"> the interference</w:t>
      </w:r>
      <w:r w:rsidR="000E6AEC" w:rsidRPr="00344ABF">
        <w:t xml:space="preserve"> (the complainant)</w:t>
      </w:r>
      <w:r w:rsidR="00441381">
        <w:t>, and</w:t>
      </w:r>
    </w:p>
    <w:p w14:paraId="254345C4" w14:textId="088C2E2E" w:rsidR="00450710" w:rsidRPr="00344ABF" w:rsidRDefault="00765E54" w:rsidP="003B40D0">
      <w:pPr>
        <w:pStyle w:val="ListBulletLast"/>
      </w:pPr>
      <w:r w:rsidRPr="00344ABF">
        <w:t xml:space="preserve">the complainant </w:t>
      </w:r>
      <w:r w:rsidR="000E6AEC" w:rsidRPr="00344ABF">
        <w:t>ha</w:t>
      </w:r>
      <w:r w:rsidRPr="00344ABF">
        <w:t xml:space="preserve">s </w:t>
      </w:r>
      <w:r w:rsidR="000E6AEC" w:rsidRPr="00344ABF">
        <w:t>the necessary skills or expertise to diagnose the source</w:t>
      </w:r>
      <w:r w:rsidRPr="00344ABF">
        <w:t xml:space="preserve"> of the interference</w:t>
      </w:r>
      <w:r w:rsidR="00132F0E" w:rsidRPr="00344ABF">
        <w:t>.</w:t>
      </w:r>
    </w:p>
    <w:p w14:paraId="19DE001A" w14:textId="77777777" w:rsidR="00504BF3" w:rsidRPr="00A14A24" w:rsidRDefault="00504BF3" w:rsidP="00504BF3">
      <w:pPr>
        <w:pStyle w:val="Bodysubheader0"/>
      </w:pPr>
      <w:r w:rsidRPr="00A14A24">
        <w:t>Satellite filing and coordination work</w:t>
      </w:r>
    </w:p>
    <w:p w14:paraId="5DC909DD" w14:textId="66C97619" w:rsidR="003068FE" w:rsidRDefault="00504BF3" w:rsidP="00AE3CB3">
      <w:r w:rsidRPr="00CE692B">
        <w:rPr>
          <w:rFonts w:cs="Arial"/>
        </w:rPr>
        <w:t>The filing and coordination of satellite networks with the International Telecommunication Union (ITU) is considered a spectrum management function under the ACMA Act. These activities are being carried</w:t>
      </w:r>
      <w:r w:rsidR="004B6DF6">
        <w:rPr>
          <w:rFonts w:cs="Arial"/>
        </w:rPr>
        <w:t xml:space="preserve"> out</w:t>
      </w:r>
      <w:r w:rsidRPr="00CE692B">
        <w:rPr>
          <w:rFonts w:cs="Arial"/>
        </w:rPr>
        <w:t xml:space="preserve"> </w:t>
      </w:r>
      <w:r w:rsidR="00874B7C">
        <w:rPr>
          <w:rFonts w:cs="Arial"/>
        </w:rPr>
        <w:t>in accordance with</w:t>
      </w:r>
      <w:r w:rsidR="007E09D1">
        <w:rPr>
          <w:rFonts w:cs="Arial"/>
        </w:rPr>
        <w:t xml:space="preserve"> the</w:t>
      </w:r>
      <w:r w:rsidR="00874B7C">
        <w:rPr>
          <w:rFonts w:cs="Arial"/>
        </w:rPr>
        <w:t xml:space="preserve"> </w:t>
      </w:r>
      <w:hyperlink r:id="rId26" w:history="1">
        <w:r w:rsidR="007E09D1">
          <w:rPr>
            <w:rStyle w:val="Hyperlink"/>
            <w:rFonts w:cs="Arial"/>
          </w:rPr>
          <w:t>Australian procedures for the coordination and notification of satellite systems</w:t>
        </w:r>
      </w:hyperlink>
      <w:r w:rsidRPr="00CE692B">
        <w:rPr>
          <w:rFonts w:cs="Arial"/>
        </w:rPr>
        <w:t>.</w:t>
      </w:r>
      <w:bookmarkStart w:id="54" w:name="_Hlk99707434"/>
      <w:r w:rsidR="007E09D1">
        <w:t xml:space="preserve"> </w:t>
      </w:r>
      <w:r w:rsidRPr="00CE692B">
        <w:rPr>
          <w:rFonts w:cs="Arial"/>
        </w:rPr>
        <w:t>The fe</w:t>
      </w:r>
      <w:r w:rsidR="00D72392" w:rsidRPr="00CE692B">
        <w:rPr>
          <w:rFonts w:cs="Arial"/>
        </w:rPr>
        <w:t>e</w:t>
      </w:r>
      <w:r w:rsidRPr="00CE692B">
        <w:rPr>
          <w:rFonts w:cs="Arial"/>
        </w:rPr>
        <w:t xml:space="preserve">s for these services are </w:t>
      </w:r>
      <w:r w:rsidR="00984D5D" w:rsidRPr="00CE692B">
        <w:rPr>
          <w:rFonts w:cs="Arial"/>
        </w:rPr>
        <w:t xml:space="preserve">contained </w:t>
      </w:r>
      <w:r w:rsidRPr="00CE692B">
        <w:rPr>
          <w:rFonts w:cs="Arial"/>
        </w:rPr>
        <w:t xml:space="preserve">in Part </w:t>
      </w:r>
      <w:r w:rsidR="0042379A" w:rsidRPr="00CE692B">
        <w:rPr>
          <w:rFonts w:cs="Arial"/>
        </w:rPr>
        <w:t>6</w:t>
      </w:r>
      <w:r w:rsidR="00340C04">
        <w:rPr>
          <w:rFonts w:cs="Arial"/>
        </w:rPr>
        <w:t xml:space="preserve"> of Schedule 1 to </w:t>
      </w:r>
      <w:r w:rsidRPr="00CE692B">
        <w:rPr>
          <w:rFonts w:cs="Arial"/>
        </w:rPr>
        <w:t xml:space="preserve">the </w:t>
      </w:r>
      <w:r w:rsidR="00BF2A72">
        <w:rPr>
          <w:rFonts w:cs="Arial"/>
        </w:rPr>
        <w:t xml:space="preserve">Radiocommunications </w:t>
      </w:r>
      <w:r w:rsidR="00CC7BCC">
        <w:rPr>
          <w:rFonts w:cs="Arial"/>
        </w:rPr>
        <w:t>D</w:t>
      </w:r>
      <w:r w:rsidR="00B64FB6" w:rsidRPr="00CE692B">
        <w:rPr>
          <w:rFonts w:cs="Arial"/>
        </w:rPr>
        <w:t>etermination</w:t>
      </w:r>
      <w:bookmarkEnd w:id="54"/>
      <w:r w:rsidR="00B64FB6" w:rsidRPr="00CE692B">
        <w:rPr>
          <w:rFonts w:cs="Arial"/>
        </w:rPr>
        <w:t xml:space="preserve"> </w:t>
      </w:r>
      <w:r w:rsidR="00B64FB6" w:rsidRPr="00322EB4">
        <w:rPr>
          <w:rFonts w:cs="Arial"/>
        </w:rPr>
        <w:t>(see</w:t>
      </w:r>
      <w:r w:rsidR="00F40E3A" w:rsidRPr="00322EB4">
        <w:rPr>
          <w:rFonts w:cs="Arial"/>
        </w:rPr>
        <w:t xml:space="preserve"> </w:t>
      </w:r>
      <w:r w:rsidR="005B1617">
        <w:rPr>
          <w:rFonts w:cs="Arial"/>
        </w:rPr>
        <w:t>Appendix</w:t>
      </w:r>
      <w:r w:rsidR="005B1617" w:rsidRPr="00322EB4">
        <w:rPr>
          <w:rFonts w:cs="Arial"/>
        </w:rPr>
        <w:t xml:space="preserve"> </w:t>
      </w:r>
      <w:r w:rsidR="00F40E3A" w:rsidRPr="00322EB4">
        <w:rPr>
          <w:rFonts w:cs="Arial"/>
        </w:rPr>
        <w:t xml:space="preserve">A, </w:t>
      </w:r>
      <w:r w:rsidR="00DD5761" w:rsidRPr="00322EB4">
        <w:rPr>
          <w:rFonts w:cs="Arial"/>
        </w:rPr>
        <w:t xml:space="preserve">Ref </w:t>
      </w:r>
      <w:r w:rsidR="00322EB4" w:rsidRPr="00B622D3">
        <w:rPr>
          <w:rFonts w:cs="Arial"/>
        </w:rPr>
        <w:t>7</w:t>
      </w:r>
      <w:r w:rsidR="00F40E3A" w:rsidRPr="00322EB4">
        <w:rPr>
          <w:rFonts w:cs="Arial"/>
        </w:rPr>
        <w:t xml:space="preserve"> </w:t>
      </w:r>
      <w:r w:rsidR="00776B09" w:rsidRPr="00322EB4">
        <w:rPr>
          <w:rFonts w:cs="Arial"/>
        </w:rPr>
        <w:t xml:space="preserve">to </w:t>
      </w:r>
      <w:r w:rsidR="00322EB4" w:rsidRPr="00322EB4">
        <w:rPr>
          <w:rFonts w:cs="Arial"/>
        </w:rPr>
        <w:t>10</w:t>
      </w:r>
      <w:r w:rsidRPr="00CE692B">
        <w:rPr>
          <w:rFonts w:cs="Arial"/>
        </w:rPr>
        <w:t>).</w:t>
      </w:r>
      <w:bookmarkStart w:id="55" w:name="_Hlk74725964"/>
    </w:p>
    <w:p w14:paraId="2025F898" w14:textId="77777777" w:rsidR="00504BF3" w:rsidRPr="00A14A24" w:rsidRDefault="00504BF3" w:rsidP="0047436A">
      <w:pPr>
        <w:pStyle w:val="Bodysubheader0"/>
        <w:keepNext/>
      </w:pPr>
      <w:r w:rsidRPr="00A14A24">
        <w:t>Emergency locating service</w:t>
      </w:r>
    </w:p>
    <w:bookmarkEnd w:id="55"/>
    <w:p w14:paraId="6BBE9697" w14:textId="6E74DD1A" w:rsidR="00504BF3" w:rsidRPr="00A14A24" w:rsidRDefault="00504BF3" w:rsidP="00504BF3">
      <w:pPr>
        <w:rPr>
          <w:rFonts w:cs="Arial"/>
        </w:rPr>
      </w:pPr>
      <w:r w:rsidRPr="00CE692B">
        <w:rPr>
          <w:rFonts w:cs="Arial"/>
        </w:rPr>
        <w:t xml:space="preserve">This service essentially refers to locating </w:t>
      </w:r>
      <w:r w:rsidR="007E09D1">
        <w:rPr>
          <w:rFonts w:cs="Arial"/>
        </w:rPr>
        <w:t>EPIRBs (</w:t>
      </w:r>
      <w:r w:rsidR="00F40C5C" w:rsidRPr="00CE692B">
        <w:rPr>
          <w:rFonts w:cs="Arial"/>
        </w:rPr>
        <w:t>e</w:t>
      </w:r>
      <w:r w:rsidRPr="00CE692B">
        <w:rPr>
          <w:rFonts w:cs="Arial"/>
        </w:rPr>
        <w:t xml:space="preserve">mergency </w:t>
      </w:r>
      <w:r w:rsidR="00F40C5C" w:rsidRPr="00CE692B">
        <w:rPr>
          <w:rFonts w:cs="Arial"/>
        </w:rPr>
        <w:t>p</w:t>
      </w:r>
      <w:r w:rsidRPr="00CE692B">
        <w:rPr>
          <w:rFonts w:cs="Arial"/>
        </w:rPr>
        <w:t xml:space="preserve">osition </w:t>
      </w:r>
      <w:r w:rsidR="00F40C5C" w:rsidRPr="00CE692B">
        <w:rPr>
          <w:rFonts w:cs="Arial"/>
        </w:rPr>
        <w:t>i</w:t>
      </w:r>
      <w:r w:rsidRPr="00CE692B">
        <w:rPr>
          <w:rFonts w:cs="Arial"/>
        </w:rPr>
        <w:t xml:space="preserve">ndicating </w:t>
      </w:r>
      <w:r w:rsidR="00F40C5C" w:rsidRPr="00CE692B">
        <w:rPr>
          <w:rFonts w:cs="Arial"/>
        </w:rPr>
        <w:t>r</w:t>
      </w:r>
      <w:r w:rsidRPr="00CE692B">
        <w:rPr>
          <w:rFonts w:cs="Arial"/>
        </w:rPr>
        <w:t xml:space="preserve">adio </w:t>
      </w:r>
      <w:r w:rsidR="00F40C5C" w:rsidRPr="00CE692B">
        <w:rPr>
          <w:rFonts w:cs="Arial"/>
        </w:rPr>
        <w:t>b</w:t>
      </w:r>
      <w:r w:rsidRPr="00CE692B">
        <w:rPr>
          <w:rFonts w:cs="Arial"/>
        </w:rPr>
        <w:t>eacons), which are used by vessels of all kinds in distress to signal their location</w:t>
      </w:r>
      <w:r w:rsidR="007E09D1">
        <w:rPr>
          <w:rFonts w:cs="Arial"/>
        </w:rPr>
        <w:t>,</w:t>
      </w:r>
      <w:r w:rsidRPr="00CE692B">
        <w:rPr>
          <w:rFonts w:cs="Arial"/>
        </w:rPr>
        <w:t xml:space="preserve"> or locating personal </w:t>
      </w:r>
      <w:r w:rsidR="008C1D36">
        <w:rPr>
          <w:rFonts w:cs="Arial"/>
        </w:rPr>
        <w:t xml:space="preserve">beacons </w:t>
      </w:r>
      <w:r w:rsidRPr="00CE692B">
        <w:rPr>
          <w:rFonts w:cs="Arial"/>
        </w:rPr>
        <w:t xml:space="preserve">designed to be attached to a life jacket or carried by an individual. This service is provided only to the Australian </w:t>
      </w:r>
      <w:r w:rsidR="00F40C5C" w:rsidRPr="00CE692B">
        <w:rPr>
          <w:rFonts w:cs="Arial"/>
        </w:rPr>
        <w:t>Maritime Safety Authority (AMSA) for its s</w:t>
      </w:r>
      <w:r w:rsidRPr="00CE692B">
        <w:rPr>
          <w:rFonts w:cs="Arial"/>
        </w:rPr>
        <w:t xml:space="preserve">earch and </w:t>
      </w:r>
      <w:r w:rsidR="00F40C5C" w:rsidRPr="00CE692B">
        <w:rPr>
          <w:rFonts w:cs="Arial"/>
        </w:rPr>
        <w:t>r</w:t>
      </w:r>
      <w:r w:rsidRPr="00CE692B">
        <w:rPr>
          <w:rFonts w:cs="Arial"/>
        </w:rPr>
        <w:t xml:space="preserve">escue </w:t>
      </w:r>
      <w:r w:rsidR="00F40C5C" w:rsidRPr="00CE692B">
        <w:rPr>
          <w:rFonts w:cs="Arial"/>
        </w:rPr>
        <w:t xml:space="preserve">operations </w:t>
      </w:r>
      <w:r w:rsidRPr="00CE692B">
        <w:rPr>
          <w:rFonts w:cs="Arial"/>
        </w:rPr>
        <w:t>under</w:t>
      </w:r>
      <w:r w:rsidR="00B64FB6" w:rsidRPr="00CE692B">
        <w:rPr>
          <w:rFonts w:cs="Arial"/>
        </w:rPr>
        <w:t xml:space="preserve"> a Memorandum of Understanding </w:t>
      </w:r>
      <w:r w:rsidR="00F40C5C" w:rsidRPr="00CE692B">
        <w:rPr>
          <w:rFonts w:cs="Arial"/>
        </w:rPr>
        <w:t>between the ACMA and AMSA</w:t>
      </w:r>
      <w:r w:rsidR="00242DAA" w:rsidRPr="00CE692B">
        <w:rPr>
          <w:rFonts w:cs="Arial"/>
        </w:rPr>
        <w:t>. A</w:t>
      </w:r>
      <w:r w:rsidR="00E64554" w:rsidRPr="00CE692B">
        <w:rPr>
          <w:rFonts w:cs="Arial"/>
        </w:rPr>
        <w:t xml:space="preserve"> fee for these services </w:t>
      </w:r>
      <w:r w:rsidR="007C18EE">
        <w:rPr>
          <w:rFonts w:cs="Arial"/>
        </w:rPr>
        <w:t xml:space="preserve">is </w:t>
      </w:r>
      <w:r w:rsidR="00242DAA" w:rsidRPr="00CE692B">
        <w:rPr>
          <w:rFonts w:cs="Arial"/>
        </w:rPr>
        <w:t xml:space="preserve">charged at a special hourly rate A </w:t>
      </w:r>
      <w:r w:rsidR="00C33B36">
        <w:rPr>
          <w:rFonts w:cs="Arial"/>
        </w:rPr>
        <w:t>(</w:t>
      </w:r>
      <w:r w:rsidR="00914E1F">
        <w:rPr>
          <w:rFonts w:cs="Arial"/>
        </w:rPr>
        <w:t>specified</w:t>
      </w:r>
      <w:r w:rsidR="00E64554" w:rsidRPr="00CE692B">
        <w:rPr>
          <w:rFonts w:cs="Arial"/>
        </w:rPr>
        <w:t xml:space="preserve"> in </w:t>
      </w:r>
      <w:r w:rsidR="00914E1F">
        <w:rPr>
          <w:rFonts w:cs="Arial"/>
        </w:rPr>
        <w:t xml:space="preserve">item </w:t>
      </w:r>
      <w:r w:rsidR="00F47400">
        <w:rPr>
          <w:rFonts w:cs="Arial"/>
        </w:rPr>
        <w:t xml:space="preserve">7.2.4 of Table 2 of </w:t>
      </w:r>
      <w:r w:rsidR="00E64554" w:rsidRPr="00CE692B">
        <w:rPr>
          <w:rFonts w:cs="Arial"/>
        </w:rPr>
        <w:t xml:space="preserve">Part </w:t>
      </w:r>
      <w:r w:rsidR="00242DAA" w:rsidRPr="00CE692B">
        <w:rPr>
          <w:rFonts w:cs="Arial"/>
        </w:rPr>
        <w:t>7</w:t>
      </w:r>
      <w:r w:rsidR="008C1D36">
        <w:rPr>
          <w:rFonts w:cs="Arial"/>
        </w:rPr>
        <w:t xml:space="preserve"> </w:t>
      </w:r>
      <w:r w:rsidR="00F47400">
        <w:rPr>
          <w:rFonts w:cs="Arial"/>
        </w:rPr>
        <w:t>of Schedule 1</w:t>
      </w:r>
      <w:r w:rsidR="00E64554" w:rsidRPr="00CE692B">
        <w:rPr>
          <w:rFonts w:cs="Arial"/>
        </w:rPr>
        <w:t xml:space="preserve"> to the </w:t>
      </w:r>
      <w:r w:rsidR="00BF2A72">
        <w:rPr>
          <w:rFonts w:cs="Arial"/>
        </w:rPr>
        <w:t xml:space="preserve">Radiocommunications </w:t>
      </w:r>
      <w:r w:rsidR="00CC7BCC">
        <w:rPr>
          <w:rFonts w:cs="Arial"/>
        </w:rPr>
        <w:t>D</w:t>
      </w:r>
      <w:r w:rsidR="00E64554" w:rsidRPr="00CE692B">
        <w:rPr>
          <w:rFonts w:cs="Arial"/>
        </w:rPr>
        <w:t>etermination</w:t>
      </w:r>
      <w:r w:rsidR="00C33B36">
        <w:rPr>
          <w:rFonts w:cs="Arial"/>
        </w:rPr>
        <w:t xml:space="preserve">. See also </w:t>
      </w:r>
      <w:r w:rsidR="005B1617">
        <w:rPr>
          <w:rFonts w:cs="Arial"/>
        </w:rPr>
        <w:t>Appendix</w:t>
      </w:r>
      <w:r w:rsidR="005B1617" w:rsidRPr="00994576">
        <w:rPr>
          <w:rFonts w:cs="Arial"/>
        </w:rPr>
        <w:t xml:space="preserve"> </w:t>
      </w:r>
      <w:r w:rsidR="00B64FB6" w:rsidRPr="00994576">
        <w:rPr>
          <w:rFonts w:cs="Arial"/>
        </w:rPr>
        <w:t xml:space="preserve">A, </w:t>
      </w:r>
      <w:r w:rsidR="00DD5761" w:rsidRPr="00994576">
        <w:rPr>
          <w:rFonts w:cs="Arial"/>
        </w:rPr>
        <w:t xml:space="preserve">Ref </w:t>
      </w:r>
      <w:r w:rsidR="00994576" w:rsidRPr="00994576">
        <w:rPr>
          <w:rFonts w:cs="Arial"/>
        </w:rPr>
        <w:t>65</w:t>
      </w:r>
      <w:r w:rsidR="00B64FB6" w:rsidRPr="00CE692B">
        <w:rPr>
          <w:rFonts w:cs="Arial"/>
        </w:rPr>
        <w:t>).</w:t>
      </w:r>
    </w:p>
    <w:p w14:paraId="661E12A6" w14:textId="4FFF0E5D" w:rsidR="005420ED" w:rsidRPr="00A14A24" w:rsidRDefault="005420ED" w:rsidP="0045208C">
      <w:pPr>
        <w:pStyle w:val="Bodysubheader0"/>
        <w:keepNext/>
      </w:pPr>
      <w:bookmarkStart w:id="56" w:name="_Hlk99722744"/>
      <w:r w:rsidRPr="00A14A24">
        <w:lastRenderedPageBreak/>
        <w:t>Other radiocommunications activities</w:t>
      </w:r>
    </w:p>
    <w:p w14:paraId="2ABE6411" w14:textId="28D2075B" w:rsidR="005420ED" w:rsidRDefault="009E00F8" w:rsidP="005420ED">
      <w:pPr>
        <w:rPr>
          <w:rFonts w:cs="Arial"/>
        </w:rPr>
      </w:pPr>
      <w:r>
        <w:rPr>
          <w:rFonts w:cs="Arial"/>
        </w:rPr>
        <w:t>We</w:t>
      </w:r>
      <w:r w:rsidR="005420ED" w:rsidRPr="00CE692B">
        <w:rPr>
          <w:rFonts w:cs="Arial"/>
        </w:rPr>
        <w:t xml:space="preserve"> also issue duplicate instruments, </w:t>
      </w:r>
      <w:r w:rsidR="001362D3" w:rsidRPr="00CE692B">
        <w:rPr>
          <w:rFonts w:cs="Arial"/>
        </w:rPr>
        <w:t>letter</w:t>
      </w:r>
      <w:r w:rsidR="00C33B36">
        <w:rPr>
          <w:rFonts w:cs="Arial"/>
        </w:rPr>
        <w:t>s</w:t>
      </w:r>
      <w:r w:rsidR="001362D3" w:rsidRPr="00CE692B">
        <w:rPr>
          <w:rFonts w:cs="Arial"/>
        </w:rPr>
        <w:t xml:space="preserve"> of confirmation and </w:t>
      </w:r>
      <w:r w:rsidR="005420ED" w:rsidRPr="00CE692B">
        <w:rPr>
          <w:rFonts w:cs="Arial"/>
        </w:rPr>
        <w:t>copies of licences</w:t>
      </w:r>
      <w:r w:rsidR="00BE0A9A">
        <w:rPr>
          <w:rFonts w:cs="Arial"/>
        </w:rPr>
        <w:t xml:space="preserve"> (see Table 1 of Part 7 of Schedule 1 to the </w:t>
      </w:r>
      <w:r w:rsidR="00BF2A72">
        <w:rPr>
          <w:rFonts w:cs="Arial"/>
        </w:rPr>
        <w:t xml:space="preserve">Radiocommunications </w:t>
      </w:r>
      <w:r w:rsidR="00CC7BCC">
        <w:rPr>
          <w:rFonts w:cs="Arial"/>
        </w:rPr>
        <w:t>D</w:t>
      </w:r>
      <w:r w:rsidR="00BE0A9A">
        <w:rPr>
          <w:rFonts w:cs="Arial"/>
        </w:rPr>
        <w:t>etermination)</w:t>
      </w:r>
      <w:r w:rsidR="001362D3" w:rsidRPr="00CE692B">
        <w:rPr>
          <w:rFonts w:cs="Arial"/>
        </w:rPr>
        <w:t xml:space="preserve">. </w:t>
      </w:r>
      <w:r w:rsidR="008C4D57">
        <w:rPr>
          <w:rFonts w:cs="Arial"/>
        </w:rPr>
        <w:t>P</w:t>
      </w:r>
      <w:r w:rsidR="005420ED" w:rsidRPr="00CE692B">
        <w:rPr>
          <w:rFonts w:cs="Arial"/>
        </w:rPr>
        <w:t>ermits for non-</w:t>
      </w:r>
      <w:bookmarkEnd w:id="56"/>
      <w:r w:rsidR="005420ED" w:rsidRPr="00CE692B">
        <w:rPr>
          <w:rFonts w:cs="Arial"/>
        </w:rPr>
        <w:t xml:space="preserve">standard and unlabelled devices </w:t>
      </w:r>
      <w:r w:rsidR="001362D3" w:rsidRPr="00CE692B">
        <w:rPr>
          <w:rFonts w:cs="Arial"/>
        </w:rPr>
        <w:t>are now issued under the Radiocommunications Equipment (General) Rules 2021</w:t>
      </w:r>
      <w:r w:rsidR="00FA2CA6">
        <w:rPr>
          <w:rFonts w:cs="Arial"/>
        </w:rPr>
        <w:t xml:space="preserve"> made by the ACMA under the </w:t>
      </w:r>
      <w:r w:rsidR="00FA2CA6" w:rsidRPr="00BF2A72">
        <w:rPr>
          <w:rFonts w:cs="Arial"/>
        </w:rPr>
        <w:t>Radiocommunications Act</w:t>
      </w:r>
      <w:r w:rsidR="003C4309" w:rsidRPr="00CE692B">
        <w:rPr>
          <w:rFonts w:cs="Arial"/>
        </w:rPr>
        <w:t xml:space="preserve">. The fees for these services are set </w:t>
      </w:r>
      <w:r w:rsidR="00150EC6" w:rsidRPr="00CE692B">
        <w:rPr>
          <w:rFonts w:cs="Arial"/>
        </w:rPr>
        <w:t>out</w:t>
      </w:r>
      <w:r w:rsidR="00DD5761" w:rsidRPr="00CE692B">
        <w:rPr>
          <w:rFonts w:cs="Arial"/>
        </w:rPr>
        <w:t xml:space="preserve"> </w:t>
      </w:r>
      <w:r w:rsidR="003C4309" w:rsidRPr="00CE692B">
        <w:rPr>
          <w:rFonts w:cs="Arial"/>
        </w:rPr>
        <w:t xml:space="preserve">in </w:t>
      </w:r>
      <w:r w:rsidR="00D57425">
        <w:rPr>
          <w:rFonts w:cs="Arial"/>
        </w:rPr>
        <w:t xml:space="preserve">Table 2 of </w:t>
      </w:r>
      <w:r w:rsidR="003C4309" w:rsidRPr="00CE692B">
        <w:rPr>
          <w:rFonts w:cs="Arial"/>
        </w:rPr>
        <w:t>Part 3</w:t>
      </w:r>
      <w:r w:rsidR="00D57425">
        <w:rPr>
          <w:rFonts w:cs="Arial"/>
        </w:rPr>
        <w:t xml:space="preserve"> of Schedule 1 to the </w:t>
      </w:r>
      <w:r w:rsidR="00BF2A72">
        <w:rPr>
          <w:rFonts w:cs="Arial"/>
        </w:rPr>
        <w:t xml:space="preserve">Radiocommunications </w:t>
      </w:r>
      <w:r w:rsidR="00CC7BCC">
        <w:rPr>
          <w:rFonts w:cs="Arial"/>
        </w:rPr>
        <w:t>D</w:t>
      </w:r>
      <w:r w:rsidR="00D57425">
        <w:rPr>
          <w:rFonts w:cs="Arial"/>
        </w:rPr>
        <w:t>etermination.</w:t>
      </w:r>
      <w:r w:rsidR="005420ED" w:rsidRPr="00CE692B">
        <w:rPr>
          <w:rFonts w:cs="Arial"/>
        </w:rPr>
        <w:t xml:space="preserve"> </w:t>
      </w:r>
    </w:p>
    <w:p w14:paraId="4B8BBDC6" w14:textId="798A0617" w:rsidR="0099183F" w:rsidRPr="00DF1CB8" w:rsidRDefault="009F5A77" w:rsidP="0099183F">
      <w:pPr>
        <w:pStyle w:val="Bodysubheader0"/>
      </w:pPr>
      <w:bookmarkStart w:id="57" w:name="_Hlk76986571"/>
      <w:r>
        <w:t xml:space="preserve">Digital </w:t>
      </w:r>
      <w:r w:rsidR="009E00F8">
        <w:t>r</w:t>
      </w:r>
      <w:r>
        <w:t xml:space="preserve">adio </w:t>
      </w:r>
      <w:r w:rsidR="009E00F8">
        <w:t>m</w:t>
      </w:r>
      <w:r w:rsidR="00F2563B">
        <w:t xml:space="preserve">ultiplex </w:t>
      </w:r>
      <w:r w:rsidR="009E00F8">
        <w:t>t</w:t>
      </w:r>
      <w:r w:rsidR="00E13863">
        <w:t>ra</w:t>
      </w:r>
      <w:r w:rsidR="00F90DE2">
        <w:t>n</w:t>
      </w:r>
      <w:r w:rsidR="00414530">
        <w:t>s</w:t>
      </w:r>
      <w:r w:rsidR="00F90DE2">
        <w:t>mitter</w:t>
      </w:r>
      <w:r w:rsidR="00F2563B">
        <w:t xml:space="preserve"> </w:t>
      </w:r>
      <w:bookmarkEnd w:id="57"/>
      <w:r w:rsidR="00F2563B">
        <w:t>li</w:t>
      </w:r>
      <w:r w:rsidR="00722EED">
        <w:t>censing activity</w:t>
      </w:r>
    </w:p>
    <w:p w14:paraId="0CC86C53" w14:textId="30E5217E" w:rsidR="00CF535D" w:rsidRPr="00CF535D" w:rsidRDefault="00CF535D" w:rsidP="00CF535D">
      <w:pPr>
        <w:rPr>
          <w:rFonts w:cs="Arial"/>
        </w:rPr>
      </w:pPr>
      <w:r w:rsidRPr="00CF535D">
        <w:rPr>
          <w:rFonts w:cs="Arial"/>
        </w:rPr>
        <w:t xml:space="preserve">Digital radio services are licensed, </w:t>
      </w:r>
      <w:proofErr w:type="gramStart"/>
      <w:r w:rsidRPr="00CF535D">
        <w:rPr>
          <w:rFonts w:cs="Arial"/>
        </w:rPr>
        <w:t>planned</w:t>
      </w:r>
      <w:proofErr w:type="gramEnd"/>
      <w:r w:rsidRPr="00CF535D">
        <w:rPr>
          <w:rFonts w:cs="Arial"/>
        </w:rPr>
        <w:t xml:space="preserve"> and operate</w:t>
      </w:r>
      <w:r w:rsidR="00463D12">
        <w:rPr>
          <w:rFonts w:cs="Arial"/>
        </w:rPr>
        <w:t>d</w:t>
      </w:r>
      <w:r w:rsidRPr="00CF535D">
        <w:rPr>
          <w:rFonts w:cs="Arial"/>
        </w:rPr>
        <w:t xml:space="preserve"> under the provisions of the </w:t>
      </w:r>
      <w:r w:rsidRPr="00E64554">
        <w:rPr>
          <w:rFonts w:cs="Arial"/>
          <w:i/>
          <w:iCs/>
        </w:rPr>
        <w:t>Broadcasting Services Act 1992</w:t>
      </w:r>
      <w:r w:rsidRPr="00CF535D">
        <w:rPr>
          <w:rFonts w:cs="Arial"/>
        </w:rPr>
        <w:t xml:space="preserve"> and the </w:t>
      </w:r>
      <w:r w:rsidRPr="00BA45D0">
        <w:rPr>
          <w:rFonts w:cs="Arial"/>
        </w:rPr>
        <w:t>Radiocommunications Act</w:t>
      </w:r>
      <w:r w:rsidRPr="00CF535D">
        <w:rPr>
          <w:rFonts w:cs="Arial"/>
        </w:rPr>
        <w:t>. The legislation set</w:t>
      </w:r>
      <w:r w:rsidR="00E3483A">
        <w:rPr>
          <w:rFonts w:cs="Arial"/>
        </w:rPr>
        <w:t>s</w:t>
      </w:r>
      <w:r w:rsidRPr="00CF535D">
        <w:rPr>
          <w:rFonts w:cs="Arial"/>
        </w:rPr>
        <w:t xml:space="preserve"> the statutory basis for spectrum planning for digital radio, the allocation of digital radio multiplex transmitter (DRMT) licences and the access regime for multiplex capacity.</w:t>
      </w:r>
    </w:p>
    <w:p w14:paraId="7FF07069" w14:textId="739E8400" w:rsidR="00CF535D" w:rsidRPr="00A14A24" w:rsidRDefault="00CF535D" w:rsidP="00CF535D">
      <w:pPr>
        <w:rPr>
          <w:rFonts w:cs="Arial"/>
        </w:rPr>
      </w:pPr>
      <w:r w:rsidRPr="00CF535D">
        <w:rPr>
          <w:rFonts w:cs="Arial"/>
        </w:rPr>
        <w:t xml:space="preserve">Unlike analog broadcasting, where each broadcaster has its own transmitter, in </w:t>
      </w:r>
      <w:r w:rsidR="00B713A2">
        <w:rPr>
          <w:rFonts w:cs="Arial"/>
        </w:rPr>
        <w:t xml:space="preserve">radio broadcasting using </w:t>
      </w:r>
      <w:r w:rsidRPr="00CF535D">
        <w:rPr>
          <w:rFonts w:cs="Arial"/>
        </w:rPr>
        <w:t xml:space="preserve">Digital Audio Broadcasting plus (DAB+) </w:t>
      </w:r>
      <w:r w:rsidR="00321078">
        <w:rPr>
          <w:rFonts w:cs="Arial"/>
        </w:rPr>
        <w:t>technology</w:t>
      </w:r>
      <w:r w:rsidRPr="00CF535D">
        <w:rPr>
          <w:rFonts w:cs="Arial"/>
        </w:rPr>
        <w:t xml:space="preserve">, individual broadcasters aggregate or multiplex their content onto one or more multiplex transmitters, using digital compression </w:t>
      </w:r>
      <w:r w:rsidRPr="00A14A24">
        <w:rPr>
          <w:rFonts w:cs="Arial"/>
        </w:rPr>
        <w:t>technology.</w:t>
      </w:r>
    </w:p>
    <w:p w14:paraId="327ED311" w14:textId="7CA0F399" w:rsidR="0099183F" w:rsidRPr="00A14A24" w:rsidRDefault="0042707A" w:rsidP="00CF535D">
      <w:pPr>
        <w:rPr>
          <w:rFonts w:cs="Arial"/>
        </w:rPr>
      </w:pPr>
      <w:r>
        <w:rPr>
          <w:rFonts w:cs="Arial"/>
        </w:rPr>
        <w:t>T</w:t>
      </w:r>
      <w:r w:rsidR="00CF535D" w:rsidRPr="0030440B">
        <w:rPr>
          <w:rFonts w:cs="Arial"/>
        </w:rPr>
        <w:t xml:space="preserve">he foundation </w:t>
      </w:r>
      <w:r w:rsidR="004D6FF1">
        <w:rPr>
          <w:rFonts w:cs="Arial"/>
        </w:rPr>
        <w:t xml:space="preserve">category 1 and category 2 </w:t>
      </w:r>
      <w:r w:rsidR="00CF535D" w:rsidRPr="0030440B">
        <w:rPr>
          <w:rFonts w:cs="Arial"/>
        </w:rPr>
        <w:t xml:space="preserve">DRMT licence </w:t>
      </w:r>
      <w:r w:rsidR="00321078">
        <w:rPr>
          <w:rFonts w:cs="Arial"/>
        </w:rPr>
        <w:t xml:space="preserve">application </w:t>
      </w:r>
      <w:r w:rsidR="00CF535D" w:rsidRPr="0030440B">
        <w:rPr>
          <w:rFonts w:cs="Arial"/>
        </w:rPr>
        <w:t xml:space="preserve">fees reflect the </w:t>
      </w:r>
      <w:r w:rsidR="003C4309" w:rsidRPr="0030440B">
        <w:rPr>
          <w:rFonts w:cs="Arial"/>
        </w:rPr>
        <w:t>effort re</w:t>
      </w:r>
      <w:r w:rsidR="00CF535D" w:rsidRPr="0030440B">
        <w:rPr>
          <w:rFonts w:cs="Arial"/>
        </w:rPr>
        <w:t>quired to process and issue these licences</w:t>
      </w:r>
      <w:r w:rsidR="000279B9" w:rsidRPr="0030440B">
        <w:rPr>
          <w:rFonts w:cs="Arial"/>
        </w:rPr>
        <w:t xml:space="preserve">. The fees are set out in sections 6 and 7 of the </w:t>
      </w:r>
      <w:r w:rsidR="00FF1CC9" w:rsidRPr="00FF1CC9">
        <w:rPr>
          <w:rFonts w:cs="Arial"/>
        </w:rPr>
        <w:t>Radiocommunications (Digital Radio Multiplex Transmitter Licence – Application Fee) Determination 2022 (Radio Multiplex Determination)</w:t>
      </w:r>
      <w:r w:rsidR="000279B9" w:rsidRPr="0030440B">
        <w:rPr>
          <w:rFonts w:cs="Arial"/>
        </w:rPr>
        <w:t xml:space="preserve"> </w:t>
      </w:r>
      <w:r w:rsidR="00334CCE" w:rsidRPr="0030440B">
        <w:rPr>
          <w:rFonts w:cs="Arial"/>
        </w:rPr>
        <w:t xml:space="preserve">(see </w:t>
      </w:r>
      <w:r w:rsidR="00741B8C">
        <w:rPr>
          <w:rFonts w:cs="Arial"/>
        </w:rPr>
        <w:t>Appendix</w:t>
      </w:r>
      <w:r w:rsidR="00741B8C" w:rsidRPr="0030440B">
        <w:rPr>
          <w:rFonts w:cs="Arial"/>
        </w:rPr>
        <w:t xml:space="preserve"> </w:t>
      </w:r>
      <w:r w:rsidR="00334CCE" w:rsidRPr="0030440B">
        <w:rPr>
          <w:rFonts w:cs="Arial"/>
        </w:rPr>
        <w:t xml:space="preserve">A, </w:t>
      </w:r>
      <w:r w:rsidR="0019097A" w:rsidRPr="00832DDA">
        <w:rPr>
          <w:rFonts w:cs="Arial"/>
        </w:rPr>
        <w:t xml:space="preserve">Ref </w:t>
      </w:r>
      <w:r w:rsidR="00832DDA" w:rsidRPr="009374F9">
        <w:rPr>
          <w:rFonts w:cs="Arial"/>
        </w:rPr>
        <w:t>10</w:t>
      </w:r>
      <w:r w:rsidR="003068FE">
        <w:rPr>
          <w:rFonts w:cs="Arial"/>
        </w:rPr>
        <w:t>4</w:t>
      </w:r>
      <w:r w:rsidR="00832DDA" w:rsidRPr="009374F9">
        <w:rPr>
          <w:rFonts w:cs="Arial"/>
        </w:rPr>
        <w:t xml:space="preserve"> and 10</w:t>
      </w:r>
      <w:r w:rsidR="003068FE">
        <w:rPr>
          <w:rFonts w:cs="Arial"/>
        </w:rPr>
        <w:t>5</w:t>
      </w:r>
      <w:r w:rsidR="00334CCE" w:rsidRPr="00832DDA">
        <w:rPr>
          <w:rFonts w:cs="Arial"/>
        </w:rPr>
        <w:t>)</w:t>
      </w:r>
      <w:r w:rsidR="00CF535D" w:rsidRPr="00832DDA">
        <w:rPr>
          <w:rFonts w:cs="Arial"/>
        </w:rPr>
        <w:t>.</w:t>
      </w:r>
    </w:p>
    <w:p w14:paraId="3FBD335D" w14:textId="62514074" w:rsidR="00504BF3" w:rsidRPr="00D047C1" w:rsidRDefault="00504BF3" w:rsidP="00AF22C2">
      <w:pPr>
        <w:pStyle w:val="Heading3"/>
        <w:keepLines/>
      </w:pPr>
      <w:bookmarkStart w:id="58" w:name="_3.1.2_Telecommunications_regulation"/>
      <w:bookmarkStart w:id="59" w:name="_Toc107236632"/>
      <w:bookmarkStart w:id="60" w:name="_Toc135817042"/>
      <w:bookmarkStart w:id="61" w:name="_Toc143267704"/>
      <w:bookmarkStart w:id="62" w:name="_Toc400965221"/>
      <w:bookmarkEnd w:id="58"/>
      <w:r w:rsidRPr="00D047C1">
        <w:t>3.1.2</w:t>
      </w:r>
      <w:r w:rsidRPr="00D047C1">
        <w:tab/>
        <w:t>Telecommunications regulation, planning and licensing</w:t>
      </w:r>
      <w:bookmarkEnd w:id="59"/>
      <w:bookmarkEnd w:id="60"/>
      <w:bookmarkEnd w:id="61"/>
      <w:r w:rsidRPr="00D047C1">
        <w:t xml:space="preserve"> </w:t>
      </w:r>
      <w:bookmarkEnd w:id="62"/>
    </w:p>
    <w:p w14:paraId="58684323" w14:textId="77777777" w:rsidR="00504BF3" w:rsidRPr="00A14A24" w:rsidRDefault="00504BF3" w:rsidP="00AF22C2">
      <w:pPr>
        <w:pStyle w:val="Bodysubheader0"/>
        <w:keepNext/>
        <w:keepLines/>
      </w:pPr>
      <w:r w:rsidRPr="00D047C1">
        <w:t>Issue of licences and permits</w:t>
      </w:r>
    </w:p>
    <w:p w14:paraId="48E54F66" w14:textId="1D67B12F" w:rsidR="00930A2A" w:rsidRPr="0030440B" w:rsidRDefault="00504BF3" w:rsidP="00AF22C2">
      <w:pPr>
        <w:keepNext/>
        <w:keepLines/>
      </w:pPr>
      <w:r w:rsidRPr="0030440B">
        <w:t xml:space="preserve">Costs incurred by the ACMA in regulating the telecommunications industry are largely recovered under the </w:t>
      </w:r>
      <w:r w:rsidRPr="00B922E7">
        <w:rPr>
          <w:iCs/>
        </w:rPr>
        <w:t>Telecommunications (Carrier Licence Charges) Act</w:t>
      </w:r>
      <w:r w:rsidRPr="00442C3E">
        <w:rPr>
          <w:iCs/>
        </w:rPr>
        <w:t xml:space="preserve"> through</w:t>
      </w:r>
      <w:r w:rsidR="001E0DEF" w:rsidRPr="0030440B">
        <w:t xml:space="preserve"> the imposition of an </w:t>
      </w:r>
      <w:r w:rsidR="00F40C5C" w:rsidRPr="0030440B">
        <w:t>a</w:t>
      </w:r>
      <w:r w:rsidRPr="0030440B">
        <w:t xml:space="preserve">nnual </w:t>
      </w:r>
      <w:r w:rsidR="00F40C5C" w:rsidRPr="0030440B">
        <w:t>c</w:t>
      </w:r>
      <w:r w:rsidRPr="0030440B">
        <w:t xml:space="preserve">arrier </w:t>
      </w:r>
      <w:r w:rsidR="00F40C5C" w:rsidRPr="0030440B">
        <w:t>l</w:t>
      </w:r>
      <w:r w:rsidRPr="0030440B">
        <w:t xml:space="preserve">icence </w:t>
      </w:r>
      <w:r w:rsidR="00F40C5C" w:rsidRPr="0030440B">
        <w:t>c</w:t>
      </w:r>
      <w:r w:rsidRPr="0030440B">
        <w:t xml:space="preserve">harge. However, </w:t>
      </w:r>
      <w:r w:rsidR="00741B8C" w:rsidRPr="0030440B">
        <w:t>several</w:t>
      </w:r>
      <w:r w:rsidRPr="0030440B">
        <w:t xml:space="preserve"> services </w:t>
      </w:r>
      <w:r w:rsidR="00442C3E">
        <w:t>for</w:t>
      </w:r>
      <w:r w:rsidR="00442C3E" w:rsidRPr="0030440B">
        <w:t xml:space="preserve"> </w:t>
      </w:r>
      <w:r w:rsidRPr="0030440B">
        <w:t>the telecommunications industry are</w:t>
      </w:r>
      <w:r w:rsidR="00990C0C">
        <w:t xml:space="preserve"> </w:t>
      </w:r>
      <w:r w:rsidRPr="0030440B">
        <w:t xml:space="preserve">recovered through fees </w:t>
      </w:r>
      <w:r w:rsidR="00F40C5C" w:rsidRPr="0030440B">
        <w:t xml:space="preserve">set out in the </w:t>
      </w:r>
      <w:r w:rsidR="00766F59" w:rsidRPr="00766F59">
        <w:t>Telecommunications (Charges) Determination 2022 (</w:t>
      </w:r>
      <w:r w:rsidR="00741B8C">
        <w:t xml:space="preserve">the </w:t>
      </w:r>
      <w:r w:rsidR="00BF2A72" w:rsidRPr="00B922E7">
        <w:t>Telecommunications</w:t>
      </w:r>
      <w:r w:rsidR="00BF2A72" w:rsidRPr="00BF2A72">
        <w:t xml:space="preserve"> </w:t>
      </w:r>
      <w:r w:rsidR="00766F59" w:rsidRPr="00BF2A72">
        <w:t>Determination</w:t>
      </w:r>
      <w:r w:rsidR="00766F59" w:rsidRPr="00766F59">
        <w:t>)</w:t>
      </w:r>
      <w:r w:rsidR="00766F59" w:rsidRPr="00C742E9">
        <w:t xml:space="preserve"> </w:t>
      </w:r>
      <w:r w:rsidRPr="0030440B">
        <w:t>(refer</w:t>
      </w:r>
      <w:r w:rsidR="006F441A" w:rsidRPr="0030440B">
        <w:t xml:space="preserve"> </w:t>
      </w:r>
      <w:r w:rsidR="00533AD0" w:rsidRPr="0030440B">
        <w:t xml:space="preserve">to </w:t>
      </w:r>
      <w:r w:rsidR="00741B8C">
        <w:t>Appendix</w:t>
      </w:r>
      <w:r w:rsidR="00741B8C" w:rsidRPr="00832DDA">
        <w:t xml:space="preserve"> </w:t>
      </w:r>
      <w:r w:rsidR="006F441A" w:rsidRPr="00832DDA">
        <w:t xml:space="preserve">A, </w:t>
      </w:r>
      <w:r w:rsidR="00771546" w:rsidRPr="00832DDA">
        <w:t xml:space="preserve">Ref </w:t>
      </w:r>
      <w:r w:rsidR="00832DDA" w:rsidRPr="009374F9">
        <w:t>10</w:t>
      </w:r>
      <w:r w:rsidR="003068FE">
        <w:t>6</w:t>
      </w:r>
      <w:r w:rsidR="00832DDA" w:rsidRPr="009374F9">
        <w:t xml:space="preserve"> </w:t>
      </w:r>
      <w:r w:rsidR="006F441A" w:rsidRPr="00832DDA">
        <w:t xml:space="preserve">to </w:t>
      </w:r>
      <w:r w:rsidR="00832DDA" w:rsidRPr="009374F9">
        <w:t>1</w:t>
      </w:r>
      <w:r w:rsidR="003068FE">
        <w:t>08</w:t>
      </w:r>
      <w:r w:rsidR="00832DDA" w:rsidRPr="009374F9">
        <w:t xml:space="preserve"> </w:t>
      </w:r>
      <w:r w:rsidR="00240E4E" w:rsidRPr="00832DDA">
        <w:t xml:space="preserve">and </w:t>
      </w:r>
      <w:r w:rsidR="00832DDA" w:rsidRPr="009374F9">
        <w:t>11</w:t>
      </w:r>
      <w:r w:rsidR="00D42384">
        <w:t>3</w:t>
      </w:r>
      <w:r w:rsidR="00832DDA" w:rsidRPr="009374F9">
        <w:t xml:space="preserve"> </w:t>
      </w:r>
      <w:r w:rsidR="00240E4E" w:rsidRPr="00832DDA">
        <w:t xml:space="preserve">to </w:t>
      </w:r>
      <w:r w:rsidR="00832DDA" w:rsidRPr="00832DDA">
        <w:t>1</w:t>
      </w:r>
      <w:r w:rsidR="00D42384">
        <w:t>27</w:t>
      </w:r>
      <w:r w:rsidRPr="0030440B">
        <w:t xml:space="preserve">). </w:t>
      </w:r>
    </w:p>
    <w:p w14:paraId="4C3E080D" w14:textId="13F5D893" w:rsidR="00F975CD" w:rsidRPr="0030440B" w:rsidRDefault="00504BF3" w:rsidP="00BB0282">
      <w:pPr>
        <w:pStyle w:val="Paragraphbeforelist"/>
      </w:pPr>
      <w:r w:rsidRPr="0028215F">
        <w:t>These include applications for:</w:t>
      </w:r>
    </w:p>
    <w:p w14:paraId="011F862F" w14:textId="3C7C088E" w:rsidR="00F5474E" w:rsidRDefault="00F5474E" w:rsidP="00442C3E">
      <w:pPr>
        <w:pStyle w:val="Bulletlevel1"/>
      </w:pPr>
      <w:r w:rsidRPr="0030440B">
        <w:t>a nominated carrier declaration</w:t>
      </w:r>
      <w:r w:rsidR="005145AA" w:rsidRPr="0030440B">
        <w:t xml:space="preserve"> (</w:t>
      </w:r>
      <w:r w:rsidR="00B32516" w:rsidRPr="0030440B">
        <w:t>item 1.1</w:t>
      </w:r>
      <w:r w:rsidR="00B32516">
        <w:t xml:space="preserve"> of </w:t>
      </w:r>
      <w:r w:rsidR="005145AA" w:rsidRPr="0030440B">
        <w:t>Part 1</w:t>
      </w:r>
      <w:r w:rsidR="00B32516">
        <w:t xml:space="preserve"> of Schedule 1</w:t>
      </w:r>
      <w:r w:rsidR="00274C94">
        <w:t xml:space="preserve"> to the </w:t>
      </w:r>
      <w:r w:rsidR="00BF2A72" w:rsidRPr="008F5062">
        <w:t>Telecommunications</w:t>
      </w:r>
      <w:r w:rsidR="00BF2A72" w:rsidRPr="00BF2A72">
        <w:t xml:space="preserve"> </w:t>
      </w:r>
      <w:r w:rsidR="00274C94">
        <w:t>Determination</w:t>
      </w:r>
      <w:r w:rsidR="00196D58" w:rsidRPr="0030440B">
        <w:t>)</w:t>
      </w:r>
    </w:p>
    <w:p w14:paraId="5E611D51" w14:textId="26D59D88" w:rsidR="00E423CF" w:rsidRPr="0030440B" w:rsidRDefault="00054C1B" w:rsidP="00A10836">
      <w:pPr>
        <w:pStyle w:val="Bulletlevel1"/>
      </w:pPr>
      <w:r>
        <w:t xml:space="preserve">a written statement </w:t>
      </w:r>
      <w:r w:rsidR="00D278E1" w:rsidRPr="00D278E1">
        <w:t xml:space="preserve">under paragraph 408(5)(a) of the </w:t>
      </w:r>
      <w:r w:rsidR="00D278E1" w:rsidRPr="00AF22C2">
        <w:rPr>
          <w:i/>
          <w:iCs/>
        </w:rPr>
        <w:t>Tel</w:t>
      </w:r>
      <w:r w:rsidR="00441381" w:rsidRPr="00AF22C2">
        <w:rPr>
          <w:i/>
          <w:iCs/>
        </w:rPr>
        <w:t>e</w:t>
      </w:r>
      <w:r w:rsidR="00D278E1" w:rsidRPr="00AF22C2">
        <w:rPr>
          <w:i/>
          <w:iCs/>
        </w:rPr>
        <w:t>co</w:t>
      </w:r>
      <w:r w:rsidR="00441381" w:rsidRPr="00AF22C2">
        <w:rPr>
          <w:i/>
          <w:iCs/>
        </w:rPr>
        <w:t>mmunications</w:t>
      </w:r>
      <w:r w:rsidR="00D278E1" w:rsidRPr="00AF22C2">
        <w:rPr>
          <w:i/>
          <w:iCs/>
        </w:rPr>
        <w:t xml:space="preserve"> Act </w:t>
      </w:r>
      <w:r w:rsidR="00441381" w:rsidRPr="00AF22C2">
        <w:rPr>
          <w:i/>
          <w:iCs/>
        </w:rPr>
        <w:t>1997</w:t>
      </w:r>
      <w:r w:rsidR="00441381">
        <w:t xml:space="preserve"> </w:t>
      </w:r>
      <w:r w:rsidR="00D278E1">
        <w:t xml:space="preserve">in relation to labelling certification (item 7.1 of Part 7 of </w:t>
      </w:r>
      <w:r w:rsidR="00D96922">
        <w:t>Schedule </w:t>
      </w:r>
      <w:r w:rsidR="00D278E1">
        <w:t>1</w:t>
      </w:r>
      <w:r w:rsidR="004E0A2F">
        <w:t xml:space="preserve"> to the </w:t>
      </w:r>
      <w:r w:rsidR="00BF2A72" w:rsidRPr="008F5062">
        <w:t>Telecommunications</w:t>
      </w:r>
      <w:r w:rsidR="00BF2A72" w:rsidRPr="00BF2A72">
        <w:t xml:space="preserve"> </w:t>
      </w:r>
      <w:r w:rsidR="004E0A2F">
        <w:t>Determination</w:t>
      </w:r>
      <w:r w:rsidR="00D278E1">
        <w:t>)</w:t>
      </w:r>
    </w:p>
    <w:p w14:paraId="00D712E9" w14:textId="6C093D59" w:rsidR="00504BF3" w:rsidRPr="0030440B" w:rsidRDefault="00504BF3" w:rsidP="00A10836">
      <w:pPr>
        <w:pStyle w:val="Bulletlevel1"/>
      </w:pPr>
      <w:r w:rsidRPr="0030440B">
        <w:t>a facility installation permit</w:t>
      </w:r>
      <w:r w:rsidR="003B5E21" w:rsidRPr="0030440B">
        <w:t>, including those relating to a public inquiry</w:t>
      </w:r>
      <w:r w:rsidR="00211F29" w:rsidRPr="0030440B">
        <w:t xml:space="preserve"> (</w:t>
      </w:r>
      <w:r w:rsidR="006D326C" w:rsidRPr="0030440B">
        <w:t xml:space="preserve">Part </w:t>
      </w:r>
      <w:r w:rsidR="00130DAC" w:rsidRPr="0030440B">
        <w:t>3</w:t>
      </w:r>
      <w:r w:rsidR="00635125">
        <w:t xml:space="preserve"> and Part 4 of Schedule 1</w:t>
      </w:r>
      <w:r w:rsidR="001E3EC0">
        <w:t xml:space="preserve"> to the </w:t>
      </w:r>
      <w:r w:rsidR="00BF2A72" w:rsidRPr="008F5062">
        <w:t>Telecommunications</w:t>
      </w:r>
      <w:r w:rsidR="00BF2A72" w:rsidRPr="00BF2A72">
        <w:t xml:space="preserve"> </w:t>
      </w:r>
      <w:r w:rsidR="001E3EC0">
        <w:t>Determination</w:t>
      </w:r>
      <w:r w:rsidR="00635125">
        <w:t>)</w:t>
      </w:r>
    </w:p>
    <w:p w14:paraId="0AABC859" w14:textId="3432B5EB" w:rsidR="00ED25BC" w:rsidRDefault="00504BF3" w:rsidP="00A10836">
      <w:pPr>
        <w:pStyle w:val="Bulletlevel1"/>
      </w:pPr>
      <w:r w:rsidRPr="0030440B">
        <w:t xml:space="preserve">a </w:t>
      </w:r>
      <w:r w:rsidR="00ED25BC">
        <w:t xml:space="preserve">submarine cable </w:t>
      </w:r>
      <w:r w:rsidR="00467428" w:rsidRPr="0030440B">
        <w:t>protection zone</w:t>
      </w:r>
      <w:r w:rsidR="00FC0DDF">
        <w:t xml:space="preserve"> </w:t>
      </w:r>
      <w:r w:rsidR="00442C3E">
        <w:t xml:space="preserve">– </w:t>
      </w:r>
      <w:r w:rsidR="00FC0DDF">
        <w:t xml:space="preserve">declaration, </w:t>
      </w:r>
      <w:proofErr w:type="gramStart"/>
      <w:r w:rsidR="00FC0DDF">
        <w:t>variation</w:t>
      </w:r>
      <w:proofErr w:type="gramEnd"/>
      <w:r w:rsidR="00FC0DDF">
        <w:t xml:space="preserve"> or revocation</w:t>
      </w:r>
      <w:r w:rsidR="00595EB8">
        <w:t xml:space="preserve"> </w:t>
      </w:r>
      <w:r w:rsidR="00595EB8" w:rsidRPr="0030440B">
        <w:t>(Part 5</w:t>
      </w:r>
      <w:r w:rsidR="00FC0DDF">
        <w:t xml:space="preserve"> of Schedule 1</w:t>
      </w:r>
      <w:r w:rsidR="001E3EC0">
        <w:t xml:space="preserve"> to the </w:t>
      </w:r>
      <w:r w:rsidR="00BF2A72" w:rsidRPr="008F5062">
        <w:t>Telecommunications</w:t>
      </w:r>
      <w:r w:rsidR="00BF2A72" w:rsidRPr="00BF2A72">
        <w:t xml:space="preserve"> </w:t>
      </w:r>
      <w:r w:rsidR="001E3EC0">
        <w:t>Determination</w:t>
      </w:r>
      <w:r w:rsidR="00595EB8">
        <w:t>)</w:t>
      </w:r>
    </w:p>
    <w:p w14:paraId="47D49DDE" w14:textId="1879CCF8" w:rsidR="006D008B" w:rsidRPr="0030440B" w:rsidRDefault="003B5E21" w:rsidP="00AF22C2">
      <w:pPr>
        <w:pStyle w:val="ListBulletLast"/>
      </w:pPr>
      <w:r w:rsidRPr="0030440B">
        <w:t xml:space="preserve">submarine </w:t>
      </w:r>
      <w:r w:rsidR="00504BF3" w:rsidRPr="0030440B">
        <w:t>cable installation permit</w:t>
      </w:r>
      <w:r w:rsidR="00FC0DDF">
        <w:t>s</w:t>
      </w:r>
      <w:r w:rsidR="00D75022" w:rsidRPr="0030440B">
        <w:t xml:space="preserve"> </w:t>
      </w:r>
      <w:r w:rsidR="00211F29" w:rsidRPr="0030440B">
        <w:t>(</w:t>
      </w:r>
      <w:r w:rsidR="008C00C1" w:rsidRPr="0030440B">
        <w:t>Part 6</w:t>
      </w:r>
      <w:r w:rsidR="00FC0DDF">
        <w:t xml:space="preserve"> of Schedule 1</w:t>
      </w:r>
      <w:r w:rsidR="001E3EC0">
        <w:t xml:space="preserve"> to the </w:t>
      </w:r>
      <w:r w:rsidR="00BF2A72" w:rsidRPr="008F5062">
        <w:t>Telecommunications</w:t>
      </w:r>
      <w:r w:rsidR="00BF2A72" w:rsidRPr="00BF2A72">
        <w:t xml:space="preserve"> </w:t>
      </w:r>
      <w:r w:rsidR="001E3EC0">
        <w:t>Determination</w:t>
      </w:r>
      <w:r w:rsidR="00211F29" w:rsidRPr="0030440B">
        <w:t>)</w:t>
      </w:r>
      <w:r w:rsidR="00532BAD">
        <w:t>.</w:t>
      </w:r>
    </w:p>
    <w:p w14:paraId="13931E18" w14:textId="13B8FC58" w:rsidR="00D75022" w:rsidRDefault="008A219A" w:rsidP="00C742E9">
      <w:pPr>
        <w:spacing w:after="80"/>
      </w:pPr>
      <w:r w:rsidRPr="0030440B">
        <w:t xml:space="preserve">The fee </w:t>
      </w:r>
      <w:r w:rsidR="007D6BDA" w:rsidRPr="0030440B">
        <w:t xml:space="preserve">for </w:t>
      </w:r>
      <w:r w:rsidR="00211F29" w:rsidRPr="0030440B">
        <w:t xml:space="preserve">a carrier licence </w:t>
      </w:r>
      <w:r w:rsidR="002012A6" w:rsidRPr="0030440B">
        <w:t xml:space="preserve">is set out under the </w:t>
      </w:r>
      <w:r w:rsidR="00551D52" w:rsidRPr="00B03779">
        <w:rPr>
          <w:rFonts w:cs="Arial"/>
        </w:rPr>
        <w:t>Telecommunications (Carrier Licence Charges) (Application) Determination 2022</w:t>
      </w:r>
      <w:r w:rsidR="00551D52" w:rsidRPr="00556C13">
        <w:rPr>
          <w:rFonts w:cs="Arial"/>
        </w:rPr>
        <w:t xml:space="preserve"> (</w:t>
      </w:r>
      <w:r w:rsidR="00186DEB">
        <w:t>T</w:t>
      </w:r>
      <w:r w:rsidR="002012A6" w:rsidRPr="0030440B">
        <w:t xml:space="preserve">elco </w:t>
      </w:r>
      <w:r w:rsidR="00186DEB">
        <w:t>C</w:t>
      </w:r>
      <w:r w:rsidR="002012A6" w:rsidRPr="0030440B">
        <w:t xml:space="preserve">arrier </w:t>
      </w:r>
      <w:r w:rsidR="00186DEB">
        <w:t>L</w:t>
      </w:r>
      <w:r w:rsidR="002012A6" w:rsidRPr="0030440B">
        <w:t xml:space="preserve">icence </w:t>
      </w:r>
      <w:r w:rsidR="00186DEB">
        <w:t>D</w:t>
      </w:r>
      <w:r w:rsidR="002012A6" w:rsidRPr="0030440B">
        <w:t>etermination</w:t>
      </w:r>
      <w:r w:rsidR="00551D52">
        <w:t>)</w:t>
      </w:r>
      <w:r w:rsidR="00753CD5">
        <w:t xml:space="preserve"> </w:t>
      </w:r>
      <w:r w:rsidR="00B74F03">
        <w:t xml:space="preserve">(refer </w:t>
      </w:r>
      <w:r w:rsidR="00442C3E">
        <w:t xml:space="preserve">Appendix </w:t>
      </w:r>
      <w:r w:rsidR="00B74F03" w:rsidRPr="00053648">
        <w:t xml:space="preserve">A, Ref </w:t>
      </w:r>
      <w:r w:rsidR="00D42384">
        <w:t>128</w:t>
      </w:r>
      <w:r w:rsidR="00B74F03">
        <w:t>)</w:t>
      </w:r>
      <w:r w:rsidR="00696DFC">
        <w:t>.</w:t>
      </w:r>
    </w:p>
    <w:p w14:paraId="4DCFBB41" w14:textId="25A52E7C" w:rsidR="007D2E84" w:rsidRPr="00A14A24" w:rsidRDefault="007D2E84" w:rsidP="0045208C">
      <w:pPr>
        <w:pStyle w:val="BodySubHeader"/>
        <w:keepNext/>
        <w:keepLines/>
      </w:pPr>
      <w:r w:rsidRPr="00A14A24">
        <w:lastRenderedPageBreak/>
        <w:t>Numbering activities</w:t>
      </w:r>
    </w:p>
    <w:p w14:paraId="1684A230" w14:textId="1DCB46D6" w:rsidR="007D2E84" w:rsidRPr="00E8387A" w:rsidRDefault="007D2E84" w:rsidP="0045208C">
      <w:pPr>
        <w:pStyle w:val="ListBulletLast"/>
        <w:keepNext/>
        <w:keepLines/>
        <w:numPr>
          <w:ilvl w:val="0"/>
          <w:numId w:val="0"/>
        </w:numPr>
      </w:pPr>
      <w:r w:rsidRPr="00E8387A">
        <w:t xml:space="preserve">Following a competitive tender process in 2014, the </w:t>
      </w:r>
      <w:r w:rsidR="00696DFC">
        <w:t>Australian Government</w:t>
      </w:r>
      <w:r w:rsidR="00696DFC" w:rsidRPr="00E8387A">
        <w:t xml:space="preserve"> </w:t>
      </w:r>
      <w:r w:rsidRPr="00E8387A">
        <w:t xml:space="preserve">awarded </w:t>
      </w:r>
      <w:r w:rsidR="00F5150C" w:rsidRPr="00E8387A">
        <w:t>Z</w:t>
      </w:r>
      <w:r w:rsidR="00F5150C">
        <w:t>OAK</w:t>
      </w:r>
      <w:r w:rsidR="00F5150C" w:rsidRPr="00E8387A">
        <w:t xml:space="preserve"> </w:t>
      </w:r>
      <w:r w:rsidRPr="00E8387A">
        <w:t xml:space="preserve">Pty Ltd </w:t>
      </w:r>
      <w:r w:rsidR="00F06600">
        <w:t>(Z</w:t>
      </w:r>
      <w:r w:rsidR="00E46E40">
        <w:t>OAK</w:t>
      </w:r>
      <w:r w:rsidR="00F06600">
        <w:t xml:space="preserve">) </w:t>
      </w:r>
      <w:r w:rsidRPr="00E8387A">
        <w:t xml:space="preserve">the contract to provide </w:t>
      </w:r>
      <w:r w:rsidR="00BA1711">
        <w:t xml:space="preserve">number </w:t>
      </w:r>
      <w:r w:rsidRPr="00E8387A">
        <w:t xml:space="preserve">allocation and administrative services </w:t>
      </w:r>
      <w:r w:rsidR="00157D43">
        <w:t xml:space="preserve">for Australian telephone numbers </w:t>
      </w:r>
      <w:r w:rsidR="00F5150C">
        <w:t>via the Numbering System</w:t>
      </w:r>
      <w:r w:rsidR="00157D43">
        <w:t>.</w:t>
      </w:r>
      <w:r w:rsidR="00F5150C">
        <w:t xml:space="preserve"> </w:t>
      </w:r>
      <w:r w:rsidR="00B20AAF">
        <w:t>T</w:t>
      </w:r>
      <w:r w:rsidR="00F5150C">
        <w:t xml:space="preserve">he </w:t>
      </w:r>
      <w:r w:rsidR="006D3EF8">
        <w:t>initial</w:t>
      </w:r>
      <w:r w:rsidR="00F5150C">
        <w:t xml:space="preserve"> contract </w:t>
      </w:r>
      <w:r w:rsidR="00ED3F85">
        <w:t>wa</w:t>
      </w:r>
      <w:r w:rsidR="00F5150C">
        <w:t xml:space="preserve">s </w:t>
      </w:r>
      <w:r w:rsidR="00C3719D">
        <w:t xml:space="preserve">for </w:t>
      </w:r>
      <w:r w:rsidR="00696DFC">
        <w:t>7</w:t>
      </w:r>
      <w:r w:rsidR="00696DFC" w:rsidRPr="00E8387A">
        <w:t xml:space="preserve"> </w:t>
      </w:r>
      <w:r w:rsidRPr="00E8387A">
        <w:t>years</w:t>
      </w:r>
      <w:r w:rsidR="00696DFC">
        <w:t>,</w:t>
      </w:r>
      <w:r w:rsidRPr="00E8387A">
        <w:t xml:space="preserve"> from </w:t>
      </w:r>
      <w:r w:rsidR="00564803">
        <w:t>3</w:t>
      </w:r>
      <w:r w:rsidRPr="00E8387A">
        <w:t xml:space="preserve"> August 2015 to </w:t>
      </w:r>
      <w:r w:rsidR="00564803">
        <w:t>2 August</w:t>
      </w:r>
      <w:r w:rsidRPr="00E8387A">
        <w:t xml:space="preserve"> 202</w:t>
      </w:r>
      <w:r w:rsidR="00B767DA" w:rsidRPr="00E8387A">
        <w:t>2</w:t>
      </w:r>
      <w:r w:rsidR="004D03F1" w:rsidRPr="00E8387A">
        <w:t xml:space="preserve">, </w:t>
      </w:r>
      <w:r w:rsidR="00ED3F85">
        <w:t>and has been extended for another 2 years to 2 August</w:t>
      </w:r>
      <w:r w:rsidR="00F5150C">
        <w:t xml:space="preserve"> 2024.</w:t>
      </w:r>
    </w:p>
    <w:p w14:paraId="644F9E9C" w14:textId="2C619CD9" w:rsidR="00F5150C" w:rsidRDefault="00E768EF" w:rsidP="00F5150C">
      <w:pPr>
        <w:pStyle w:val="ListBullet"/>
        <w:numPr>
          <w:ilvl w:val="0"/>
          <w:numId w:val="0"/>
        </w:numPr>
      </w:pPr>
      <w:r>
        <w:t xml:space="preserve">The ACMA </w:t>
      </w:r>
      <w:r w:rsidR="00F5150C">
        <w:t>impose</w:t>
      </w:r>
      <w:r>
        <w:t>s</w:t>
      </w:r>
      <w:r w:rsidR="00F5150C">
        <w:t xml:space="preserve"> charges </w:t>
      </w:r>
      <w:r>
        <w:t xml:space="preserve">for certain </w:t>
      </w:r>
      <w:r w:rsidR="00F5150C">
        <w:t xml:space="preserve">numbering transactions </w:t>
      </w:r>
      <w:r w:rsidR="0086187E">
        <w:t xml:space="preserve">in the Numbering System </w:t>
      </w:r>
      <w:r w:rsidR="00F5150C">
        <w:t xml:space="preserve">under the </w:t>
      </w:r>
      <w:r w:rsidR="00F5150C" w:rsidRPr="005944FC">
        <w:rPr>
          <w:i/>
          <w:iCs/>
        </w:rPr>
        <w:t>Telecommunications Numbering Charges Act 1997</w:t>
      </w:r>
      <w:r w:rsidR="001720CB">
        <w:rPr>
          <w:i/>
          <w:iCs/>
        </w:rPr>
        <w:t xml:space="preserve"> </w:t>
      </w:r>
      <w:r w:rsidR="00F5150C">
        <w:t xml:space="preserve">and the ACMA Act. </w:t>
      </w:r>
    </w:p>
    <w:p w14:paraId="5D84AC33" w14:textId="00E43700" w:rsidR="00F5150C" w:rsidRDefault="00F5150C" w:rsidP="00F5150C">
      <w:pPr>
        <w:pStyle w:val="ListBullet"/>
        <w:numPr>
          <w:ilvl w:val="0"/>
          <w:numId w:val="0"/>
        </w:numPr>
      </w:pPr>
      <w:r>
        <w:t>This CRIS relates to charges set by the</w:t>
      </w:r>
      <w:r w:rsidR="00233EC3">
        <w:t xml:space="preserve"> </w:t>
      </w:r>
      <w:r w:rsidR="00147A23">
        <w:t xml:space="preserve">Telecommunications </w:t>
      </w:r>
      <w:r w:rsidR="00186DEB">
        <w:t>D</w:t>
      </w:r>
      <w:r w:rsidR="00233EC3">
        <w:t xml:space="preserve">etermination, </w:t>
      </w:r>
      <w:r>
        <w:t>made under section 60 of the ACMA Act</w:t>
      </w:r>
      <w:r w:rsidR="00003894">
        <w:t>,</w:t>
      </w:r>
      <w:r>
        <w:t xml:space="preserve"> and includes charges for </w:t>
      </w:r>
      <w:r w:rsidRPr="00D96922">
        <w:t>carriage service provider</w:t>
      </w:r>
      <w:r>
        <w:t xml:space="preserve"> registrations, </w:t>
      </w:r>
      <w:proofErr w:type="spellStart"/>
      <w:r>
        <w:t>smartnumber</w:t>
      </w:r>
      <w:proofErr w:type="spellEnd"/>
      <w:r>
        <w:t xml:space="preserve"> account registrations and geographic number allocations </w:t>
      </w:r>
      <w:r w:rsidRPr="000B3561">
        <w:t xml:space="preserve">(see </w:t>
      </w:r>
      <w:r w:rsidR="00442C3E">
        <w:t xml:space="preserve">Appendix </w:t>
      </w:r>
      <w:r w:rsidRPr="00053648">
        <w:t xml:space="preserve">A, Ref </w:t>
      </w:r>
      <w:r w:rsidR="00D42384">
        <w:t xml:space="preserve">108 </w:t>
      </w:r>
      <w:r w:rsidR="00053648">
        <w:t xml:space="preserve">to </w:t>
      </w:r>
      <w:r w:rsidR="00D42384">
        <w:t>112</w:t>
      </w:r>
      <w:r w:rsidRPr="000B3561">
        <w:t>).</w:t>
      </w:r>
    </w:p>
    <w:p w14:paraId="209C1931" w14:textId="4E1EAC4D" w:rsidR="001417BA" w:rsidRDefault="00F5150C" w:rsidP="00F5150C">
      <w:pPr>
        <w:pStyle w:val="ListBullet"/>
        <w:numPr>
          <w:ilvl w:val="0"/>
          <w:numId w:val="0"/>
        </w:numPr>
      </w:pPr>
      <w:r>
        <w:t xml:space="preserve">The Telecommunications (Numbering Charges) (Allocation Charge) Determination 2015, made under the </w:t>
      </w:r>
      <w:r w:rsidR="00147A23">
        <w:t xml:space="preserve">Telecommunications </w:t>
      </w:r>
      <w:r w:rsidRPr="00BA45D0">
        <w:t>Numbering Charges Act</w:t>
      </w:r>
      <w:r>
        <w:t xml:space="preserve">, covers all other number allocation charges, which </w:t>
      </w:r>
      <w:r w:rsidR="00F216FC" w:rsidRPr="00E8387A">
        <w:t xml:space="preserve">are not required to comply with </w:t>
      </w:r>
      <w:r w:rsidR="001E0DEF" w:rsidRPr="00E8387A">
        <w:t xml:space="preserve">the </w:t>
      </w:r>
      <w:r w:rsidR="00F216FC" w:rsidRPr="00E8387A">
        <w:t xml:space="preserve">Commonwealth Cost Recovery Policy and are considered </w:t>
      </w:r>
      <w:r w:rsidR="00FA39C9" w:rsidRPr="00E8387A">
        <w:t xml:space="preserve">a general taxation charge (see the </w:t>
      </w:r>
      <w:r w:rsidR="00F216FC" w:rsidRPr="00E8387A">
        <w:t>Explanatory Memorandum to the Telecommunications Bill 1997).</w:t>
      </w:r>
      <w:r w:rsidR="00487789">
        <w:t xml:space="preserve"> </w:t>
      </w:r>
    </w:p>
    <w:p w14:paraId="3FCF8CA7" w14:textId="6A714AEF" w:rsidR="00504BF3" w:rsidRPr="00DF1CB8" w:rsidRDefault="00504BF3" w:rsidP="00AF22C2">
      <w:pPr>
        <w:pStyle w:val="Heading3"/>
        <w:keepLines/>
      </w:pPr>
      <w:bookmarkStart w:id="63" w:name="_3.1.3_Broadcasting_regulation,"/>
      <w:bookmarkStart w:id="64" w:name="_Toc400965222"/>
      <w:bookmarkStart w:id="65" w:name="_Toc107236633"/>
      <w:bookmarkStart w:id="66" w:name="_Toc135817043"/>
      <w:bookmarkStart w:id="67" w:name="_Toc143267705"/>
      <w:bookmarkEnd w:id="63"/>
      <w:r>
        <w:t>3.1.3</w:t>
      </w:r>
      <w:r>
        <w:tab/>
      </w:r>
      <w:r w:rsidRPr="00DF1CB8">
        <w:t xml:space="preserve">Broadcasting regulation, </w:t>
      </w:r>
      <w:proofErr w:type="gramStart"/>
      <w:r w:rsidRPr="00DF1CB8">
        <w:t>planning</w:t>
      </w:r>
      <w:proofErr w:type="gramEnd"/>
      <w:r w:rsidRPr="00DF1CB8">
        <w:t xml:space="preserve"> and licensing</w:t>
      </w:r>
      <w:bookmarkEnd w:id="64"/>
      <w:bookmarkEnd w:id="65"/>
      <w:bookmarkEnd w:id="66"/>
      <w:bookmarkEnd w:id="67"/>
    </w:p>
    <w:p w14:paraId="1853BFA8" w14:textId="77777777" w:rsidR="00504BF3" w:rsidRPr="00DF1CB8" w:rsidRDefault="00504BF3" w:rsidP="00AF22C2">
      <w:pPr>
        <w:pStyle w:val="Bodysubheader0"/>
        <w:keepNext/>
        <w:keepLines/>
      </w:pPr>
      <w:r w:rsidRPr="00DF1CB8">
        <w:t>Issue of broadcasting licences</w:t>
      </w:r>
    </w:p>
    <w:p w14:paraId="5FEC5377" w14:textId="5751481E" w:rsidR="00504BF3" w:rsidRPr="003F6005" w:rsidRDefault="009F6098" w:rsidP="00AF22C2">
      <w:pPr>
        <w:keepNext/>
        <w:keepLines/>
        <w:rPr>
          <w:rFonts w:cs="Arial"/>
        </w:rPr>
      </w:pPr>
      <w:r>
        <w:rPr>
          <w:rFonts w:cs="Arial"/>
        </w:rPr>
        <w:t>We</w:t>
      </w:r>
      <w:r w:rsidR="00504BF3" w:rsidRPr="003F6005">
        <w:rPr>
          <w:rFonts w:cs="Arial"/>
        </w:rPr>
        <w:t xml:space="preserve"> issue licences that authorise the provision of </w:t>
      </w:r>
      <w:r w:rsidR="00803068" w:rsidRPr="00803068">
        <w:rPr>
          <w:rFonts w:cs="Arial"/>
        </w:rPr>
        <w:t xml:space="preserve">commercial, community, international and subscription </w:t>
      </w:r>
      <w:r w:rsidR="00504BF3" w:rsidRPr="003F6005">
        <w:rPr>
          <w:rFonts w:cs="Arial"/>
        </w:rPr>
        <w:t xml:space="preserve">broadcasting services. The fees for these services are separate from the </w:t>
      </w:r>
      <w:r w:rsidR="003B66B7" w:rsidRPr="003F6005">
        <w:rPr>
          <w:rFonts w:cs="Arial"/>
        </w:rPr>
        <w:t>annual Commercial Broadcast</w:t>
      </w:r>
      <w:r w:rsidR="00B604A6">
        <w:rPr>
          <w:rFonts w:cs="Arial"/>
        </w:rPr>
        <w:t>ing</w:t>
      </w:r>
      <w:r w:rsidR="0078716D" w:rsidRPr="003F6005">
        <w:rPr>
          <w:rFonts w:cs="Arial"/>
        </w:rPr>
        <w:t xml:space="preserve"> </w:t>
      </w:r>
      <w:r w:rsidR="003B66B7" w:rsidRPr="003F6005">
        <w:rPr>
          <w:rFonts w:cs="Arial"/>
        </w:rPr>
        <w:t xml:space="preserve">Tax </w:t>
      </w:r>
      <w:r w:rsidR="00504BF3" w:rsidRPr="003F6005">
        <w:rPr>
          <w:rFonts w:cs="Arial"/>
        </w:rPr>
        <w:t xml:space="preserve">established under </w:t>
      </w:r>
      <w:r w:rsidR="003B66B7" w:rsidRPr="003F6005">
        <w:rPr>
          <w:rFonts w:cs="Arial"/>
        </w:rPr>
        <w:t xml:space="preserve">the </w:t>
      </w:r>
      <w:r w:rsidR="003B66B7" w:rsidRPr="003F6005">
        <w:rPr>
          <w:rFonts w:cs="Arial"/>
          <w:i/>
          <w:iCs/>
        </w:rPr>
        <w:t>Commercial Broadcasting (Tax) Act 2017</w:t>
      </w:r>
      <w:r w:rsidR="003B66B7" w:rsidRPr="003F6005">
        <w:rPr>
          <w:rFonts w:cs="Arial"/>
        </w:rPr>
        <w:t>.</w:t>
      </w:r>
    </w:p>
    <w:p w14:paraId="5168420E" w14:textId="63C7A94C" w:rsidR="00DB3D57" w:rsidRDefault="31467CA7" w:rsidP="00504BF3">
      <w:pPr>
        <w:rPr>
          <w:rFonts w:cs="Arial"/>
        </w:rPr>
      </w:pPr>
      <w:r w:rsidRPr="0A01FD67">
        <w:rPr>
          <w:rFonts w:cs="Arial"/>
        </w:rPr>
        <w:t>The administrative activities involved in the issue of international broadcasting licences, datacasting licences</w:t>
      </w:r>
      <w:r w:rsidR="0EB908CC" w:rsidRPr="0A01FD67">
        <w:rPr>
          <w:rFonts w:cs="Arial"/>
        </w:rPr>
        <w:t xml:space="preserve">, </w:t>
      </w:r>
      <w:r w:rsidR="78D19FFA" w:rsidRPr="0A01FD67">
        <w:rPr>
          <w:rFonts w:cs="Arial"/>
        </w:rPr>
        <w:t>subscription television broadcast licence</w:t>
      </w:r>
      <w:r w:rsidR="12DF76AC" w:rsidRPr="0A01FD67">
        <w:rPr>
          <w:rFonts w:cs="Arial"/>
        </w:rPr>
        <w:t>s</w:t>
      </w:r>
      <w:r w:rsidRPr="0A01FD67">
        <w:rPr>
          <w:rFonts w:cs="Arial"/>
        </w:rPr>
        <w:t xml:space="preserve"> and commercial</w:t>
      </w:r>
      <w:r w:rsidR="744DCE02" w:rsidRPr="0A01FD67">
        <w:rPr>
          <w:rFonts w:cs="Arial"/>
        </w:rPr>
        <w:t xml:space="preserve"> </w:t>
      </w:r>
      <w:r w:rsidR="5B8C4694" w:rsidRPr="0A01FD67">
        <w:rPr>
          <w:rFonts w:cs="Arial"/>
        </w:rPr>
        <w:t>broadcasting</w:t>
      </w:r>
      <w:r w:rsidRPr="0A01FD67">
        <w:rPr>
          <w:rFonts w:cs="Arial"/>
        </w:rPr>
        <w:t xml:space="preserve"> licences</w:t>
      </w:r>
      <w:r w:rsidR="20436894" w:rsidRPr="0A01FD67">
        <w:rPr>
          <w:rFonts w:cs="Arial"/>
        </w:rPr>
        <w:t xml:space="preserve">, as well as the giving of </w:t>
      </w:r>
      <w:r w:rsidR="26E8D263" w:rsidRPr="0A01FD67">
        <w:rPr>
          <w:rFonts w:cs="Arial"/>
        </w:rPr>
        <w:t xml:space="preserve">specified </w:t>
      </w:r>
      <w:r w:rsidR="20436894" w:rsidRPr="0A01FD67">
        <w:rPr>
          <w:rFonts w:cs="Arial"/>
        </w:rPr>
        <w:t>opinions by the ACMA</w:t>
      </w:r>
      <w:r w:rsidRPr="0A01FD67">
        <w:rPr>
          <w:rFonts w:cs="Arial"/>
        </w:rPr>
        <w:t xml:space="preserve"> under the </w:t>
      </w:r>
      <w:r w:rsidR="00BF2A72" w:rsidRPr="00EF67AF">
        <w:rPr>
          <w:rFonts w:cs="Arial"/>
        </w:rPr>
        <w:t>Broadcasting Services Act</w:t>
      </w:r>
      <w:r w:rsidR="1DE9D478" w:rsidRPr="0A01FD67">
        <w:rPr>
          <w:rFonts w:cs="Arial"/>
        </w:rPr>
        <w:t>,</w:t>
      </w:r>
      <w:r w:rsidRPr="0A01FD67">
        <w:rPr>
          <w:rFonts w:cs="Arial"/>
        </w:rPr>
        <w:t xml:space="preserve"> are </w:t>
      </w:r>
      <w:r w:rsidR="739D97E1" w:rsidRPr="0A01FD67">
        <w:rPr>
          <w:rFonts w:cs="Arial"/>
        </w:rPr>
        <w:t>specified in</w:t>
      </w:r>
      <w:r w:rsidR="1D43BAF7" w:rsidRPr="0A01FD67">
        <w:rPr>
          <w:rFonts w:cs="Arial"/>
        </w:rPr>
        <w:t xml:space="preserve"> Schedule 1 to</w:t>
      </w:r>
      <w:r w:rsidR="739D97E1" w:rsidRPr="0A01FD67">
        <w:rPr>
          <w:rFonts w:cs="Arial"/>
        </w:rPr>
        <w:t xml:space="preserve"> the </w:t>
      </w:r>
      <w:r w:rsidR="0A01FD67" w:rsidRPr="0A01FD67">
        <w:rPr>
          <w:rFonts w:cs="Arial"/>
        </w:rPr>
        <w:t xml:space="preserve">Broadcasting (Charges) Determination </w:t>
      </w:r>
      <w:r w:rsidR="2068A766" w:rsidRPr="0A01FD67">
        <w:rPr>
          <w:rFonts w:cs="Arial"/>
        </w:rPr>
        <w:t>2017</w:t>
      </w:r>
      <w:r w:rsidR="29D9F922" w:rsidRPr="0A01FD67">
        <w:rPr>
          <w:rFonts w:cs="Arial"/>
        </w:rPr>
        <w:t xml:space="preserve"> (Broadcasting Determination)</w:t>
      </w:r>
      <w:r w:rsidR="1D43BAF7" w:rsidRPr="0A01FD67">
        <w:rPr>
          <w:rFonts w:cs="Arial"/>
        </w:rPr>
        <w:t xml:space="preserve"> </w:t>
      </w:r>
      <w:r w:rsidR="2068A766" w:rsidRPr="0A01FD67">
        <w:rPr>
          <w:rFonts w:cs="Arial"/>
        </w:rPr>
        <w:t xml:space="preserve">and are </w:t>
      </w:r>
      <w:r w:rsidR="2109CF3D" w:rsidRPr="0A01FD67">
        <w:rPr>
          <w:rFonts w:cs="Arial"/>
        </w:rPr>
        <w:t xml:space="preserve">listed in </w:t>
      </w:r>
      <w:r w:rsidR="00442C3E">
        <w:rPr>
          <w:rFonts w:cs="Arial"/>
        </w:rPr>
        <w:t xml:space="preserve">Appendix </w:t>
      </w:r>
      <w:r w:rsidR="2109CF3D" w:rsidRPr="002070B3">
        <w:rPr>
          <w:rFonts w:cs="Arial"/>
        </w:rPr>
        <w:t xml:space="preserve">A </w:t>
      </w:r>
      <w:r w:rsidR="1C77DA45" w:rsidRPr="002070B3">
        <w:rPr>
          <w:rFonts w:cs="Arial"/>
        </w:rPr>
        <w:t>(</w:t>
      </w:r>
      <w:r w:rsidR="772DA633" w:rsidRPr="002070B3">
        <w:rPr>
          <w:rFonts w:cs="Arial"/>
        </w:rPr>
        <w:t xml:space="preserve">Ref </w:t>
      </w:r>
      <w:r w:rsidR="00D42384">
        <w:rPr>
          <w:rFonts w:cs="Arial"/>
        </w:rPr>
        <w:t>129</w:t>
      </w:r>
      <w:r w:rsidR="002070B3" w:rsidRPr="004749D8">
        <w:rPr>
          <w:rFonts w:cs="Arial"/>
        </w:rPr>
        <w:t xml:space="preserve"> </w:t>
      </w:r>
      <w:r w:rsidRPr="002070B3">
        <w:rPr>
          <w:rFonts w:cs="Arial"/>
        </w:rPr>
        <w:t xml:space="preserve">to </w:t>
      </w:r>
      <w:r w:rsidR="00D42384">
        <w:rPr>
          <w:rFonts w:cs="Arial"/>
        </w:rPr>
        <w:t>137</w:t>
      </w:r>
      <w:r w:rsidR="1C77DA45" w:rsidRPr="0A01FD67">
        <w:rPr>
          <w:rFonts w:cs="Arial"/>
        </w:rPr>
        <w:t>)</w:t>
      </w:r>
      <w:r w:rsidR="2109CF3D" w:rsidRPr="0A01FD67">
        <w:rPr>
          <w:rFonts w:cs="Arial"/>
        </w:rPr>
        <w:t>.</w:t>
      </w:r>
      <w:r w:rsidR="6B5D6BDF" w:rsidRPr="0A01FD67">
        <w:rPr>
          <w:rFonts w:cs="Arial"/>
        </w:rPr>
        <w:t xml:space="preserve"> </w:t>
      </w:r>
    </w:p>
    <w:p w14:paraId="3CC0A2A8" w14:textId="77777777" w:rsidR="00504BF3" w:rsidRPr="003F6005" w:rsidRDefault="00504BF3" w:rsidP="00504BF3">
      <w:pPr>
        <w:pStyle w:val="Bodysubheader0"/>
        <w:keepNext/>
        <w:keepLines/>
      </w:pPr>
      <w:r w:rsidRPr="003F6005">
        <w:t>Issue of community radio broadcasting licences</w:t>
      </w:r>
    </w:p>
    <w:p w14:paraId="452CD854" w14:textId="7DB6AA50" w:rsidR="00504BF3" w:rsidRPr="00A14A24" w:rsidRDefault="00504BF3" w:rsidP="00097698">
      <w:r w:rsidRPr="003F6005">
        <w:t>These activities include the allocation</w:t>
      </w:r>
      <w:r w:rsidR="009C5971">
        <w:t>,</w:t>
      </w:r>
      <w:r w:rsidRPr="003F6005">
        <w:t xml:space="preserve"> renewal </w:t>
      </w:r>
      <w:r w:rsidR="006273FF">
        <w:t xml:space="preserve">and transfer </w:t>
      </w:r>
      <w:r w:rsidRPr="003F6005">
        <w:t xml:space="preserve">of long-term community broadcasting licences and the </w:t>
      </w:r>
      <w:r w:rsidR="006273FF">
        <w:t>allocation</w:t>
      </w:r>
      <w:r w:rsidR="006273FF" w:rsidRPr="003F6005">
        <w:t xml:space="preserve"> </w:t>
      </w:r>
      <w:r w:rsidRPr="003F6005">
        <w:t xml:space="preserve">of temporary community radio broadcasting licences under </w:t>
      </w:r>
      <w:r w:rsidR="00F44559">
        <w:t>P</w:t>
      </w:r>
      <w:r w:rsidRPr="003F6005">
        <w:t xml:space="preserve">arts 6 and 6A of the </w:t>
      </w:r>
      <w:r w:rsidR="00BF2A72" w:rsidRPr="008F5062">
        <w:rPr>
          <w:rFonts w:cs="Arial"/>
        </w:rPr>
        <w:t>Broadcasting Services Act</w:t>
      </w:r>
      <w:r w:rsidRPr="003F6005">
        <w:t>. The licensing arrangements for community broadcasting services aim to enhance the delivery of information and entertainment to local communities across Australia. Imposing a charge for these activities would act as a disincentive to provi</w:t>
      </w:r>
      <w:r w:rsidR="00F04ECD">
        <w:t>de</w:t>
      </w:r>
      <w:r w:rsidRPr="003F6005">
        <w:t xml:space="preserve"> an </w:t>
      </w:r>
      <w:r w:rsidR="006273FF">
        <w:t>important</w:t>
      </w:r>
      <w:r w:rsidR="006273FF" w:rsidRPr="003F6005">
        <w:t xml:space="preserve"> </w:t>
      </w:r>
      <w:r w:rsidRPr="003F6005">
        <w:t xml:space="preserve">service by the community broadcasting sector, which operates on a non-profit basis and is heavily reliant on volunteers. </w:t>
      </w:r>
      <w:r w:rsidR="00674986" w:rsidRPr="003F6005">
        <w:t>Therefore,</w:t>
      </w:r>
      <w:r w:rsidR="003B66B7" w:rsidRPr="003F6005">
        <w:t xml:space="preserve"> </w:t>
      </w:r>
      <w:r w:rsidR="00484372">
        <w:t xml:space="preserve">we have </w:t>
      </w:r>
      <w:r w:rsidR="005353D8">
        <w:t>formed th</w:t>
      </w:r>
      <w:r w:rsidR="00D34451">
        <w:t xml:space="preserve">e </w:t>
      </w:r>
      <w:r w:rsidR="005353D8">
        <w:t xml:space="preserve">view that </w:t>
      </w:r>
      <w:r w:rsidR="003B66B7" w:rsidRPr="003F6005">
        <w:t>t</w:t>
      </w:r>
      <w:r w:rsidRPr="003F6005">
        <w:t xml:space="preserve">hese activities </w:t>
      </w:r>
      <w:r w:rsidR="00441381">
        <w:t>should be</w:t>
      </w:r>
      <w:r w:rsidRPr="003F6005">
        <w:t xml:space="preserve"> funded from appropriation and are not cost recovery activities.</w:t>
      </w:r>
    </w:p>
    <w:p w14:paraId="6473EB6D" w14:textId="157D9D67" w:rsidR="00504BF3" w:rsidRPr="00A14A24" w:rsidRDefault="00441381" w:rsidP="00714E00">
      <w:pPr>
        <w:pStyle w:val="BodySubHeader"/>
      </w:pPr>
      <w:r>
        <w:t>Provision of opinions, i</w:t>
      </w:r>
      <w:r w:rsidR="00504BF3" w:rsidRPr="00A14A24">
        <w:t>ndustry monitoring and compliance activities</w:t>
      </w:r>
    </w:p>
    <w:p w14:paraId="4E1B976D" w14:textId="7721F7AC" w:rsidR="00504BF3" w:rsidRPr="003F6005" w:rsidRDefault="00504BF3" w:rsidP="00504BF3">
      <w:pPr>
        <w:rPr>
          <w:rFonts w:cs="Arial"/>
        </w:rPr>
      </w:pPr>
      <w:r w:rsidRPr="003F6005">
        <w:rPr>
          <w:rFonts w:cs="Arial"/>
        </w:rPr>
        <w:t xml:space="preserve">Provision of opinions by the ACMA under sections 21 and 74 of the </w:t>
      </w:r>
      <w:r w:rsidR="00BF2A72" w:rsidRPr="008F5062">
        <w:rPr>
          <w:rFonts w:cs="Arial"/>
        </w:rPr>
        <w:t>Broadcasting Services Act</w:t>
      </w:r>
      <w:r w:rsidR="00BF2A72">
        <w:rPr>
          <w:rFonts w:cs="Arial"/>
        </w:rPr>
        <w:t xml:space="preserve"> </w:t>
      </w:r>
      <w:r w:rsidRPr="003F6005">
        <w:rPr>
          <w:rFonts w:cs="Arial"/>
        </w:rPr>
        <w:t>are subject to cost recovery charges. Opinions given under section 21 provide clarity to broadcasters about the category of broadcasting service their service</w:t>
      </w:r>
      <w:r w:rsidR="00321078">
        <w:rPr>
          <w:rFonts w:cs="Arial"/>
        </w:rPr>
        <w:t xml:space="preserve"> falls within</w:t>
      </w:r>
      <w:r w:rsidRPr="003F6005">
        <w:rPr>
          <w:rFonts w:cs="Arial"/>
        </w:rPr>
        <w:t xml:space="preserve">. Section 74 opinions advise an applicant whether a person is </w:t>
      </w:r>
      <w:proofErr w:type="gramStart"/>
      <w:r w:rsidRPr="003F6005">
        <w:rPr>
          <w:rFonts w:cs="Arial"/>
        </w:rPr>
        <w:t>in a position</w:t>
      </w:r>
      <w:proofErr w:type="gramEnd"/>
      <w:r w:rsidRPr="003F6005">
        <w:rPr>
          <w:rFonts w:cs="Arial"/>
        </w:rPr>
        <w:t xml:space="preserve"> to exercise control of a </w:t>
      </w:r>
      <w:r w:rsidR="00B978CC" w:rsidRPr="00BA45D0">
        <w:rPr>
          <w:color w:val="000000"/>
          <w:szCs w:val="20"/>
          <w:shd w:val="clear" w:color="auto" w:fill="FFFFFF"/>
        </w:rPr>
        <w:t xml:space="preserve">commercial television broadcasting licence, a commercial radio broadcasting licence, a satellite subscription television broadcasting </w:t>
      </w:r>
      <w:r w:rsidRPr="003F6005">
        <w:rPr>
          <w:rFonts w:cs="Arial"/>
        </w:rPr>
        <w:t>licence</w:t>
      </w:r>
      <w:r w:rsidR="0055064E">
        <w:rPr>
          <w:rFonts w:cs="Arial"/>
        </w:rPr>
        <w:t>,</w:t>
      </w:r>
      <w:r w:rsidRPr="003F6005">
        <w:rPr>
          <w:rFonts w:cs="Arial"/>
        </w:rPr>
        <w:t xml:space="preserve"> a </w:t>
      </w:r>
      <w:r w:rsidRPr="003F6005">
        <w:rPr>
          <w:rFonts w:cs="Arial"/>
        </w:rPr>
        <w:lastRenderedPageBreak/>
        <w:t>newspaper or a company</w:t>
      </w:r>
      <w:r w:rsidR="00273C84">
        <w:rPr>
          <w:rFonts w:cs="Arial"/>
        </w:rPr>
        <w:t xml:space="preserve"> (see </w:t>
      </w:r>
      <w:r w:rsidR="001E5ABA" w:rsidRPr="003F6005">
        <w:rPr>
          <w:rFonts w:cs="Arial"/>
        </w:rPr>
        <w:t>Part</w:t>
      </w:r>
      <w:r w:rsidR="003644A9">
        <w:rPr>
          <w:rFonts w:cs="Arial"/>
        </w:rPr>
        <w:t xml:space="preserve"> 2 of Schedule 1 to the </w:t>
      </w:r>
      <w:r w:rsidR="005C0B45">
        <w:rPr>
          <w:rFonts w:cs="Arial"/>
        </w:rPr>
        <w:t xml:space="preserve">Broadcasting Determination </w:t>
      </w:r>
      <w:r w:rsidR="005C0B45" w:rsidRPr="002070B3">
        <w:rPr>
          <w:rFonts w:cs="Arial"/>
        </w:rPr>
        <w:t>and</w:t>
      </w:r>
      <w:r w:rsidR="00E059BD" w:rsidRPr="002070B3">
        <w:rPr>
          <w:rFonts w:cs="Arial"/>
        </w:rPr>
        <w:t xml:space="preserve"> </w:t>
      </w:r>
      <w:r w:rsidR="00442C3E">
        <w:rPr>
          <w:rFonts w:cs="Arial"/>
        </w:rPr>
        <w:t xml:space="preserve">Appendix </w:t>
      </w:r>
      <w:r w:rsidR="008261EA" w:rsidRPr="002070B3">
        <w:rPr>
          <w:rFonts w:cs="Arial"/>
        </w:rPr>
        <w:t>A</w:t>
      </w:r>
      <w:r w:rsidR="00415603" w:rsidRPr="002070B3">
        <w:rPr>
          <w:rFonts w:cs="Arial"/>
        </w:rPr>
        <w:t xml:space="preserve">, </w:t>
      </w:r>
      <w:r w:rsidR="004D5FD5" w:rsidRPr="002070B3">
        <w:rPr>
          <w:rFonts w:cs="Arial"/>
        </w:rPr>
        <w:t xml:space="preserve">Ref </w:t>
      </w:r>
      <w:r w:rsidR="00D42384">
        <w:rPr>
          <w:rFonts w:cs="Arial"/>
        </w:rPr>
        <w:t>134</w:t>
      </w:r>
      <w:r w:rsidR="00D42384" w:rsidRPr="004749D8">
        <w:rPr>
          <w:rFonts w:cs="Arial"/>
        </w:rPr>
        <w:t xml:space="preserve"> </w:t>
      </w:r>
      <w:r w:rsidR="008261EA" w:rsidRPr="002070B3">
        <w:rPr>
          <w:rFonts w:cs="Arial"/>
        </w:rPr>
        <w:t xml:space="preserve">and </w:t>
      </w:r>
      <w:r w:rsidR="00D42384">
        <w:rPr>
          <w:rFonts w:cs="Arial"/>
        </w:rPr>
        <w:t>135</w:t>
      </w:r>
      <w:r w:rsidR="00273C84">
        <w:rPr>
          <w:rFonts w:cs="Arial"/>
        </w:rPr>
        <w:t>)</w:t>
      </w:r>
      <w:r w:rsidR="00415603" w:rsidRPr="002070B3">
        <w:rPr>
          <w:rFonts w:cs="Arial"/>
        </w:rPr>
        <w:t>.</w:t>
      </w:r>
    </w:p>
    <w:p w14:paraId="76DD0351" w14:textId="123F76D5" w:rsidR="00504BF3" w:rsidRPr="009712B7" w:rsidRDefault="00504BF3" w:rsidP="00C742E9">
      <w:pPr>
        <w:pStyle w:val="Bodysubheader0"/>
      </w:pPr>
      <w:r w:rsidRPr="009712B7">
        <w:rPr>
          <w:b w:val="0"/>
          <w:i w:val="0"/>
        </w:rPr>
        <w:t xml:space="preserve">Other activities include monitoring compliance with licence conditions, </w:t>
      </w:r>
      <w:proofErr w:type="gramStart"/>
      <w:r w:rsidRPr="009712B7">
        <w:rPr>
          <w:b w:val="0"/>
          <w:i w:val="0"/>
        </w:rPr>
        <w:t>standards</w:t>
      </w:r>
      <w:proofErr w:type="gramEnd"/>
      <w:r w:rsidRPr="009712B7">
        <w:rPr>
          <w:b w:val="0"/>
          <w:i w:val="0"/>
        </w:rPr>
        <w:t xml:space="preserve"> and codes of practice. These include compliance with the anti-siphoning rules, internet</w:t>
      </w:r>
      <w:r w:rsidR="0091731D" w:rsidRPr="009712B7">
        <w:rPr>
          <w:b w:val="0"/>
          <w:i w:val="0"/>
        </w:rPr>
        <w:t xml:space="preserve"> </w:t>
      </w:r>
      <w:r w:rsidRPr="009712B7">
        <w:rPr>
          <w:b w:val="0"/>
          <w:i w:val="0"/>
        </w:rPr>
        <w:t xml:space="preserve">industry codes of practice, children’s television standards and disclosure standards. </w:t>
      </w:r>
      <w:r w:rsidR="00CA574A" w:rsidRPr="009712B7">
        <w:rPr>
          <w:b w:val="0"/>
          <w:i w:val="0"/>
        </w:rPr>
        <w:t>Currently these activities are not supported for cost recovery</w:t>
      </w:r>
      <w:r w:rsidR="00441381" w:rsidRPr="009712B7">
        <w:rPr>
          <w:b w:val="0"/>
          <w:i w:val="0"/>
        </w:rPr>
        <w:t>.</w:t>
      </w:r>
      <w:r w:rsidR="00CA574A" w:rsidRPr="009712B7">
        <w:rPr>
          <w:b w:val="0"/>
          <w:i w:val="0"/>
        </w:rPr>
        <w:t xml:space="preserve"> </w:t>
      </w:r>
      <w:r w:rsidR="003D1C49">
        <w:rPr>
          <w:b w:val="0"/>
          <w:i w:val="0"/>
        </w:rPr>
        <w:t>T</w:t>
      </w:r>
      <w:r w:rsidR="00CA574A" w:rsidRPr="009712B7">
        <w:rPr>
          <w:b w:val="0"/>
          <w:i w:val="0"/>
        </w:rPr>
        <w:t xml:space="preserve">hese services will continue to be provided </w:t>
      </w:r>
      <w:r w:rsidR="00441381" w:rsidRPr="009712B7">
        <w:rPr>
          <w:b w:val="0"/>
          <w:i w:val="0"/>
        </w:rPr>
        <w:t xml:space="preserve">without specific </w:t>
      </w:r>
      <w:r w:rsidR="00CA574A" w:rsidRPr="009712B7">
        <w:rPr>
          <w:b w:val="0"/>
          <w:i w:val="0"/>
        </w:rPr>
        <w:t>charge.</w:t>
      </w:r>
    </w:p>
    <w:p w14:paraId="2831B5B1" w14:textId="41F809AC" w:rsidR="00504BF3" w:rsidRPr="003F6005" w:rsidRDefault="00504BF3" w:rsidP="00C742E9">
      <w:pPr>
        <w:pStyle w:val="BodySubHeader"/>
      </w:pPr>
      <w:r>
        <w:t>Broadcasting investigations activities</w:t>
      </w:r>
    </w:p>
    <w:p w14:paraId="16141C1F" w14:textId="50D73A18" w:rsidR="00504BF3" w:rsidRDefault="00504BF3" w:rsidP="00504BF3">
      <w:pPr>
        <w:rPr>
          <w:rFonts w:cs="Arial"/>
        </w:rPr>
      </w:pPr>
      <w:r w:rsidRPr="003F6005">
        <w:rPr>
          <w:rFonts w:cs="Arial"/>
        </w:rPr>
        <w:t xml:space="preserve">These activities </w:t>
      </w:r>
      <w:r w:rsidR="000D3572" w:rsidRPr="003F6005">
        <w:rPr>
          <w:rFonts w:cs="Arial"/>
        </w:rPr>
        <w:t>relate</w:t>
      </w:r>
      <w:r w:rsidRPr="003F6005">
        <w:rPr>
          <w:rFonts w:cs="Arial"/>
        </w:rPr>
        <w:t xml:space="preserve"> to audiences and the general community, rather than </w:t>
      </w:r>
      <w:r w:rsidR="004851E9" w:rsidRPr="003F6005">
        <w:rPr>
          <w:rFonts w:cs="Arial"/>
        </w:rPr>
        <w:t>just the</w:t>
      </w:r>
      <w:r w:rsidRPr="003F6005">
        <w:rPr>
          <w:rFonts w:cs="Arial"/>
        </w:rPr>
        <w:t xml:space="preserve"> individual who has initiated a complaint or an individual licensee. It </w:t>
      </w:r>
      <w:r w:rsidR="00441381">
        <w:rPr>
          <w:rFonts w:cs="Arial"/>
        </w:rPr>
        <w:t>may</w:t>
      </w:r>
      <w:r w:rsidR="002B58EC" w:rsidRPr="003F6005">
        <w:rPr>
          <w:rFonts w:cs="Arial"/>
        </w:rPr>
        <w:t xml:space="preserve"> also</w:t>
      </w:r>
      <w:r w:rsidRPr="003F6005">
        <w:rPr>
          <w:rFonts w:cs="Arial"/>
        </w:rPr>
        <w:t xml:space="preserve"> not </w:t>
      </w:r>
      <w:r w:rsidR="00441381">
        <w:rPr>
          <w:rFonts w:cs="Arial"/>
        </w:rPr>
        <w:t xml:space="preserve">be </w:t>
      </w:r>
      <w:r w:rsidRPr="003F6005">
        <w:rPr>
          <w:rFonts w:cs="Arial"/>
        </w:rPr>
        <w:t xml:space="preserve">possible to </w:t>
      </w:r>
      <w:r w:rsidR="00F04ECD" w:rsidRPr="003F6005">
        <w:rPr>
          <w:rFonts w:cs="Arial"/>
        </w:rPr>
        <w:t>precisely identify</w:t>
      </w:r>
      <w:r w:rsidR="00441381">
        <w:rPr>
          <w:rFonts w:cs="Arial"/>
        </w:rPr>
        <w:t xml:space="preserve"> </w:t>
      </w:r>
      <w:r w:rsidR="0030138C" w:rsidRPr="003F6005">
        <w:rPr>
          <w:rFonts w:cs="Arial"/>
        </w:rPr>
        <w:t>the entity or group of entities</w:t>
      </w:r>
      <w:r w:rsidR="00CA0DDC" w:rsidRPr="003F6005">
        <w:rPr>
          <w:rFonts w:cs="Arial"/>
        </w:rPr>
        <w:t xml:space="preserve"> that create the regulatory need for these activities</w:t>
      </w:r>
      <w:r w:rsidR="004B7907" w:rsidRPr="003F6005">
        <w:rPr>
          <w:rFonts w:cs="Arial"/>
        </w:rPr>
        <w:t xml:space="preserve"> to develop a fee</w:t>
      </w:r>
      <w:r w:rsidR="005B2CF8" w:rsidRPr="003F6005">
        <w:rPr>
          <w:rFonts w:cs="Arial"/>
        </w:rPr>
        <w:t xml:space="preserve">. </w:t>
      </w:r>
      <w:r w:rsidR="001C56A4" w:rsidRPr="003F6005">
        <w:rPr>
          <w:rFonts w:cs="Arial"/>
        </w:rPr>
        <w:t>Therefore, it is considered appropriate that the activity continue to be funded through appropriation.</w:t>
      </w:r>
    </w:p>
    <w:p w14:paraId="222903B8" w14:textId="3F37DE8D" w:rsidR="00504BF3" w:rsidRPr="00A14A24" w:rsidRDefault="00504BF3" w:rsidP="00504BF3">
      <w:pPr>
        <w:pStyle w:val="Heading2"/>
      </w:pPr>
      <w:bookmarkStart w:id="68" w:name="_3.2_Costs_of"/>
      <w:bookmarkStart w:id="69" w:name="_Toc400965224"/>
      <w:bookmarkStart w:id="70" w:name="_Toc107236634"/>
      <w:bookmarkStart w:id="71" w:name="_Toc135817044"/>
      <w:bookmarkStart w:id="72" w:name="_Toc143267706"/>
      <w:bookmarkEnd w:id="68"/>
      <w:r w:rsidRPr="00A14A24">
        <w:t>3.2</w:t>
      </w:r>
      <w:r w:rsidRPr="00A14A24">
        <w:tab/>
        <w:t xml:space="preserve">Costs of </w:t>
      </w:r>
      <w:r w:rsidR="00351FB2">
        <w:t>performing ACMA</w:t>
      </w:r>
      <w:r w:rsidRPr="00A14A24">
        <w:t xml:space="preserve"> activit</w:t>
      </w:r>
      <w:r w:rsidR="00351FB2">
        <w:t>ies</w:t>
      </w:r>
      <w:bookmarkEnd w:id="69"/>
      <w:bookmarkEnd w:id="70"/>
      <w:bookmarkEnd w:id="71"/>
      <w:bookmarkEnd w:id="72"/>
    </w:p>
    <w:p w14:paraId="20AA4156" w14:textId="1E737C73" w:rsidR="00AF4377" w:rsidRPr="00A14A24" w:rsidRDefault="00504BF3" w:rsidP="00504BF3">
      <w:pPr>
        <w:rPr>
          <w:rFonts w:cs="Arial"/>
        </w:rPr>
      </w:pPr>
      <w:r w:rsidRPr="00A14A24">
        <w:rPr>
          <w:rFonts w:cs="Arial"/>
        </w:rPr>
        <w:t xml:space="preserve">The costs incurred by the ACMA in executing </w:t>
      </w:r>
      <w:r w:rsidR="00273C84">
        <w:rPr>
          <w:rFonts w:cs="Arial"/>
        </w:rPr>
        <w:t>our</w:t>
      </w:r>
      <w:r w:rsidR="00273C84" w:rsidRPr="00A14A24">
        <w:rPr>
          <w:rFonts w:cs="Arial"/>
        </w:rPr>
        <w:t xml:space="preserve"> </w:t>
      </w:r>
      <w:r w:rsidRPr="00A14A24">
        <w:rPr>
          <w:rFonts w:cs="Arial"/>
        </w:rPr>
        <w:t xml:space="preserve">functions include direct, </w:t>
      </w:r>
      <w:r w:rsidR="00A33DC1" w:rsidRPr="00A14A24">
        <w:rPr>
          <w:rFonts w:cs="Arial"/>
        </w:rPr>
        <w:t xml:space="preserve">support </w:t>
      </w:r>
      <w:r w:rsidRPr="00A14A24">
        <w:rPr>
          <w:rFonts w:cs="Arial"/>
        </w:rPr>
        <w:t xml:space="preserve">and </w:t>
      </w:r>
      <w:r w:rsidR="006D4DF4" w:rsidRPr="00A14A24">
        <w:rPr>
          <w:rFonts w:cs="Arial"/>
        </w:rPr>
        <w:t>overhead</w:t>
      </w:r>
      <w:r w:rsidRPr="00A14A24">
        <w:rPr>
          <w:rFonts w:cs="Arial"/>
        </w:rPr>
        <w:t xml:space="preserve"> costs. </w:t>
      </w:r>
    </w:p>
    <w:p w14:paraId="1A807B5E" w14:textId="7795E9D5" w:rsidR="00504BF3" w:rsidRDefault="00504BF3" w:rsidP="00504BF3">
      <w:pPr>
        <w:rPr>
          <w:rFonts w:cs="Arial"/>
        </w:rPr>
      </w:pPr>
      <w:r w:rsidRPr="00A14A24">
        <w:rPr>
          <w:rFonts w:cs="Arial"/>
        </w:rPr>
        <w:t>Direct costs are those costs that can be directly attributed to the ACMA’s service provision. Direct costs include direct staff salaries and other expenses (for example, contractors, consultants, suppliers, office consumables, travel)</w:t>
      </w:r>
      <w:r w:rsidR="00FF5A60" w:rsidRPr="00A14A24">
        <w:rPr>
          <w:rFonts w:cs="Arial"/>
        </w:rPr>
        <w:t xml:space="preserve"> that are</w:t>
      </w:r>
      <w:r w:rsidRPr="00A14A24">
        <w:rPr>
          <w:rFonts w:cs="Arial"/>
        </w:rPr>
        <w:t xml:space="preserve"> </w:t>
      </w:r>
      <w:r w:rsidR="00AF4377" w:rsidRPr="00A14A24">
        <w:rPr>
          <w:rFonts w:cs="Arial"/>
        </w:rPr>
        <w:t xml:space="preserve">incurred by </w:t>
      </w:r>
      <w:r w:rsidRPr="00A14A24">
        <w:rPr>
          <w:rFonts w:cs="Arial"/>
        </w:rPr>
        <w:t>the</w:t>
      </w:r>
      <w:r w:rsidRPr="00DF1CB8">
        <w:rPr>
          <w:rFonts w:cs="Arial"/>
        </w:rPr>
        <w:t xml:space="preserve"> operational areas in carrying out the </w:t>
      </w:r>
      <w:r w:rsidR="00AF4377">
        <w:rPr>
          <w:rFonts w:cs="Arial"/>
        </w:rPr>
        <w:t xml:space="preserve">direct </w:t>
      </w:r>
      <w:r w:rsidRPr="00DF1CB8">
        <w:rPr>
          <w:rFonts w:cs="Arial"/>
        </w:rPr>
        <w:t>activities.</w:t>
      </w:r>
    </w:p>
    <w:p w14:paraId="0F2888FD" w14:textId="4F7A0DD6" w:rsidR="00AF71E6" w:rsidRDefault="00486751" w:rsidP="00504BF3">
      <w:pPr>
        <w:rPr>
          <w:rFonts w:cs="Arial"/>
        </w:rPr>
      </w:pPr>
      <w:r>
        <w:rPr>
          <w:rFonts w:cs="Arial"/>
        </w:rPr>
        <w:t>S</w:t>
      </w:r>
      <w:r w:rsidR="00504BF3" w:rsidRPr="00DF1CB8">
        <w:rPr>
          <w:rFonts w:cs="Arial"/>
        </w:rPr>
        <w:t>upport costs are the costs incurred by the ACMA’s support service</w:t>
      </w:r>
      <w:r w:rsidR="00F518BC">
        <w:rPr>
          <w:rFonts w:cs="Arial"/>
        </w:rPr>
        <w:t xml:space="preserve"> areas</w:t>
      </w:r>
      <w:r w:rsidR="00E974AD">
        <w:rPr>
          <w:rFonts w:cs="Arial"/>
        </w:rPr>
        <w:t>,</w:t>
      </w:r>
      <w:r w:rsidR="00504BF3" w:rsidRPr="00DF1CB8">
        <w:rPr>
          <w:rFonts w:cs="Arial"/>
        </w:rPr>
        <w:t xml:space="preserve"> such as information technology, finance, human resources, facilities</w:t>
      </w:r>
      <w:r w:rsidR="00674986">
        <w:rPr>
          <w:rFonts w:cs="Arial"/>
        </w:rPr>
        <w:t xml:space="preserve"> and</w:t>
      </w:r>
      <w:r w:rsidR="00504BF3" w:rsidRPr="00DF1CB8">
        <w:rPr>
          <w:rFonts w:cs="Arial"/>
        </w:rPr>
        <w:t xml:space="preserve"> legal. </w:t>
      </w:r>
      <w:r w:rsidR="00351FB2">
        <w:rPr>
          <w:rFonts w:cs="Arial"/>
        </w:rPr>
        <w:t>Support</w:t>
      </w:r>
      <w:r w:rsidR="00504BF3" w:rsidRPr="00DF1CB8">
        <w:rPr>
          <w:rFonts w:cs="Arial"/>
        </w:rPr>
        <w:t xml:space="preserve"> costs include all support staff salaries and other expenses (for example, contractors, consultants, suppliers, depreciation, occupancy) </w:t>
      </w:r>
      <w:r w:rsidR="000554CC">
        <w:rPr>
          <w:rFonts w:cs="Arial"/>
        </w:rPr>
        <w:t>in</w:t>
      </w:r>
      <w:r w:rsidR="00EF362C">
        <w:rPr>
          <w:rFonts w:cs="Arial"/>
        </w:rPr>
        <w:t xml:space="preserve">curred by the relevant </w:t>
      </w:r>
      <w:r w:rsidR="00FF5A60">
        <w:rPr>
          <w:rFonts w:cs="Arial"/>
        </w:rPr>
        <w:t>support areas</w:t>
      </w:r>
      <w:r w:rsidR="00AF71E6">
        <w:rPr>
          <w:rFonts w:cs="Arial"/>
        </w:rPr>
        <w:t>.</w:t>
      </w:r>
      <w:r w:rsidR="000D37F8" w:rsidRPr="000D37F8">
        <w:rPr>
          <w:rFonts w:cs="Arial"/>
        </w:rPr>
        <w:t xml:space="preserve"> </w:t>
      </w:r>
      <w:r w:rsidR="000D37F8">
        <w:rPr>
          <w:rFonts w:cs="Arial"/>
        </w:rPr>
        <w:t>Overhead costs</w:t>
      </w:r>
      <w:r w:rsidR="00BA5DEF">
        <w:rPr>
          <w:rFonts w:cs="Arial"/>
        </w:rPr>
        <w:t xml:space="preserve"> are costs</w:t>
      </w:r>
      <w:r w:rsidR="000D37F8">
        <w:rPr>
          <w:rFonts w:cs="Arial"/>
        </w:rPr>
        <w:t xml:space="preserve"> </w:t>
      </w:r>
      <w:r w:rsidR="00896598">
        <w:rPr>
          <w:rFonts w:cs="Arial"/>
        </w:rPr>
        <w:t xml:space="preserve">incurred by the ACMA </w:t>
      </w:r>
      <w:r w:rsidR="000D37F8">
        <w:rPr>
          <w:rFonts w:cs="Arial"/>
        </w:rPr>
        <w:t>relat</w:t>
      </w:r>
      <w:r w:rsidR="00896598">
        <w:rPr>
          <w:rFonts w:cs="Arial"/>
        </w:rPr>
        <w:t>ing</w:t>
      </w:r>
      <w:r w:rsidR="000D37F8">
        <w:rPr>
          <w:rFonts w:cs="Arial"/>
        </w:rPr>
        <w:t xml:space="preserve"> to </w:t>
      </w:r>
      <w:r w:rsidR="00896598">
        <w:rPr>
          <w:rFonts w:cs="Arial"/>
        </w:rPr>
        <w:t>depreciation and property operating expenses</w:t>
      </w:r>
      <w:r w:rsidR="00BA5DEF">
        <w:rPr>
          <w:rFonts w:cs="Arial"/>
        </w:rPr>
        <w:t>.</w:t>
      </w:r>
      <w:r w:rsidR="000554CC" w:rsidRPr="000554CC">
        <w:rPr>
          <w:rFonts w:cs="Arial"/>
        </w:rPr>
        <w:t xml:space="preserve"> </w:t>
      </w:r>
    </w:p>
    <w:p w14:paraId="496103E9" w14:textId="53EBF5B7" w:rsidR="00BA45D0" w:rsidRPr="00DF1CB8" w:rsidRDefault="008F45A3" w:rsidP="00504BF3">
      <w:pPr>
        <w:rPr>
          <w:rFonts w:cs="Arial"/>
        </w:rPr>
      </w:pPr>
      <w:r>
        <w:rPr>
          <w:rFonts w:cs="Arial"/>
        </w:rPr>
        <w:t>Support and</w:t>
      </w:r>
      <w:r w:rsidR="00AF71E6">
        <w:rPr>
          <w:rFonts w:cs="Arial"/>
        </w:rPr>
        <w:t xml:space="preserve"> </w:t>
      </w:r>
      <w:r w:rsidR="00AE44A8">
        <w:rPr>
          <w:rFonts w:cs="Arial"/>
        </w:rPr>
        <w:t>o</w:t>
      </w:r>
      <w:r>
        <w:rPr>
          <w:rFonts w:cs="Arial"/>
        </w:rPr>
        <w:t xml:space="preserve">verheads costs </w:t>
      </w:r>
      <w:r w:rsidR="000554CC" w:rsidRPr="00DF1CB8">
        <w:rPr>
          <w:rFonts w:cs="Arial"/>
        </w:rPr>
        <w:t xml:space="preserve">are allocated to </w:t>
      </w:r>
      <w:r w:rsidR="000554CC">
        <w:rPr>
          <w:rFonts w:cs="Arial"/>
        </w:rPr>
        <w:t xml:space="preserve">direct </w:t>
      </w:r>
      <w:r w:rsidR="000554CC" w:rsidRPr="00DF1CB8">
        <w:rPr>
          <w:rFonts w:cs="Arial"/>
        </w:rPr>
        <w:t xml:space="preserve">activities using </w:t>
      </w:r>
      <w:r w:rsidR="00A65E6E">
        <w:rPr>
          <w:rFonts w:cs="Arial"/>
        </w:rPr>
        <w:t>appropriate</w:t>
      </w:r>
      <w:r w:rsidR="000554CC" w:rsidRPr="00DF1CB8">
        <w:rPr>
          <w:rFonts w:cs="Arial"/>
        </w:rPr>
        <w:t xml:space="preserve"> cost drivers</w:t>
      </w:r>
      <w:r w:rsidR="00455695">
        <w:rPr>
          <w:rFonts w:cs="Arial"/>
        </w:rPr>
        <w:t xml:space="preserve"> (</w:t>
      </w:r>
      <w:r w:rsidR="00484372">
        <w:rPr>
          <w:rFonts w:cs="Arial"/>
        </w:rPr>
        <w:t xml:space="preserve">that is, </w:t>
      </w:r>
      <w:r w:rsidR="000554CC" w:rsidRPr="00DF1CB8">
        <w:rPr>
          <w:rFonts w:cs="Arial"/>
        </w:rPr>
        <w:t>average staffing levels</w:t>
      </w:r>
      <w:r w:rsidR="00455695">
        <w:rPr>
          <w:rFonts w:cs="Arial"/>
        </w:rPr>
        <w:t>)</w:t>
      </w:r>
      <w:r w:rsidR="00FB004A">
        <w:rPr>
          <w:rFonts w:cs="Arial"/>
        </w:rPr>
        <w:t>.</w:t>
      </w:r>
    </w:p>
    <w:p w14:paraId="5FFD3A69" w14:textId="48DB9DE3" w:rsidR="00504BF3" w:rsidRDefault="000C2277" w:rsidP="004C15BB">
      <w:pPr>
        <w:pStyle w:val="Heading3"/>
      </w:pPr>
      <w:bookmarkStart w:id="73" w:name="_3.2.1__Hourly"/>
      <w:bookmarkStart w:id="74" w:name="_Toc400965225"/>
      <w:bookmarkStart w:id="75" w:name="_Toc107236635"/>
      <w:bookmarkStart w:id="76" w:name="_Toc135817045"/>
      <w:bookmarkStart w:id="77" w:name="_Toc143267707"/>
      <w:bookmarkEnd w:id="73"/>
      <w:r>
        <w:t xml:space="preserve">3.2.1 </w:t>
      </w:r>
      <w:r w:rsidR="00EB49C5">
        <w:tab/>
      </w:r>
      <w:r w:rsidR="00504BF3" w:rsidRPr="00903620">
        <w:t>Hourly rates</w:t>
      </w:r>
      <w:bookmarkEnd w:id="74"/>
      <w:bookmarkEnd w:id="75"/>
      <w:bookmarkEnd w:id="76"/>
      <w:bookmarkEnd w:id="77"/>
    </w:p>
    <w:p w14:paraId="3CC7A1E3" w14:textId="59CF64CB" w:rsidR="00C833D4" w:rsidRDefault="00B45048" w:rsidP="00C833D4">
      <w:pPr>
        <w:keepNext/>
        <w:keepLines/>
        <w:rPr>
          <w:rFonts w:cs="Arial"/>
        </w:rPr>
      </w:pPr>
      <w:r>
        <w:rPr>
          <w:rFonts w:cs="Arial"/>
        </w:rPr>
        <w:t xml:space="preserve">The standard hourly and additional or special ACMA hourly rates </w:t>
      </w:r>
      <w:r w:rsidR="00C3724B">
        <w:rPr>
          <w:rFonts w:cs="Arial"/>
        </w:rPr>
        <w:t xml:space="preserve">are </w:t>
      </w:r>
      <w:r w:rsidRPr="00074F27">
        <w:rPr>
          <w:rFonts w:cs="Arial"/>
        </w:rPr>
        <w:t xml:space="preserve">based on the </w:t>
      </w:r>
      <w:r>
        <w:rPr>
          <w:rFonts w:cs="Arial"/>
        </w:rPr>
        <w:t xml:space="preserve">net </w:t>
      </w:r>
      <w:r w:rsidRPr="00074F27">
        <w:rPr>
          <w:rFonts w:cs="Arial"/>
        </w:rPr>
        <w:t>cost of services incurred</w:t>
      </w:r>
      <w:r>
        <w:rPr>
          <w:rFonts w:cs="Arial"/>
        </w:rPr>
        <w:t xml:space="preserve"> by the ACMA in executing </w:t>
      </w:r>
      <w:r w:rsidR="00273C84">
        <w:rPr>
          <w:rFonts w:cs="Arial"/>
        </w:rPr>
        <w:t xml:space="preserve">our </w:t>
      </w:r>
      <w:r>
        <w:rPr>
          <w:rFonts w:cs="Arial"/>
        </w:rPr>
        <w:t>functions</w:t>
      </w:r>
      <w:r w:rsidRPr="00074F27">
        <w:rPr>
          <w:rFonts w:cs="Arial"/>
        </w:rPr>
        <w:t xml:space="preserve"> </w:t>
      </w:r>
      <w:r w:rsidR="00125A71">
        <w:rPr>
          <w:rFonts w:cs="Arial"/>
        </w:rPr>
        <w:t xml:space="preserve">for </w:t>
      </w:r>
      <w:r w:rsidRPr="00074F27">
        <w:rPr>
          <w:rFonts w:cs="Arial"/>
        </w:rPr>
        <w:t>the 202</w:t>
      </w:r>
      <w:r w:rsidR="00125A71">
        <w:rPr>
          <w:rFonts w:cs="Arial"/>
        </w:rPr>
        <w:t>0</w:t>
      </w:r>
      <w:r w:rsidRPr="00074F27">
        <w:rPr>
          <w:rFonts w:cs="Arial"/>
        </w:rPr>
        <w:t>–2</w:t>
      </w:r>
      <w:r w:rsidR="00125A71">
        <w:rPr>
          <w:rFonts w:cs="Arial"/>
        </w:rPr>
        <w:t>1</w:t>
      </w:r>
      <w:r w:rsidRPr="00074F27">
        <w:rPr>
          <w:rFonts w:cs="Arial"/>
        </w:rPr>
        <w:t xml:space="preserve"> financial year.</w:t>
      </w:r>
      <w:r>
        <w:rPr>
          <w:rFonts w:cs="Arial"/>
        </w:rPr>
        <w:t xml:space="preserve"> </w:t>
      </w:r>
      <w:r w:rsidR="001C27A8">
        <w:rPr>
          <w:rFonts w:cs="Arial"/>
        </w:rPr>
        <w:t>A</w:t>
      </w:r>
      <w:r w:rsidR="001C27A8" w:rsidRPr="001C27A8">
        <w:rPr>
          <w:rFonts w:cs="Arial"/>
        </w:rPr>
        <w:t xml:space="preserve">s no significant changes have occurred to </w:t>
      </w:r>
      <w:r w:rsidR="00F04ECD">
        <w:rPr>
          <w:rFonts w:cs="Arial"/>
        </w:rPr>
        <w:t xml:space="preserve">our </w:t>
      </w:r>
      <w:r w:rsidR="001C27A8" w:rsidRPr="001C27A8">
        <w:rPr>
          <w:rFonts w:cs="Arial"/>
        </w:rPr>
        <w:t>organisational and cost structures in 2021</w:t>
      </w:r>
      <w:r w:rsidR="00F04ECD" w:rsidRPr="00074F27">
        <w:rPr>
          <w:rFonts w:cs="Arial"/>
        </w:rPr>
        <w:t>–</w:t>
      </w:r>
      <w:r w:rsidR="001C27A8" w:rsidRPr="001C27A8">
        <w:rPr>
          <w:rFonts w:cs="Arial"/>
        </w:rPr>
        <w:t>22</w:t>
      </w:r>
      <w:r w:rsidR="004E341A">
        <w:rPr>
          <w:rFonts w:cs="Arial"/>
        </w:rPr>
        <w:t>,</w:t>
      </w:r>
      <w:r w:rsidR="001C27A8">
        <w:rPr>
          <w:rFonts w:cs="Arial"/>
        </w:rPr>
        <w:t xml:space="preserve"> </w:t>
      </w:r>
      <w:r w:rsidR="00F04ECD">
        <w:rPr>
          <w:rFonts w:cs="Arial"/>
        </w:rPr>
        <w:t xml:space="preserve">we are </w:t>
      </w:r>
      <w:r w:rsidR="00C833D4">
        <w:rPr>
          <w:rFonts w:cs="Arial"/>
        </w:rPr>
        <w:t>propos</w:t>
      </w:r>
      <w:r w:rsidR="00F418DD">
        <w:rPr>
          <w:rFonts w:cs="Arial"/>
        </w:rPr>
        <w:t>ing</w:t>
      </w:r>
      <w:r w:rsidR="00C833D4">
        <w:rPr>
          <w:rFonts w:cs="Arial"/>
        </w:rPr>
        <w:t xml:space="preserve"> to maintain </w:t>
      </w:r>
      <w:r w:rsidR="00F04ECD">
        <w:rPr>
          <w:rFonts w:cs="Arial"/>
        </w:rPr>
        <w:t xml:space="preserve">our </w:t>
      </w:r>
      <w:r w:rsidR="00C833D4">
        <w:rPr>
          <w:rFonts w:cs="Arial"/>
        </w:rPr>
        <w:t xml:space="preserve">special and standard hourly rates as </w:t>
      </w:r>
      <w:r w:rsidR="0090396A">
        <w:rPr>
          <w:rFonts w:cs="Arial"/>
        </w:rPr>
        <w:t xml:space="preserve">per the previous rates </w:t>
      </w:r>
      <w:r w:rsidR="00C833D4">
        <w:rPr>
          <w:rFonts w:cs="Arial"/>
        </w:rPr>
        <w:t xml:space="preserve">implemented on 1 October 2022. </w:t>
      </w:r>
      <w:r w:rsidR="00C833D4" w:rsidRPr="00DF1CB8">
        <w:rPr>
          <w:rFonts w:cs="Arial"/>
        </w:rPr>
        <w:t> </w:t>
      </w:r>
    </w:p>
    <w:p w14:paraId="55CF940F" w14:textId="1E3E4380" w:rsidR="00635962" w:rsidRPr="00674986" w:rsidRDefault="00635962" w:rsidP="00BB0282">
      <w:pPr>
        <w:pStyle w:val="Bodysubheader0"/>
        <w:keepNext/>
      </w:pPr>
      <w:r w:rsidRPr="00674986">
        <w:t xml:space="preserve">Standard </w:t>
      </w:r>
      <w:r w:rsidR="00484372">
        <w:t>h</w:t>
      </w:r>
      <w:r w:rsidRPr="00674986">
        <w:t>ourly rate</w:t>
      </w:r>
    </w:p>
    <w:p w14:paraId="10B6BF84" w14:textId="045A9E29" w:rsidR="00504BF3" w:rsidRPr="00DF1CB8" w:rsidRDefault="00504BF3" w:rsidP="00504BF3">
      <w:pPr>
        <w:rPr>
          <w:rFonts w:cs="Arial"/>
        </w:rPr>
      </w:pPr>
      <w:r w:rsidRPr="00200E91">
        <w:rPr>
          <w:rFonts w:cs="Arial"/>
        </w:rPr>
        <w:t xml:space="preserve">The ACMA’s </w:t>
      </w:r>
      <w:r w:rsidR="004F12F7" w:rsidRPr="00200E91">
        <w:rPr>
          <w:rFonts w:cs="Arial"/>
        </w:rPr>
        <w:t xml:space="preserve">standard </w:t>
      </w:r>
      <w:r w:rsidRPr="00200E91">
        <w:rPr>
          <w:rFonts w:cs="Arial"/>
        </w:rPr>
        <w:t>hourly rate</w:t>
      </w:r>
      <w:r w:rsidR="00897B96">
        <w:rPr>
          <w:rFonts w:cs="Arial"/>
        </w:rPr>
        <w:t xml:space="preserve"> </w:t>
      </w:r>
      <w:r w:rsidR="003B0408">
        <w:rPr>
          <w:rFonts w:cs="Arial"/>
        </w:rPr>
        <w:t xml:space="preserve">of </w:t>
      </w:r>
      <w:r w:rsidR="009D2F11">
        <w:rPr>
          <w:rFonts w:cs="Arial"/>
        </w:rPr>
        <w:t xml:space="preserve">$226 </w:t>
      </w:r>
      <w:r w:rsidRPr="00DF1CB8">
        <w:rPr>
          <w:rFonts w:cs="Arial"/>
        </w:rPr>
        <w:t>was established by</w:t>
      </w:r>
      <w:r w:rsidR="00AE4A5D" w:rsidRPr="00AE4A5D">
        <w:t xml:space="preserve"> </w:t>
      </w:r>
      <w:r w:rsidR="00AE4A5D" w:rsidRPr="00AE4A5D">
        <w:rPr>
          <w:rFonts w:cs="Arial"/>
        </w:rPr>
        <w:t xml:space="preserve">dividing </w:t>
      </w:r>
      <w:r w:rsidR="00273C84">
        <w:rPr>
          <w:rFonts w:cs="Arial"/>
        </w:rPr>
        <w:t xml:space="preserve">the </w:t>
      </w:r>
      <w:r w:rsidR="00F04ECD">
        <w:rPr>
          <w:rFonts w:cs="Arial"/>
        </w:rPr>
        <w:t>n</w:t>
      </w:r>
      <w:r w:rsidR="00AE4A5D" w:rsidRPr="00AE4A5D">
        <w:rPr>
          <w:rFonts w:cs="Arial"/>
        </w:rPr>
        <w:t xml:space="preserve">et cost of service </w:t>
      </w:r>
      <w:r w:rsidR="00194959">
        <w:rPr>
          <w:rFonts w:cs="Arial"/>
        </w:rPr>
        <w:t>b</w:t>
      </w:r>
      <w:r w:rsidR="00AE4A5D" w:rsidRPr="00AE4A5D">
        <w:rPr>
          <w:rFonts w:cs="Arial"/>
        </w:rPr>
        <w:t xml:space="preserve">y the total number of productive hours </w:t>
      </w:r>
      <w:r w:rsidR="00860E83" w:rsidRPr="00860E83">
        <w:rPr>
          <w:rFonts w:cs="Arial"/>
        </w:rPr>
        <w:t>worked by staff providing direct services</w:t>
      </w:r>
      <w:r w:rsidR="006454E3">
        <w:rPr>
          <w:rFonts w:cs="Arial"/>
        </w:rPr>
        <w:t>,</w:t>
      </w:r>
      <w:r w:rsidR="00860E83" w:rsidRPr="00860E83">
        <w:rPr>
          <w:rFonts w:cs="Arial"/>
        </w:rPr>
        <w:t xml:space="preserve"> </w:t>
      </w:r>
      <w:r w:rsidRPr="00DF1CB8">
        <w:rPr>
          <w:rFonts w:cs="Arial"/>
        </w:rPr>
        <w:t xml:space="preserve">including an attribution of all support </w:t>
      </w:r>
      <w:r w:rsidR="00827180">
        <w:rPr>
          <w:rFonts w:cs="Arial"/>
        </w:rPr>
        <w:t xml:space="preserve">and overhead </w:t>
      </w:r>
      <w:r w:rsidRPr="00DF1CB8">
        <w:rPr>
          <w:rFonts w:cs="Arial"/>
        </w:rPr>
        <w:t>costs</w:t>
      </w:r>
      <w:r w:rsidR="006454E3">
        <w:rPr>
          <w:rFonts w:cs="Arial"/>
        </w:rPr>
        <w:t>.</w:t>
      </w:r>
      <w:r w:rsidRPr="00200E91" w:rsidDel="00E25644">
        <w:rPr>
          <w:rFonts w:cs="Arial"/>
        </w:rPr>
        <w:t xml:space="preserve"> </w:t>
      </w:r>
    </w:p>
    <w:p w14:paraId="4DDDD79C" w14:textId="285B1E0A" w:rsidR="00504BF3" w:rsidRDefault="00504BF3" w:rsidP="00504BF3">
      <w:pPr>
        <w:rPr>
          <w:rFonts w:cs="Arial"/>
        </w:rPr>
      </w:pPr>
      <w:r w:rsidRPr="00DF1CB8">
        <w:rPr>
          <w:rFonts w:cs="Arial"/>
        </w:rPr>
        <w:t xml:space="preserve">The </w:t>
      </w:r>
      <w:r w:rsidR="000508E0">
        <w:rPr>
          <w:rFonts w:cs="Arial"/>
        </w:rPr>
        <w:t xml:space="preserve">standard hourly </w:t>
      </w:r>
      <w:r w:rsidRPr="00DF1CB8">
        <w:rPr>
          <w:rFonts w:cs="Arial"/>
        </w:rPr>
        <w:t>rate has been consistently applied to all</w:t>
      </w:r>
      <w:r w:rsidR="00F00B5A">
        <w:rPr>
          <w:rFonts w:cs="Arial"/>
        </w:rPr>
        <w:t xml:space="preserve"> radiocommunications, telecommunicatio</w:t>
      </w:r>
      <w:r w:rsidR="0035032C">
        <w:rPr>
          <w:rFonts w:cs="Arial"/>
        </w:rPr>
        <w:t>n</w:t>
      </w:r>
      <w:r w:rsidR="00F00B5A">
        <w:rPr>
          <w:rFonts w:cs="Arial"/>
        </w:rPr>
        <w:t>s</w:t>
      </w:r>
      <w:r w:rsidR="0035032C">
        <w:rPr>
          <w:rFonts w:cs="Arial"/>
        </w:rPr>
        <w:t xml:space="preserve"> </w:t>
      </w:r>
      <w:r w:rsidR="00F00B5A">
        <w:rPr>
          <w:rFonts w:cs="Arial"/>
        </w:rPr>
        <w:t>and broadcasting</w:t>
      </w:r>
      <w:r w:rsidRPr="00DF1CB8">
        <w:rPr>
          <w:rFonts w:cs="Arial"/>
        </w:rPr>
        <w:t xml:space="preserve"> fees, except those related to </w:t>
      </w:r>
      <w:r w:rsidR="00065D2A">
        <w:rPr>
          <w:rFonts w:cs="Arial"/>
        </w:rPr>
        <w:t xml:space="preserve">radiocommunications </w:t>
      </w:r>
      <w:r w:rsidR="0084002C" w:rsidRPr="0084002C">
        <w:rPr>
          <w:rFonts w:cs="Arial"/>
        </w:rPr>
        <w:t>field operations</w:t>
      </w:r>
      <w:r w:rsidR="0084002C">
        <w:rPr>
          <w:rFonts w:cs="Arial"/>
        </w:rPr>
        <w:t>,</w:t>
      </w:r>
      <w:r w:rsidR="0084002C" w:rsidRPr="0084002C">
        <w:rPr>
          <w:rFonts w:cs="Arial"/>
        </w:rPr>
        <w:t xml:space="preserve"> interference investigations </w:t>
      </w:r>
      <w:r w:rsidR="0084002C">
        <w:rPr>
          <w:rFonts w:cs="Arial"/>
        </w:rPr>
        <w:t xml:space="preserve">and </w:t>
      </w:r>
      <w:r w:rsidR="00D96922">
        <w:rPr>
          <w:rFonts w:cs="Arial"/>
        </w:rPr>
        <w:t xml:space="preserve">device </w:t>
      </w:r>
      <w:r w:rsidRPr="00DF1CB8">
        <w:rPr>
          <w:rFonts w:cs="Arial"/>
        </w:rPr>
        <w:t>testing</w:t>
      </w:r>
      <w:r w:rsidR="00F00B5A">
        <w:rPr>
          <w:rFonts w:cs="Arial"/>
        </w:rPr>
        <w:t xml:space="preserve"> </w:t>
      </w:r>
      <w:r w:rsidR="009C703D">
        <w:rPr>
          <w:rFonts w:cs="Arial"/>
        </w:rPr>
        <w:t>(</w:t>
      </w:r>
      <w:r w:rsidR="006B7017">
        <w:rPr>
          <w:rFonts w:cs="Arial"/>
        </w:rPr>
        <w:t>s</w:t>
      </w:r>
      <w:r w:rsidR="009C703D">
        <w:rPr>
          <w:rFonts w:cs="Arial"/>
        </w:rPr>
        <w:t xml:space="preserve">ee section 9 of the </w:t>
      </w:r>
      <w:r w:rsidR="00BF2A72">
        <w:rPr>
          <w:rFonts w:cs="Arial"/>
        </w:rPr>
        <w:t xml:space="preserve">Radiocommunications </w:t>
      </w:r>
      <w:r w:rsidR="00CC7BCC">
        <w:rPr>
          <w:rFonts w:cs="Arial"/>
        </w:rPr>
        <w:t>D</w:t>
      </w:r>
      <w:r w:rsidR="009C703D">
        <w:rPr>
          <w:rFonts w:cs="Arial"/>
        </w:rPr>
        <w:t xml:space="preserve">etermination, section </w:t>
      </w:r>
      <w:r w:rsidR="00B43716">
        <w:rPr>
          <w:rFonts w:cs="Arial"/>
        </w:rPr>
        <w:t xml:space="preserve">9 of the </w:t>
      </w:r>
      <w:r w:rsidR="00147A23">
        <w:rPr>
          <w:rFonts w:cs="Arial"/>
        </w:rPr>
        <w:t>Telecommunications</w:t>
      </w:r>
      <w:r w:rsidR="00147A23" w:rsidRPr="00C27C8E">
        <w:rPr>
          <w:rFonts w:cs="Arial"/>
        </w:rPr>
        <w:t xml:space="preserve"> </w:t>
      </w:r>
      <w:r w:rsidR="00CC7BCC">
        <w:rPr>
          <w:rFonts w:cs="Arial"/>
        </w:rPr>
        <w:t>D</w:t>
      </w:r>
      <w:r w:rsidR="00B43716" w:rsidRPr="00C27C8E">
        <w:rPr>
          <w:rFonts w:cs="Arial"/>
        </w:rPr>
        <w:t>etermination</w:t>
      </w:r>
      <w:r w:rsidR="00B43716">
        <w:rPr>
          <w:rFonts w:cs="Arial"/>
        </w:rPr>
        <w:t xml:space="preserve"> and item </w:t>
      </w:r>
      <w:r w:rsidR="00B31428">
        <w:rPr>
          <w:rFonts w:cs="Arial"/>
        </w:rPr>
        <w:t xml:space="preserve">2 of Schedule 1 to the </w:t>
      </w:r>
      <w:r w:rsidR="00CC7BCC">
        <w:rPr>
          <w:rFonts w:cs="Arial"/>
        </w:rPr>
        <w:t>B</w:t>
      </w:r>
      <w:r w:rsidR="00B31428">
        <w:rPr>
          <w:rFonts w:cs="Arial"/>
        </w:rPr>
        <w:t xml:space="preserve">roadcasting </w:t>
      </w:r>
      <w:r w:rsidR="00CC7BCC">
        <w:rPr>
          <w:rFonts w:cs="Arial"/>
        </w:rPr>
        <w:t>D</w:t>
      </w:r>
      <w:r w:rsidR="00B31428">
        <w:rPr>
          <w:rFonts w:cs="Arial"/>
        </w:rPr>
        <w:t>etermination).</w:t>
      </w:r>
    </w:p>
    <w:p w14:paraId="172C7FEA" w14:textId="2D26B4C9" w:rsidR="00EA4483" w:rsidRPr="00674986" w:rsidRDefault="5C97B2B8" w:rsidP="0045208C">
      <w:pPr>
        <w:pStyle w:val="Bodysubheader0"/>
        <w:keepNext/>
        <w:keepLines/>
        <w:spacing w:before="60" w:after="60"/>
      </w:pPr>
      <w:r>
        <w:lastRenderedPageBreak/>
        <w:t>Additional or special ACMA hourly rates</w:t>
      </w:r>
    </w:p>
    <w:p w14:paraId="3A496E04" w14:textId="1172F266" w:rsidR="0C09410C" w:rsidRPr="00F04ECD" w:rsidRDefault="66256CA1" w:rsidP="0045208C">
      <w:pPr>
        <w:pStyle w:val="Bulletlevel1"/>
        <w:keepNext/>
        <w:keepLines/>
        <w:rPr>
          <w:szCs w:val="20"/>
        </w:rPr>
      </w:pPr>
      <w:r w:rsidRPr="00575F1E">
        <w:rPr>
          <w:b/>
          <w:bCs/>
        </w:rPr>
        <w:t>Radiocommunications f</w:t>
      </w:r>
      <w:r w:rsidR="6BC4B8C5" w:rsidRPr="00575F1E">
        <w:rPr>
          <w:b/>
          <w:bCs/>
        </w:rPr>
        <w:t>ield operations and interference investigations (special hourly rate A)</w:t>
      </w:r>
      <w:r w:rsidR="00F04ECD">
        <w:t>: t</w:t>
      </w:r>
      <w:r w:rsidR="6BC4B8C5" w:rsidRPr="0C09410C">
        <w:t xml:space="preserve">he </w:t>
      </w:r>
      <w:r w:rsidR="00174119">
        <w:t xml:space="preserve">special </w:t>
      </w:r>
      <w:r w:rsidR="6BC4B8C5" w:rsidRPr="0C09410C">
        <w:t xml:space="preserve">hourly rate </w:t>
      </w:r>
      <w:r w:rsidR="00E31770">
        <w:t xml:space="preserve">($255) </w:t>
      </w:r>
      <w:r w:rsidR="6BC4B8C5" w:rsidRPr="0C09410C">
        <w:t>relat</w:t>
      </w:r>
      <w:r w:rsidR="00174119">
        <w:t>es</w:t>
      </w:r>
      <w:r w:rsidR="6BC4B8C5" w:rsidRPr="0C09410C">
        <w:t xml:space="preserve"> to field operations and interference investigations</w:t>
      </w:r>
      <w:r w:rsidR="004E01AF">
        <w:t xml:space="preserve"> and was </w:t>
      </w:r>
      <w:r w:rsidR="004E01AF" w:rsidRPr="004E01AF">
        <w:t xml:space="preserve">established as </w:t>
      </w:r>
      <w:r w:rsidR="00273C84">
        <w:t>this activity</w:t>
      </w:r>
      <w:r w:rsidR="00273C84" w:rsidRPr="004E01AF">
        <w:t xml:space="preserve"> </w:t>
      </w:r>
      <w:r w:rsidR="00273C84">
        <w:t>has</w:t>
      </w:r>
      <w:r w:rsidR="00273C84" w:rsidRPr="004E01AF">
        <w:t xml:space="preserve"> </w:t>
      </w:r>
      <w:r w:rsidR="004E01AF" w:rsidRPr="004E01AF">
        <w:t>a large operating cost, particularly</w:t>
      </w:r>
      <w:r w:rsidR="00F04ECD">
        <w:t xml:space="preserve"> </w:t>
      </w:r>
      <w:r w:rsidR="007077C3" w:rsidRPr="0C09410C">
        <w:t xml:space="preserve">fixed costs associated with </w:t>
      </w:r>
      <w:r w:rsidR="00ED1450">
        <w:t xml:space="preserve">operating </w:t>
      </w:r>
      <w:r w:rsidR="007077C3" w:rsidRPr="0C09410C">
        <w:t>vehicles fitted with technical equipment</w:t>
      </w:r>
      <w:r w:rsidR="6BC4B8C5" w:rsidRPr="0C09410C">
        <w:t xml:space="preserve"> </w:t>
      </w:r>
      <w:bookmarkStart w:id="78" w:name="_Hlk99962345"/>
      <w:r w:rsidR="5420020C" w:rsidRPr="0C09410C">
        <w:t>(</w:t>
      </w:r>
      <w:r w:rsidR="00273C84">
        <w:t>s</w:t>
      </w:r>
      <w:r w:rsidR="5420020C" w:rsidRPr="0C09410C">
        <w:t xml:space="preserve">ee </w:t>
      </w:r>
      <w:r w:rsidR="32B8E0E5" w:rsidRPr="0C09410C">
        <w:t>section 9</w:t>
      </w:r>
      <w:r w:rsidR="7A59F0BD" w:rsidRPr="0C09410C">
        <w:t xml:space="preserve"> and item</w:t>
      </w:r>
      <w:r w:rsidR="070FD854" w:rsidRPr="0C09410C">
        <w:t>s</w:t>
      </w:r>
      <w:r w:rsidR="7A59F0BD" w:rsidRPr="0C09410C">
        <w:t xml:space="preserve"> 7.2.3</w:t>
      </w:r>
      <w:r w:rsidR="6C076BAD" w:rsidRPr="0C09410C">
        <w:t>, 7.2.4</w:t>
      </w:r>
      <w:r w:rsidR="7A59F0BD" w:rsidRPr="0C09410C">
        <w:t xml:space="preserve"> </w:t>
      </w:r>
      <w:r w:rsidR="070FD854" w:rsidRPr="0C09410C">
        <w:t xml:space="preserve">and 7.2.7 </w:t>
      </w:r>
      <w:r w:rsidR="7A59F0BD" w:rsidRPr="0C09410C">
        <w:t>of Part 7 of Schedule 1</w:t>
      </w:r>
      <w:r w:rsidR="32B8E0E5" w:rsidRPr="0C09410C">
        <w:t xml:space="preserve"> </w:t>
      </w:r>
      <w:r w:rsidR="0FCDD006" w:rsidRPr="0C09410C">
        <w:t xml:space="preserve">to </w:t>
      </w:r>
      <w:r w:rsidR="32B8E0E5" w:rsidRPr="0C09410C">
        <w:t xml:space="preserve">the </w:t>
      </w:r>
      <w:r w:rsidR="00BF2A72">
        <w:t xml:space="preserve">Radiocommunications </w:t>
      </w:r>
      <w:r w:rsidR="60C2BC29" w:rsidRPr="0C09410C">
        <w:t>Determination</w:t>
      </w:r>
      <w:r w:rsidR="32B8E0E5" w:rsidRPr="0C09410C">
        <w:t xml:space="preserve"> and </w:t>
      </w:r>
      <w:r w:rsidR="00442C3E">
        <w:t xml:space="preserve">Appendix </w:t>
      </w:r>
      <w:r w:rsidR="5420020C" w:rsidRPr="00C55C45">
        <w:t xml:space="preserve">A, </w:t>
      </w:r>
      <w:r w:rsidR="6B1C9835" w:rsidRPr="00C55C45">
        <w:t>Ref</w:t>
      </w:r>
      <w:r w:rsidR="560BF6F1" w:rsidRPr="00C55C45">
        <w:t xml:space="preserve"> </w:t>
      </w:r>
      <w:r w:rsidR="00E715EB" w:rsidRPr="005E1BCD">
        <w:t>64</w:t>
      </w:r>
      <w:r w:rsidR="2389E190" w:rsidRPr="00C55C45">
        <w:t xml:space="preserve">, </w:t>
      </w:r>
      <w:r w:rsidR="00E715EB" w:rsidRPr="005E1BCD">
        <w:t xml:space="preserve">65 </w:t>
      </w:r>
      <w:r w:rsidR="6B1C9835" w:rsidRPr="00C55C45">
        <w:t xml:space="preserve">and </w:t>
      </w:r>
      <w:r w:rsidR="00E66248">
        <w:t>72</w:t>
      </w:r>
      <w:r w:rsidR="5420020C" w:rsidRPr="0C09410C">
        <w:t>).</w:t>
      </w:r>
      <w:r w:rsidR="00070B51" w:rsidRPr="00070B51">
        <w:t xml:space="preserve"> </w:t>
      </w:r>
      <w:bookmarkEnd w:id="78"/>
    </w:p>
    <w:p w14:paraId="6F3FB5AA" w14:textId="4890D089" w:rsidR="008C7709" w:rsidRPr="00267B7A" w:rsidRDefault="006E1151" w:rsidP="008E69D8">
      <w:pPr>
        <w:pStyle w:val="Bulletlevel1last"/>
      </w:pPr>
      <w:r w:rsidRPr="00575F1E">
        <w:rPr>
          <w:b/>
          <w:bCs/>
        </w:rPr>
        <w:t xml:space="preserve">Testing of </w:t>
      </w:r>
      <w:r w:rsidR="00B31428" w:rsidRPr="005B7CC4">
        <w:rPr>
          <w:b/>
          <w:bCs/>
        </w:rPr>
        <w:t xml:space="preserve">radiocommunications </w:t>
      </w:r>
      <w:r w:rsidRPr="001A209F">
        <w:rPr>
          <w:b/>
          <w:bCs/>
        </w:rPr>
        <w:t>devices</w:t>
      </w:r>
      <w:r w:rsidR="00617CA6" w:rsidRPr="006A4665">
        <w:rPr>
          <w:b/>
          <w:bCs/>
        </w:rPr>
        <w:t xml:space="preserve"> (special hourly rate </w:t>
      </w:r>
      <w:r w:rsidR="0084002C" w:rsidRPr="003B6B27">
        <w:rPr>
          <w:b/>
          <w:bCs/>
        </w:rPr>
        <w:t>B</w:t>
      </w:r>
      <w:r w:rsidR="00617CA6" w:rsidRPr="00E05173">
        <w:rPr>
          <w:b/>
          <w:bCs/>
        </w:rPr>
        <w:t>)</w:t>
      </w:r>
      <w:r w:rsidR="00267B7A" w:rsidRPr="008E69D8">
        <w:t>:</w:t>
      </w:r>
      <w:r w:rsidR="00267B7A">
        <w:rPr>
          <w:b/>
          <w:bCs/>
        </w:rPr>
        <w:t xml:space="preserve"> </w:t>
      </w:r>
      <w:r w:rsidR="00267B7A">
        <w:t>c</w:t>
      </w:r>
      <w:r w:rsidR="00DD3677">
        <w:t>urrently</w:t>
      </w:r>
      <w:r w:rsidR="00484372">
        <w:t xml:space="preserve"> </w:t>
      </w:r>
      <w:r w:rsidR="001C44F9">
        <w:t xml:space="preserve">the ACMA </w:t>
      </w:r>
      <w:r w:rsidR="002E0FAA" w:rsidRPr="003F6005">
        <w:t xml:space="preserve">only </w:t>
      </w:r>
      <w:r w:rsidRPr="003F6005">
        <w:t>provide</w:t>
      </w:r>
      <w:r w:rsidR="003D773D">
        <w:t>s</w:t>
      </w:r>
      <w:r w:rsidR="00DD3677">
        <w:t xml:space="preserve"> </w:t>
      </w:r>
      <w:r w:rsidR="002E0FAA" w:rsidRPr="003F6005">
        <w:t>th</w:t>
      </w:r>
      <w:r w:rsidR="00C33633" w:rsidRPr="003F6005">
        <w:t xml:space="preserve">is </w:t>
      </w:r>
      <w:r w:rsidR="002E0FAA" w:rsidRPr="003F6005">
        <w:t>service</w:t>
      </w:r>
      <w:r w:rsidR="000157E3">
        <w:t>, free of charge,</w:t>
      </w:r>
      <w:r w:rsidR="002E0FAA" w:rsidRPr="003F6005">
        <w:t xml:space="preserve"> </w:t>
      </w:r>
      <w:r w:rsidR="00C33633" w:rsidRPr="003F6005">
        <w:t xml:space="preserve">to the </w:t>
      </w:r>
      <w:r w:rsidRPr="003F6005">
        <w:t>A</w:t>
      </w:r>
      <w:r w:rsidR="00753CD5">
        <w:t xml:space="preserve">ustralian </w:t>
      </w:r>
      <w:r w:rsidRPr="003F6005">
        <w:t>F</w:t>
      </w:r>
      <w:r w:rsidR="00753CD5">
        <w:t xml:space="preserve">ederal </w:t>
      </w:r>
      <w:r w:rsidRPr="003F6005">
        <w:t>P</w:t>
      </w:r>
      <w:r w:rsidR="00753CD5">
        <w:t>olice</w:t>
      </w:r>
      <w:r w:rsidRPr="003F6005">
        <w:t xml:space="preserve"> and state/territory </w:t>
      </w:r>
      <w:r w:rsidR="00484372">
        <w:t>p</w:t>
      </w:r>
      <w:r w:rsidRPr="003F6005">
        <w:t>olice</w:t>
      </w:r>
      <w:r w:rsidR="002E0FAA" w:rsidRPr="003F6005">
        <w:t xml:space="preserve">. </w:t>
      </w:r>
      <w:r w:rsidR="00EE14A3" w:rsidRPr="003F6005">
        <w:t xml:space="preserve">If required </w:t>
      </w:r>
      <w:r w:rsidR="00544508" w:rsidRPr="003F6005">
        <w:t xml:space="preserve">in the future </w:t>
      </w:r>
      <w:r w:rsidR="00EE14A3" w:rsidRPr="003F6005">
        <w:t>by</w:t>
      </w:r>
      <w:r w:rsidR="00544508" w:rsidRPr="003F6005">
        <w:t xml:space="preserve"> </w:t>
      </w:r>
      <w:r w:rsidR="00EE14A3" w:rsidRPr="003F6005">
        <w:t xml:space="preserve">a third party, </w:t>
      </w:r>
      <w:r w:rsidR="003D773D">
        <w:t xml:space="preserve">a </w:t>
      </w:r>
      <w:r w:rsidR="00194959" w:rsidRPr="003F6005">
        <w:t xml:space="preserve">special </w:t>
      </w:r>
      <w:r w:rsidRPr="003F6005">
        <w:t xml:space="preserve">hourly rate </w:t>
      </w:r>
      <w:r w:rsidR="0084002C" w:rsidRPr="003F6005">
        <w:t>B</w:t>
      </w:r>
      <w:r w:rsidR="00273C84">
        <w:t>,</w:t>
      </w:r>
      <w:r w:rsidR="00D30C40">
        <w:t xml:space="preserve"> </w:t>
      </w:r>
      <w:r w:rsidR="00D30C40" w:rsidRPr="00D96922">
        <w:t>calculated at $620</w:t>
      </w:r>
      <w:r w:rsidR="00273C84">
        <w:t>,</w:t>
      </w:r>
      <w:r w:rsidR="00D30C40" w:rsidRPr="003F6005">
        <w:t xml:space="preserve"> </w:t>
      </w:r>
      <w:r w:rsidR="00194959" w:rsidRPr="003F6005">
        <w:t xml:space="preserve">will be applied </w:t>
      </w:r>
      <w:r w:rsidRPr="003F6005">
        <w:t>for</w:t>
      </w:r>
      <w:r w:rsidR="00D96922">
        <w:t xml:space="preserve"> device</w:t>
      </w:r>
      <w:r w:rsidRPr="003F6005">
        <w:t xml:space="preserve"> testing</w:t>
      </w:r>
      <w:r w:rsidR="00194959" w:rsidRPr="003F6005">
        <w:t xml:space="preserve"> </w:t>
      </w:r>
      <w:r w:rsidR="0084002C" w:rsidRPr="003F6005">
        <w:t xml:space="preserve">(see </w:t>
      </w:r>
      <w:r w:rsidR="000157E3">
        <w:t xml:space="preserve">section 9 </w:t>
      </w:r>
      <w:r w:rsidR="00BE27DD">
        <w:t xml:space="preserve">and subsection </w:t>
      </w:r>
      <w:r w:rsidR="0098790C">
        <w:t xml:space="preserve">3 </w:t>
      </w:r>
      <w:r w:rsidR="000157E3">
        <w:t xml:space="preserve">of the </w:t>
      </w:r>
      <w:r w:rsidR="00BF2A72">
        <w:t xml:space="preserve">Radiocommunications </w:t>
      </w:r>
      <w:r w:rsidR="00CC7BCC">
        <w:t>Determination</w:t>
      </w:r>
      <w:r w:rsidR="000157E3">
        <w:t xml:space="preserve"> and </w:t>
      </w:r>
      <w:r w:rsidR="00442C3E">
        <w:t xml:space="preserve">Appendix </w:t>
      </w:r>
      <w:r w:rsidR="0084002C" w:rsidRPr="00851556">
        <w:t xml:space="preserve">A, </w:t>
      </w:r>
      <w:r w:rsidR="000618B8" w:rsidRPr="00851556">
        <w:t xml:space="preserve">Ref </w:t>
      </w:r>
      <w:r w:rsidR="00851556" w:rsidRPr="00851556">
        <w:t>1</w:t>
      </w:r>
      <w:r w:rsidR="0084002C" w:rsidRPr="003F6005">
        <w:t>)</w:t>
      </w:r>
      <w:r w:rsidR="00544508" w:rsidRPr="003F6005">
        <w:t>.</w:t>
      </w:r>
      <w:r w:rsidR="00194959" w:rsidRPr="003F6005">
        <w:t xml:space="preserve"> </w:t>
      </w:r>
    </w:p>
    <w:p w14:paraId="01D2014D" w14:textId="77777777" w:rsidR="00504BF3" w:rsidRPr="00DF1CB8" w:rsidRDefault="606EB8EB" w:rsidP="00C742E9">
      <w:pPr>
        <w:pStyle w:val="Heading2"/>
        <w:spacing w:before="120"/>
      </w:pPr>
      <w:bookmarkStart w:id="79" w:name="_3.3_Design_of"/>
      <w:bookmarkStart w:id="80" w:name="_Toc400965226"/>
      <w:bookmarkStart w:id="81" w:name="_Toc107236636"/>
      <w:bookmarkStart w:id="82" w:name="_Toc135817046"/>
      <w:bookmarkStart w:id="83" w:name="_Toc143267708"/>
      <w:bookmarkEnd w:id="79"/>
      <w:r>
        <w:t>3.3</w:t>
      </w:r>
      <w:r w:rsidR="00504BF3">
        <w:tab/>
      </w:r>
      <w:r>
        <w:t>Design of cost recovery fees</w:t>
      </w:r>
      <w:bookmarkEnd w:id="80"/>
      <w:bookmarkEnd w:id="81"/>
      <w:bookmarkEnd w:id="82"/>
      <w:bookmarkEnd w:id="83"/>
    </w:p>
    <w:p w14:paraId="1640F6DA" w14:textId="34083753" w:rsidR="00292D9B" w:rsidDel="004F562D" w:rsidRDefault="007678AB" w:rsidP="00504BF3">
      <w:pPr>
        <w:rPr>
          <w:rFonts w:cs="Arial"/>
        </w:rPr>
      </w:pPr>
      <w:bookmarkStart w:id="84" w:name="_Hlk104217266"/>
      <w:r w:rsidDel="004F562D">
        <w:rPr>
          <w:rFonts w:cs="Arial"/>
        </w:rPr>
        <w:t xml:space="preserve">As part of the </w:t>
      </w:r>
      <w:r w:rsidR="004D6E56" w:rsidDel="004F562D">
        <w:rPr>
          <w:rFonts w:cs="Arial"/>
        </w:rPr>
        <w:t>last</w:t>
      </w:r>
      <w:r w:rsidDel="004F562D">
        <w:rPr>
          <w:rFonts w:cs="Arial"/>
        </w:rPr>
        <w:t xml:space="preserve"> Portfolio Charging Review</w:t>
      </w:r>
      <w:r w:rsidR="00267B7A">
        <w:rPr>
          <w:rFonts w:cs="Arial"/>
        </w:rPr>
        <w:t>,</w:t>
      </w:r>
      <w:r w:rsidDel="004F562D">
        <w:rPr>
          <w:rFonts w:cs="Arial"/>
        </w:rPr>
        <w:t xml:space="preserve"> </w:t>
      </w:r>
      <w:r w:rsidR="00A10CD8" w:rsidRPr="00A10CD8" w:rsidDel="004F562D">
        <w:rPr>
          <w:rFonts w:cs="Arial"/>
        </w:rPr>
        <w:t>a</w:t>
      </w:r>
      <w:r w:rsidR="00146D45" w:rsidDel="004F562D">
        <w:rPr>
          <w:rFonts w:cs="Arial"/>
        </w:rPr>
        <w:t xml:space="preserve"> </w:t>
      </w:r>
      <w:r w:rsidR="00B86C4C" w:rsidDel="004F562D">
        <w:rPr>
          <w:rFonts w:cs="Arial"/>
        </w:rPr>
        <w:t xml:space="preserve">bottom-up </w:t>
      </w:r>
      <w:r w:rsidR="00B86C4C" w:rsidRPr="00A10CD8" w:rsidDel="004F562D">
        <w:rPr>
          <w:rFonts w:cs="Arial"/>
        </w:rPr>
        <w:t>activity</w:t>
      </w:r>
      <w:r w:rsidR="00A10CD8" w:rsidRPr="00A10CD8" w:rsidDel="004F562D">
        <w:rPr>
          <w:rFonts w:cs="Arial"/>
        </w:rPr>
        <w:t xml:space="preserve">-based costing (ABC) process </w:t>
      </w:r>
      <w:r w:rsidR="006353C4" w:rsidDel="004F562D">
        <w:rPr>
          <w:rFonts w:cs="Arial"/>
        </w:rPr>
        <w:t>w</w:t>
      </w:r>
      <w:r w:rsidR="00A10CD8" w:rsidRPr="00A10CD8" w:rsidDel="004F562D">
        <w:rPr>
          <w:rFonts w:cs="Arial"/>
        </w:rPr>
        <w:t xml:space="preserve">as undertaken to identify and document the </w:t>
      </w:r>
      <w:bookmarkStart w:id="85" w:name="_Hlk100049689"/>
      <w:r w:rsidR="00A10CD8" w:rsidRPr="00A10CD8" w:rsidDel="004F562D">
        <w:rPr>
          <w:rFonts w:cs="Arial"/>
        </w:rPr>
        <w:t>underlying business processes and staffing effort required to provide each fee for service</w:t>
      </w:r>
      <w:bookmarkEnd w:id="85"/>
      <w:r w:rsidR="00A10CD8" w:rsidRPr="00A10CD8" w:rsidDel="004F562D">
        <w:rPr>
          <w:rFonts w:cs="Arial"/>
        </w:rPr>
        <w:t xml:space="preserve">. </w:t>
      </w:r>
      <w:bookmarkEnd w:id="84"/>
    </w:p>
    <w:p w14:paraId="72E70761" w14:textId="49D168A3" w:rsidR="00ED1726" w:rsidRDefault="004A472F" w:rsidP="009C39B3">
      <w:pPr>
        <w:rPr>
          <w:rFonts w:cs="Arial"/>
        </w:rPr>
      </w:pPr>
      <w:r w:rsidRPr="004A472F">
        <w:rPr>
          <w:rFonts w:cs="Arial"/>
        </w:rPr>
        <w:t xml:space="preserve">The calculation of fees </w:t>
      </w:r>
      <w:r w:rsidR="00AF6895">
        <w:rPr>
          <w:rFonts w:cs="Arial"/>
        </w:rPr>
        <w:t xml:space="preserve">is </w:t>
      </w:r>
      <w:r w:rsidRPr="004A472F">
        <w:rPr>
          <w:rFonts w:cs="Arial"/>
        </w:rPr>
        <w:t xml:space="preserve">based on the ACMA’s hourly rate multiplied by the estimated time taken to conduct each activity. </w:t>
      </w:r>
      <w:r w:rsidR="00267B7A">
        <w:rPr>
          <w:rFonts w:cs="Arial"/>
        </w:rPr>
        <w:t>If</w:t>
      </w:r>
      <w:r w:rsidR="00267B7A" w:rsidRPr="00A10CD8">
        <w:rPr>
          <w:rFonts w:cs="Arial"/>
        </w:rPr>
        <w:t xml:space="preserve"> </w:t>
      </w:r>
      <w:r w:rsidR="00ED1726" w:rsidRPr="00A10CD8">
        <w:rPr>
          <w:rFonts w:cs="Arial"/>
        </w:rPr>
        <w:t>the business processes and staffing effort</w:t>
      </w:r>
      <w:r w:rsidR="00ED1726">
        <w:rPr>
          <w:rFonts w:cs="Arial"/>
        </w:rPr>
        <w:t xml:space="preserve"> were</w:t>
      </w:r>
      <w:r w:rsidR="00ED1726" w:rsidRPr="00A10CD8">
        <w:rPr>
          <w:rFonts w:cs="Arial"/>
        </w:rPr>
        <w:t xml:space="preserve"> regular and consistent, a flat fee </w:t>
      </w:r>
      <w:r w:rsidR="00ED1726">
        <w:rPr>
          <w:rFonts w:cs="Arial"/>
        </w:rPr>
        <w:t>was</w:t>
      </w:r>
      <w:r w:rsidR="00ED1726" w:rsidRPr="00A10CD8">
        <w:rPr>
          <w:rFonts w:cs="Arial"/>
        </w:rPr>
        <w:t xml:space="preserve"> applied</w:t>
      </w:r>
      <w:r w:rsidR="00D6046D">
        <w:rPr>
          <w:rFonts w:cs="Arial"/>
        </w:rPr>
        <w:t xml:space="preserve"> across those activities</w:t>
      </w:r>
      <w:r w:rsidR="00ED1726">
        <w:rPr>
          <w:rFonts w:cs="Arial"/>
        </w:rPr>
        <w:t xml:space="preserve">. </w:t>
      </w:r>
      <w:r w:rsidR="00267B7A">
        <w:rPr>
          <w:rFonts w:cs="Arial"/>
        </w:rPr>
        <w:t xml:space="preserve">If </w:t>
      </w:r>
      <w:r w:rsidR="00ED1726">
        <w:rPr>
          <w:rFonts w:cs="Arial"/>
        </w:rPr>
        <w:t xml:space="preserve">it was </w:t>
      </w:r>
      <w:r w:rsidR="00ED1726" w:rsidRPr="00A10CD8">
        <w:rPr>
          <w:rFonts w:cs="Arial"/>
        </w:rPr>
        <w:t>irregular and</w:t>
      </w:r>
      <w:r w:rsidR="00ED1726">
        <w:rPr>
          <w:rFonts w:cs="Arial"/>
        </w:rPr>
        <w:t>/or</w:t>
      </w:r>
      <w:r w:rsidR="00ED1726" w:rsidRPr="00A10CD8">
        <w:rPr>
          <w:rFonts w:cs="Arial"/>
        </w:rPr>
        <w:t xml:space="preserve"> inconsistent, a variable fee based on the actual time taken to deliver the service </w:t>
      </w:r>
      <w:r w:rsidR="00ED1726">
        <w:rPr>
          <w:rFonts w:cs="Arial"/>
        </w:rPr>
        <w:t>was</w:t>
      </w:r>
      <w:r w:rsidR="00ED1726" w:rsidRPr="00A10CD8">
        <w:rPr>
          <w:rFonts w:cs="Arial"/>
        </w:rPr>
        <w:t xml:space="preserve"> applied.</w:t>
      </w:r>
      <w:r w:rsidR="00D6046D" w:rsidRPr="00D6046D">
        <w:rPr>
          <w:rFonts w:cs="Arial"/>
        </w:rPr>
        <w:t xml:space="preserve"> </w:t>
      </w:r>
      <w:r w:rsidR="00D6046D" w:rsidRPr="00DF1CB8">
        <w:rPr>
          <w:rFonts w:cs="Arial"/>
        </w:rPr>
        <w:t xml:space="preserve">In addition, </w:t>
      </w:r>
      <w:r w:rsidR="00D6046D">
        <w:rPr>
          <w:rFonts w:cs="Arial"/>
        </w:rPr>
        <w:t>some</w:t>
      </w:r>
      <w:r w:rsidR="00D6046D" w:rsidRPr="00DF1CB8">
        <w:rPr>
          <w:rFonts w:cs="Arial"/>
        </w:rPr>
        <w:t xml:space="preserve"> broadcasting fees include</w:t>
      </w:r>
      <w:r w:rsidR="00D6046D">
        <w:rPr>
          <w:rFonts w:cs="Arial"/>
        </w:rPr>
        <w:t>d</w:t>
      </w:r>
      <w:r w:rsidR="00D6046D" w:rsidRPr="00DF1CB8">
        <w:rPr>
          <w:rFonts w:cs="Arial"/>
        </w:rPr>
        <w:t xml:space="preserve"> </w:t>
      </w:r>
      <w:r w:rsidR="00D6046D">
        <w:rPr>
          <w:rFonts w:cs="Arial"/>
        </w:rPr>
        <w:t xml:space="preserve">other </w:t>
      </w:r>
      <w:r w:rsidR="00D6046D" w:rsidRPr="00DF1CB8">
        <w:rPr>
          <w:rFonts w:cs="Arial"/>
        </w:rPr>
        <w:t>specific costs, such as the costs of gazettal and public notifications for issuing licences</w:t>
      </w:r>
      <w:r w:rsidR="00D6046D">
        <w:rPr>
          <w:rFonts w:cs="Arial"/>
        </w:rPr>
        <w:t>,</w:t>
      </w:r>
      <w:r w:rsidR="00D6046D" w:rsidRPr="00DF1CB8">
        <w:rPr>
          <w:rFonts w:cs="Arial"/>
        </w:rPr>
        <w:t xml:space="preserve"> where appropriate.</w:t>
      </w:r>
    </w:p>
    <w:p w14:paraId="08293DD0" w14:textId="71261D17" w:rsidR="000156FD" w:rsidRDefault="00504BF3" w:rsidP="009C39B3">
      <w:pPr>
        <w:rPr>
          <w:rFonts w:cs="Arial"/>
        </w:rPr>
      </w:pPr>
      <w:r w:rsidRPr="00E8387A">
        <w:rPr>
          <w:rFonts w:cs="Arial"/>
        </w:rPr>
        <w:t>Th</w:t>
      </w:r>
      <w:r w:rsidR="00AF6895">
        <w:rPr>
          <w:rFonts w:cs="Arial"/>
        </w:rPr>
        <w:t>is</w:t>
      </w:r>
      <w:r w:rsidR="00292D9B" w:rsidRPr="00E8387A">
        <w:rPr>
          <w:rFonts w:cs="Arial"/>
        </w:rPr>
        <w:t xml:space="preserve"> </w:t>
      </w:r>
      <w:r w:rsidRPr="00E8387A">
        <w:rPr>
          <w:rFonts w:cs="Arial"/>
        </w:rPr>
        <w:t>methodology</w:t>
      </w:r>
      <w:r w:rsidR="007F6AE3">
        <w:rPr>
          <w:rFonts w:cs="Arial"/>
        </w:rPr>
        <w:t xml:space="preserve">, </w:t>
      </w:r>
      <w:r w:rsidR="00273C84">
        <w:rPr>
          <w:rFonts w:cs="Arial"/>
        </w:rPr>
        <w:t xml:space="preserve">which applies </w:t>
      </w:r>
      <w:r w:rsidR="007F6AE3">
        <w:rPr>
          <w:rFonts w:cs="Arial"/>
        </w:rPr>
        <w:t>to</w:t>
      </w:r>
      <w:r w:rsidRPr="00E8387A">
        <w:rPr>
          <w:rFonts w:cs="Arial"/>
        </w:rPr>
        <w:t xml:space="preserve"> all the</w:t>
      </w:r>
      <w:r w:rsidR="00C4267C">
        <w:rPr>
          <w:rFonts w:cs="Arial"/>
        </w:rPr>
        <w:t xml:space="preserve"> </w:t>
      </w:r>
      <w:r w:rsidRPr="00E8387A">
        <w:rPr>
          <w:rFonts w:cs="Arial"/>
        </w:rPr>
        <w:t>fees outlined in</w:t>
      </w:r>
      <w:r w:rsidR="0061679D">
        <w:rPr>
          <w:rFonts w:cs="Arial"/>
        </w:rPr>
        <w:t xml:space="preserve"> </w:t>
      </w:r>
      <w:r w:rsidR="00442C3E">
        <w:rPr>
          <w:rFonts w:cs="Arial"/>
        </w:rPr>
        <w:t xml:space="preserve">Appendix </w:t>
      </w:r>
      <w:r w:rsidRPr="00E8387A">
        <w:rPr>
          <w:rFonts w:cs="Arial"/>
        </w:rPr>
        <w:t>A</w:t>
      </w:r>
      <w:r w:rsidR="004544DE">
        <w:rPr>
          <w:rFonts w:cs="Arial"/>
        </w:rPr>
        <w:t xml:space="preserve">, has not changed from </w:t>
      </w:r>
      <w:r w:rsidR="0011626F">
        <w:rPr>
          <w:rFonts w:cs="Arial"/>
        </w:rPr>
        <w:t xml:space="preserve">that </w:t>
      </w:r>
      <w:r w:rsidR="004544DE">
        <w:rPr>
          <w:rFonts w:cs="Arial"/>
        </w:rPr>
        <w:t>implemented</w:t>
      </w:r>
      <w:r w:rsidR="00CF3C6D">
        <w:rPr>
          <w:rFonts w:cs="Arial"/>
        </w:rPr>
        <w:t xml:space="preserve"> on 1 October 2022.</w:t>
      </w:r>
    </w:p>
    <w:p w14:paraId="35D9E514" w14:textId="7FF3A955" w:rsidR="00C51D1F" w:rsidRPr="0005590E" w:rsidRDefault="00E8116C" w:rsidP="0005590E">
      <w:pPr>
        <w:pStyle w:val="Paragraph"/>
        <w:spacing w:after="0"/>
      </w:pPr>
      <w:r w:rsidRPr="006C00DB">
        <w:rPr>
          <w:b/>
          <w:bCs/>
        </w:rPr>
        <w:t xml:space="preserve">Please </w:t>
      </w:r>
      <w:proofErr w:type="gramStart"/>
      <w:r w:rsidRPr="006C00DB">
        <w:rPr>
          <w:b/>
          <w:bCs/>
        </w:rPr>
        <w:t>note:</w:t>
      </w:r>
      <w:proofErr w:type="gramEnd"/>
      <w:r w:rsidRPr="006C00DB">
        <w:rPr>
          <w:b/>
          <w:bCs/>
        </w:rPr>
        <w:t xml:space="preserve"> c</w:t>
      </w:r>
      <w:r w:rsidR="000156FD" w:rsidRPr="0005590E">
        <w:rPr>
          <w:b/>
          <w:bCs/>
        </w:rPr>
        <w:t xml:space="preserve">hanges to </w:t>
      </w:r>
      <w:r w:rsidRPr="0005590E">
        <w:rPr>
          <w:b/>
          <w:bCs/>
        </w:rPr>
        <w:t>r</w:t>
      </w:r>
      <w:r w:rsidR="000156FD" w:rsidRPr="0005590E">
        <w:rPr>
          <w:b/>
          <w:bCs/>
        </w:rPr>
        <w:t>adiocommunications</w:t>
      </w:r>
      <w:r w:rsidRPr="0005590E">
        <w:rPr>
          <w:b/>
          <w:bCs/>
        </w:rPr>
        <w:t>-</w:t>
      </w:r>
      <w:r w:rsidR="000156FD" w:rsidRPr="0005590E">
        <w:rPr>
          <w:b/>
          <w:bCs/>
        </w:rPr>
        <w:t>related fees</w:t>
      </w:r>
    </w:p>
    <w:p w14:paraId="6BB8B0F6" w14:textId="70D414A5" w:rsidR="00BC7F45" w:rsidRPr="00D65B14" w:rsidRDefault="00E8116C" w:rsidP="00D65B14">
      <w:r>
        <w:t>T</w:t>
      </w:r>
      <w:r w:rsidR="00F632A5" w:rsidRPr="00F632A5">
        <w:t>he proposed charges</w:t>
      </w:r>
      <w:r>
        <w:t xml:space="preserve"> below</w:t>
      </w:r>
      <w:r w:rsidR="00F632A5" w:rsidRPr="00F632A5">
        <w:t xml:space="preserve"> to amateur radio and AWRL</w:t>
      </w:r>
      <w:r>
        <w:t xml:space="preserve"> fees</w:t>
      </w:r>
      <w:r w:rsidR="00F632A5" w:rsidRPr="00F632A5">
        <w:t xml:space="preserve"> are not reflected in </w:t>
      </w:r>
      <w:r w:rsidR="00442C3E">
        <w:t xml:space="preserve">Appendix </w:t>
      </w:r>
      <w:r w:rsidR="00F632A5" w:rsidRPr="00F632A5">
        <w:t>A</w:t>
      </w:r>
      <w:r w:rsidR="0062471A">
        <w:t xml:space="preserve"> </w:t>
      </w:r>
      <w:r w:rsidR="000D184E">
        <w:t>of this CRIS</w:t>
      </w:r>
      <w:r w:rsidR="00F632A5" w:rsidRPr="00F632A5">
        <w:t>.</w:t>
      </w:r>
      <w:r w:rsidR="00C41FAF">
        <w:t xml:space="preserve"> </w:t>
      </w:r>
      <w:r>
        <w:t xml:space="preserve">Any </w:t>
      </w:r>
      <w:r w:rsidR="00F118CE">
        <w:t>agreed</w:t>
      </w:r>
      <w:r w:rsidR="00C92948">
        <w:t xml:space="preserve"> </w:t>
      </w:r>
      <w:r w:rsidR="00313C39">
        <w:t xml:space="preserve">changes will be </w:t>
      </w:r>
      <w:r w:rsidR="00873E04">
        <w:t xml:space="preserve">implemented </w:t>
      </w:r>
      <w:r w:rsidR="00313C39">
        <w:t xml:space="preserve">through amendments to the </w:t>
      </w:r>
      <w:r w:rsidR="00BF2A72">
        <w:t xml:space="preserve">Radiocommunications </w:t>
      </w:r>
      <w:r w:rsidR="00313C39">
        <w:t xml:space="preserve">Determination. </w:t>
      </w:r>
    </w:p>
    <w:p w14:paraId="68C87407" w14:textId="72DF7391" w:rsidR="00D47D1D" w:rsidRDefault="00B26171" w:rsidP="005A115D">
      <w:pPr>
        <w:spacing w:after="60" w:line="240" w:lineRule="auto"/>
        <w:contextualSpacing/>
        <w:rPr>
          <w:b/>
          <w:bCs/>
        </w:rPr>
      </w:pPr>
      <w:r w:rsidRPr="003E1BB0">
        <w:rPr>
          <w:b/>
          <w:bCs/>
        </w:rPr>
        <w:t>3.3.1</w:t>
      </w:r>
      <w:r>
        <w:t xml:space="preserve"> </w:t>
      </w:r>
      <w:r w:rsidR="00063E5C">
        <w:rPr>
          <w:b/>
          <w:bCs/>
        </w:rPr>
        <w:t>Amateur radio</w:t>
      </w:r>
    </w:p>
    <w:p w14:paraId="3C977DF0" w14:textId="656D2CED" w:rsidR="002B13E1" w:rsidRPr="009A6C9C" w:rsidRDefault="002B13E1" w:rsidP="008317F3">
      <w:pPr>
        <w:pStyle w:val="Heading4"/>
        <w:spacing w:before="0"/>
      </w:pPr>
      <w:r w:rsidRPr="00E8116C">
        <w:t>Amateur radio examinations</w:t>
      </w:r>
    </w:p>
    <w:p w14:paraId="69E71ABF" w14:textId="4BC65D4E" w:rsidR="002B13E1" w:rsidRPr="00E8116C" w:rsidRDefault="002B13E1" w:rsidP="00E8116C">
      <w:pPr>
        <w:rPr>
          <w:rFonts w:cs="Arial"/>
        </w:rPr>
      </w:pPr>
      <w:r w:rsidRPr="00E8116C">
        <w:rPr>
          <w:rFonts w:cs="Arial"/>
        </w:rPr>
        <w:t xml:space="preserve">From February 2024, the ACMA </w:t>
      </w:r>
      <w:r w:rsidR="00E8116C">
        <w:rPr>
          <w:rFonts w:cs="Arial"/>
        </w:rPr>
        <w:t>will</w:t>
      </w:r>
      <w:r w:rsidRPr="00E8116C">
        <w:rPr>
          <w:rFonts w:cs="Arial"/>
        </w:rPr>
        <w:t xml:space="preserve"> provide amateur radio qualifications and call</w:t>
      </w:r>
      <w:r w:rsidR="00E8116C">
        <w:rPr>
          <w:rFonts w:cs="Arial"/>
        </w:rPr>
        <w:t>-</w:t>
      </w:r>
      <w:r w:rsidRPr="00E8116C">
        <w:rPr>
          <w:rFonts w:cs="Arial"/>
        </w:rPr>
        <w:t xml:space="preserve">sign services itself, rather than the services being provided by a third party under ACMA approvals and delegations, </w:t>
      </w:r>
      <w:r w:rsidR="00E8116C">
        <w:t xml:space="preserve">and </w:t>
      </w:r>
      <w:r w:rsidRPr="00E8116C">
        <w:rPr>
          <w:rFonts w:cs="Arial"/>
        </w:rPr>
        <w:t xml:space="preserve">deeds of agreement with the Commonwealth. These new arrangements will </w:t>
      </w:r>
      <w:r w:rsidR="00E8116C">
        <w:t>start</w:t>
      </w:r>
      <w:r w:rsidR="00E8116C" w:rsidRPr="00E8116C">
        <w:rPr>
          <w:rFonts w:cs="Arial"/>
        </w:rPr>
        <w:t xml:space="preserve"> </w:t>
      </w:r>
      <w:r w:rsidRPr="00E8116C">
        <w:rPr>
          <w:rFonts w:cs="Arial"/>
        </w:rPr>
        <w:t>at the same time as class</w:t>
      </w:r>
      <w:r w:rsidR="00E8116C">
        <w:t>-</w:t>
      </w:r>
      <w:r w:rsidRPr="00E8116C">
        <w:rPr>
          <w:rFonts w:cs="Arial"/>
        </w:rPr>
        <w:t xml:space="preserve">licensing arrangements </w:t>
      </w:r>
      <w:r w:rsidR="00E8116C">
        <w:t>begin</w:t>
      </w:r>
      <w:r w:rsidR="00E8116C" w:rsidRPr="00E8116C">
        <w:rPr>
          <w:rFonts w:cs="Arial"/>
        </w:rPr>
        <w:t xml:space="preserve"> </w:t>
      </w:r>
      <w:r w:rsidRPr="00E8116C">
        <w:rPr>
          <w:rFonts w:cs="Arial"/>
        </w:rPr>
        <w:t>for amateur radio, under the proposed Radiocommunications (Amateur Stations) Class Licence 2023 (the Amateur Class Licence).</w:t>
      </w:r>
    </w:p>
    <w:p w14:paraId="61F9F138" w14:textId="575678AE" w:rsidR="002B13E1" w:rsidRPr="009A6C9C" w:rsidRDefault="002B13E1" w:rsidP="002B13E1">
      <w:pPr>
        <w:rPr>
          <w:rFonts w:cs="Arial"/>
          <w:bCs/>
          <w:iCs/>
        </w:rPr>
      </w:pPr>
      <w:r>
        <w:rPr>
          <w:rFonts w:cs="Arial"/>
          <w:bCs/>
          <w:iCs/>
        </w:rPr>
        <w:t xml:space="preserve">We are </w:t>
      </w:r>
      <w:r w:rsidRPr="0027445D">
        <w:rPr>
          <w:rFonts w:cs="Arial"/>
          <w:bCs/>
          <w:iCs/>
        </w:rPr>
        <w:t>concurrently consulting on the new arrangements</w:t>
      </w:r>
      <w:r w:rsidR="00F5324F">
        <w:rPr>
          <w:rFonts w:cs="Arial"/>
          <w:bCs/>
          <w:iCs/>
        </w:rPr>
        <w:t>. F</w:t>
      </w:r>
      <w:r w:rsidR="00F5324F" w:rsidRPr="0027445D">
        <w:rPr>
          <w:rFonts w:cs="Arial"/>
          <w:bCs/>
          <w:iCs/>
        </w:rPr>
        <w:t>urther details</w:t>
      </w:r>
      <w:r w:rsidR="00F5324F">
        <w:rPr>
          <w:rFonts w:cs="Arial"/>
          <w:bCs/>
          <w:iCs/>
        </w:rPr>
        <w:t xml:space="preserve"> </w:t>
      </w:r>
      <w:r w:rsidR="00F5324F" w:rsidRPr="009A6C9C">
        <w:rPr>
          <w:rFonts w:cs="Arial"/>
          <w:bCs/>
          <w:iCs/>
        </w:rPr>
        <w:t>of the proposed arrangements</w:t>
      </w:r>
      <w:r w:rsidR="00F5324F">
        <w:rPr>
          <w:rFonts w:cs="Arial"/>
          <w:bCs/>
          <w:iCs/>
        </w:rPr>
        <w:t xml:space="preserve"> are in the consultation paper, </w:t>
      </w:r>
      <w:r w:rsidRPr="004407F2">
        <w:rPr>
          <w:rFonts w:cs="Arial"/>
          <w:bCs/>
          <w:i/>
        </w:rPr>
        <w:t xml:space="preserve">Proposed amateur radio qualification and assessor accreditation </w:t>
      </w:r>
      <w:r w:rsidR="004407F2" w:rsidRPr="008317F3">
        <w:rPr>
          <w:rFonts w:cs="Arial"/>
          <w:bCs/>
          <w:i/>
        </w:rPr>
        <w:t>arrangements</w:t>
      </w:r>
      <w:r w:rsidR="00F5324F" w:rsidRPr="004407F2">
        <w:rPr>
          <w:rFonts w:cs="Arial"/>
          <w:bCs/>
          <w:iCs/>
        </w:rPr>
        <w:t>.</w:t>
      </w:r>
    </w:p>
    <w:p w14:paraId="4CA7D765" w14:textId="6B9874BA" w:rsidR="002B13E1" w:rsidRPr="001C00D2" w:rsidRDefault="002B13E1" w:rsidP="002B13E1">
      <w:pPr>
        <w:rPr>
          <w:rFonts w:cs="Arial"/>
          <w:bCs/>
          <w:iCs/>
        </w:rPr>
      </w:pPr>
      <w:r w:rsidRPr="009A6C9C">
        <w:rPr>
          <w:rFonts w:cs="Arial"/>
          <w:bCs/>
          <w:iCs/>
        </w:rPr>
        <w:t>Under the proposed Amateur Class Licence, amateur radio qualifications issued by the</w:t>
      </w:r>
      <w:r>
        <w:rPr>
          <w:rFonts w:cs="Arial"/>
          <w:bCs/>
          <w:iCs/>
        </w:rPr>
        <w:t xml:space="preserve"> </w:t>
      </w:r>
      <w:r w:rsidRPr="009A6C9C">
        <w:rPr>
          <w:rFonts w:cs="Arial"/>
          <w:bCs/>
          <w:iCs/>
        </w:rPr>
        <w:t xml:space="preserve">ACMA will be called </w:t>
      </w:r>
      <w:r w:rsidR="00E8116C">
        <w:rPr>
          <w:rFonts w:cs="Arial"/>
          <w:bCs/>
          <w:iCs/>
        </w:rPr>
        <w:t>‘</w:t>
      </w:r>
      <w:r w:rsidRPr="009A6C9C">
        <w:rPr>
          <w:rFonts w:cs="Arial"/>
          <w:bCs/>
          <w:iCs/>
        </w:rPr>
        <w:t xml:space="preserve">ACMA recognition </w:t>
      </w:r>
      <w:proofErr w:type="gramStart"/>
      <w:r w:rsidRPr="009A6C9C">
        <w:rPr>
          <w:rFonts w:cs="Arial"/>
          <w:bCs/>
          <w:iCs/>
        </w:rPr>
        <w:t>certificates</w:t>
      </w:r>
      <w:r w:rsidR="00E8116C">
        <w:rPr>
          <w:rFonts w:cs="Arial"/>
          <w:bCs/>
          <w:iCs/>
        </w:rPr>
        <w:t>’</w:t>
      </w:r>
      <w:proofErr w:type="gramEnd"/>
      <w:r w:rsidRPr="009A6C9C">
        <w:rPr>
          <w:rFonts w:cs="Arial"/>
          <w:bCs/>
          <w:iCs/>
        </w:rPr>
        <w:t xml:space="preserve">. </w:t>
      </w:r>
    </w:p>
    <w:p w14:paraId="5DFF26AA" w14:textId="7D32FAD7" w:rsidR="002B13E1" w:rsidRDefault="002B13E1" w:rsidP="002B13E1">
      <w:pPr>
        <w:rPr>
          <w:rFonts w:cs="Arial"/>
          <w:bCs/>
          <w:iCs/>
        </w:rPr>
      </w:pPr>
      <w:r>
        <w:rPr>
          <w:rFonts w:cs="Arial"/>
          <w:bCs/>
          <w:iCs/>
        </w:rPr>
        <w:t>Under the proposed new arrangements, candidates can sit amateur radio examinations, free of charge, with an ACMA</w:t>
      </w:r>
      <w:r w:rsidR="00E8116C">
        <w:rPr>
          <w:rFonts w:cs="Arial"/>
          <w:bCs/>
          <w:iCs/>
        </w:rPr>
        <w:t>-</w:t>
      </w:r>
      <w:r>
        <w:rPr>
          <w:rFonts w:cs="Arial"/>
          <w:bCs/>
          <w:iCs/>
        </w:rPr>
        <w:t xml:space="preserve">accredited assessor. </w:t>
      </w:r>
      <w:r w:rsidR="00E8116C">
        <w:rPr>
          <w:rFonts w:cs="Arial"/>
          <w:bCs/>
          <w:iCs/>
        </w:rPr>
        <w:t xml:space="preserve">This will </w:t>
      </w:r>
      <w:r w:rsidRPr="00290B16">
        <w:rPr>
          <w:rFonts w:cs="Arial"/>
          <w:bCs/>
          <w:iCs/>
        </w:rPr>
        <w:t xml:space="preserve">enable us </w:t>
      </w:r>
      <w:r w:rsidRPr="00290B16">
        <w:rPr>
          <w:rFonts w:cs="Arial"/>
          <w:bCs/>
          <w:iCs/>
        </w:rPr>
        <w:lastRenderedPageBreak/>
        <w:t>to use the expertise of experienced amateur operators to conduct and assess examinations and help minimise costs for amateur radio examination candidates.</w:t>
      </w:r>
    </w:p>
    <w:p w14:paraId="207B33F5" w14:textId="161E256A" w:rsidR="002B13E1" w:rsidRPr="00700A35" w:rsidRDefault="002B13E1" w:rsidP="002B13E1">
      <w:r w:rsidRPr="009A6C9C">
        <w:t xml:space="preserve">While the ACMA does not intend to conduct examinations ourselves under the new arrangements, </w:t>
      </w:r>
      <w:r w:rsidR="00E8116C">
        <w:t>if</w:t>
      </w:r>
      <w:r w:rsidR="00E8116C" w:rsidRPr="009A6C9C">
        <w:t xml:space="preserve"> </w:t>
      </w:r>
      <w:r w:rsidRPr="009A6C9C">
        <w:t>a situation arise</w:t>
      </w:r>
      <w:r w:rsidR="00E8116C">
        <w:t>s</w:t>
      </w:r>
      <w:r w:rsidRPr="009A6C9C">
        <w:t xml:space="preserve"> where we are required to provide the examination service, we propose to amend items 4.1.1 to 4.1.3 of Table 1 of Part 4 of Schedule 1 to the </w:t>
      </w:r>
      <w:r w:rsidR="00BF2A72">
        <w:t xml:space="preserve">Radiocommunications </w:t>
      </w:r>
      <w:r w:rsidRPr="009A6C9C">
        <w:t xml:space="preserve">Determination (see </w:t>
      </w:r>
      <w:r w:rsidR="00442C3E">
        <w:t xml:space="preserve">Appendix </w:t>
      </w:r>
      <w:r w:rsidRPr="009A6C9C">
        <w:t xml:space="preserve">A) to specify charges for </w:t>
      </w:r>
      <w:r w:rsidR="00E8116C">
        <w:t>this</w:t>
      </w:r>
      <w:r w:rsidRPr="009A6C9C">
        <w:t>. The amount of the charge is the same as that currently specified in items 4.1.1 to 4.1.3, in relation to examinations conducted for the purposes of section 122 of the Radiocommunications Act.</w:t>
      </w:r>
      <w:r>
        <w:t xml:space="preserve"> </w:t>
      </w:r>
      <w:r w:rsidRPr="0004324D">
        <w:t xml:space="preserve">The </w:t>
      </w:r>
      <w:r>
        <w:t xml:space="preserve">proposed new description for the </w:t>
      </w:r>
      <w:r w:rsidRPr="0004324D">
        <w:t>charge</w:t>
      </w:r>
      <w:r>
        <w:t xml:space="preserve"> (and unchanged charge amount) is outlined</w:t>
      </w:r>
      <w:r w:rsidRPr="0004324D">
        <w:t xml:space="preserve"> below in Table 3.</w:t>
      </w:r>
      <w:r>
        <w:t xml:space="preserve"> </w:t>
      </w:r>
    </w:p>
    <w:p w14:paraId="218FEFB8" w14:textId="77777777" w:rsidR="003F6E53" w:rsidRPr="003E1BB0" w:rsidRDefault="003F6E53" w:rsidP="0024214A">
      <w:pPr>
        <w:pStyle w:val="Heading4"/>
      </w:pPr>
      <w:r w:rsidRPr="003E1BB0">
        <w:t xml:space="preserve">Amateur </w:t>
      </w:r>
      <w:r>
        <w:t>r</w:t>
      </w:r>
      <w:r w:rsidRPr="003E1BB0">
        <w:t xml:space="preserve">adio qualifications </w:t>
      </w:r>
    </w:p>
    <w:p w14:paraId="63BC17A1" w14:textId="21C8649D" w:rsidR="003F6E53" w:rsidRPr="009A6C9C" w:rsidRDefault="003F6E53" w:rsidP="0024214A">
      <w:pPr>
        <w:pStyle w:val="Paragraphbeforelist"/>
      </w:pPr>
      <w:r w:rsidRPr="009A6C9C">
        <w:t xml:space="preserve">Under the </w:t>
      </w:r>
      <w:r>
        <w:t>proposed</w:t>
      </w:r>
      <w:r w:rsidRPr="009A6C9C">
        <w:t xml:space="preserve"> amateur radio qualification arrangements</w:t>
      </w:r>
      <w:r>
        <w:t xml:space="preserve"> intended to apply</w:t>
      </w:r>
      <w:r w:rsidRPr="009A6C9C">
        <w:t xml:space="preserve"> from February 2024, the ACMA </w:t>
      </w:r>
      <w:r w:rsidR="00E8116C">
        <w:t>will</w:t>
      </w:r>
      <w:r w:rsidRPr="009A6C9C">
        <w:t xml:space="preserve"> be responsible for issuing </w:t>
      </w:r>
      <w:r w:rsidR="00E8116C">
        <w:t xml:space="preserve">the following </w:t>
      </w:r>
      <w:r w:rsidRPr="009A6C9C">
        <w:t>ACMA recognition certificates to suitably qualified candidates under the proposed Amateur Class Licence</w:t>
      </w:r>
      <w:r w:rsidR="00E8116C">
        <w:t>:</w:t>
      </w:r>
    </w:p>
    <w:p w14:paraId="4B63F122" w14:textId="77777777" w:rsidR="003F6E53" w:rsidRPr="009A6C9C" w:rsidRDefault="003F6E53" w:rsidP="0024214A">
      <w:pPr>
        <w:pStyle w:val="Bulletlevel1"/>
      </w:pPr>
      <w:bookmarkStart w:id="86" w:name="_Hlk143265282"/>
      <w:r w:rsidRPr="009A6C9C">
        <w:t>ACMA recognition certificate (Advanced)</w:t>
      </w:r>
    </w:p>
    <w:p w14:paraId="54267F7D" w14:textId="77777777" w:rsidR="003F6E53" w:rsidRPr="009A6C9C" w:rsidRDefault="003F6E53" w:rsidP="0024214A">
      <w:pPr>
        <w:pStyle w:val="Bulletlevel1"/>
      </w:pPr>
      <w:r w:rsidRPr="009A6C9C">
        <w:t>ACMA recognition certificate (Foundation)</w:t>
      </w:r>
    </w:p>
    <w:p w14:paraId="679E3EE8" w14:textId="7F2483FE" w:rsidR="003F6E53" w:rsidRPr="00E8116C" w:rsidRDefault="003F6E53" w:rsidP="0024214A">
      <w:pPr>
        <w:pStyle w:val="Bulletlevel1last"/>
        <w:rPr>
          <w:bCs/>
          <w:iCs/>
        </w:rPr>
      </w:pPr>
      <w:r w:rsidRPr="009A6C9C">
        <w:t>ACMA recognition certificate (Standard).</w:t>
      </w:r>
      <w:bookmarkEnd w:id="86"/>
    </w:p>
    <w:p w14:paraId="3CE0405E" w14:textId="77777777" w:rsidR="003F6E53" w:rsidRDefault="003F6E53" w:rsidP="003F6E53">
      <w:r w:rsidRPr="009A6C9C">
        <w:t>Candidates who have successfully passed a recognised amateur radio examination or undertaken a RPL assessment</w:t>
      </w:r>
      <w:r>
        <w:t xml:space="preserve"> </w:t>
      </w:r>
      <w:r w:rsidRPr="005657E5">
        <w:t xml:space="preserve">can apply to the ACMA for an ACMA recognition certificate. The certificate issued will correspond to the type of examination undertaken and to the existing 3 types of amateur radio qualifications – </w:t>
      </w:r>
      <w:r>
        <w:t>F</w:t>
      </w:r>
      <w:r w:rsidRPr="005657E5">
        <w:t xml:space="preserve">oundation, </w:t>
      </w:r>
      <w:r>
        <w:t>S</w:t>
      </w:r>
      <w:r w:rsidRPr="005657E5">
        <w:t xml:space="preserve">tandard and </w:t>
      </w:r>
      <w:r>
        <w:t>A</w:t>
      </w:r>
      <w:r w:rsidRPr="005657E5">
        <w:t xml:space="preserve">dvanced. </w:t>
      </w:r>
    </w:p>
    <w:p w14:paraId="02123A2F" w14:textId="77777777" w:rsidR="003F6E53" w:rsidRPr="005657E5" w:rsidRDefault="003F6E53" w:rsidP="003F6E53">
      <w:r w:rsidRPr="005657E5">
        <w:t xml:space="preserve">The proposed charge for this service is set out in </w:t>
      </w:r>
      <w:r w:rsidRPr="003E1BB0">
        <w:t>Table 3</w:t>
      </w:r>
      <w:r>
        <w:rPr>
          <w:b/>
        </w:rPr>
        <w:t xml:space="preserve"> </w:t>
      </w:r>
      <w:r w:rsidRPr="00275ED9">
        <w:t>below</w:t>
      </w:r>
      <w:r w:rsidRPr="005657E5">
        <w:t>.</w:t>
      </w:r>
    </w:p>
    <w:p w14:paraId="0B5A4623" w14:textId="77777777" w:rsidR="00F51753" w:rsidRPr="003E1BB0" w:rsidRDefault="00F51753" w:rsidP="00602955">
      <w:pPr>
        <w:pStyle w:val="Heading4"/>
      </w:pPr>
      <w:r w:rsidRPr="003E1BB0">
        <w:t>Amateur radio recognition of prior learning</w:t>
      </w:r>
    </w:p>
    <w:p w14:paraId="663ED083" w14:textId="37619582" w:rsidR="00F51753" w:rsidRDefault="00F51753" w:rsidP="00F12D44">
      <w:r>
        <w:t>T</w:t>
      </w:r>
      <w:r w:rsidRPr="00071AF1">
        <w:t xml:space="preserve">he ACMA is proposing to </w:t>
      </w:r>
      <w:r w:rsidR="00F12D44">
        <w:t xml:space="preserve">recognise </w:t>
      </w:r>
      <w:r w:rsidRPr="00071AF1">
        <w:t xml:space="preserve">prior </w:t>
      </w:r>
      <w:r w:rsidRPr="009A6C9C">
        <w:t>learning</w:t>
      </w:r>
      <w:r w:rsidR="002E6D37">
        <w:t xml:space="preserve"> in</w:t>
      </w:r>
      <w:r w:rsidR="00134D73" w:rsidRPr="009A6C9C">
        <w:t xml:space="preserve"> decid</w:t>
      </w:r>
      <w:r w:rsidR="002E6D37">
        <w:t>ing</w:t>
      </w:r>
      <w:r w:rsidR="00134D73" w:rsidRPr="009A6C9C">
        <w:t xml:space="preserve"> whether to give a person an ACMA recognition certificate under the proposed Amateur Class Licence</w:t>
      </w:r>
      <w:r w:rsidRPr="009A6C9C">
        <w:t xml:space="preserve">. Overseas qualified amateurs who are seeking to gain an Australian qualification can either </w:t>
      </w:r>
      <w:r w:rsidR="0088454D">
        <w:t>pass</w:t>
      </w:r>
      <w:r w:rsidR="0088454D" w:rsidRPr="009A6C9C">
        <w:t xml:space="preserve"> </w:t>
      </w:r>
      <w:r w:rsidRPr="009A6C9C">
        <w:t xml:space="preserve">an </w:t>
      </w:r>
      <w:proofErr w:type="gramStart"/>
      <w:r w:rsidRPr="009A6C9C">
        <w:t>examination, or</w:t>
      </w:r>
      <w:proofErr w:type="gramEnd"/>
      <w:r w:rsidRPr="009A6C9C">
        <w:t xml:space="preserve"> undertake a R</w:t>
      </w:r>
      <w:r w:rsidR="00A11BF2">
        <w:t xml:space="preserve">ecognition of </w:t>
      </w:r>
      <w:r w:rsidRPr="009A6C9C">
        <w:t>P</w:t>
      </w:r>
      <w:r w:rsidR="00A11BF2">
        <w:t xml:space="preserve">rior </w:t>
      </w:r>
      <w:r w:rsidRPr="009A6C9C">
        <w:t>L</w:t>
      </w:r>
      <w:r w:rsidR="00A11BF2">
        <w:t>earning (RPL)</w:t>
      </w:r>
      <w:r w:rsidRPr="009A6C9C">
        <w:t xml:space="preserve"> assessment with us, to be eligible to apply for an ACMA recognition certificate. </w:t>
      </w:r>
      <w:r w:rsidR="003C1156" w:rsidRPr="009A6C9C">
        <w:t>As a result of</w:t>
      </w:r>
      <w:r w:rsidR="00111CE0" w:rsidRPr="009A6C9C">
        <w:t xml:space="preserve"> an RPL assessment</w:t>
      </w:r>
      <w:r w:rsidR="003C1156" w:rsidRPr="009A6C9C">
        <w:t>,</w:t>
      </w:r>
      <w:r w:rsidR="00111CE0" w:rsidRPr="009A6C9C">
        <w:t xml:space="preserve"> </w:t>
      </w:r>
      <w:r w:rsidR="003C1156" w:rsidRPr="009A6C9C">
        <w:t>the ACMA</w:t>
      </w:r>
      <w:r w:rsidR="00111CE0" w:rsidRPr="009A6C9C">
        <w:t xml:space="preserve"> can also</w:t>
      </w:r>
      <w:r w:rsidR="00457B81" w:rsidRPr="009A6C9C">
        <w:t xml:space="preserve"> </w:t>
      </w:r>
      <w:r w:rsidR="004254C2" w:rsidRPr="009A6C9C">
        <w:t>exempt a person</w:t>
      </w:r>
      <w:r w:rsidR="00457B81" w:rsidRPr="009A6C9C">
        <w:t xml:space="preserve"> from </w:t>
      </w:r>
      <w:r w:rsidR="004254C2" w:rsidRPr="009A6C9C">
        <w:t xml:space="preserve">having to </w:t>
      </w:r>
      <w:r w:rsidR="00457B81" w:rsidRPr="009A6C9C">
        <w:t>sit a component of an amateur examination.</w:t>
      </w:r>
    </w:p>
    <w:p w14:paraId="12D2153F" w14:textId="5D46D97D" w:rsidR="00F51753" w:rsidRPr="00071AF1" w:rsidRDefault="00F51753" w:rsidP="00F12D44">
      <w:r w:rsidRPr="00071AF1">
        <w:t xml:space="preserve">RPL is a more time-intensive process for the </w:t>
      </w:r>
      <w:proofErr w:type="gramStart"/>
      <w:r w:rsidRPr="00071AF1">
        <w:t>ACMA</w:t>
      </w:r>
      <w:proofErr w:type="gramEnd"/>
      <w:r w:rsidRPr="00071AF1">
        <w:t xml:space="preserve"> </w:t>
      </w:r>
      <w:r w:rsidR="00715A5D" w:rsidRPr="00071AF1">
        <w:t>and the proposed fees are structured accordingly</w:t>
      </w:r>
      <w:r w:rsidR="00730FA2">
        <w:t>.</w:t>
      </w:r>
      <w:r w:rsidR="00715A5D" w:rsidRPr="00071AF1">
        <w:rPr>
          <w:szCs w:val="20"/>
        </w:rPr>
        <w:t xml:space="preserve"> </w:t>
      </w:r>
      <w:r w:rsidR="00730FA2">
        <w:rPr>
          <w:szCs w:val="20"/>
        </w:rPr>
        <w:t>F</w:t>
      </w:r>
      <w:r w:rsidRPr="00071AF1">
        <w:rPr>
          <w:szCs w:val="20"/>
        </w:rPr>
        <w:t>or example, an RPL assessment may involve detailed consideration of an applicant’s qualifications, liaison with an overseas amateur radio regulator to ascertain equivalency and an interview with the applicant</w:t>
      </w:r>
      <w:r w:rsidRPr="00071AF1">
        <w:t xml:space="preserve">. </w:t>
      </w:r>
    </w:p>
    <w:p w14:paraId="2085DBB1" w14:textId="68C8937A" w:rsidR="00F51753" w:rsidRPr="00071AF1" w:rsidRDefault="00F51753" w:rsidP="00F12D44">
      <w:pPr>
        <w:rPr>
          <w:szCs w:val="20"/>
        </w:rPr>
      </w:pPr>
      <w:r w:rsidRPr="00071AF1">
        <w:t xml:space="preserve">RPL assessments from some jurisdictions are simpler than others. For example, </w:t>
      </w:r>
      <w:r w:rsidRPr="00071AF1">
        <w:rPr>
          <w:szCs w:val="20"/>
        </w:rPr>
        <w:t xml:space="preserve">Australia’s participation in the Conference of Postal and Telecommunications Administration’s (CEPT) Recommendation </w:t>
      </w:r>
      <w:hyperlink r:id="rId27" w:history="1">
        <w:r w:rsidRPr="002E6D37">
          <w:rPr>
            <w:rStyle w:val="Hyperlink"/>
            <w:szCs w:val="20"/>
          </w:rPr>
          <w:t>T/R 61-02</w:t>
        </w:r>
      </w:hyperlink>
      <w:r w:rsidRPr="00071AF1">
        <w:rPr>
          <w:szCs w:val="20"/>
        </w:rPr>
        <w:t xml:space="preserve"> (Harmonised Amateur Radio Certificates) </w:t>
      </w:r>
      <w:r>
        <w:rPr>
          <w:szCs w:val="20"/>
        </w:rPr>
        <w:t xml:space="preserve">(HAREC) </w:t>
      </w:r>
      <w:r w:rsidRPr="00071AF1">
        <w:rPr>
          <w:szCs w:val="20"/>
        </w:rPr>
        <w:t xml:space="preserve">means that assessing the equivalency of overseas amateurs from </w:t>
      </w:r>
      <w:r>
        <w:rPr>
          <w:szCs w:val="20"/>
        </w:rPr>
        <w:t>HAREC participating</w:t>
      </w:r>
      <w:r w:rsidRPr="00071AF1">
        <w:rPr>
          <w:szCs w:val="20"/>
        </w:rPr>
        <w:t xml:space="preserve"> countries is generally a much simpler process. This is because CEPT reviews relevant national examinations to ensure they correspond to the CEPT examination standard before that country </w:t>
      </w:r>
      <w:proofErr w:type="gramStart"/>
      <w:r w:rsidRPr="00071AF1">
        <w:rPr>
          <w:szCs w:val="20"/>
        </w:rPr>
        <w:t>is able to</w:t>
      </w:r>
      <w:proofErr w:type="gramEnd"/>
      <w:r w:rsidRPr="00071AF1">
        <w:rPr>
          <w:szCs w:val="20"/>
        </w:rPr>
        <w:t xml:space="preserve"> participate. </w:t>
      </w:r>
    </w:p>
    <w:p w14:paraId="4A49EBEB" w14:textId="77777777" w:rsidR="00F51753" w:rsidRPr="00071AF1" w:rsidRDefault="00F51753" w:rsidP="00F12D44">
      <w:pPr>
        <w:rPr>
          <w:szCs w:val="20"/>
        </w:rPr>
      </w:pPr>
      <w:r w:rsidRPr="00071AF1">
        <w:rPr>
          <w:szCs w:val="20"/>
        </w:rPr>
        <w:t xml:space="preserve">However, many other overseas jurisdictions do not have the same comparative amateur radio qualification levels or licence types, which means more work is needed to determine equivalency. </w:t>
      </w:r>
    </w:p>
    <w:p w14:paraId="59771AD7" w14:textId="27297808" w:rsidR="00F51753" w:rsidRDefault="00F51753" w:rsidP="00F12D44">
      <w:pPr>
        <w:rPr>
          <w:szCs w:val="20"/>
        </w:rPr>
      </w:pPr>
      <w:r w:rsidRPr="009A6C9C">
        <w:rPr>
          <w:szCs w:val="20"/>
        </w:rPr>
        <w:lastRenderedPageBreak/>
        <w:t>The proposed fee for RPL therefore varies, based on whether the applicant</w:t>
      </w:r>
      <w:r w:rsidR="00DE1C41" w:rsidRPr="009A6C9C">
        <w:rPr>
          <w:szCs w:val="20"/>
        </w:rPr>
        <w:t xml:space="preserve"> the holder of a</w:t>
      </w:r>
      <w:r w:rsidRPr="009A6C9C">
        <w:rPr>
          <w:szCs w:val="20"/>
        </w:rPr>
        <w:t xml:space="preserve"> HAREC </w:t>
      </w:r>
      <w:r w:rsidR="00DE1C41" w:rsidRPr="009A6C9C">
        <w:rPr>
          <w:szCs w:val="20"/>
        </w:rPr>
        <w:t>or</w:t>
      </w:r>
      <w:r w:rsidRPr="009A6C9C">
        <w:rPr>
          <w:szCs w:val="20"/>
        </w:rPr>
        <w:t xml:space="preserve"> non</w:t>
      </w:r>
      <w:r w:rsidRPr="009A6C9C">
        <w:rPr>
          <w:szCs w:val="20"/>
        </w:rPr>
        <w:noBreakHyphen/>
        <w:t xml:space="preserve">HAREC </w:t>
      </w:r>
      <w:r w:rsidR="00DE1C41" w:rsidRPr="009A6C9C">
        <w:rPr>
          <w:szCs w:val="20"/>
        </w:rPr>
        <w:t>qualification</w:t>
      </w:r>
      <w:r w:rsidRPr="009A6C9C">
        <w:rPr>
          <w:szCs w:val="20"/>
        </w:rPr>
        <w:t>.</w:t>
      </w:r>
      <w:r w:rsidRPr="00071AF1">
        <w:rPr>
          <w:szCs w:val="20"/>
        </w:rPr>
        <w:t xml:space="preserve"> </w:t>
      </w:r>
    </w:p>
    <w:p w14:paraId="3F63DA39" w14:textId="66132B3C" w:rsidR="00F51753" w:rsidRDefault="00F51753" w:rsidP="00F12D44">
      <w:pPr>
        <w:rPr>
          <w:b/>
          <w:i/>
        </w:rPr>
      </w:pPr>
      <w:r w:rsidRPr="00071AF1">
        <w:t xml:space="preserve">The proposed fees for the </w:t>
      </w:r>
      <w:r>
        <w:t>RPL</w:t>
      </w:r>
      <w:r w:rsidRPr="00071AF1">
        <w:t xml:space="preserve"> service are set out in Table 3 below.</w:t>
      </w:r>
    </w:p>
    <w:p w14:paraId="4B08CE22" w14:textId="6BC17AA9" w:rsidR="00F51753" w:rsidRPr="003E1BB0" w:rsidRDefault="00F51753" w:rsidP="00DA080A">
      <w:pPr>
        <w:pStyle w:val="Heading4"/>
      </w:pPr>
      <w:r w:rsidRPr="003E1BB0">
        <w:t>Amateur radio call signs</w:t>
      </w:r>
    </w:p>
    <w:p w14:paraId="2BD8D7B4" w14:textId="77777777" w:rsidR="00F51753" w:rsidRPr="0004324D" w:rsidRDefault="00F51753" w:rsidP="003E76A7">
      <w:r w:rsidRPr="0004324D">
        <w:t xml:space="preserve">Call signs are a unique combination of letters and numbers that must be used for all on-air communications under the proposed Amateur Class Licence. </w:t>
      </w:r>
    </w:p>
    <w:p w14:paraId="04E74689" w14:textId="7F313F61" w:rsidR="00F51753" w:rsidRPr="0004324D" w:rsidRDefault="00F51753" w:rsidP="003E76A7">
      <w:r w:rsidRPr="0004324D">
        <w:t>There are various types of call signs. Some are available only to operators who hold certain qualifications. There are also special call signs that can be issued for use in, for example, contests/competitions or certain Australian islands/external territories.</w:t>
      </w:r>
    </w:p>
    <w:p w14:paraId="350F6001" w14:textId="1F597609" w:rsidR="00F51753" w:rsidRPr="0004324D" w:rsidRDefault="00F51753" w:rsidP="003E76A7">
      <w:r w:rsidRPr="0004324D">
        <w:t xml:space="preserve">The call signs we issue conform with the requirements set out in Article 19 (Identification of stations) of the International Telecommunication Union’s Radio Regulations and our amateur call sign policy. </w:t>
      </w:r>
    </w:p>
    <w:p w14:paraId="7BAC8B81" w14:textId="49422C83" w:rsidR="00F51753" w:rsidRPr="0004324D" w:rsidRDefault="00F51753" w:rsidP="00DA080A">
      <w:pPr>
        <w:pStyle w:val="Paragraph"/>
      </w:pPr>
      <w:r w:rsidRPr="0004324D">
        <w:t>The charges for call</w:t>
      </w:r>
      <w:r w:rsidR="002E6D37">
        <w:t>-</w:t>
      </w:r>
      <w:r w:rsidRPr="0004324D">
        <w:t>sign assignment services are set out below in Table 3.</w:t>
      </w:r>
    </w:p>
    <w:p w14:paraId="746A8329" w14:textId="35E805C8" w:rsidR="00F51753" w:rsidRDefault="00F51753" w:rsidP="008E7879">
      <w:pPr>
        <w:pStyle w:val="Tableheading0"/>
        <w:numPr>
          <w:ilvl w:val="0"/>
          <w:numId w:val="7"/>
        </w:numPr>
      </w:pPr>
      <w:r w:rsidRPr="0004324D">
        <w:t xml:space="preserve">Proposed </w:t>
      </w:r>
      <w:r w:rsidR="008E3710">
        <w:t>charges</w:t>
      </w:r>
      <w:r w:rsidRPr="0004324D">
        <w:t xml:space="preserve"> under the new amateur radio arrangements from February 2024</w:t>
      </w:r>
    </w:p>
    <w:tbl>
      <w:tblPr>
        <w:tblStyle w:val="TableGrid"/>
        <w:tblW w:w="8500" w:type="dxa"/>
        <w:tblCellMar>
          <w:top w:w="85" w:type="dxa"/>
          <w:left w:w="57" w:type="dxa"/>
          <w:bottom w:w="85" w:type="dxa"/>
          <w:right w:w="57" w:type="dxa"/>
        </w:tblCellMar>
        <w:tblLook w:val="04A0" w:firstRow="1" w:lastRow="0" w:firstColumn="1" w:lastColumn="0" w:noHBand="0" w:noVBand="1"/>
      </w:tblPr>
      <w:tblGrid>
        <w:gridCol w:w="639"/>
        <w:gridCol w:w="1417"/>
        <w:gridCol w:w="5027"/>
        <w:gridCol w:w="1417"/>
      </w:tblGrid>
      <w:tr w:rsidR="00F51753" w:rsidRPr="00E62B43" w14:paraId="7CA4F2BB" w14:textId="77777777" w:rsidTr="0045208C">
        <w:trPr>
          <w:cantSplit/>
          <w:tblHeader/>
        </w:trPr>
        <w:tc>
          <w:tcPr>
            <w:tcW w:w="639" w:type="dxa"/>
            <w:shd w:val="clear" w:color="auto" w:fill="404040" w:themeFill="text1" w:themeFillTint="BF"/>
          </w:tcPr>
          <w:p w14:paraId="3536A1F3" w14:textId="77777777" w:rsidR="00F51753" w:rsidRPr="002E6D37" w:rsidRDefault="00F51753" w:rsidP="002E6D37">
            <w:pPr>
              <w:spacing w:after="0"/>
              <w:rPr>
                <w:b/>
                <w:bCs/>
                <w:color w:val="FFFFFF" w:themeColor="background1"/>
              </w:rPr>
            </w:pPr>
            <w:r w:rsidRPr="002E6D37">
              <w:rPr>
                <w:b/>
                <w:bCs/>
                <w:color w:val="FFFFFF" w:themeColor="background1"/>
              </w:rPr>
              <w:t>Ref</w:t>
            </w:r>
          </w:p>
        </w:tc>
        <w:tc>
          <w:tcPr>
            <w:tcW w:w="1417" w:type="dxa"/>
            <w:shd w:val="clear" w:color="auto" w:fill="404040" w:themeFill="text1" w:themeFillTint="BF"/>
          </w:tcPr>
          <w:p w14:paraId="0BEFAA0B" w14:textId="77777777" w:rsidR="00F51753" w:rsidRPr="002E6D37" w:rsidRDefault="00F51753" w:rsidP="002E6D37">
            <w:pPr>
              <w:spacing w:after="0"/>
              <w:rPr>
                <w:b/>
                <w:bCs/>
                <w:color w:val="FFFFFF" w:themeColor="background1"/>
              </w:rPr>
            </w:pPr>
            <w:r w:rsidRPr="002E6D37">
              <w:rPr>
                <w:b/>
                <w:bCs/>
                <w:color w:val="FFFFFF" w:themeColor="background1"/>
              </w:rPr>
              <w:t>Fee type</w:t>
            </w:r>
          </w:p>
        </w:tc>
        <w:tc>
          <w:tcPr>
            <w:tcW w:w="5027" w:type="dxa"/>
            <w:shd w:val="clear" w:color="auto" w:fill="404040" w:themeFill="text1" w:themeFillTint="BF"/>
          </w:tcPr>
          <w:p w14:paraId="045B1568" w14:textId="77777777" w:rsidR="00F51753" w:rsidRPr="002E6D37" w:rsidRDefault="00F51753" w:rsidP="002E6D37">
            <w:pPr>
              <w:spacing w:after="0"/>
              <w:rPr>
                <w:b/>
                <w:bCs/>
                <w:color w:val="FFFFFF" w:themeColor="background1"/>
              </w:rPr>
            </w:pPr>
            <w:r w:rsidRPr="002E6D37">
              <w:rPr>
                <w:b/>
                <w:bCs/>
                <w:color w:val="FFFFFF" w:themeColor="background1"/>
              </w:rPr>
              <w:t>Description</w:t>
            </w:r>
          </w:p>
        </w:tc>
        <w:tc>
          <w:tcPr>
            <w:tcW w:w="1417" w:type="dxa"/>
            <w:shd w:val="clear" w:color="auto" w:fill="404040" w:themeFill="text1" w:themeFillTint="BF"/>
          </w:tcPr>
          <w:p w14:paraId="3550ED1B" w14:textId="77777777" w:rsidR="00F51753" w:rsidRPr="002E6D37" w:rsidRDefault="00F51753" w:rsidP="001720CB">
            <w:pPr>
              <w:spacing w:after="0"/>
              <w:jc w:val="right"/>
              <w:rPr>
                <w:b/>
                <w:bCs/>
                <w:color w:val="FFFFFF" w:themeColor="background1"/>
              </w:rPr>
            </w:pPr>
            <w:r w:rsidRPr="002E6D37">
              <w:rPr>
                <w:b/>
                <w:bCs/>
                <w:color w:val="FFFFFF" w:themeColor="background1"/>
              </w:rPr>
              <w:t>Fee</w:t>
            </w:r>
          </w:p>
        </w:tc>
      </w:tr>
      <w:tr w:rsidR="00B21DEC" w14:paraId="4B1BE27C" w14:textId="77777777" w:rsidTr="0045208C">
        <w:trPr>
          <w:cantSplit/>
        </w:trPr>
        <w:tc>
          <w:tcPr>
            <w:tcW w:w="639" w:type="dxa"/>
            <w:vMerge w:val="restart"/>
          </w:tcPr>
          <w:p w14:paraId="3A66D9A5" w14:textId="7FB03E90" w:rsidR="00B21DEC" w:rsidRPr="0004324D" w:rsidRDefault="00B21DEC" w:rsidP="002E6D37">
            <w:pPr>
              <w:spacing w:after="0"/>
            </w:pPr>
            <w:r>
              <w:t>1</w:t>
            </w:r>
          </w:p>
        </w:tc>
        <w:tc>
          <w:tcPr>
            <w:tcW w:w="1417" w:type="dxa"/>
            <w:vMerge w:val="restart"/>
          </w:tcPr>
          <w:p w14:paraId="16B8554D" w14:textId="77777777" w:rsidR="00B21DEC" w:rsidRPr="0004324D" w:rsidRDefault="00B21DEC" w:rsidP="002E6D37">
            <w:pPr>
              <w:spacing w:after="0"/>
            </w:pPr>
            <w:r>
              <w:t>Examinations</w:t>
            </w:r>
          </w:p>
        </w:tc>
        <w:tc>
          <w:tcPr>
            <w:tcW w:w="5027" w:type="dxa"/>
          </w:tcPr>
          <w:p w14:paraId="38AD33F4" w14:textId="77777777" w:rsidR="00B21DEC" w:rsidRDefault="00B21DEC" w:rsidP="00B76E2E">
            <w:pPr>
              <w:pStyle w:val="Paragraph"/>
              <w:spacing w:after="80"/>
            </w:pPr>
            <w:r>
              <w:t>Conducting an examination in relation to the issue of an amateur radio:</w:t>
            </w:r>
          </w:p>
          <w:p w14:paraId="67AEEE55" w14:textId="3E475B4A" w:rsidR="00B21DEC" w:rsidRDefault="00B21DEC" w:rsidP="00B76E2E">
            <w:pPr>
              <w:pStyle w:val="Bulletlevel1"/>
              <w:tabs>
                <w:tab w:val="clear" w:pos="436"/>
                <w:tab w:val="num" w:pos="296"/>
              </w:tabs>
              <w:ind w:left="296" w:hanging="283"/>
            </w:pPr>
            <w:r>
              <w:t>ACMA recognition certificate (Advanced); or</w:t>
            </w:r>
          </w:p>
          <w:p w14:paraId="3CFA12CA" w14:textId="3B044D28" w:rsidR="00B21DEC" w:rsidRPr="009A6C9C" w:rsidRDefault="00B21DEC" w:rsidP="006219DC">
            <w:pPr>
              <w:pStyle w:val="Bulletlevel1"/>
              <w:tabs>
                <w:tab w:val="clear" w:pos="436"/>
                <w:tab w:val="num" w:pos="296"/>
              </w:tabs>
              <w:spacing w:after="0"/>
              <w:ind w:left="296" w:hanging="283"/>
            </w:pPr>
            <w:r>
              <w:t>ACMA recognition certificate (Standard).</w:t>
            </w:r>
          </w:p>
        </w:tc>
        <w:tc>
          <w:tcPr>
            <w:tcW w:w="1417" w:type="dxa"/>
          </w:tcPr>
          <w:p w14:paraId="60AF960A" w14:textId="77777777" w:rsidR="00B21DEC" w:rsidRPr="0004324D" w:rsidRDefault="00B21DEC" w:rsidP="001720CB">
            <w:pPr>
              <w:spacing w:after="0"/>
              <w:jc w:val="right"/>
            </w:pPr>
            <w:r w:rsidRPr="009A28E0">
              <w:t>$490.00</w:t>
            </w:r>
          </w:p>
        </w:tc>
      </w:tr>
      <w:tr w:rsidR="00B21DEC" w14:paraId="1855B746" w14:textId="77777777" w:rsidTr="0045208C">
        <w:trPr>
          <w:cantSplit/>
        </w:trPr>
        <w:tc>
          <w:tcPr>
            <w:tcW w:w="639" w:type="dxa"/>
            <w:vMerge/>
          </w:tcPr>
          <w:p w14:paraId="07CC9B9F" w14:textId="77777777" w:rsidR="00B21DEC" w:rsidRPr="0004324D" w:rsidRDefault="00B21DEC" w:rsidP="002E6D37">
            <w:pPr>
              <w:spacing w:after="0"/>
            </w:pPr>
          </w:p>
        </w:tc>
        <w:tc>
          <w:tcPr>
            <w:tcW w:w="1417" w:type="dxa"/>
            <w:vMerge/>
          </w:tcPr>
          <w:p w14:paraId="4F7ADDCE" w14:textId="77777777" w:rsidR="00B21DEC" w:rsidRPr="0004324D" w:rsidRDefault="00B21DEC" w:rsidP="002E6D37">
            <w:pPr>
              <w:spacing w:after="0"/>
            </w:pPr>
          </w:p>
        </w:tc>
        <w:tc>
          <w:tcPr>
            <w:tcW w:w="5027" w:type="dxa"/>
          </w:tcPr>
          <w:p w14:paraId="379C06C5" w14:textId="761CDCFC" w:rsidR="00B21DEC" w:rsidRPr="009A6C9C" w:rsidRDefault="00B21DEC" w:rsidP="002E6D37">
            <w:pPr>
              <w:pStyle w:val="Paragraph"/>
              <w:spacing w:after="0"/>
            </w:pPr>
            <w:r w:rsidRPr="00425D6A">
              <w:t>Conducting an examination in relation to the issue of an amateur radio ACMA recognition certificate (Foundation)</w:t>
            </w:r>
            <w:r>
              <w:t>.</w:t>
            </w:r>
          </w:p>
        </w:tc>
        <w:tc>
          <w:tcPr>
            <w:tcW w:w="1417" w:type="dxa"/>
          </w:tcPr>
          <w:p w14:paraId="77BC92B9" w14:textId="77777777" w:rsidR="00B21DEC" w:rsidRPr="0004324D" w:rsidRDefault="00B21DEC" w:rsidP="001720CB">
            <w:pPr>
              <w:spacing w:after="0"/>
              <w:jc w:val="right"/>
            </w:pPr>
            <w:r w:rsidRPr="00FA39AB">
              <w:t>$377.00</w:t>
            </w:r>
          </w:p>
        </w:tc>
      </w:tr>
      <w:tr w:rsidR="00B21DEC" w14:paraId="1FA28323" w14:textId="77777777" w:rsidTr="0045208C">
        <w:trPr>
          <w:cantSplit/>
        </w:trPr>
        <w:tc>
          <w:tcPr>
            <w:tcW w:w="639" w:type="dxa"/>
            <w:vMerge/>
          </w:tcPr>
          <w:p w14:paraId="2B64B9D8" w14:textId="77777777" w:rsidR="00B21DEC" w:rsidRPr="0004324D" w:rsidRDefault="00B21DEC" w:rsidP="002E6D37">
            <w:pPr>
              <w:spacing w:after="0"/>
            </w:pPr>
          </w:p>
        </w:tc>
        <w:tc>
          <w:tcPr>
            <w:tcW w:w="1417" w:type="dxa"/>
            <w:vMerge/>
          </w:tcPr>
          <w:p w14:paraId="523A5CE6" w14:textId="77777777" w:rsidR="00B21DEC" w:rsidRPr="0004324D" w:rsidRDefault="00B21DEC" w:rsidP="002E6D37">
            <w:pPr>
              <w:spacing w:after="0"/>
            </w:pPr>
          </w:p>
        </w:tc>
        <w:tc>
          <w:tcPr>
            <w:tcW w:w="5027" w:type="dxa"/>
          </w:tcPr>
          <w:p w14:paraId="240ABDB2" w14:textId="77777777" w:rsidR="00B21DEC" w:rsidRDefault="00B21DEC" w:rsidP="00B76E2E">
            <w:pPr>
              <w:pStyle w:val="Paragraph"/>
              <w:spacing w:after="80"/>
            </w:pPr>
            <w:r>
              <w:t>Conducting an examination for a single module of an examination in relation to the issue of an amateur radio:</w:t>
            </w:r>
          </w:p>
          <w:p w14:paraId="4B1C1CD8" w14:textId="729815D5" w:rsidR="00B21DEC" w:rsidRDefault="00B21DEC" w:rsidP="00B76E2E">
            <w:pPr>
              <w:pStyle w:val="Bulletlevel1"/>
              <w:tabs>
                <w:tab w:val="clear" w:pos="436"/>
                <w:tab w:val="num" w:pos="296"/>
              </w:tabs>
              <w:ind w:left="296" w:hanging="283"/>
            </w:pPr>
            <w:r>
              <w:t xml:space="preserve">ACMA recognition certificate (Advanced); </w:t>
            </w:r>
          </w:p>
          <w:p w14:paraId="108B79BE" w14:textId="1392C700" w:rsidR="00B21DEC" w:rsidRDefault="00B21DEC" w:rsidP="00B76E2E">
            <w:pPr>
              <w:pStyle w:val="Bulletlevel1"/>
              <w:tabs>
                <w:tab w:val="clear" w:pos="436"/>
                <w:tab w:val="num" w:pos="296"/>
              </w:tabs>
              <w:ind w:left="296" w:hanging="283"/>
            </w:pPr>
            <w:r>
              <w:t xml:space="preserve">ACMA recognition certificate (Standard); or </w:t>
            </w:r>
          </w:p>
          <w:p w14:paraId="51CA1762" w14:textId="512D6C62" w:rsidR="00B21DEC" w:rsidRPr="00425D6A" w:rsidRDefault="00B21DEC" w:rsidP="006219DC">
            <w:pPr>
              <w:pStyle w:val="Bulletlevel1"/>
              <w:tabs>
                <w:tab w:val="clear" w:pos="436"/>
                <w:tab w:val="num" w:pos="296"/>
              </w:tabs>
              <w:spacing w:after="0"/>
              <w:ind w:left="296" w:hanging="283"/>
            </w:pPr>
            <w:r>
              <w:t>ACMA recognition certificate (Foundation).</w:t>
            </w:r>
          </w:p>
        </w:tc>
        <w:tc>
          <w:tcPr>
            <w:tcW w:w="1417" w:type="dxa"/>
          </w:tcPr>
          <w:p w14:paraId="50EFEEA1" w14:textId="77777777" w:rsidR="00B21DEC" w:rsidRPr="00FA39AB" w:rsidRDefault="00B21DEC" w:rsidP="001720CB">
            <w:pPr>
              <w:spacing w:after="0"/>
              <w:jc w:val="right"/>
            </w:pPr>
            <w:r w:rsidRPr="00BC42BC">
              <w:t>$264.00</w:t>
            </w:r>
          </w:p>
        </w:tc>
      </w:tr>
      <w:tr w:rsidR="00F51753" w14:paraId="360FECBF" w14:textId="77777777" w:rsidTr="0045208C">
        <w:trPr>
          <w:cantSplit/>
        </w:trPr>
        <w:tc>
          <w:tcPr>
            <w:tcW w:w="639" w:type="dxa"/>
          </w:tcPr>
          <w:p w14:paraId="5F00EC8A" w14:textId="380F8E00" w:rsidR="00F51753" w:rsidRPr="0004324D" w:rsidRDefault="00A6159D" w:rsidP="002E6D37">
            <w:pPr>
              <w:spacing w:after="0"/>
            </w:pPr>
            <w:r>
              <w:rPr>
                <w:szCs w:val="20"/>
              </w:rPr>
              <w:t>2</w:t>
            </w:r>
          </w:p>
        </w:tc>
        <w:tc>
          <w:tcPr>
            <w:tcW w:w="1417" w:type="dxa"/>
          </w:tcPr>
          <w:p w14:paraId="417F46AB" w14:textId="77777777" w:rsidR="00F51753" w:rsidRPr="0004324D" w:rsidRDefault="00F51753" w:rsidP="002E6D37">
            <w:pPr>
              <w:spacing w:after="0"/>
            </w:pPr>
            <w:r w:rsidRPr="00275ED9">
              <w:rPr>
                <w:szCs w:val="20"/>
              </w:rPr>
              <w:t xml:space="preserve">ACMA </w:t>
            </w:r>
            <w:r>
              <w:rPr>
                <w:szCs w:val="20"/>
              </w:rPr>
              <w:t>r</w:t>
            </w:r>
            <w:r w:rsidRPr="00275ED9">
              <w:rPr>
                <w:szCs w:val="20"/>
              </w:rPr>
              <w:t>ecognition certificates</w:t>
            </w:r>
          </w:p>
        </w:tc>
        <w:tc>
          <w:tcPr>
            <w:tcW w:w="5027" w:type="dxa"/>
          </w:tcPr>
          <w:p w14:paraId="4D9DA471" w14:textId="748CDA6D" w:rsidR="00F51753" w:rsidRPr="00275ED9" w:rsidRDefault="00F51753" w:rsidP="00B76E2E">
            <w:pPr>
              <w:spacing w:after="80" w:line="240" w:lineRule="auto"/>
              <w:contextualSpacing/>
              <w:rPr>
                <w:szCs w:val="20"/>
              </w:rPr>
            </w:pPr>
            <w:r w:rsidRPr="00275ED9">
              <w:rPr>
                <w:szCs w:val="20"/>
              </w:rPr>
              <w:t>Considering an application for the issue</w:t>
            </w:r>
            <w:r w:rsidR="00E5206D">
              <w:rPr>
                <w:szCs w:val="20"/>
              </w:rPr>
              <w:t xml:space="preserve"> of</w:t>
            </w:r>
            <w:r w:rsidRPr="00275ED9">
              <w:rPr>
                <w:szCs w:val="20"/>
              </w:rPr>
              <w:t xml:space="preserve">, and issuing (if applicable), any of the following ACMA </w:t>
            </w:r>
            <w:r>
              <w:rPr>
                <w:szCs w:val="20"/>
              </w:rPr>
              <w:t>r</w:t>
            </w:r>
            <w:r w:rsidRPr="00275ED9">
              <w:rPr>
                <w:szCs w:val="20"/>
              </w:rPr>
              <w:t xml:space="preserve">ecognition </w:t>
            </w:r>
            <w:r>
              <w:rPr>
                <w:szCs w:val="20"/>
              </w:rPr>
              <w:t>c</w:t>
            </w:r>
            <w:r w:rsidRPr="00275ED9">
              <w:rPr>
                <w:szCs w:val="20"/>
              </w:rPr>
              <w:t xml:space="preserve">ertificates in accordance with </w:t>
            </w:r>
            <w:r w:rsidR="00634051" w:rsidRPr="009A6C9C">
              <w:rPr>
                <w:szCs w:val="20"/>
              </w:rPr>
              <w:t>proposed Amateur Class Licence</w:t>
            </w:r>
            <w:r w:rsidRPr="009A6C9C">
              <w:rPr>
                <w:szCs w:val="20"/>
              </w:rPr>
              <w:t>:</w:t>
            </w:r>
          </w:p>
          <w:p w14:paraId="33BA5EC4" w14:textId="7B96DE3F" w:rsidR="00F51753" w:rsidRPr="000B0994" w:rsidRDefault="00F51753" w:rsidP="00B76E2E">
            <w:pPr>
              <w:pStyle w:val="Bulletlevel1"/>
              <w:tabs>
                <w:tab w:val="clear" w:pos="436"/>
                <w:tab w:val="num" w:pos="296"/>
              </w:tabs>
              <w:ind w:left="296" w:hanging="283"/>
            </w:pPr>
            <w:r w:rsidRPr="000B0994">
              <w:t>ACMA recognition certificate (Advanced);</w:t>
            </w:r>
          </w:p>
          <w:p w14:paraId="0FD24545" w14:textId="5C87F3BE" w:rsidR="00F51753" w:rsidRPr="000B0994" w:rsidRDefault="00F51753" w:rsidP="00B76E2E">
            <w:pPr>
              <w:pStyle w:val="Bulletlevel1"/>
              <w:tabs>
                <w:tab w:val="clear" w:pos="436"/>
                <w:tab w:val="num" w:pos="296"/>
              </w:tabs>
              <w:ind w:left="296" w:hanging="283"/>
            </w:pPr>
            <w:r w:rsidRPr="000B0994">
              <w:t>ACMA recognition certificate (Foundation);</w:t>
            </w:r>
          </w:p>
          <w:p w14:paraId="03C30120" w14:textId="4E5B6DA2" w:rsidR="00F51753" w:rsidRPr="00FA540E" w:rsidRDefault="00F51753" w:rsidP="006219DC">
            <w:pPr>
              <w:pStyle w:val="Bulletlevel1"/>
              <w:tabs>
                <w:tab w:val="clear" w:pos="436"/>
                <w:tab w:val="num" w:pos="296"/>
              </w:tabs>
              <w:spacing w:after="0"/>
              <w:ind w:left="296" w:hanging="283"/>
              <w:rPr>
                <w:szCs w:val="20"/>
              </w:rPr>
            </w:pPr>
            <w:r w:rsidRPr="000B0994">
              <w:t>ACMA</w:t>
            </w:r>
            <w:r w:rsidRPr="00FA540E">
              <w:t xml:space="preserve"> recognition</w:t>
            </w:r>
            <w:r w:rsidRPr="00275ED9">
              <w:rPr>
                <w:szCs w:val="20"/>
              </w:rPr>
              <w:t xml:space="preserve"> certificate (Standard)</w:t>
            </w:r>
            <w:r w:rsidR="00B76E2E">
              <w:rPr>
                <w:szCs w:val="20"/>
              </w:rPr>
              <w:t>.</w:t>
            </w:r>
          </w:p>
        </w:tc>
        <w:tc>
          <w:tcPr>
            <w:tcW w:w="1417" w:type="dxa"/>
          </w:tcPr>
          <w:p w14:paraId="6B0EE910" w14:textId="77777777" w:rsidR="00F51753" w:rsidRPr="0004324D" w:rsidRDefault="00F51753" w:rsidP="001720CB">
            <w:pPr>
              <w:spacing w:after="0"/>
              <w:jc w:val="right"/>
            </w:pPr>
            <w:r w:rsidRPr="0004324D">
              <w:t>$45.70</w:t>
            </w:r>
          </w:p>
        </w:tc>
      </w:tr>
      <w:tr w:rsidR="00F51753" w14:paraId="71126024" w14:textId="77777777" w:rsidTr="0045208C">
        <w:trPr>
          <w:cantSplit/>
        </w:trPr>
        <w:tc>
          <w:tcPr>
            <w:tcW w:w="639" w:type="dxa"/>
          </w:tcPr>
          <w:p w14:paraId="1BFA1E73" w14:textId="47C759CF" w:rsidR="00F51753" w:rsidRPr="0004324D" w:rsidRDefault="00A6159D" w:rsidP="002E6D37">
            <w:pPr>
              <w:spacing w:after="0"/>
            </w:pPr>
            <w:r>
              <w:t>3</w:t>
            </w:r>
          </w:p>
        </w:tc>
        <w:tc>
          <w:tcPr>
            <w:tcW w:w="1417" w:type="dxa"/>
          </w:tcPr>
          <w:p w14:paraId="656EEB0E" w14:textId="2FB21EB1" w:rsidR="00F51753" w:rsidRPr="0004324D" w:rsidRDefault="00F51753" w:rsidP="002E6D37">
            <w:pPr>
              <w:spacing w:after="0"/>
            </w:pPr>
            <w:r w:rsidRPr="00275ED9">
              <w:rPr>
                <w:szCs w:val="20"/>
              </w:rPr>
              <w:t xml:space="preserve">Recognition of prior learning (RPL) </w:t>
            </w:r>
            <w:r w:rsidR="007A1BEE">
              <w:rPr>
                <w:szCs w:val="20"/>
              </w:rPr>
              <w:t>–</w:t>
            </w:r>
            <w:r w:rsidRPr="00275ED9">
              <w:rPr>
                <w:szCs w:val="20"/>
              </w:rPr>
              <w:t xml:space="preserve"> HAREC</w:t>
            </w:r>
          </w:p>
        </w:tc>
        <w:tc>
          <w:tcPr>
            <w:tcW w:w="5027" w:type="dxa"/>
          </w:tcPr>
          <w:p w14:paraId="6B3C6AA6" w14:textId="008B1F2E" w:rsidR="00F51753" w:rsidRPr="00275ED9" w:rsidRDefault="00F51753" w:rsidP="002E6D37">
            <w:pPr>
              <w:spacing w:after="0" w:line="240" w:lineRule="auto"/>
              <w:contextualSpacing/>
              <w:rPr>
                <w:szCs w:val="20"/>
              </w:rPr>
            </w:pPr>
            <w:r w:rsidRPr="00275ED9">
              <w:rPr>
                <w:szCs w:val="20"/>
              </w:rPr>
              <w:t xml:space="preserve">Considering an application for </w:t>
            </w:r>
            <w:r>
              <w:rPr>
                <w:szCs w:val="20"/>
              </w:rPr>
              <w:t xml:space="preserve">RPL </w:t>
            </w:r>
            <w:r w:rsidRPr="00275ED9">
              <w:rPr>
                <w:szCs w:val="20"/>
              </w:rPr>
              <w:t>made by a person who holds a Harmonised Amateur Radio Examination Certificate (HAREC)</w:t>
            </w:r>
            <w:r w:rsidR="00B76E2E">
              <w:rPr>
                <w:szCs w:val="20"/>
              </w:rPr>
              <w:t>.</w:t>
            </w:r>
            <w:r w:rsidRPr="00275ED9">
              <w:rPr>
                <w:rStyle w:val="FootnoteReference"/>
                <w:szCs w:val="20"/>
              </w:rPr>
              <w:footnoteReference w:id="2"/>
            </w:r>
          </w:p>
          <w:p w14:paraId="07D45819" w14:textId="77777777" w:rsidR="00F51753" w:rsidRPr="0004324D" w:rsidRDefault="00F51753" w:rsidP="002E6D37">
            <w:pPr>
              <w:spacing w:after="0"/>
            </w:pPr>
          </w:p>
        </w:tc>
        <w:tc>
          <w:tcPr>
            <w:tcW w:w="1417" w:type="dxa"/>
          </w:tcPr>
          <w:p w14:paraId="784458DF" w14:textId="77777777" w:rsidR="00F51753" w:rsidRPr="0004324D" w:rsidRDefault="00F51753" w:rsidP="001720CB">
            <w:pPr>
              <w:spacing w:after="0"/>
              <w:jc w:val="right"/>
            </w:pPr>
            <w:r w:rsidRPr="0004324D">
              <w:t>$75.35</w:t>
            </w:r>
          </w:p>
        </w:tc>
      </w:tr>
      <w:tr w:rsidR="00F51753" w14:paraId="6ACD7AB2" w14:textId="77777777" w:rsidTr="0045208C">
        <w:trPr>
          <w:cantSplit/>
        </w:trPr>
        <w:tc>
          <w:tcPr>
            <w:tcW w:w="639" w:type="dxa"/>
          </w:tcPr>
          <w:p w14:paraId="68FF2C1A" w14:textId="45CD42CD" w:rsidR="00F51753" w:rsidRPr="0004324D" w:rsidRDefault="00A6159D" w:rsidP="002E6D37">
            <w:pPr>
              <w:spacing w:after="0"/>
            </w:pPr>
            <w:r>
              <w:lastRenderedPageBreak/>
              <w:t>4</w:t>
            </w:r>
          </w:p>
        </w:tc>
        <w:tc>
          <w:tcPr>
            <w:tcW w:w="1417" w:type="dxa"/>
          </w:tcPr>
          <w:p w14:paraId="204BD85C" w14:textId="14067A27" w:rsidR="00F51753" w:rsidRPr="0004324D" w:rsidRDefault="00F51753" w:rsidP="002E6D37">
            <w:pPr>
              <w:spacing w:after="0"/>
            </w:pPr>
            <w:r w:rsidRPr="00275ED9">
              <w:rPr>
                <w:szCs w:val="20"/>
              </w:rPr>
              <w:t>RPL – Non-HAREC</w:t>
            </w:r>
          </w:p>
        </w:tc>
        <w:tc>
          <w:tcPr>
            <w:tcW w:w="5027" w:type="dxa"/>
          </w:tcPr>
          <w:p w14:paraId="18B7FF04" w14:textId="48FE0065" w:rsidR="00F51753" w:rsidRPr="0004324D" w:rsidRDefault="00F51753" w:rsidP="002E6D37">
            <w:pPr>
              <w:spacing w:after="0"/>
            </w:pPr>
            <w:r w:rsidRPr="00275ED9">
              <w:rPr>
                <w:szCs w:val="20"/>
              </w:rPr>
              <w:t xml:space="preserve">Considering an application for </w:t>
            </w:r>
            <w:r>
              <w:rPr>
                <w:szCs w:val="20"/>
              </w:rPr>
              <w:t xml:space="preserve">RPL </w:t>
            </w:r>
            <w:r w:rsidRPr="00275ED9">
              <w:rPr>
                <w:szCs w:val="20"/>
              </w:rPr>
              <w:t xml:space="preserve">made by a person who holds a qualification </w:t>
            </w:r>
            <w:r>
              <w:rPr>
                <w:szCs w:val="20"/>
              </w:rPr>
              <w:t xml:space="preserve">or licence </w:t>
            </w:r>
            <w:r w:rsidRPr="00275ED9">
              <w:rPr>
                <w:szCs w:val="20"/>
              </w:rPr>
              <w:t>other than a HAREC</w:t>
            </w:r>
            <w:r w:rsidR="001720CB">
              <w:rPr>
                <w:szCs w:val="20"/>
              </w:rPr>
              <w:t>.</w:t>
            </w:r>
            <w:r w:rsidRPr="00071AF1">
              <w:rPr>
                <w:rStyle w:val="FootnoteReference"/>
                <w:szCs w:val="20"/>
              </w:rPr>
              <w:footnoteReference w:id="3"/>
            </w:r>
          </w:p>
        </w:tc>
        <w:tc>
          <w:tcPr>
            <w:tcW w:w="1417" w:type="dxa"/>
          </w:tcPr>
          <w:p w14:paraId="65BEFBC4" w14:textId="77777777" w:rsidR="00F51753" w:rsidRPr="0004324D" w:rsidRDefault="00F51753" w:rsidP="001720CB">
            <w:pPr>
              <w:spacing w:after="0"/>
              <w:jc w:val="right"/>
            </w:pPr>
            <w:r w:rsidRPr="0004324D">
              <w:t>$188.35</w:t>
            </w:r>
          </w:p>
        </w:tc>
      </w:tr>
      <w:tr w:rsidR="004407F2" w14:paraId="07307ED7" w14:textId="77777777" w:rsidTr="0045208C">
        <w:trPr>
          <w:cantSplit/>
        </w:trPr>
        <w:tc>
          <w:tcPr>
            <w:tcW w:w="639" w:type="dxa"/>
            <w:vMerge w:val="restart"/>
          </w:tcPr>
          <w:p w14:paraId="67E8FF77" w14:textId="6E887BD3" w:rsidR="004407F2" w:rsidRPr="0004324D" w:rsidRDefault="004407F2" w:rsidP="002E6D37">
            <w:pPr>
              <w:spacing w:after="0"/>
            </w:pPr>
            <w:r>
              <w:t>5</w:t>
            </w:r>
          </w:p>
        </w:tc>
        <w:tc>
          <w:tcPr>
            <w:tcW w:w="1417" w:type="dxa"/>
            <w:vMerge w:val="restart"/>
          </w:tcPr>
          <w:p w14:paraId="709D5B5C" w14:textId="77777777" w:rsidR="004407F2" w:rsidRPr="0004324D" w:rsidRDefault="004407F2" w:rsidP="002E6D37">
            <w:pPr>
              <w:spacing w:after="0"/>
            </w:pPr>
            <w:r w:rsidRPr="00275ED9">
              <w:rPr>
                <w:szCs w:val="20"/>
              </w:rPr>
              <w:t>Call signs</w:t>
            </w:r>
          </w:p>
        </w:tc>
        <w:tc>
          <w:tcPr>
            <w:tcW w:w="6444" w:type="dxa"/>
            <w:gridSpan w:val="2"/>
          </w:tcPr>
          <w:p w14:paraId="667A9199" w14:textId="4FC5781D" w:rsidR="004407F2" w:rsidRPr="0004324D" w:rsidRDefault="004407F2" w:rsidP="00A92D9C">
            <w:pPr>
              <w:spacing w:after="0"/>
            </w:pPr>
            <w:r w:rsidRPr="009A6C9C">
              <w:rPr>
                <w:szCs w:val="20"/>
              </w:rPr>
              <w:t>Considering an application for the assignment of a call sign of any of the following types under the proposed Amateur Class Licence, and assigning a call sign:</w:t>
            </w:r>
          </w:p>
        </w:tc>
      </w:tr>
      <w:tr w:rsidR="004407F2" w14:paraId="77A560FB" w14:textId="77777777" w:rsidTr="0045208C">
        <w:trPr>
          <w:cantSplit/>
        </w:trPr>
        <w:tc>
          <w:tcPr>
            <w:tcW w:w="639" w:type="dxa"/>
            <w:vMerge/>
          </w:tcPr>
          <w:p w14:paraId="6A7EB2ED" w14:textId="77777777" w:rsidR="004407F2" w:rsidRPr="0004324D" w:rsidRDefault="004407F2" w:rsidP="002E6D37">
            <w:pPr>
              <w:spacing w:after="0"/>
            </w:pPr>
          </w:p>
        </w:tc>
        <w:tc>
          <w:tcPr>
            <w:tcW w:w="1417" w:type="dxa"/>
            <w:vMerge/>
          </w:tcPr>
          <w:p w14:paraId="19A3307A" w14:textId="77777777" w:rsidR="004407F2" w:rsidRPr="0004324D" w:rsidRDefault="004407F2" w:rsidP="002E6D37">
            <w:pPr>
              <w:spacing w:after="0"/>
            </w:pPr>
          </w:p>
        </w:tc>
        <w:tc>
          <w:tcPr>
            <w:tcW w:w="5027" w:type="dxa"/>
          </w:tcPr>
          <w:p w14:paraId="24876DE5" w14:textId="4379FC79" w:rsidR="004407F2" w:rsidRPr="009A6C9C" w:rsidRDefault="004407F2" w:rsidP="002E6D37">
            <w:pPr>
              <w:pStyle w:val="Paragraph"/>
              <w:spacing w:after="0"/>
            </w:pPr>
            <w:r w:rsidRPr="009A6C9C">
              <w:t>Application for the next available call sign, not selected from the public list of available call signs</w:t>
            </w:r>
            <w:r>
              <w:t>.</w:t>
            </w:r>
          </w:p>
        </w:tc>
        <w:tc>
          <w:tcPr>
            <w:tcW w:w="1417" w:type="dxa"/>
          </w:tcPr>
          <w:p w14:paraId="7A8FBF28" w14:textId="77777777" w:rsidR="004407F2" w:rsidRPr="0004324D" w:rsidRDefault="004407F2" w:rsidP="001720CB">
            <w:pPr>
              <w:spacing w:after="0"/>
              <w:jc w:val="right"/>
            </w:pPr>
            <w:r w:rsidRPr="0004324D">
              <w:t>$30.15</w:t>
            </w:r>
          </w:p>
        </w:tc>
      </w:tr>
      <w:tr w:rsidR="004407F2" w14:paraId="74F40A8E" w14:textId="77777777" w:rsidTr="0045208C">
        <w:trPr>
          <w:cantSplit/>
        </w:trPr>
        <w:tc>
          <w:tcPr>
            <w:tcW w:w="639" w:type="dxa"/>
            <w:vMerge/>
          </w:tcPr>
          <w:p w14:paraId="1E867C57" w14:textId="77777777" w:rsidR="004407F2" w:rsidRPr="0004324D" w:rsidRDefault="004407F2" w:rsidP="002E6D37">
            <w:pPr>
              <w:spacing w:after="0"/>
            </w:pPr>
          </w:p>
        </w:tc>
        <w:tc>
          <w:tcPr>
            <w:tcW w:w="1417" w:type="dxa"/>
            <w:vMerge/>
          </w:tcPr>
          <w:p w14:paraId="285CD286" w14:textId="77777777" w:rsidR="004407F2" w:rsidRPr="0004324D" w:rsidRDefault="004407F2" w:rsidP="002E6D37">
            <w:pPr>
              <w:spacing w:after="0"/>
            </w:pPr>
          </w:p>
        </w:tc>
        <w:tc>
          <w:tcPr>
            <w:tcW w:w="5027" w:type="dxa"/>
          </w:tcPr>
          <w:p w14:paraId="652E1108" w14:textId="77777777" w:rsidR="004407F2" w:rsidRPr="009A6C9C" w:rsidRDefault="004407F2" w:rsidP="001720CB">
            <w:pPr>
              <w:pStyle w:val="Paragraph"/>
              <w:spacing w:after="80"/>
            </w:pPr>
            <w:r w:rsidRPr="009A6C9C">
              <w:t>Application specifying preferred call signs, where:</w:t>
            </w:r>
          </w:p>
          <w:p w14:paraId="3350474F" w14:textId="77777777" w:rsidR="004407F2" w:rsidRPr="006219DC" w:rsidRDefault="004407F2" w:rsidP="001720CB">
            <w:pPr>
              <w:pStyle w:val="Bulletlevel1"/>
              <w:tabs>
                <w:tab w:val="clear" w:pos="436"/>
                <w:tab w:val="num" w:pos="296"/>
              </w:tabs>
              <w:ind w:left="296" w:hanging="283"/>
            </w:pPr>
            <w:r w:rsidRPr="009A6C9C">
              <w:t>the first and second preferences are from the public list of available call signs; and</w:t>
            </w:r>
          </w:p>
          <w:p w14:paraId="29CC6EA7" w14:textId="77777777" w:rsidR="004407F2" w:rsidRPr="006219DC" w:rsidRDefault="004407F2" w:rsidP="001720CB">
            <w:pPr>
              <w:pStyle w:val="Bulletlevel1"/>
              <w:tabs>
                <w:tab w:val="clear" w:pos="436"/>
                <w:tab w:val="num" w:pos="296"/>
              </w:tabs>
              <w:ind w:left="296" w:hanging="283"/>
            </w:pPr>
            <w:r w:rsidRPr="009A6C9C">
              <w:t>both preferences consist of either:</w:t>
            </w:r>
          </w:p>
          <w:p w14:paraId="22BDC50D" w14:textId="1170F1CD" w:rsidR="004407F2" w:rsidRPr="006219DC" w:rsidRDefault="004407F2" w:rsidP="001720CB">
            <w:pPr>
              <w:pStyle w:val="Bulletlevel1"/>
              <w:tabs>
                <w:tab w:val="clear" w:pos="436"/>
                <w:tab w:val="num" w:pos="580"/>
              </w:tabs>
              <w:ind w:left="580" w:hanging="283"/>
            </w:pPr>
            <w:r w:rsidRPr="009A6C9C">
              <w:t xml:space="preserve">prefix VK 1, 5, 6, 7 or 8, with </w:t>
            </w:r>
            <w:r>
              <w:t>2</w:t>
            </w:r>
            <w:r w:rsidRPr="009A6C9C">
              <w:t xml:space="preserve"> letters following the prefix; or</w:t>
            </w:r>
          </w:p>
          <w:p w14:paraId="0C052C02" w14:textId="34F90CA8" w:rsidR="004407F2" w:rsidRPr="00275ED9" w:rsidRDefault="004407F2" w:rsidP="006219DC">
            <w:pPr>
              <w:pStyle w:val="Bulletlevel1"/>
              <w:tabs>
                <w:tab w:val="clear" w:pos="436"/>
                <w:tab w:val="num" w:pos="580"/>
              </w:tabs>
              <w:spacing w:after="0"/>
              <w:ind w:left="580" w:hanging="283"/>
              <w:rPr>
                <w:szCs w:val="20"/>
              </w:rPr>
            </w:pPr>
            <w:r w:rsidRPr="009A6C9C">
              <w:t xml:space="preserve">prefix VK and any single digit from 1 to 8, with </w:t>
            </w:r>
            <w:r>
              <w:t>3</w:t>
            </w:r>
            <w:r w:rsidRPr="009A6C9C">
              <w:t xml:space="preserve"> letters following the prefix</w:t>
            </w:r>
            <w:r>
              <w:t>.</w:t>
            </w:r>
          </w:p>
        </w:tc>
        <w:tc>
          <w:tcPr>
            <w:tcW w:w="1417" w:type="dxa"/>
          </w:tcPr>
          <w:p w14:paraId="3D760D96" w14:textId="77777777" w:rsidR="004407F2" w:rsidRPr="0004324D" w:rsidRDefault="004407F2" w:rsidP="001720CB">
            <w:pPr>
              <w:spacing w:after="0"/>
              <w:jc w:val="right"/>
            </w:pPr>
            <w:r w:rsidRPr="0004324D">
              <w:t>$41.45</w:t>
            </w:r>
          </w:p>
        </w:tc>
      </w:tr>
      <w:tr w:rsidR="004407F2" w14:paraId="0E61745E" w14:textId="77777777" w:rsidTr="0045208C">
        <w:trPr>
          <w:cantSplit/>
        </w:trPr>
        <w:tc>
          <w:tcPr>
            <w:tcW w:w="639" w:type="dxa"/>
            <w:vMerge/>
          </w:tcPr>
          <w:p w14:paraId="5145EC56" w14:textId="77777777" w:rsidR="004407F2" w:rsidRPr="0004324D" w:rsidRDefault="004407F2" w:rsidP="002E6D37">
            <w:pPr>
              <w:spacing w:after="0"/>
            </w:pPr>
          </w:p>
        </w:tc>
        <w:tc>
          <w:tcPr>
            <w:tcW w:w="1417" w:type="dxa"/>
            <w:vMerge/>
          </w:tcPr>
          <w:p w14:paraId="028877BD" w14:textId="77777777" w:rsidR="004407F2" w:rsidRPr="0004324D" w:rsidRDefault="004407F2" w:rsidP="002E6D37">
            <w:pPr>
              <w:spacing w:after="0"/>
            </w:pPr>
          </w:p>
        </w:tc>
        <w:tc>
          <w:tcPr>
            <w:tcW w:w="5027" w:type="dxa"/>
          </w:tcPr>
          <w:p w14:paraId="3ABCC49F" w14:textId="77777777" w:rsidR="004407F2" w:rsidRPr="009A6C9C" w:rsidRDefault="004407F2" w:rsidP="001720CB">
            <w:pPr>
              <w:pStyle w:val="Paragraph"/>
              <w:spacing w:after="80"/>
            </w:pPr>
            <w:r w:rsidRPr="009A6C9C">
              <w:t xml:space="preserve">Application specifying preferred call signs, </w:t>
            </w:r>
            <w:bookmarkStart w:id="87" w:name="_Hlk143869536"/>
            <w:r w:rsidRPr="009A6C9C">
              <w:t>where the first preference consists of</w:t>
            </w:r>
            <w:bookmarkEnd w:id="87"/>
            <w:r w:rsidRPr="009A6C9C">
              <w:t>:</w:t>
            </w:r>
          </w:p>
          <w:p w14:paraId="48662EA1" w14:textId="04171DF9" w:rsidR="004407F2" w:rsidRPr="00A448C8" w:rsidRDefault="004407F2" w:rsidP="00A448C8">
            <w:pPr>
              <w:pStyle w:val="Bulletlevel1"/>
              <w:tabs>
                <w:tab w:val="clear" w:pos="436"/>
                <w:tab w:val="num" w:pos="296"/>
              </w:tabs>
              <w:spacing w:after="0"/>
              <w:ind w:left="296" w:hanging="283"/>
            </w:pPr>
            <w:r w:rsidRPr="009A6C9C">
              <w:t>prefix VK 2, 3 or 4</w:t>
            </w:r>
            <w:r w:rsidR="00A448C8">
              <w:t xml:space="preserve">, </w:t>
            </w:r>
            <w:r w:rsidR="00A448C8" w:rsidRPr="009A6C9C">
              <w:t xml:space="preserve">with </w:t>
            </w:r>
            <w:r w:rsidR="00A448C8">
              <w:t>2</w:t>
            </w:r>
            <w:r w:rsidR="00A448C8" w:rsidRPr="009A6C9C">
              <w:t xml:space="preserve"> letters following the prefix</w:t>
            </w:r>
            <w:r w:rsidR="00A448C8">
              <w:t>.</w:t>
            </w:r>
          </w:p>
        </w:tc>
        <w:tc>
          <w:tcPr>
            <w:tcW w:w="1417" w:type="dxa"/>
          </w:tcPr>
          <w:p w14:paraId="1317AD56" w14:textId="77777777" w:rsidR="004407F2" w:rsidRPr="0004324D" w:rsidRDefault="004407F2" w:rsidP="001720CB">
            <w:pPr>
              <w:spacing w:after="0"/>
              <w:jc w:val="right"/>
            </w:pPr>
            <w:r w:rsidRPr="0004324D">
              <w:t>$52.75</w:t>
            </w:r>
          </w:p>
        </w:tc>
      </w:tr>
      <w:tr w:rsidR="004407F2" w14:paraId="6B6FB68C" w14:textId="77777777" w:rsidTr="0045208C">
        <w:trPr>
          <w:cantSplit/>
        </w:trPr>
        <w:tc>
          <w:tcPr>
            <w:tcW w:w="639" w:type="dxa"/>
            <w:vMerge/>
          </w:tcPr>
          <w:p w14:paraId="4BB9EF7F" w14:textId="77777777" w:rsidR="004407F2" w:rsidRPr="0004324D" w:rsidRDefault="004407F2" w:rsidP="002E6D37">
            <w:pPr>
              <w:spacing w:after="0"/>
            </w:pPr>
          </w:p>
        </w:tc>
        <w:tc>
          <w:tcPr>
            <w:tcW w:w="1417" w:type="dxa"/>
            <w:vMerge/>
          </w:tcPr>
          <w:p w14:paraId="3725C191" w14:textId="77777777" w:rsidR="004407F2" w:rsidRPr="0004324D" w:rsidRDefault="004407F2" w:rsidP="002E6D37">
            <w:pPr>
              <w:spacing w:after="0"/>
            </w:pPr>
          </w:p>
        </w:tc>
        <w:tc>
          <w:tcPr>
            <w:tcW w:w="5027" w:type="dxa"/>
          </w:tcPr>
          <w:p w14:paraId="76092519" w14:textId="77777777" w:rsidR="004407F2" w:rsidRPr="009A6C9C" w:rsidRDefault="004407F2" w:rsidP="001720CB">
            <w:pPr>
              <w:pStyle w:val="Paragraph"/>
              <w:spacing w:after="80"/>
            </w:pPr>
            <w:r w:rsidRPr="009A6C9C">
              <w:t>Application for a ‘special event call sign’, which is an application for:</w:t>
            </w:r>
          </w:p>
          <w:p w14:paraId="57E12BB6" w14:textId="77777777" w:rsidR="004407F2" w:rsidRPr="006219DC" w:rsidRDefault="004407F2" w:rsidP="001720CB">
            <w:pPr>
              <w:pStyle w:val="Bulletlevel1"/>
              <w:tabs>
                <w:tab w:val="clear" w:pos="436"/>
                <w:tab w:val="num" w:pos="296"/>
              </w:tabs>
              <w:ind w:left="296" w:hanging="283"/>
            </w:pPr>
            <w:r w:rsidRPr="009A6C9C">
              <w:t>a temporary call sign attributable for a special event; or</w:t>
            </w:r>
          </w:p>
          <w:p w14:paraId="3E7F96C4" w14:textId="5920B944" w:rsidR="004407F2" w:rsidRPr="009A6C9C" w:rsidRDefault="004407F2" w:rsidP="006219DC">
            <w:pPr>
              <w:pStyle w:val="Bulletlevel1"/>
              <w:tabs>
                <w:tab w:val="clear" w:pos="436"/>
                <w:tab w:val="num" w:pos="296"/>
              </w:tabs>
              <w:spacing w:after="0"/>
              <w:ind w:left="296" w:hanging="283"/>
              <w:rPr>
                <w:szCs w:val="20"/>
              </w:rPr>
            </w:pPr>
            <w:r w:rsidRPr="009A6C9C">
              <w:t>a call sign with prefix VK9 or VK0</w:t>
            </w:r>
            <w:r>
              <w:t>.</w:t>
            </w:r>
          </w:p>
        </w:tc>
        <w:tc>
          <w:tcPr>
            <w:tcW w:w="1417" w:type="dxa"/>
          </w:tcPr>
          <w:p w14:paraId="3FC7B4CB" w14:textId="77777777" w:rsidR="004407F2" w:rsidRPr="0004324D" w:rsidRDefault="004407F2" w:rsidP="001720CB">
            <w:pPr>
              <w:spacing w:after="0"/>
              <w:jc w:val="right"/>
            </w:pPr>
            <w:r w:rsidRPr="0004324D">
              <w:t>$52.75</w:t>
            </w:r>
          </w:p>
        </w:tc>
      </w:tr>
    </w:tbl>
    <w:p w14:paraId="37BAFACB" w14:textId="77777777" w:rsidR="00F51753" w:rsidRDefault="00F51753" w:rsidP="00F51753"/>
    <w:p w14:paraId="1B3400CF" w14:textId="66F78CE9" w:rsidR="00F51753" w:rsidRDefault="00B26171" w:rsidP="00127F88">
      <w:pPr>
        <w:pStyle w:val="Heading3"/>
        <w:keepLines/>
      </w:pPr>
      <w:bookmarkStart w:id="88" w:name="_Toc143267709"/>
      <w:r w:rsidRPr="008E7879">
        <w:t>3.</w:t>
      </w:r>
      <w:r w:rsidR="00CE1D80">
        <w:t>3</w:t>
      </w:r>
      <w:r w:rsidRPr="008E7879">
        <w:t>.2</w:t>
      </w:r>
      <w:r>
        <w:t xml:space="preserve"> </w:t>
      </w:r>
      <w:r w:rsidR="009D7E02" w:rsidRPr="008E7879">
        <w:t>Area-wide licence</w:t>
      </w:r>
      <w:r w:rsidR="006219DC">
        <w:t>s</w:t>
      </w:r>
      <w:bookmarkEnd w:id="88"/>
    </w:p>
    <w:p w14:paraId="7F06C166" w14:textId="57E99DCF" w:rsidR="00611B2E" w:rsidRPr="009A6C9C" w:rsidRDefault="00611B2E" w:rsidP="00127F88">
      <w:pPr>
        <w:pStyle w:val="Paragraphbeforelist"/>
        <w:keepNext/>
        <w:keepLines/>
        <w:rPr>
          <w:rFonts w:eastAsia="Arial"/>
        </w:rPr>
      </w:pPr>
      <w:r w:rsidRPr="00D95061">
        <w:rPr>
          <w:rFonts w:eastAsia="Arial"/>
        </w:rPr>
        <w:t xml:space="preserve">The area-wide licence </w:t>
      </w:r>
      <w:r w:rsidR="00393637" w:rsidRPr="00D95061">
        <w:rPr>
          <w:rFonts w:eastAsia="Arial"/>
        </w:rPr>
        <w:t xml:space="preserve">(AWL) </w:t>
      </w:r>
      <w:r w:rsidRPr="00D95061">
        <w:rPr>
          <w:rFonts w:eastAsia="Arial"/>
        </w:rPr>
        <w:t xml:space="preserve">type is </w:t>
      </w:r>
      <w:r w:rsidRPr="009A6C9C">
        <w:rPr>
          <w:rFonts w:eastAsia="Arial"/>
        </w:rPr>
        <w:t>a transmitter licence type introduced in response to changes in technology and requests from spectrum users for additional flexibility within the apparatus licensing system. Currently the charges associated with the issue and variation of AWLs are categorised as:</w:t>
      </w:r>
    </w:p>
    <w:p w14:paraId="4136521A" w14:textId="23E37871" w:rsidR="00611B2E" w:rsidRPr="009A6C9C" w:rsidRDefault="00611B2E" w:rsidP="00127F88">
      <w:pPr>
        <w:pStyle w:val="Bulletlevel1"/>
        <w:keepNext/>
        <w:keepLines/>
        <w:rPr>
          <w:rFonts w:eastAsia="Arial"/>
          <w:b/>
          <w:bCs/>
        </w:rPr>
      </w:pPr>
      <w:r w:rsidRPr="009A6C9C">
        <w:rPr>
          <w:rFonts w:eastAsia="Arial"/>
          <w:b/>
          <w:bCs/>
        </w:rPr>
        <w:t xml:space="preserve">FSS-only AWL: </w:t>
      </w:r>
      <w:r w:rsidRPr="009A6C9C">
        <w:rPr>
          <w:rFonts w:eastAsia="Arial"/>
        </w:rPr>
        <w:t>an</w:t>
      </w:r>
      <w:r w:rsidRPr="009A6C9C">
        <w:rPr>
          <w:rFonts w:eastAsia="Arial"/>
          <w:b/>
          <w:bCs/>
        </w:rPr>
        <w:t xml:space="preserve"> </w:t>
      </w:r>
      <w:r w:rsidRPr="009A6C9C">
        <w:rPr>
          <w:rFonts w:eastAsia="Arial"/>
        </w:rPr>
        <w:t>AWL that includes a condition that only authorises the operation of a fixed earth station</w:t>
      </w:r>
    </w:p>
    <w:p w14:paraId="5BF88696" w14:textId="150ED761" w:rsidR="00611B2E" w:rsidRPr="009A6C9C" w:rsidRDefault="00393637" w:rsidP="00127F88">
      <w:pPr>
        <w:pStyle w:val="Bulletlevel1last"/>
        <w:keepNext/>
        <w:keepLines/>
        <w:rPr>
          <w:rFonts w:eastAsia="Arial"/>
        </w:rPr>
      </w:pPr>
      <w:r>
        <w:rPr>
          <w:rFonts w:eastAsia="Arial"/>
          <w:b/>
          <w:bCs/>
        </w:rPr>
        <w:t>s</w:t>
      </w:r>
      <w:r w:rsidR="00611B2E" w:rsidRPr="009A6C9C">
        <w:rPr>
          <w:rFonts w:eastAsia="Arial"/>
          <w:b/>
          <w:bCs/>
        </w:rPr>
        <w:t xml:space="preserve">tandard AWL: </w:t>
      </w:r>
      <w:r w:rsidR="00611B2E" w:rsidRPr="009A6C9C">
        <w:rPr>
          <w:rFonts w:eastAsia="Arial"/>
        </w:rPr>
        <w:t xml:space="preserve">an AWL that is not an FSS-only AWL. </w:t>
      </w:r>
    </w:p>
    <w:p w14:paraId="2AFD8F45" w14:textId="3B1B5AAB" w:rsidR="00A75598" w:rsidRPr="009A6C9C" w:rsidRDefault="00A75598" w:rsidP="001253E7">
      <w:pPr>
        <w:keepNext/>
        <w:keepLines/>
        <w:rPr>
          <w:rFonts w:eastAsia="Arial" w:cs="Arial"/>
          <w:szCs w:val="20"/>
        </w:rPr>
      </w:pPr>
      <w:r w:rsidRPr="009A6C9C">
        <w:rPr>
          <w:rFonts w:eastAsia="Arial" w:cs="Arial"/>
          <w:szCs w:val="20"/>
        </w:rPr>
        <w:t xml:space="preserve">The current charges associated with the issue of AWLs are defined in Table 4 of Part 2 of Schedule 1 to the </w:t>
      </w:r>
      <w:r w:rsidR="00BF2A72">
        <w:rPr>
          <w:rFonts w:eastAsia="Arial" w:cs="Arial"/>
          <w:szCs w:val="20"/>
        </w:rPr>
        <w:t xml:space="preserve">Radiocommunications </w:t>
      </w:r>
      <w:r w:rsidRPr="009A6C9C">
        <w:rPr>
          <w:rFonts w:eastAsia="Arial" w:cs="Arial"/>
          <w:szCs w:val="20"/>
        </w:rPr>
        <w:t xml:space="preserve">Determination. The charges associated with the variation of AWLs are set in Table 7 of Part 2 of Schedule 1 to the </w:t>
      </w:r>
      <w:r w:rsidR="00BF2A72">
        <w:rPr>
          <w:rFonts w:eastAsia="Arial" w:cs="Arial"/>
          <w:szCs w:val="20"/>
        </w:rPr>
        <w:t xml:space="preserve">Radiocommunications </w:t>
      </w:r>
      <w:r w:rsidRPr="009A6C9C">
        <w:rPr>
          <w:rFonts w:eastAsia="Arial" w:cs="Arial"/>
          <w:szCs w:val="20"/>
        </w:rPr>
        <w:t>Determination.</w:t>
      </w:r>
    </w:p>
    <w:p w14:paraId="053C914C" w14:textId="5EDC7E45" w:rsidR="00A75598" w:rsidRPr="00D95061" w:rsidRDefault="008C15CB" w:rsidP="00307A61">
      <w:pPr>
        <w:rPr>
          <w:rFonts w:eastAsia="Arial" w:cs="Arial"/>
          <w:szCs w:val="20"/>
        </w:rPr>
      </w:pPr>
      <w:r>
        <w:rPr>
          <w:rFonts w:eastAsia="Arial" w:cs="Arial"/>
          <w:szCs w:val="20"/>
        </w:rPr>
        <w:t xml:space="preserve">From March 2024, </w:t>
      </w:r>
      <w:r w:rsidR="003969DF">
        <w:rPr>
          <w:rFonts w:eastAsia="Arial" w:cs="Arial"/>
          <w:szCs w:val="20"/>
        </w:rPr>
        <w:t>w</w:t>
      </w:r>
      <w:r w:rsidR="00A75598" w:rsidRPr="009A6C9C">
        <w:rPr>
          <w:rFonts w:eastAsia="Arial" w:cs="Arial"/>
          <w:szCs w:val="20"/>
        </w:rPr>
        <w:t xml:space="preserve">e are proposing </w:t>
      </w:r>
      <w:r w:rsidR="00E859D0" w:rsidRPr="009A6C9C">
        <w:rPr>
          <w:rFonts w:eastAsia="Arial" w:cs="Arial"/>
          <w:szCs w:val="20"/>
        </w:rPr>
        <w:t xml:space="preserve">to </w:t>
      </w:r>
      <w:r w:rsidR="00A75598" w:rsidRPr="009A6C9C">
        <w:rPr>
          <w:rFonts w:eastAsia="Arial" w:cs="Arial"/>
          <w:szCs w:val="20"/>
        </w:rPr>
        <w:t>issue</w:t>
      </w:r>
      <w:r w:rsidR="0067497B" w:rsidRPr="009A6C9C">
        <w:rPr>
          <w:rFonts w:eastAsia="Arial" w:cs="Arial"/>
          <w:szCs w:val="20"/>
        </w:rPr>
        <w:t xml:space="preserve"> both AWLs and</w:t>
      </w:r>
      <w:r w:rsidR="00A75598" w:rsidRPr="009A6C9C">
        <w:rPr>
          <w:rFonts w:eastAsia="Arial" w:cs="Arial"/>
          <w:szCs w:val="20"/>
        </w:rPr>
        <w:t xml:space="preserve"> AWRLs in</w:t>
      </w:r>
      <w:r w:rsidR="00A75598" w:rsidRPr="00D95061">
        <w:rPr>
          <w:rFonts w:eastAsia="Arial" w:cs="Arial"/>
          <w:szCs w:val="20"/>
        </w:rPr>
        <w:t xml:space="preserve"> the upcoming allocation </w:t>
      </w:r>
      <w:r w:rsidR="00A75598">
        <w:rPr>
          <w:rFonts w:eastAsia="Arial" w:cs="Arial"/>
          <w:szCs w:val="20"/>
        </w:rPr>
        <w:t xml:space="preserve">process </w:t>
      </w:r>
      <w:r w:rsidR="00393637">
        <w:rPr>
          <w:rFonts w:eastAsia="Arial" w:cs="Arial"/>
          <w:szCs w:val="20"/>
        </w:rPr>
        <w:t>for</w:t>
      </w:r>
      <w:r w:rsidR="00393637" w:rsidRPr="00D95061">
        <w:rPr>
          <w:rFonts w:eastAsia="Arial" w:cs="Arial"/>
          <w:szCs w:val="20"/>
        </w:rPr>
        <w:t xml:space="preserve"> </w:t>
      </w:r>
      <w:r w:rsidR="00A75598">
        <w:rPr>
          <w:rFonts w:eastAsia="Arial" w:cs="Arial"/>
          <w:szCs w:val="20"/>
        </w:rPr>
        <w:t xml:space="preserve">apparatus licences in the </w:t>
      </w:r>
      <w:r w:rsidR="00A75598" w:rsidRPr="00D95061">
        <w:rPr>
          <w:rFonts w:eastAsia="Arial" w:cs="Arial"/>
          <w:szCs w:val="20"/>
        </w:rPr>
        <w:t xml:space="preserve">3.8 GHz band in metropolitan and regional areas </w:t>
      </w:r>
      <w:r w:rsidR="00307A61">
        <w:rPr>
          <w:rFonts w:eastAsia="Arial" w:cs="Arial"/>
          <w:szCs w:val="20"/>
        </w:rPr>
        <w:t xml:space="preserve">and </w:t>
      </w:r>
      <w:r w:rsidR="00A75598" w:rsidRPr="00D95061">
        <w:rPr>
          <w:rFonts w:eastAsia="Arial" w:cs="Arial"/>
          <w:szCs w:val="20"/>
        </w:rPr>
        <w:t xml:space="preserve">are proposing to introduce additional </w:t>
      </w:r>
      <w:r w:rsidR="00A75598">
        <w:rPr>
          <w:rFonts w:eastAsia="Arial" w:cs="Arial"/>
          <w:szCs w:val="20"/>
        </w:rPr>
        <w:t>charge</w:t>
      </w:r>
      <w:r w:rsidR="00DE1C41">
        <w:rPr>
          <w:rFonts w:eastAsia="Arial" w:cs="Arial"/>
          <w:szCs w:val="20"/>
        </w:rPr>
        <w:t>s</w:t>
      </w:r>
      <w:r w:rsidR="00A75598">
        <w:rPr>
          <w:rFonts w:eastAsia="Arial" w:cs="Arial"/>
          <w:szCs w:val="20"/>
        </w:rPr>
        <w:t xml:space="preserve"> </w:t>
      </w:r>
      <w:r w:rsidR="00393637">
        <w:rPr>
          <w:rFonts w:eastAsia="Arial" w:cs="Arial"/>
          <w:szCs w:val="20"/>
        </w:rPr>
        <w:t>for</w:t>
      </w:r>
      <w:r w:rsidR="00A75598">
        <w:rPr>
          <w:rFonts w:eastAsia="Arial" w:cs="Arial"/>
          <w:szCs w:val="20"/>
        </w:rPr>
        <w:t xml:space="preserve"> the issue of an </w:t>
      </w:r>
      <w:r w:rsidR="00A75598">
        <w:rPr>
          <w:rFonts w:eastAsia="Arial" w:cs="Arial"/>
          <w:szCs w:val="20"/>
        </w:rPr>
        <w:lastRenderedPageBreak/>
        <w:t>AWRL.</w:t>
      </w:r>
      <w:r w:rsidR="001F06AA">
        <w:rPr>
          <w:rFonts w:eastAsia="Arial" w:cs="Arial"/>
          <w:szCs w:val="20"/>
        </w:rPr>
        <w:t xml:space="preserve"> We are also intending to amend the charges for </w:t>
      </w:r>
      <w:r w:rsidR="00916CDB">
        <w:rPr>
          <w:rFonts w:eastAsia="Arial" w:cs="Arial"/>
          <w:szCs w:val="20"/>
        </w:rPr>
        <w:t xml:space="preserve">standard AWLs </w:t>
      </w:r>
      <w:r w:rsidR="00593D3A">
        <w:rPr>
          <w:rFonts w:eastAsia="Arial" w:cs="Arial"/>
          <w:szCs w:val="20"/>
        </w:rPr>
        <w:t xml:space="preserve">to </w:t>
      </w:r>
      <w:r w:rsidR="00D05983">
        <w:rPr>
          <w:rFonts w:eastAsia="Arial" w:cs="Arial"/>
          <w:szCs w:val="20"/>
        </w:rPr>
        <w:t>facili</w:t>
      </w:r>
      <w:r w:rsidR="007C198A">
        <w:rPr>
          <w:rFonts w:eastAsia="Arial" w:cs="Arial"/>
          <w:szCs w:val="20"/>
        </w:rPr>
        <w:t>tate</w:t>
      </w:r>
      <w:r w:rsidR="00593D3A">
        <w:rPr>
          <w:rFonts w:eastAsia="Arial" w:cs="Arial"/>
          <w:szCs w:val="20"/>
        </w:rPr>
        <w:t xml:space="preserve"> consistent </w:t>
      </w:r>
      <w:r w:rsidR="00D05983">
        <w:rPr>
          <w:rFonts w:eastAsia="Arial" w:cs="Arial"/>
          <w:szCs w:val="20"/>
        </w:rPr>
        <w:t>charges</w:t>
      </w:r>
      <w:r w:rsidR="00593D3A">
        <w:rPr>
          <w:rFonts w:eastAsia="Arial" w:cs="Arial"/>
          <w:szCs w:val="20"/>
        </w:rPr>
        <w:t xml:space="preserve"> between AWRLs and AWLs. </w:t>
      </w:r>
    </w:p>
    <w:p w14:paraId="7F9ECAC0" w14:textId="11BF1205" w:rsidR="00A75598" w:rsidRDefault="00A75598" w:rsidP="00A75598">
      <w:pPr>
        <w:rPr>
          <w:rFonts w:eastAsia="Arial" w:cs="Arial"/>
          <w:szCs w:val="20"/>
        </w:rPr>
      </w:pPr>
      <w:r>
        <w:rPr>
          <w:rFonts w:eastAsia="Arial" w:cs="Arial"/>
          <w:szCs w:val="20"/>
        </w:rPr>
        <w:t>A</w:t>
      </w:r>
      <w:r w:rsidRPr="00D95061">
        <w:rPr>
          <w:rFonts w:eastAsia="Arial" w:cs="Arial"/>
          <w:szCs w:val="20"/>
        </w:rPr>
        <w:t>pplicants</w:t>
      </w:r>
      <w:r>
        <w:rPr>
          <w:rFonts w:eastAsia="Arial" w:cs="Arial"/>
          <w:szCs w:val="20"/>
        </w:rPr>
        <w:t xml:space="preserve"> for AWRLs</w:t>
      </w:r>
      <w:r w:rsidRPr="00D95061">
        <w:rPr>
          <w:rFonts w:eastAsia="Arial" w:cs="Arial"/>
          <w:szCs w:val="20"/>
        </w:rPr>
        <w:t xml:space="preserve"> will </w:t>
      </w:r>
      <w:r>
        <w:rPr>
          <w:rFonts w:eastAsia="Arial" w:cs="Arial"/>
          <w:szCs w:val="20"/>
        </w:rPr>
        <w:t>have to pay a</w:t>
      </w:r>
      <w:r w:rsidRPr="00D95061">
        <w:rPr>
          <w:rFonts w:eastAsia="Arial" w:cs="Arial"/>
          <w:szCs w:val="20"/>
        </w:rPr>
        <w:t xml:space="preserve"> charge for </w:t>
      </w:r>
      <w:r>
        <w:rPr>
          <w:rFonts w:eastAsia="Arial" w:cs="Arial"/>
          <w:szCs w:val="20"/>
        </w:rPr>
        <w:t xml:space="preserve">consideration of an application for </w:t>
      </w:r>
      <w:r w:rsidRPr="00D95061">
        <w:rPr>
          <w:rFonts w:eastAsia="Arial" w:cs="Arial"/>
          <w:szCs w:val="20"/>
        </w:rPr>
        <w:t xml:space="preserve">an </w:t>
      </w:r>
      <w:r w:rsidRPr="00127F88">
        <w:rPr>
          <w:rFonts w:eastAsia="Arial" w:cs="Arial"/>
          <w:szCs w:val="20"/>
        </w:rPr>
        <w:t>AWRL</w:t>
      </w:r>
      <w:r w:rsidRPr="00D95061">
        <w:rPr>
          <w:rFonts w:eastAsia="Arial" w:cs="Arial"/>
          <w:b/>
          <w:bCs/>
          <w:szCs w:val="20"/>
        </w:rPr>
        <w:t xml:space="preserve"> </w:t>
      </w:r>
      <w:r w:rsidRPr="00D95061">
        <w:rPr>
          <w:rFonts w:eastAsia="Arial" w:cs="Arial"/>
          <w:szCs w:val="20"/>
        </w:rPr>
        <w:t xml:space="preserve">(see </w:t>
      </w:r>
      <w:r w:rsidR="00DE1C41">
        <w:rPr>
          <w:rFonts w:eastAsia="Arial" w:cs="Arial"/>
          <w:szCs w:val="20"/>
        </w:rPr>
        <w:t>T</w:t>
      </w:r>
      <w:r w:rsidRPr="00D95061">
        <w:rPr>
          <w:rFonts w:eastAsia="Arial" w:cs="Arial"/>
          <w:szCs w:val="20"/>
        </w:rPr>
        <w:t xml:space="preserve">able </w:t>
      </w:r>
      <w:r w:rsidR="00D37BB5">
        <w:rPr>
          <w:rFonts w:eastAsia="Arial" w:cs="Arial"/>
          <w:szCs w:val="20"/>
        </w:rPr>
        <w:t>4</w:t>
      </w:r>
      <w:r w:rsidRPr="00D95061">
        <w:rPr>
          <w:rFonts w:eastAsia="Arial" w:cs="Arial"/>
          <w:szCs w:val="20"/>
        </w:rPr>
        <w:t>). If the application is contested</w:t>
      </w:r>
      <w:r>
        <w:rPr>
          <w:rFonts w:eastAsia="Arial" w:cs="Arial"/>
          <w:szCs w:val="20"/>
        </w:rPr>
        <w:t xml:space="preserve"> as part of an ‘application window’ process</w:t>
      </w:r>
      <w:r w:rsidRPr="00D95061">
        <w:rPr>
          <w:rFonts w:eastAsia="Arial" w:cs="Arial"/>
          <w:szCs w:val="20"/>
        </w:rPr>
        <w:t>, the</w:t>
      </w:r>
      <w:r w:rsidR="00393637">
        <w:rPr>
          <w:rFonts w:eastAsia="Arial" w:cs="Arial"/>
          <w:szCs w:val="20"/>
        </w:rPr>
        <w:t>re will be</w:t>
      </w:r>
      <w:r w:rsidRPr="00D95061">
        <w:rPr>
          <w:rFonts w:eastAsia="Arial" w:cs="Arial"/>
          <w:szCs w:val="20"/>
        </w:rPr>
        <w:t xml:space="preserve"> a</w:t>
      </w:r>
      <w:r>
        <w:rPr>
          <w:rFonts w:eastAsia="Arial" w:cs="Arial"/>
          <w:szCs w:val="20"/>
        </w:rPr>
        <w:t xml:space="preserve">n additional charge to </w:t>
      </w:r>
      <w:r w:rsidRPr="00D95061">
        <w:rPr>
          <w:rFonts w:eastAsia="Arial" w:cs="Arial"/>
          <w:szCs w:val="20"/>
        </w:rPr>
        <w:t>cost recover</w:t>
      </w:r>
      <w:r>
        <w:rPr>
          <w:rFonts w:eastAsia="Arial" w:cs="Arial"/>
          <w:szCs w:val="20"/>
        </w:rPr>
        <w:t xml:space="preserve"> the additional activities </w:t>
      </w:r>
      <w:r w:rsidR="00475DF1">
        <w:rPr>
          <w:rFonts w:eastAsia="Arial" w:cs="Arial"/>
          <w:szCs w:val="20"/>
        </w:rPr>
        <w:t>(</w:t>
      </w:r>
      <w:r w:rsidR="00475DF1" w:rsidRPr="00D95061">
        <w:rPr>
          <w:rFonts w:eastAsia="Arial" w:cs="Arial"/>
          <w:szCs w:val="20"/>
        </w:rPr>
        <w:t>assess</w:t>
      </w:r>
      <w:r w:rsidR="00475DF1">
        <w:rPr>
          <w:rFonts w:eastAsia="Arial" w:cs="Arial"/>
          <w:szCs w:val="20"/>
        </w:rPr>
        <w:t>ing</w:t>
      </w:r>
      <w:r w:rsidR="00475DF1" w:rsidRPr="00D95061">
        <w:rPr>
          <w:rFonts w:eastAsia="Arial" w:cs="Arial"/>
          <w:szCs w:val="20"/>
        </w:rPr>
        <w:t xml:space="preserve"> the application against applications made </w:t>
      </w:r>
      <w:r w:rsidR="00475DF1">
        <w:rPr>
          <w:rFonts w:eastAsia="Arial" w:cs="Arial"/>
          <w:szCs w:val="20"/>
        </w:rPr>
        <w:t xml:space="preserve">for a standard AWL or another AWRL) </w:t>
      </w:r>
      <w:r>
        <w:rPr>
          <w:rFonts w:eastAsia="Arial" w:cs="Arial"/>
          <w:szCs w:val="20"/>
        </w:rPr>
        <w:t xml:space="preserve">undertaken by </w:t>
      </w:r>
      <w:r w:rsidRPr="00D95061">
        <w:rPr>
          <w:rFonts w:eastAsia="Arial" w:cs="Arial"/>
          <w:szCs w:val="20"/>
        </w:rPr>
        <w:t>the ACMA.</w:t>
      </w:r>
      <w:r>
        <w:rPr>
          <w:rFonts w:eastAsia="Arial" w:cs="Arial"/>
          <w:szCs w:val="20"/>
        </w:rPr>
        <w:t xml:space="preserve"> </w:t>
      </w:r>
    </w:p>
    <w:p w14:paraId="6F9B6260" w14:textId="7D0484DB" w:rsidR="00821395" w:rsidRPr="0004324D" w:rsidRDefault="00095407" w:rsidP="001720CB">
      <w:r w:rsidRPr="00FE2EE7">
        <w:t>The</w:t>
      </w:r>
      <w:r w:rsidR="00583612">
        <w:t xml:space="preserve"> new</w:t>
      </w:r>
      <w:r w:rsidRPr="00FE2EE7">
        <w:t xml:space="preserve"> issue </w:t>
      </w:r>
      <w:r w:rsidR="00A43624">
        <w:t xml:space="preserve">and variation </w:t>
      </w:r>
      <w:r w:rsidRPr="00FE2EE7">
        <w:t>charge</w:t>
      </w:r>
      <w:r w:rsidR="00A43624">
        <w:t>s</w:t>
      </w:r>
      <w:r w:rsidRPr="00FE2EE7">
        <w:t xml:space="preserve"> for the AWRL </w:t>
      </w:r>
      <w:r w:rsidR="00A35304">
        <w:t>are</w:t>
      </w:r>
      <w:r w:rsidRPr="00FE2EE7">
        <w:t xml:space="preserve"> the same as the existing charge</w:t>
      </w:r>
      <w:r w:rsidR="00A35304">
        <w:t>s</w:t>
      </w:r>
      <w:r w:rsidRPr="00FE2EE7">
        <w:t xml:space="preserve"> </w:t>
      </w:r>
      <w:r>
        <w:t xml:space="preserve">for a </w:t>
      </w:r>
      <w:r w:rsidR="00475DF1">
        <w:t>s</w:t>
      </w:r>
      <w:r>
        <w:t>tandard</w:t>
      </w:r>
      <w:r w:rsidRPr="00FE2EE7">
        <w:t xml:space="preserve"> AWL, as both licence types are substantially similar and the </w:t>
      </w:r>
      <w:r>
        <w:t xml:space="preserve">activities and associated </w:t>
      </w:r>
      <w:r w:rsidRPr="00FE2EE7">
        <w:t xml:space="preserve">costs of </w:t>
      </w:r>
      <w:r>
        <w:t xml:space="preserve">assessing </w:t>
      </w:r>
      <w:r w:rsidRPr="00FE2EE7">
        <w:t xml:space="preserve">applications are </w:t>
      </w:r>
      <w:r>
        <w:t>equivalent</w:t>
      </w:r>
      <w:r w:rsidRPr="00FE2EE7">
        <w:t>.</w:t>
      </w:r>
      <w:r>
        <w:t xml:space="preserve"> </w:t>
      </w:r>
    </w:p>
    <w:p w14:paraId="2A042A5C" w14:textId="4E4C1018" w:rsidR="00821395" w:rsidRDefault="009B03F8" w:rsidP="00821395">
      <w:pPr>
        <w:pStyle w:val="Tableheading0"/>
        <w:numPr>
          <w:ilvl w:val="0"/>
          <w:numId w:val="7"/>
        </w:numPr>
      </w:pPr>
      <w:r>
        <w:t xml:space="preserve">Proposed </w:t>
      </w:r>
      <w:r w:rsidR="008E3710">
        <w:t>charges</w:t>
      </w:r>
      <w:r w:rsidR="00193699">
        <w:t xml:space="preserve"> relating to the issue </w:t>
      </w:r>
      <w:r w:rsidR="00633419">
        <w:t>and variation</w:t>
      </w:r>
      <w:r w:rsidR="00193699">
        <w:t xml:space="preserve"> of an AWRL</w:t>
      </w:r>
      <w:r w:rsidR="00724113">
        <w:t xml:space="preserve"> from March 2024</w:t>
      </w:r>
    </w:p>
    <w:tbl>
      <w:tblPr>
        <w:tblW w:w="8497" w:type="dxa"/>
        <w:tblBorders>
          <w:top w:val="outset" w:sz="6" w:space="0" w:color="auto"/>
          <w:left w:val="outset" w:sz="6" w:space="0" w:color="auto"/>
          <w:bottom w:val="outset" w:sz="6" w:space="0" w:color="auto"/>
          <w:right w:val="outset" w:sz="6" w:space="0" w:color="auto"/>
        </w:tblBorders>
        <w:tblCellMar>
          <w:top w:w="85" w:type="dxa"/>
          <w:left w:w="57" w:type="dxa"/>
          <w:bottom w:w="85" w:type="dxa"/>
          <w:right w:w="57" w:type="dxa"/>
        </w:tblCellMar>
        <w:tblLook w:val="04A0" w:firstRow="1" w:lastRow="0" w:firstColumn="1" w:lastColumn="0" w:noHBand="0" w:noVBand="1"/>
      </w:tblPr>
      <w:tblGrid>
        <w:gridCol w:w="558"/>
        <w:gridCol w:w="1426"/>
        <w:gridCol w:w="3820"/>
        <w:gridCol w:w="2693"/>
      </w:tblGrid>
      <w:tr w:rsidR="00AC754A" w:rsidRPr="00AC754A" w14:paraId="7323ED5B" w14:textId="77777777" w:rsidTr="00B21DEC">
        <w:trPr>
          <w:trHeight w:val="296"/>
        </w:trPr>
        <w:tc>
          <w:tcPr>
            <w:tcW w:w="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tcPr>
          <w:p w14:paraId="502BF275" w14:textId="1E7B9E67" w:rsidR="00AC754A" w:rsidRPr="005F5E05" w:rsidRDefault="00AC754A" w:rsidP="005F5E05">
            <w:pPr>
              <w:spacing w:after="0"/>
              <w:rPr>
                <w:b/>
                <w:bCs/>
                <w:color w:val="FFFFFF" w:themeColor="background1"/>
              </w:rPr>
            </w:pPr>
            <w:r w:rsidRPr="005F5E05">
              <w:rPr>
                <w:b/>
                <w:bCs/>
                <w:color w:val="FFFFFF" w:themeColor="background1"/>
              </w:rPr>
              <w:t>Ref</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tcPr>
          <w:p w14:paraId="4101599B" w14:textId="55ECB64B" w:rsidR="00AC754A" w:rsidRPr="005F5E05" w:rsidRDefault="00AC754A" w:rsidP="005F5E05">
            <w:pPr>
              <w:spacing w:after="0"/>
              <w:rPr>
                <w:b/>
                <w:bCs/>
                <w:color w:val="FFFFFF" w:themeColor="background1"/>
              </w:rPr>
            </w:pPr>
            <w:r w:rsidRPr="005F5E05">
              <w:rPr>
                <w:b/>
                <w:bCs/>
                <w:color w:val="FFFFFF" w:themeColor="background1"/>
              </w:rPr>
              <w:t>Fee type</w:t>
            </w:r>
          </w:p>
        </w:tc>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tcPr>
          <w:p w14:paraId="6BD766BF" w14:textId="466C77CD" w:rsidR="00AC754A" w:rsidRPr="005F5E05" w:rsidRDefault="00AC754A" w:rsidP="005F5E05">
            <w:pPr>
              <w:spacing w:after="0"/>
              <w:rPr>
                <w:b/>
                <w:bCs/>
                <w:color w:val="FFFFFF" w:themeColor="background1"/>
              </w:rPr>
            </w:pPr>
            <w:r w:rsidRPr="005F5E05">
              <w:rPr>
                <w:b/>
                <w:bCs/>
                <w:color w:val="FFFFFF" w:themeColor="background1"/>
              </w:rPr>
              <w:t>Description</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tcPr>
          <w:p w14:paraId="418DAC9D" w14:textId="7A9D985F" w:rsidR="00AC754A" w:rsidRPr="005F5E05" w:rsidRDefault="00AC754A" w:rsidP="005F5E05">
            <w:pPr>
              <w:spacing w:after="0"/>
              <w:rPr>
                <w:b/>
                <w:bCs/>
                <w:color w:val="FFFFFF" w:themeColor="background1"/>
              </w:rPr>
            </w:pPr>
            <w:r w:rsidRPr="005F5E05">
              <w:rPr>
                <w:b/>
                <w:bCs/>
                <w:color w:val="FFFFFF" w:themeColor="background1"/>
              </w:rPr>
              <w:t>Fee</w:t>
            </w:r>
          </w:p>
        </w:tc>
      </w:tr>
      <w:tr w:rsidR="00AC754A" w:rsidRPr="00AC754A" w14:paraId="72717E53" w14:textId="77777777" w:rsidTr="00B21DEC">
        <w:trPr>
          <w:trHeight w:val="766"/>
        </w:trPr>
        <w:tc>
          <w:tcPr>
            <w:tcW w:w="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A7B26B" w14:textId="5CE35DDC" w:rsidR="00AC754A" w:rsidRPr="00AC754A" w:rsidRDefault="00AC754A" w:rsidP="005F5E05">
            <w:pPr>
              <w:spacing w:after="0"/>
            </w:pPr>
            <w:r w:rsidRPr="008E7879">
              <w:t>1</w:t>
            </w:r>
            <w:r w:rsidRPr="00AC754A">
              <w:t> </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74940D" w14:textId="5E9B70A7" w:rsidR="00AC754A" w:rsidRPr="00AC754A" w:rsidRDefault="005F5E05" w:rsidP="005F5E05">
            <w:pPr>
              <w:spacing w:after="0"/>
            </w:pPr>
            <w:r>
              <w:t>AWRL</w:t>
            </w:r>
            <w:r w:rsidR="00AC754A" w:rsidRPr="008E7879">
              <w:t> </w:t>
            </w:r>
            <w:r w:rsidR="00AC754A" w:rsidRPr="00AC754A">
              <w:t> </w:t>
            </w:r>
          </w:p>
        </w:tc>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9ADF07" w14:textId="53720173" w:rsidR="00AC754A" w:rsidRPr="005F5E05" w:rsidRDefault="003531FB" w:rsidP="005F5E05">
            <w:pPr>
              <w:spacing w:after="0"/>
              <w:rPr>
                <w:rFonts w:eastAsia="Arial" w:cs="Arial"/>
                <w:b/>
                <w:bCs/>
                <w:szCs w:val="20"/>
              </w:rPr>
            </w:pPr>
            <w:r w:rsidRPr="00D95061">
              <w:rPr>
                <w:rFonts w:eastAsia="Arial" w:cs="Arial"/>
                <w:szCs w:val="20"/>
              </w:rPr>
              <w:t>Considering an application for a</w:t>
            </w:r>
            <w:r>
              <w:rPr>
                <w:rFonts w:eastAsia="Arial" w:cs="Arial"/>
                <w:szCs w:val="20"/>
              </w:rPr>
              <w:t>n</w:t>
            </w:r>
            <w:r w:rsidRPr="00D95061">
              <w:rPr>
                <w:rFonts w:eastAsia="Arial" w:cs="Arial"/>
                <w:szCs w:val="20"/>
              </w:rPr>
              <w:t xml:space="preserve"> </w:t>
            </w:r>
            <w:r w:rsidR="005F5E05">
              <w:rPr>
                <w:rFonts w:eastAsia="Arial" w:cs="Arial"/>
                <w:szCs w:val="20"/>
              </w:rPr>
              <w:t>AWRL</w:t>
            </w:r>
            <w:r w:rsidRPr="00D95061">
              <w:rPr>
                <w:rFonts w:eastAsia="Arial" w:cs="Arial"/>
                <w:szCs w:val="20"/>
              </w:rPr>
              <w:t>, and issuing it (if applicable)</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6ADB72" w14:textId="38C9B11B" w:rsidR="00AC754A" w:rsidRPr="00AC754A" w:rsidRDefault="00AC754A" w:rsidP="001720CB">
            <w:pPr>
              <w:spacing w:after="0"/>
              <w:jc w:val="right"/>
            </w:pPr>
            <w:r w:rsidRPr="00AC754A">
              <w:t>$847</w:t>
            </w:r>
            <w:r w:rsidR="00A31F2C">
              <w:t>.00</w:t>
            </w:r>
            <w:r w:rsidRPr="00AC754A">
              <w:t> </w:t>
            </w:r>
          </w:p>
        </w:tc>
      </w:tr>
      <w:tr w:rsidR="00AC754A" w:rsidRPr="00AC754A" w14:paraId="6B8007E2" w14:textId="77777777" w:rsidTr="00B21DEC">
        <w:trPr>
          <w:trHeight w:val="296"/>
        </w:trPr>
        <w:tc>
          <w:tcPr>
            <w:tcW w:w="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FCA969" w14:textId="4B58EBD3" w:rsidR="00AC754A" w:rsidRPr="00AC754A" w:rsidRDefault="008527AA" w:rsidP="005F5E05">
            <w:pPr>
              <w:spacing w:after="0"/>
            </w:pPr>
            <w:r>
              <w:t>2</w:t>
            </w:r>
            <w:r w:rsidR="00AC754A" w:rsidRPr="00AC754A">
              <w:t> </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FBCB8D" w14:textId="0289F1FB" w:rsidR="00AC754A" w:rsidRPr="00AC754A" w:rsidRDefault="005F5E05" w:rsidP="005F5E05">
            <w:pPr>
              <w:spacing w:after="0"/>
            </w:pPr>
            <w:r>
              <w:t>A</w:t>
            </w:r>
            <w:r w:rsidR="00107493">
              <w:t>WR</w:t>
            </w:r>
            <w:r>
              <w:t xml:space="preserve">L </w:t>
            </w:r>
            <w:r w:rsidR="00AC754A" w:rsidRPr="008E7879">
              <w:t>– further charges</w:t>
            </w:r>
          </w:p>
        </w:tc>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CD916" w14:textId="2BDA2B9A" w:rsidR="00AC754A" w:rsidRPr="00AC754A" w:rsidRDefault="00AC754A" w:rsidP="005F5E05">
            <w:pPr>
              <w:spacing w:after="120"/>
            </w:pPr>
            <w:r w:rsidRPr="00AC754A">
              <w:t xml:space="preserve">Further charges related to processing an application for the issue of an </w:t>
            </w:r>
            <w:r w:rsidR="005F5E05">
              <w:t xml:space="preserve">AWRL </w:t>
            </w:r>
            <w:r w:rsidRPr="00AC754A">
              <w:t>(</w:t>
            </w:r>
            <w:r w:rsidRPr="008E7879">
              <w:rPr>
                <w:i/>
                <w:iCs/>
              </w:rPr>
              <w:t>the first application</w:t>
            </w:r>
            <w:r w:rsidRPr="008E7879">
              <w:t>)</w:t>
            </w:r>
            <w:r w:rsidR="00941FCE">
              <w:t>,</w:t>
            </w:r>
            <w:r w:rsidRPr="008E7879">
              <w:rPr>
                <w:i/>
                <w:iCs/>
              </w:rPr>
              <w:t xml:space="preserve"> </w:t>
            </w:r>
            <w:r w:rsidRPr="00AC754A">
              <w:t xml:space="preserve">where the ACMA is required to assess the first application against one or more other applications for a standard </w:t>
            </w:r>
            <w:r w:rsidR="00941FCE">
              <w:t>AWL</w:t>
            </w:r>
            <w:r w:rsidRPr="00AC754A">
              <w:t xml:space="preserve"> or </w:t>
            </w:r>
            <w:r w:rsidR="000D75E8">
              <w:t xml:space="preserve">for </w:t>
            </w:r>
            <w:r w:rsidRPr="00AC754A">
              <w:t xml:space="preserve">an </w:t>
            </w:r>
            <w:r w:rsidR="00941FCE">
              <w:t>AWRL</w:t>
            </w:r>
            <w:r w:rsidRPr="00AC754A">
              <w:t>  </w:t>
            </w:r>
          </w:p>
          <w:p w14:paraId="11ED3E21" w14:textId="24CF3879" w:rsidR="00AC754A" w:rsidRPr="00AC754A" w:rsidRDefault="00AC754A" w:rsidP="005F5E05">
            <w:pPr>
              <w:spacing w:after="0"/>
            </w:pPr>
            <w:r w:rsidRPr="00AC754A">
              <w:t>Note: If further charges are applicable, the ACMA will apportion the charge so that all applications that are assessed against each other will incur the same additional charge, determined using the hourly rate</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752EE9" w14:textId="30571157" w:rsidR="00AC754A" w:rsidRPr="00AC754A" w:rsidRDefault="00AC754A" w:rsidP="001720CB">
            <w:pPr>
              <w:spacing w:after="60"/>
              <w:jc w:val="right"/>
            </w:pPr>
            <w:r w:rsidRPr="00AC754A">
              <w:t xml:space="preserve">The amount </w:t>
            </w:r>
            <w:r w:rsidR="00F960DE">
              <w:t xml:space="preserve">is </w:t>
            </w:r>
            <w:r w:rsidR="00941FCE">
              <w:t>calculated</w:t>
            </w:r>
            <w:r w:rsidRPr="00AC754A">
              <w:t xml:space="preserve"> using the following formula: </w:t>
            </w:r>
          </w:p>
          <w:p w14:paraId="0B957FF5" w14:textId="57194C72" w:rsidR="00AC754A" w:rsidRPr="008E7879" w:rsidRDefault="00AC754A" w:rsidP="001720CB">
            <w:pPr>
              <w:spacing w:after="0"/>
              <w:contextualSpacing/>
              <w:jc w:val="right"/>
              <w:rPr>
                <w:u w:val="single"/>
              </w:rPr>
            </w:pPr>
            <w:r w:rsidRPr="008E7879">
              <w:rPr>
                <w:u w:val="single"/>
              </w:rPr>
              <w:t>THR</w:t>
            </w:r>
          </w:p>
          <w:p w14:paraId="48970EE5" w14:textId="4CC439E3" w:rsidR="005F5E05" w:rsidRDefault="00C84DB2" w:rsidP="001720CB">
            <w:pPr>
              <w:spacing w:after="60"/>
              <w:jc w:val="right"/>
            </w:pPr>
            <w:r>
              <w:t>N</w:t>
            </w:r>
          </w:p>
          <w:p w14:paraId="0A377641" w14:textId="34CD71E4" w:rsidR="00AC754A" w:rsidRPr="00AC754A" w:rsidRDefault="00AC754A" w:rsidP="001720CB">
            <w:pPr>
              <w:spacing w:after="60"/>
              <w:jc w:val="right"/>
            </w:pPr>
            <w:r w:rsidRPr="00AC754A">
              <w:t>where:</w:t>
            </w:r>
          </w:p>
          <w:p w14:paraId="0CC05ED4" w14:textId="2B6ECB05" w:rsidR="00AC754A" w:rsidRPr="00AC754A" w:rsidRDefault="00AC754A" w:rsidP="001720CB">
            <w:pPr>
              <w:spacing w:after="60"/>
              <w:jc w:val="right"/>
            </w:pPr>
            <w:r w:rsidRPr="008E7879">
              <w:rPr>
                <w:i/>
                <w:iCs/>
              </w:rPr>
              <w:t>THR</w:t>
            </w:r>
            <w:r w:rsidRPr="00AC754A">
              <w:t xml:space="preserve"> </w:t>
            </w:r>
            <w:r w:rsidR="00941FCE">
              <w:t>is</w:t>
            </w:r>
            <w:r w:rsidR="00941FCE" w:rsidRPr="00AC754A">
              <w:t xml:space="preserve"> </w:t>
            </w:r>
            <w:r w:rsidRPr="00AC754A">
              <w:t>the total hourly rate</w:t>
            </w:r>
            <w:r w:rsidR="00941FCE">
              <w:t xml:space="preserve"> (</w:t>
            </w:r>
            <w:r w:rsidRPr="00AC754A">
              <w:t xml:space="preserve">the hourly rate </w:t>
            </w:r>
            <w:r w:rsidR="00941FCE">
              <w:t xml:space="preserve">multiplied </w:t>
            </w:r>
            <w:r w:rsidRPr="00AC754A">
              <w:t>by the time taken to assess each of the first application and any other application against which the first application is assessed</w:t>
            </w:r>
            <w:r w:rsidR="00941FCE">
              <w:t>)</w:t>
            </w:r>
            <w:r w:rsidRPr="00AC754A">
              <w:t>;</w:t>
            </w:r>
          </w:p>
          <w:p w14:paraId="3FDBBA1F" w14:textId="7653168F" w:rsidR="00AC754A" w:rsidRPr="00AC754A" w:rsidRDefault="00AC754A" w:rsidP="001720CB">
            <w:pPr>
              <w:spacing w:after="0"/>
              <w:jc w:val="right"/>
            </w:pPr>
            <w:r w:rsidRPr="008E7879">
              <w:rPr>
                <w:i/>
                <w:iCs/>
              </w:rPr>
              <w:t>N</w:t>
            </w:r>
            <w:r w:rsidRPr="00AC754A" w:rsidDel="00941FCE">
              <w:t xml:space="preserve"> </w:t>
            </w:r>
            <w:r w:rsidR="00941FCE">
              <w:t>is</w:t>
            </w:r>
            <w:r w:rsidR="00941FCE" w:rsidRPr="00AC754A">
              <w:t xml:space="preserve"> </w:t>
            </w:r>
            <w:r w:rsidRPr="00AC754A">
              <w:t>the number of applications for the licence against which the first application is assessed</w:t>
            </w:r>
          </w:p>
        </w:tc>
      </w:tr>
      <w:tr w:rsidR="00593D3A" w:rsidRPr="00AC754A" w14:paraId="42087125" w14:textId="77777777" w:rsidTr="00B21DEC">
        <w:trPr>
          <w:trHeight w:val="296"/>
        </w:trPr>
        <w:tc>
          <w:tcPr>
            <w:tcW w:w="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AB8554" w14:textId="6031E97A" w:rsidR="00593D3A" w:rsidRDefault="00593D3A" w:rsidP="005F5E05">
            <w:pPr>
              <w:spacing w:after="0"/>
            </w:pPr>
            <w:r>
              <w:t>3</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6DB81" w14:textId="3A94EEBA" w:rsidR="00593D3A" w:rsidRPr="008E7879" w:rsidRDefault="00941FCE" w:rsidP="005F5E05">
            <w:pPr>
              <w:spacing w:after="0"/>
            </w:pPr>
            <w:r>
              <w:t>AWL</w:t>
            </w:r>
            <w:r w:rsidR="00C23C5D">
              <w:t xml:space="preserve"> – further charges </w:t>
            </w:r>
          </w:p>
        </w:tc>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FC498" w14:textId="6A802ACA" w:rsidR="00593D3A" w:rsidRPr="00D65B14" w:rsidRDefault="000E136A" w:rsidP="005F5E05">
            <w:pPr>
              <w:pStyle w:val="Paragraph"/>
              <w:spacing w:after="0"/>
              <w:rPr>
                <w:b/>
              </w:rPr>
            </w:pPr>
            <w:r>
              <w:t xml:space="preserve">The </w:t>
            </w:r>
            <w:r w:rsidR="00BF2A72">
              <w:t xml:space="preserve">Radiocommunications </w:t>
            </w:r>
            <w:r>
              <w:t xml:space="preserve">Determination already sets out a further charge </w:t>
            </w:r>
            <w:r w:rsidR="00941FCE">
              <w:t>when</w:t>
            </w:r>
            <w:r>
              <w:t xml:space="preserve"> an application for a standard AWL </w:t>
            </w:r>
            <w:proofErr w:type="gramStart"/>
            <w:r>
              <w:t>has to</w:t>
            </w:r>
            <w:proofErr w:type="gramEnd"/>
            <w:r>
              <w:t xml:space="preserve"> be assessed against one or more other applications for a standard AWL. The ACMA intends to amend this so that it also applies where the application for a standard AWL </w:t>
            </w:r>
            <w:proofErr w:type="gramStart"/>
            <w:r>
              <w:t>has to</w:t>
            </w:r>
            <w:proofErr w:type="gramEnd"/>
            <w:r>
              <w:t xml:space="preserve"> be assessed against one or more applications for an AWRL, in addition to any other applications for a standard AWL</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0CDAD8" w14:textId="7DE79D19" w:rsidR="00C8614B" w:rsidRDefault="00C8614B" w:rsidP="00113F67">
            <w:pPr>
              <w:spacing w:after="60"/>
              <w:jc w:val="right"/>
            </w:pPr>
            <w:r>
              <w:t xml:space="preserve">The amount is </w:t>
            </w:r>
            <w:r w:rsidR="00941FCE">
              <w:t>calculated</w:t>
            </w:r>
            <w:r>
              <w:t xml:space="preserve"> using the </w:t>
            </w:r>
            <w:r w:rsidRPr="00C126B6">
              <w:t>following</w:t>
            </w:r>
            <w:r>
              <w:t xml:space="preserve"> formula: </w:t>
            </w:r>
          </w:p>
          <w:p w14:paraId="0C347FAA" w14:textId="77777777" w:rsidR="00C8614B" w:rsidRPr="00D65B14" w:rsidRDefault="00C8614B" w:rsidP="001720CB">
            <w:pPr>
              <w:spacing w:after="0" w:line="240" w:lineRule="auto"/>
              <w:ind w:left="720" w:firstLine="48"/>
              <w:contextualSpacing/>
              <w:jc w:val="right"/>
              <w:rPr>
                <w:u w:val="single"/>
              </w:rPr>
            </w:pPr>
            <w:r w:rsidRPr="00D65B14">
              <w:rPr>
                <w:u w:val="single"/>
              </w:rPr>
              <w:t>THR</w:t>
            </w:r>
          </w:p>
          <w:p w14:paraId="55126583" w14:textId="77777777" w:rsidR="00C8614B" w:rsidRPr="00D65B14" w:rsidRDefault="00C8614B" w:rsidP="001720CB">
            <w:pPr>
              <w:spacing w:after="0" w:line="240" w:lineRule="auto"/>
              <w:ind w:left="720" w:firstLine="189"/>
              <w:contextualSpacing/>
              <w:jc w:val="right"/>
            </w:pPr>
            <w:r w:rsidRPr="00D65B14">
              <w:t xml:space="preserve"> N</w:t>
            </w:r>
          </w:p>
          <w:p w14:paraId="3DCD3ABE" w14:textId="77777777" w:rsidR="00C8614B" w:rsidRDefault="00C8614B" w:rsidP="00113F67">
            <w:pPr>
              <w:spacing w:after="60"/>
              <w:jc w:val="right"/>
            </w:pPr>
            <w:r>
              <w:t xml:space="preserve">where: </w:t>
            </w:r>
          </w:p>
          <w:p w14:paraId="055350EF" w14:textId="391DE61F" w:rsidR="00C8614B" w:rsidRDefault="00C8614B" w:rsidP="001720CB">
            <w:pPr>
              <w:pStyle w:val="Paragraph"/>
              <w:spacing w:after="0"/>
              <w:jc w:val="right"/>
            </w:pPr>
            <w:r w:rsidRPr="00D65B14">
              <w:rPr>
                <w:i/>
              </w:rPr>
              <w:t>THR</w:t>
            </w:r>
            <w:r>
              <w:t xml:space="preserve"> </w:t>
            </w:r>
            <w:r w:rsidR="00941FCE">
              <w:t xml:space="preserve">is </w:t>
            </w:r>
            <w:r>
              <w:t>the total hourly rate</w:t>
            </w:r>
            <w:r w:rsidR="00941FCE">
              <w:t xml:space="preserve"> (</w:t>
            </w:r>
            <w:r>
              <w:t xml:space="preserve">the hourly rate </w:t>
            </w:r>
            <w:r w:rsidR="00941FCE">
              <w:t xml:space="preserve">multiplied </w:t>
            </w:r>
            <w:r>
              <w:t xml:space="preserve">by the time taken to assess each of the first application and any other application against which the first application is assessed; </w:t>
            </w:r>
          </w:p>
          <w:p w14:paraId="4FE5E82A" w14:textId="69327EE0" w:rsidR="00593D3A" w:rsidRPr="00AC754A" w:rsidRDefault="00C8614B" w:rsidP="001720CB">
            <w:pPr>
              <w:pStyle w:val="Paragraph"/>
              <w:spacing w:after="0"/>
              <w:jc w:val="right"/>
            </w:pPr>
            <w:r w:rsidRPr="00D65B14">
              <w:rPr>
                <w:i/>
              </w:rPr>
              <w:lastRenderedPageBreak/>
              <w:t>N</w:t>
            </w:r>
            <w:r w:rsidDel="00941FCE">
              <w:t xml:space="preserve"> </w:t>
            </w:r>
            <w:r w:rsidR="00941FCE">
              <w:t xml:space="preserve">is </w:t>
            </w:r>
            <w:r>
              <w:t>the number of applications for the licence against which the first application is assessed</w:t>
            </w:r>
          </w:p>
        </w:tc>
      </w:tr>
      <w:tr w:rsidR="0027047F" w:rsidRPr="00AC754A" w14:paraId="0F611296" w14:textId="77777777" w:rsidTr="00B21DEC">
        <w:trPr>
          <w:trHeight w:val="296"/>
        </w:trPr>
        <w:tc>
          <w:tcPr>
            <w:tcW w:w="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175816" w14:textId="69CEC7E3" w:rsidR="0027047F" w:rsidRDefault="00593D3A" w:rsidP="005F5E05">
            <w:pPr>
              <w:spacing w:after="0"/>
            </w:pPr>
            <w:r>
              <w:lastRenderedPageBreak/>
              <w:t>4</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9AFDFD" w14:textId="668A62EB" w:rsidR="0027047F" w:rsidRPr="0027047F" w:rsidRDefault="00941FCE" w:rsidP="005F5E05">
            <w:pPr>
              <w:spacing w:after="0"/>
            </w:pPr>
            <w:r>
              <w:t>AWRL</w:t>
            </w:r>
            <w:r w:rsidR="00E47EAE">
              <w:t xml:space="preserve"> – varying licence conditions</w:t>
            </w:r>
          </w:p>
        </w:tc>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0E9D03" w14:textId="0E527C91" w:rsidR="0027047F" w:rsidRPr="00AC754A" w:rsidRDefault="00083E0C" w:rsidP="005F5E05">
            <w:pPr>
              <w:spacing w:after="0"/>
            </w:pPr>
            <w:r>
              <w:t xml:space="preserve">Considering an application under section 111 of the </w:t>
            </w:r>
            <w:r w:rsidRPr="001720CB">
              <w:t>Radiocommunications Act</w:t>
            </w:r>
            <w:r>
              <w:t xml:space="preserve"> to vary the condition of an </w:t>
            </w:r>
            <w:r w:rsidR="00941FCE">
              <w:t>AWRL</w:t>
            </w:r>
            <w:r w:rsidR="00004747">
              <w:t xml:space="preserve"> (and varying it if applicable).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AA6E94" w14:textId="1B925731" w:rsidR="0027047F" w:rsidRPr="00AC754A" w:rsidRDefault="00004747" w:rsidP="001720CB">
            <w:pPr>
              <w:spacing w:after="0"/>
              <w:jc w:val="right"/>
            </w:pPr>
            <w:r>
              <w:t>$847</w:t>
            </w:r>
            <w:r w:rsidR="008A097B">
              <w:t>.00</w:t>
            </w:r>
            <w:r>
              <w:t xml:space="preserve"> </w:t>
            </w:r>
          </w:p>
        </w:tc>
      </w:tr>
    </w:tbl>
    <w:p w14:paraId="778562C1" w14:textId="77777777" w:rsidR="00941FCE" w:rsidRDefault="00941FCE" w:rsidP="00990553">
      <w:pPr>
        <w:pStyle w:val="Paragraph"/>
        <w:spacing w:after="0"/>
      </w:pPr>
    </w:p>
    <w:p w14:paraId="44D755B2" w14:textId="35FF5115" w:rsidR="006758AA" w:rsidRPr="00990553" w:rsidRDefault="00D24BB8" w:rsidP="00077600">
      <w:pPr>
        <w:pStyle w:val="Paragraph"/>
        <w:rPr>
          <w:b/>
        </w:rPr>
      </w:pPr>
      <w:r w:rsidRPr="00990553">
        <w:rPr>
          <w:b/>
        </w:rPr>
        <w:t xml:space="preserve">Please </w:t>
      </w:r>
      <w:r w:rsidRPr="00077600">
        <w:rPr>
          <w:b/>
          <w:bCs/>
        </w:rPr>
        <w:t>note</w:t>
      </w:r>
      <w:r w:rsidR="001720CB" w:rsidRPr="00077600">
        <w:rPr>
          <w:b/>
          <w:bCs/>
        </w:rPr>
        <w:t>:</w:t>
      </w:r>
      <w:r w:rsidRPr="00077600">
        <w:rPr>
          <w:b/>
          <w:bCs/>
        </w:rPr>
        <w:t xml:space="preserve"> the </w:t>
      </w:r>
      <w:r w:rsidR="000174D5" w:rsidRPr="00077600">
        <w:rPr>
          <w:b/>
          <w:bCs/>
        </w:rPr>
        <w:t xml:space="preserve">above </w:t>
      </w:r>
      <w:r w:rsidRPr="00077600">
        <w:rPr>
          <w:b/>
          <w:bCs/>
        </w:rPr>
        <w:t xml:space="preserve">proposed charges to amateur radio and AWRLs are not reflected in </w:t>
      </w:r>
      <w:r w:rsidR="00442C3E" w:rsidRPr="00077600">
        <w:rPr>
          <w:b/>
          <w:bCs/>
        </w:rPr>
        <w:t xml:space="preserve">Appendix </w:t>
      </w:r>
      <w:r w:rsidRPr="00077600">
        <w:rPr>
          <w:b/>
          <w:bCs/>
        </w:rPr>
        <w:t>A</w:t>
      </w:r>
      <w:r w:rsidR="00797522" w:rsidRPr="00077600">
        <w:rPr>
          <w:b/>
          <w:bCs/>
        </w:rPr>
        <w:t xml:space="preserve"> of </w:t>
      </w:r>
      <w:r w:rsidR="00797522" w:rsidRPr="00990553">
        <w:rPr>
          <w:b/>
        </w:rPr>
        <w:t>this CRIS</w:t>
      </w:r>
      <w:r w:rsidRPr="00990553">
        <w:rPr>
          <w:b/>
        </w:rPr>
        <w:t>.</w:t>
      </w:r>
      <w:bookmarkStart w:id="89" w:name="_Radiocommunications_related_fees"/>
      <w:bookmarkStart w:id="90" w:name="_Toc400965234"/>
      <w:bookmarkStart w:id="91" w:name="_Toc107236658"/>
      <w:bookmarkStart w:id="92" w:name="_Toc135817047"/>
      <w:bookmarkEnd w:id="89"/>
    </w:p>
    <w:p w14:paraId="2EDAE0B3" w14:textId="31F2A602" w:rsidR="00504BF3" w:rsidRPr="00DF1CB8" w:rsidRDefault="00504BF3" w:rsidP="00D65B14">
      <w:pPr>
        <w:pStyle w:val="Heading1"/>
        <w:spacing w:after="80" w:line="240" w:lineRule="auto"/>
        <w:contextualSpacing/>
      </w:pPr>
      <w:bookmarkStart w:id="93" w:name="_Toc143267710"/>
      <w:r w:rsidRPr="00EE33D1">
        <w:lastRenderedPageBreak/>
        <w:t>4.</w:t>
      </w:r>
      <w:r w:rsidRPr="00EE33D1">
        <w:tab/>
        <w:t>Risk assessment</w:t>
      </w:r>
      <w:bookmarkEnd w:id="90"/>
      <w:bookmarkEnd w:id="91"/>
      <w:bookmarkEnd w:id="92"/>
      <w:bookmarkEnd w:id="93"/>
    </w:p>
    <w:p w14:paraId="18A661A6" w14:textId="27679CFC" w:rsidR="00FE23B9" w:rsidRPr="00FE23B9" w:rsidRDefault="00FE23B9" w:rsidP="00FE23B9">
      <w:pPr>
        <w:rPr>
          <w:rFonts w:cs="Arial"/>
        </w:rPr>
      </w:pPr>
      <w:r w:rsidRPr="00FE23B9">
        <w:rPr>
          <w:rFonts w:cs="Arial"/>
        </w:rPr>
        <w:t xml:space="preserve">The ACMA has carried out a risk assessment for this cost recovery arrangement during the review process, based on the assessment of the criteria in the </w:t>
      </w:r>
      <w:hyperlink r:id="rId28" w:history="1">
        <w:r w:rsidRPr="00B17C81">
          <w:rPr>
            <w:rStyle w:val="Hyperlink"/>
            <w:rFonts w:cs="Arial"/>
          </w:rPr>
          <w:t>Charging Risk Assessment</w:t>
        </w:r>
      </w:hyperlink>
      <w:r w:rsidR="00B17C81">
        <w:rPr>
          <w:rFonts w:cs="Arial"/>
        </w:rPr>
        <w:t>.</w:t>
      </w:r>
    </w:p>
    <w:p w14:paraId="7937C2BB" w14:textId="457515AF" w:rsidR="00FA64BA" w:rsidRDefault="00FE23B9" w:rsidP="00106818">
      <w:pPr>
        <w:rPr>
          <w:rFonts w:cs="Arial"/>
        </w:rPr>
      </w:pPr>
      <w:r w:rsidRPr="00FE23B9">
        <w:rPr>
          <w:rFonts w:cs="Arial"/>
        </w:rPr>
        <w:t xml:space="preserve">The overall rating given to this cost recovery arrangement </w:t>
      </w:r>
      <w:r w:rsidR="000A3DCC">
        <w:rPr>
          <w:rFonts w:cs="Arial"/>
        </w:rPr>
        <w:t>is</w:t>
      </w:r>
      <w:r w:rsidRPr="00FE23B9">
        <w:rPr>
          <w:rFonts w:cs="Arial"/>
        </w:rPr>
        <w:t xml:space="preserve"> </w:t>
      </w:r>
      <w:r w:rsidR="0043729B">
        <w:rPr>
          <w:rFonts w:cs="Arial"/>
        </w:rPr>
        <w:t>low</w:t>
      </w:r>
      <w:r w:rsidRPr="00FE10F8">
        <w:rPr>
          <w:rFonts w:cs="Arial"/>
        </w:rPr>
        <w:t>.</w:t>
      </w:r>
      <w:r w:rsidRPr="00FE23B9">
        <w:rPr>
          <w:rFonts w:cs="Arial"/>
        </w:rPr>
        <w:t xml:space="preserve"> The type of cost recovery charges are fees only. There are no complexities involved with this charging mechanism as the fees for the services will continue to be charged using the current methodology</w:t>
      </w:r>
      <w:r w:rsidR="003E2839">
        <w:rPr>
          <w:rFonts w:cs="Arial"/>
        </w:rPr>
        <w:t xml:space="preserve"> </w:t>
      </w:r>
      <w:r w:rsidR="0075782B">
        <w:rPr>
          <w:rFonts w:cs="Arial"/>
        </w:rPr>
        <w:t xml:space="preserve">as outlined in </w:t>
      </w:r>
      <w:r w:rsidR="00AA0FD0">
        <w:rPr>
          <w:rFonts w:cs="Arial"/>
        </w:rPr>
        <w:t>section 3.2</w:t>
      </w:r>
      <w:r w:rsidR="00904496">
        <w:rPr>
          <w:rFonts w:cs="Arial"/>
        </w:rPr>
        <w:t>: Costs of performing ACMA activities</w:t>
      </w:r>
      <w:r w:rsidR="00AA0FD0">
        <w:rPr>
          <w:rFonts w:cs="Arial"/>
        </w:rPr>
        <w:t xml:space="preserve"> and </w:t>
      </w:r>
      <w:r w:rsidR="002A7A79">
        <w:rPr>
          <w:rFonts w:cs="Arial"/>
        </w:rPr>
        <w:t xml:space="preserve">section </w:t>
      </w:r>
      <w:r w:rsidR="00AA0FD0">
        <w:rPr>
          <w:rFonts w:cs="Arial"/>
        </w:rPr>
        <w:t>3.3</w:t>
      </w:r>
      <w:r w:rsidR="00904496">
        <w:rPr>
          <w:rFonts w:cs="Arial"/>
        </w:rPr>
        <w:t xml:space="preserve">: </w:t>
      </w:r>
      <w:r w:rsidR="002A7A79">
        <w:rPr>
          <w:rFonts w:cs="Arial"/>
        </w:rPr>
        <w:t>Design of cost recovery fees</w:t>
      </w:r>
      <w:r w:rsidR="00E47A67">
        <w:rPr>
          <w:rFonts w:cs="Arial"/>
        </w:rPr>
        <w:t>,</w:t>
      </w:r>
      <w:r w:rsidR="00AA0FD0">
        <w:rPr>
          <w:rFonts w:cs="Arial"/>
        </w:rPr>
        <w:t xml:space="preserve"> of th</w:t>
      </w:r>
      <w:r w:rsidR="00E47A67">
        <w:rPr>
          <w:rFonts w:cs="Arial"/>
        </w:rPr>
        <w:t>is</w:t>
      </w:r>
      <w:r w:rsidR="00AA0FD0">
        <w:rPr>
          <w:rFonts w:cs="Arial"/>
        </w:rPr>
        <w:t xml:space="preserve"> CRIS</w:t>
      </w:r>
      <w:r w:rsidRPr="00FE23B9">
        <w:rPr>
          <w:rFonts w:cs="Arial"/>
        </w:rPr>
        <w:t>. The</w:t>
      </w:r>
      <w:r w:rsidR="00087AFB">
        <w:rPr>
          <w:rFonts w:cs="Arial"/>
        </w:rPr>
        <w:t xml:space="preserve">re is </w:t>
      </w:r>
      <w:r w:rsidR="00511E69">
        <w:rPr>
          <w:rFonts w:cs="Arial"/>
        </w:rPr>
        <w:t xml:space="preserve">minimal or </w:t>
      </w:r>
      <w:r w:rsidR="00087AFB">
        <w:rPr>
          <w:rFonts w:cs="Arial"/>
        </w:rPr>
        <w:t>no</w:t>
      </w:r>
      <w:r w:rsidRPr="00FE23B9">
        <w:rPr>
          <w:rFonts w:cs="Arial"/>
        </w:rPr>
        <w:t xml:space="preserve"> </w:t>
      </w:r>
      <w:r w:rsidR="00DB0BA5">
        <w:rPr>
          <w:rFonts w:cs="Arial"/>
        </w:rPr>
        <w:t>change</w:t>
      </w:r>
      <w:r w:rsidR="00CF6997">
        <w:rPr>
          <w:rFonts w:cs="Arial"/>
        </w:rPr>
        <w:t xml:space="preserve"> estimated</w:t>
      </w:r>
      <w:r w:rsidR="00DB0BA5">
        <w:rPr>
          <w:rFonts w:cs="Arial"/>
        </w:rPr>
        <w:t xml:space="preserve"> </w:t>
      </w:r>
      <w:r w:rsidRPr="00FE23B9">
        <w:rPr>
          <w:rFonts w:cs="Arial"/>
        </w:rPr>
        <w:t xml:space="preserve">in the total </w:t>
      </w:r>
      <w:r w:rsidRPr="00FA64BA">
        <w:rPr>
          <w:rFonts w:cs="Arial"/>
        </w:rPr>
        <w:t xml:space="preserve">annual </w:t>
      </w:r>
      <w:r w:rsidRPr="00FE23B9">
        <w:rPr>
          <w:rFonts w:cs="Arial"/>
        </w:rPr>
        <w:t>revenue for the activities</w:t>
      </w:r>
      <w:r w:rsidR="003E79A7">
        <w:rPr>
          <w:rFonts w:cs="Arial"/>
        </w:rPr>
        <w:t xml:space="preserve">. </w:t>
      </w:r>
      <w:r w:rsidRPr="00FE23B9">
        <w:rPr>
          <w:rFonts w:cs="Arial"/>
        </w:rPr>
        <w:t xml:space="preserve"> </w:t>
      </w:r>
    </w:p>
    <w:p w14:paraId="72E39EA1" w14:textId="77777777" w:rsidR="00504BF3" w:rsidRPr="00DF1CB8" w:rsidRDefault="00504BF3" w:rsidP="00504BF3">
      <w:pPr>
        <w:pStyle w:val="Heading1"/>
      </w:pPr>
      <w:bookmarkStart w:id="94" w:name="_Toc400965235"/>
      <w:bookmarkStart w:id="95" w:name="_Toc107236659"/>
      <w:bookmarkStart w:id="96" w:name="_Toc135817048"/>
      <w:bookmarkStart w:id="97" w:name="_Toc143267711"/>
      <w:r w:rsidRPr="00DF1CB8">
        <w:lastRenderedPageBreak/>
        <w:t>5</w:t>
      </w:r>
      <w:r>
        <w:t>.</w:t>
      </w:r>
      <w:r w:rsidRPr="00DF1CB8">
        <w:tab/>
        <w:t>Stakeholder engagement</w:t>
      </w:r>
      <w:bookmarkEnd w:id="94"/>
      <w:bookmarkEnd w:id="95"/>
      <w:bookmarkEnd w:id="96"/>
      <w:bookmarkEnd w:id="97"/>
    </w:p>
    <w:p w14:paraId="4023E0A0" w14:textId="520DEC52" w:rsidR="00A67E5F" w:rsidRPr="0052419D" w:rsidRDefault="00ED08B6" w:rsidP="00245D26">
      <w:pPr>
        <w:rPr>
          <w:rFonts w:cs="Arial"/>
          <w:lang w:val="en-US"/>
        </w:rPr>
      </w:pPr>
      <w:r>
        <w:rPr>
          <w:rFonts w:cs="Arial"/>
        </w:rPr>
        <w:t xml:space="preserve">We </w:t>
      </w:r>
      <w:r w:rsidR="00557BE8" w:rsidRPr="0052419D">
        <w:rPr>
          <w:rFonts w:cs="Arial"/>
          <w:lang w:val="en-US"/>
        </w:rPr>
        <w:t xml:space="preserve">published a draft CRIS on </w:t>
      </w:r>
      <w:r>
        <w:rPr>
          <w:rFonts w:cs="Arial"/>
          <w:lang w:val="en-US"/>
        </w:rPr>
        <w:t>our</w:t>
      </w:r>
      <w:r w:rsidRPr="0052419D">
        <w:rPr>
          <w:rFonts w:cs="Arial"/>
          <w:lang w:val="en-US"/>
        </w:rPr>
        <w:t xml:space="preserve"> </w:t>
      </w:r>
      <w:r w:rsidR="00557BE8" w:rsidRPr="0052419D">
        <w:rPr>
          <w:rFonts w:cs="Arial"/>
          <w:lang w:val="en-US"/>
        </w:rPr>
        <w:t xml:space="preserve">website </w:t>
      </w:r>
      <w:r>
        <w:rPr>
          <w:rFonts w:cs="Arial"/>
          <w:lang w:val="en-US"/>
        </w:rPr>
        <w:t xml:space="preserve">from </w:t>
      </w:r>
      <w:r w:rsidRPr="0052419D">
        <w:rPr>
          <w:rFonts w:cs="Arial"/>
        </w:rPr>
        <w:t>5 June to 7 July 2023</w:t>
      </w:r>
      <w:r>
        <w:rPr>
          <w:rFonts w:cs="Arial"/>
        </w:rPr>
        <w:t xml:space="preserve"> </w:t>
      </w:r>
      <w:r w:rsidR="00557BE8" w:rsidRPr="0052419D">
        <w:rPr>
          <w:rFonts w:cs="Arial"/>
          <w:lang w:val="en-US"/>
        </w:rPr>
        <w:t>and sought comments</w:t>
      </w:r>
      <w:r w:rsidR="00557BE8" w:rsidRPr="0052419D" w:rsidDel="003F66D2">
        <w:rPr>
          <w:rFonts w:cs="Arial"/>
        </w:rPr>
        <w:t xml:space="preserve"> </w:t>
      </w:r>
      <w:r w:rsidR="00557BE8" w:rsidRPr="0052419D">
        <w:rPr>
          <w:rFonts w:cs="Arial"/>
        </w:rPr>
        <w:t>from</w:t>
      </w:r>
      <w:r w:rsidR="00A67E5F" w:rsidRPr="0052419D">
        <w:rPr>
          <w:rFonts w:cs="Arial"/>
        </w:rPr>
        <w:t xml:space="preserve"> telecommunications carriers and CSPs, broadcasters, radiocommunications licensees and industry associations</w:t>
      </w:r>
      <w:r w:rsidR="00557BE8" w:rsidRPr="0052419D">
        <w:rPr>
          <w:rFonts w:cs="Arial"/>
        </w:rPr>
        <w:t xml:space="preserve">, as part of the consultation process. </w:t>
      </w:r>
    </w:p>
    <w:p w14:paraId="63F6208D" w14:textId="238A9CC9" w:rsidR="000934AD" w:rsidRPr="0052419D" w:rsidRDefault="00ED08B6" w:rsidP="00245D26">
      <w:pPr>
        <w:rPr>
          <w:rFonts w:cs="Arial"/>
          <w:lang w:val="en-US"/>
        </w:rPr>
      </w:pPr>
      <w:r>
        <w:rPr>
          <w:rFonts w:cs="Arial"/>
          <w:lang w:val="en-US"/>
        </w:rPr>
        <w:t>We</w:t>
      </w:r>
      <w:r w:rsidR="005B1A43" w:rsidRPr="0052419D">
        <w:rPr>
          <w:rFonts w:cs="Arial"/>
          <w:lang w:val="en-US"/>
        </w:rPr>
        <w:t xml:space="preserve"> received 5 submissions: </w:t>
      </w:r>
      <w:r>
        <w:rPr>
          <w:rFonts w:cs="Arial"/>
          <w:lang w:val="en-US"/>
        </w:rPr>
        <w:t>4</w:t>
      </w:r>
      <w:r w:rsidRPr="0052419D">
        <w:rPr>
          <w:rFonts w:cs="Arial"/>
          <w:lang w:val="en-US"/>
        </w:rPr>
        <w:t xml:space="preserve"> </w:t>
      </w:r>
      <w:r w:rsidR="005B1A43" w:rsidRPr="0052419D">
        <w:rPr>
          <w:rFonts w:cs="Arial"/>
          <w:lang w:val="en-US"/>
        </w:rPr>
        <w:t xml:space="preserve">from </w:t>
      </w:r>
      <w:r w:rsidR="004C629F" w:rsidRPr="0052419D">
        <w:rPr>
          <w:rFonts w:cs="Arial"/>
          <w:lang w:val="en-US"/>
        </w:rPr>
        <w:t>members of the publ</w:t>
      </w:r>
      <w:r w:rsidR="00CA5899" w:rsidRPr="0052419D">
        <w:rPr>
          <w:rFonts w:cs="Arial"/>
          <w:lang w:val="en-US"/>
        </w:rPr>
        <w:t xml:space="preserve">ic </w:t>
      </w:r>
      <w:r w:rsidR="00033BCB" w:rsidRPr="0052419D">
        <w:rPr>
          <w:rFonts w:cs="Arial"/>
          <w:lang w:val="en-US"/>
        </w:rPr>
        <w:t xml:space="preserve">and </w:t>
      </w:r>
      <w:r>
        <w:rPr>
          <w:rFonts w:cs="Arial"/>
          <w:lang w:val="en-US"/>
        </w:rPr>
        <w:t>1</w:t>
      </w:r>
      <w:r w:rsidRPr="0052419D">
        <w:rPr>
          <w:rFonts w:cs="Arial"/>
          <w:lang w:val="en-US"/>
        </w:rPr>
        <w:t xml:space="preserve"> </w:t>
      </w:r>
      <w:r w:rsidR="00033BCB" w:rsidRPr="0052419D">
        <w:rPr>
          <w:rFonts w:cs="Arial"/>
          <w:lang w:val="en-US"/>
        </w:rPr>
        <w:t>from the Internet Association of Australia.</w:t>
      </w:r>
    </w:p>
    <w:p w14:paraId="7661F50B" w14:textId="3F7D4FD3" w:rsidR="00060173" w:rsidRPr="0052419D" w:rsidRDefault="00060173" w:rsidP="00C150BE">
      <w:pPr>
        <w:pStyle w:val="Paragraphbeforelist"/>
        <w:rPr>
          <w:lang w:val="en-US"/>
        </w:rPr>
      </w:pPr>
      <w:r w:rsidRPr="0052419D">
        <w:rPr>
          <w:lang w:val="en-US"/>
        </w:rPr>
        <w:t>Some of the key issues raised in their submissions were:</w:t>
      </w:r>
    </w:p>
    <w:p w14:paraId="05A38B20" w14:textId="0127BDA6" w:rsidR="00492939" w:rsidRPr="0052419D" w:rsidRDefault="00492939" w:rsidP="00ED08B6">
      <w:pPr>
        <w:pStyle w:val="Bulletlevel1"/>
        <w:rPr>
          <w:lang w:val="en-US"/>
        </w:rPr>
      </w:pPr>
      <w:r w:rsidRPr="0052419D">
        <w:rPr>
          <w:lang w:val="en-US"/>
        </w:rPr>
        <w:t>concerns relating to the fees for amateur proficiency examinations</w:t>
      </w:r>
      <w:r w:rsidR="00156CAB" w:rsidRPr="0052419D">
        <w:rPr>
          <w:lang w:val="en-US"/>
        </w:rPr>
        <w:t xml:space="preserve"> </w:t>
      </w:r>
      <w:r w:rsidR="009C66E7" w:rsidRPr="0052419D">
        <w:rPr>
          <w:lang w:val="en-US"/>
        </w:rPr>
        <w:t xml:space="preserve">and the </w:t>
      </w:r>
      <w:r w:rsidR="00156CAB" w:rsidRPr="00C150BE">
        <w:t>ambiguity</w:t>
      </w:r>
      <w:r w:rsidR="009C66E7" w:rsidRPr="0052419D">
        <w:rPr>
          <w:lang w:val="en-US"/>
        </w:rPr>
        <w:t xml:space="preserve"> around the relationship between the fees proposed in the CRIS and the </w:t>
      </w:r>
      <w:r w:rsidR="00A2019C" w:rsidRPr="0052419D">
        <w:rPr>
          <w:lang w:val="en-US"/>
        </w:rPr>
        <w:t>changes proposed to the class</w:t>
      </w:r>
      <w:r w:rsidR="00ED08B6">
        <w:rPr>
          <w:lang w:val="en-US"/>
        </w:rPr>
        <w:t>-</w:t>
      </w:r>
      <w:r w:rsidR="00A2019C" w:rsidRPr="0052419D">
        <w:rPr>
          <w:lang w:val="en-US"/>
        </w:rPr>
        <w:t xml:space="preserve">licensing </w:t>
      </w:r>
      <w:proofErr w:type="gramStart"/>
      <w:r w:rsidR="00A2019C" w:rsidRPr="0052419D">
        <w:rPr>
          <w:lang w:val="en-US"/>
        </w:rPr>
        <w:t>arrangements</w:t>
      </w:r>
      <w:proofErr w:type="gramEnd"/>
    </w:p>
    <w:p w14:paraId="465517C3" w14:textId="78F6DBFB" w:rsidR="00FE3B6B" w:rsidRPr="0052419D" w:rsidRDefault="00492939" w:rsidP="00FD5044">
      <w:pPr>
        <w:pStyle w:val="Bulletlevel1last"/>
        <w:rPr>
          <w:lang w:val="en-US"/>
        </w:rPr>
      </w:pPr>
      <w:r w:rsidRPr="0052419D">
        <w:rPr>
          <w:lang w:val="en-US"/>
        </w:rPr>
        <w:t xml:space="preserve">concerns that the draft </w:t>
      </w:r>
      <w:r w:rsidR="00ED08B6">
        <w:rPr>
          <w:lang w:val="en-US"/>
        </w:rPr>
        <w:t>f</w:t>
      </w:r>
      <w:r w:rsidRPr="0052419D">
        <w:rPr>
          <w:lang w:val="en-US"/>
        </w:rPr>
        <w:t xml:space="preserve">ees CRIS </w:t>
      </w:r>
      <w:r w:rsidR="00ED08B6">
        <w:rPr>
          <w:lang w:val="en-US"/>
        </w:rPr>
        <w:t>did</w:t>
      </w:r>
      <w:r w:rsidR="00ED08B6" w:rsidRPr="0052419D">
        <w:rPr>
          <w:lang w:val="en-US"/>
        </w:rPr>
        <w:t xml:space="preserve"> </w:t>
      </w:r>
      <w:r w:rsidRPr="0052419D">
        <w:rPr>
          <w:lang w:val="en-US"/>
        </w:rPr>
        <w:t xml:space="preserve">not provide </w:t>
      </w:r>
      <w:r w:rsidR="00510402" w:rsidRPr="0052419D">
        <w:rPr>
          <w:lang w:val="en-US"/>
        </w:rPr>
        <w:t xml:space="preserve">sufficient </w:t>
      </w:r>
      <w:r w:rsidRPr="0052419D">
        <w:rPr>
          <w:lang w:val="en-US"/>
        </w:rPr>
        <w:t>detail or information to facilitate understanding of the ACMA’s work and productivity to justify its fees</w:t>
      </w:r>
      <w:r w:rsidR="000E7E54" w:rsidRPr="005064FD">
        <w:rPr>
          <w:lang w:val="en-US"/>
        </w:rPr>
        <w:t>.</w:t>
      </w:r>
    </w:p>
    <w:p w14:paraId="7071362C" w14:textId="7925BFE8" w:rsidR="00B93071" w:rsidRDefault="00207E21" w:rsidP="003E76A7">
      <w:pPr>
        <w:rPr>
          <w:lang w:val="en-US"/>
        </w:rPr>
      </w:pPr>
      <w:r w:rsidRPr="0052419D">
        <w:rPr>
          <w:lang w:val="en-US"/>
        </w:rPr>
        <w:t xml:space="preserve">To help </w:t>
      </w:r>
      <w:r w:rsidR="00F6319A" w:rsidRPr="0052419D">
        <w:rPr>
          <w:lang w:val="en-US"/>
        </w:rPr>
        <w:t>address these concerns</w:t>
      </w:r>
      <w:r w:rsidR="00ED08B6">
        <w:rPr>
          <w:lang w:val="en-US"/>
        </w:rPr>
        <w:t xml:space="preserve">, we have </w:t>
      </w:r>
      <w:r w:rsidR="000E5834" w:rsidRPr="0052419D">
        <w:rPr>
          <w:lang w:val="en-US"/>
        </w:rPr>
        <w:t xml:space="preserve">updated </w:t>
      </w:r>
      <w:r w:rsidR="00ED08B6">
        <w:rPr>
          <w:lang w:val="en-US"/>
        </w:rPr>
        <w:t>th</w:t>
      </w:r>
      <w:r w:rsidR="00775236">
        <w:rPr>
          <w:lang w:val="en-US"/>
        </w:rPr>
        <w:t>is</w:t>
      </w:r>
      <w:r w:rsidR="00ED08B6" w:rsidRPr="0052419D">
        <w:rPr>
          <w:lang w:val="en-US"/>
        </w:rPr>
        <w:t xml:space="preserve"> </w:t>
      </w:r>
      <w:r w:rsidR="00D429BF" w:rsidRPr="0052419D">
        <w:rPr>
          <w:lang w:val="en-US"/>
        </w:rPr>
        <w:t xml:space="preserve">draft </w:t>
      </w:r>
      <w:r w:rsidR="000E5834" w:rsidRPr="0052419D">
        <w:rPr>
          <w:lang w:val="en-US"/>
        </w:rPr>
        <w:t xml:space="preserve">CRIS and </w:t>
      </w:r>
      <w:r w:rsidR="00ED08B6">
        <w:rPr>
          <w:lang w:val="en-US"/>
        </w:rPr>
        <w:t>are</w:t>
      </w:r>
      <w:r w:rsidR="00ED08B6" w:rsidRPr="0052419D">
        <w:rPr>
          <w:lang w:val="en-US"/>
        </w:rPr>
        <w:t xml:space="preserve"> </w:t>
      </w:r>
      <w:r w:rsidR="00286190" w:rsidRPr="005064FD">
        <w:rPr>
          <w:lang w:val="en-US"/>
        </w:rPr>
        <w:t>undertak</w:t>
      </w:r>
      <w:r w:rsidR="00ED08B6">
        <w:rPr>
          <w:lang w:val="en-US"/>
        </w:rPr>
        <w:t>ing</w:t>
      </w:r>
      <w:r w:rsidR="00286190" w:rsidRPr="005064FD">
        <w:rPr>
          <w:lang w:val="en-US"/>
        </w:rPr>
        <w:t xml:space="preserve"> further consultation</w:t>
      </w:r>
      <w:r w:rsidR="000E5834" w:rsidRPr="0052419D">
        <w:rPr>
          <w:lang w:val="en-US"/>
        </w:rPr>
        <w:t xml:space="preserve"> </w:t>
      </w:r>
      <w:r w:rsidR="00F6319A" w:rsidRPr="0052419D">
        <w:rPr>
          <w:lang w:val="en-US"/>
        </w:rPr>
        <w:t>to provide</w:t>
      </w:r>
      <w:r w:rsidR="00F6319A" w:rsidRPr="0052419D" w:rsidDel="003E76A7">
        <w:rPr>
          <w:lang w:val="en-US"/>
        </w:rPr>
        <w:t xml:space="preserve"> </w:t>
      </w:r>
      <w:r w:rsidR="00F6319A" w:rsidRPr="0052419D">
        <w:rPr>
          <w:lang w:val="en-US"/>
        </w:rPr>
        <w:t xml:space="preserve">more certainty around the </w:t>
      </w:r>
      <w:r w:rsidR="002C6675" w:rsidRPr="0052419D">
        <w:rPr>
          <w:lang w:val="en-US"/>
        </w:rPr>
        <w:t>charging arrangements</w:t>
      </w:r>
      <w:r w:rsidR="003E16E4" w:rsidRPr="005064FD">
        <w:rPr>
          <w:lang w:val="en-US"/>
        </w:rPr>
        <w:t xml:space="preserve">. </w:t>
      </w:r>
    </w:p>
    <w:p w14:paraId="30BF65C3" w14:textId="77777777" w:rsidR="00B93071" w:rsidRDefault="003E16E4" w:rsidP="003E76A7">
      <w:pPr>
        <w:rPr>
          <w:lang w:val="en-US"/>
        </w:rPr>
      </w:pPr>
      <w:r w:rsidRPr="005064FD">
        <w:rPr>
          <w:lang w:val="en-US"/>
        </w:rPr>
        <w:t xml:space="preserve">In addition, </w:t>
      </w:r>
      <w:r w:rsidR="00ED08B6">
        <w:rPr>
          <w:lang w:val="en-US"/>
        </w:rPr>
        <w:t>we are</w:t>
      </w:r>
      <w:r w:rsidR="00623DE8" w:rsidRPr="005064FD">
        <w:rPr>
          <w:lang w:val="en-US"/>
        </w:rPr>
        <w:t xml:space="preserve"> consulting on</w:t>
      </w:r>
      <w:r w:rsidR="00873016" w:rsidRPr="005064FD">
        <w:rPr>
          <w:lang w:val="en-US"/>
        </w:rPr>
        <w:t xml:space="preserve"> fees </w:t>
      </w:r>
      <w:r w:rsidR="00ED08B6">
        <w:rPr>
          <w:lang w:val="en-US"/>
        </w:rPr>
        <w:t>for</w:t>
      </w:r>
      <w:r w:rsidR="00873016" w:rsidRPr="005064FD">
        <w:rPr>
          <w:lang w:val="en-US"/>
        </w:rPr>
        <w:t xml:space="preserve"> the</w:t>
      </w:r>
      <w:r w:rsidR="002C6675" w:rsidRPr="0052419D">
        <w:rPr>
          <w:lang w:val="en-US"/>
        </w:rPr>
        <w:t xml:space="preserve"> proposed new qualification framework</w:t>
      </w:r>
      <w:r w:rsidR="00CD71D8" w:rsidRPr="005064FD">
        <w:rPr>
          <w:lang w:val="en-US"/>
        </w:rPr>
        <w:t>, call sign assignment</w:t>
      </w:r>
      <w:r w:rsidR="002C6675" w:rsidRPr="0052419D">
        <w:rPr>
          <w:lang w:val="en-US"/>
        </w:rPr>
        <w:t xml:space="preserve"> and accreditation scheme for amateur radio. </w:t>
      </w:r>
    </w:p>
    <w:p w14:paraId="5A36F459" w14:textId="682D0F52" w:rsidR="00FF08F2" w:rsidRPr="00EE51AE" w:rsidRDefault="00ED08B6" w:rsidP="003E76A7">
      <w:pPr>
        <w:rPr>
          <w:lang w:val="en-US"/>
        </w:rPr>
      </w:pPr>
      <w:r>
        <w:rPr>
          <w:lang w:val="en-US"/>
        </w:rPr>
        <w:t>We are</w:t>
      </w:r>
      <w:r w:rsidR="00CD71D8" w:rsidRPr="005064FD">
        <w:rPr>
          <w:lang w:val="en-US"/>
        </w:rPr>
        <w:t xml:space="preserve"> also proposing a change to</w:t>
      </w:r>
      <w:r w:rsidR="00E349DB" w:rsidRPr="005064FD">
        <w:rPr>
          <w:lang w:val="en-US"/>
        </w:rPr>
        <w:t xml:space="preserve"> the existing </w:t>
      </w:r>
      <w:r w:rsidR="004F3936" w:rsidRPr="0052419D">
        <w:rPr>
          <w:lang w:val="en-US"/>
        </w:rPr>
        <w:t xml:space="preserve">fees referred to and listed in </w:t>
      </w:r>
      <w:r w:rsidR="00CD71D8" w:rsidRPr="005064FD">
        <w:rPr>
          <w:lang w:val="en-US"/>
        </w:rPr>
        <w:t>items 4.</w:t>
      </w:r>
      <w:r w:rsidR="008C106E" w:rsidRPr="005064FD">
        <w:rPr>
          <w:lang w:val="en-US"/>
        </w:rPr>
        <w:t xml:space="preserve">1.1 to 4.1.3 of Table 1 of </w:t>
      </w:r>
      <w:r w:rsidR="004F3936" w:rsidRPr="0052419D">
        <w:rPr>
          <w:lang w:val="en-US"/>
        </w:rPr>
        <w:t xml:space="preserve">Part 4 of Schedule 1 </w:t>
      </w:r>
      <w:r w:rsidR="00113573" w:rsidRPr="005064FD">
        <w:rPr>
          <w:lang w:val="en-US"/>
        </w:rPr>
        <w:t>to</w:t>
      </w:r>
      <w:r w:rsidR="004F3936" w:rsidRPr="0052419D">
        <w:rPr>
          <w:lang w:val="en-US"/>
        </w:rPr>
        <w:t xml:space="preserve"> the </w:t>
      </w:r>
      <w:r w:rsidR="00BF2A72">
        <w:rPr>
          <w:lang w:val="en-US"/>
        </w:rPr>
        <w:t xml:space="preserve">Radiocommunications </w:t>
      </w:r>
      <w:r w:rsidR="004F3936" w:rsidRPr="0052419D">
        <w:rPr>
          <w:lang w:val="en-US"/>
        </w:rPr>
        <w:t>Determination</w:t>
      </w:r>
      <w:r w:rsidR="00113573" w:rsidRPr="005064FD">
        <w:rPr>
          <w:lang w:val="en-US"/>
        </w:rPr>
        <w:t>, which</w:t>
      </w:r>
      <w:r w:rsidR="004F3936" w:rsidRPr="0052419D">
        <w:rPr>
          <w:lang w:val="en-US"/>
        </w:rPr>
        <w:t xml:space="preserve"> relate to the ACMA conducting examination</w:t>
      </w:r>
      <w:r w:rsidR="00EB5039" w:rsidRPr="005064FD">
        <w:rPr>
          <w:lang w:val="en-US"/>
        </w:rPr>
        <w:t>s</w:t>
      </w:r>
      <w:r w:rsidR="004F3936" w:rsidRPr="0052419D">
        <w:rPr>
          <w:lang w:val="en-US"/>
        </w:rPr>
        <w:t xml:space="preserve"> of specified kind</w:t>
      </w:r>
      <w:r w:rsidR="00EB5039" w:rsidRPr="005064FD">
        <w:rPr>
          <w:lang w:val="en-US"/>
        </w:rPr>
        <w:t>s</w:t>
      </w:r>
      <w:r w:rsidR="004F3936" w:rsidRPr="0052419D">
        <w:rPr>
          <w:lang w:val="en-US"/>
        </w:rPr>
        <w:t xml:space="preserve"> </w:t>
      </w:r>
      <w:r>
        <w:rPr>
          <w:lang w:val="en-US"/>
        </w:rPr>
        <w:t>for</w:t>
      </w:r>
      <w:r w:rsidR="004F3936" w:rsidRPr="0052419D">
        <w:rPr>
          <w:lang w:val="en-US"/>
        </w:rPr>
        <w:t xml:space="preserve"> amateur radio.</w:t>
      </w:r>
      <w:r w:rsidR="008C106E" w:rsidRPr="005064FD">
        <w:rPr>
          <w:lang w:val="en-US"/>
        </w:rPr>
        <w:t xml:space="preserve"> </w:t>
      </w:r>
    </w:p>
    <w:p w14:paraId="2F64E1C7" w14:textId="5C0C8959" w:rsidR="00DF433A" w:rsidRPr="00EE51AE" w:rsidRDefault="00AD565A" w:rsidP="005D42F8">
      <w:pPr>
        <w:rPr>
          <w:lang w:val="en-US"/>
        </w:rPr>
      </w:pPr>
      <w:r w:rsidRPr="00EE51AE">
        <w:rPr>
          <w:lang w:val="en-US"/>
        </w:rPr>
        <w:t>Proposed f</w:t>
      </w:r>
      <w:r w:rsidR="006420A0" w:rsidRPr="00EE51AE">
        <w:rPr>
          <w:lang w:val="en-US"/>
        </w:rPr>
        <w:t xml:space="preserve">ees for the </w:t>
      </w:r>
      <w:r w:rsidR="00AF38AD" w:rsidRPr="00EE51AE">
        <w:rPr>
          <w:lang w:val="en-US"/>
        </w:rPr>
        <w:t>new amateur radio qualification framework and call sign arrangements</w:t>
      </w:r>
      <w:r w:rsidR="00AF38AD" w:rsidRPr="00EE51AE" w:rsidDel="00FF08F2">
        <w:rPr>
          <w:lang w:val="en-US"/>
        </w:rPr>
        <w:t xml:space="preserve"> </w:t>
      </w:r>
      <w:r w:rsidR="00177A8C" w:rsidRPr="00EE51AE">
        <w:rPr>
          <w:lang w:val="en-US"/>
        </w:rPr>
        <w:t xml:space="preserve">are outlined in </w:t>
      </w:r>
      <w:r w:rsidR="0096792F" w:rsidRPr="00EE51AE">
        <w:rPr>
          <w:lang w:val="en-US"/>
        </w:rPr>
        <w:t xml:space="preserve">Table 3 </w:t>
      </w:r>
      <w:r w:rsidR="00177A8C" w:rsidRPr="00EE51AE">
        <w:rPr>
          <w:lang w:val="en-US"/>
        </w:rPr>
        <w:t>of this CRIS.</w:t>
      </w:r>
    </w:p>
    <w:p w14:paraId="2C7542F4" w14:textId="2687AEC5" w:rsidR="00132AE6" w:rsidRDefault="00132AE6" w:rsidP="005D42F8">
      <w:pPr>
        <w:rPr>
          <w:lang w:val="en-US"/>
        </w:rPr>
      </w:pPr>
      <w:r w:rsidRPr="00EE51AE">
        <w:rPr>
          <w:lang w:val="en-US"/>
        </w:rPr>
        <w:t>We note IAA</w:t>
      </w:r>
      <w:r w:rsidR="00FD1436" w:rsidRPr="00EE51AE" w:rsidDel="00E435F2">
        <w:rPr>
          <w:lang w:val="en-US"/>
        </w:rPr>
        <w:t xml:space="preserve"> </w:t>
      </w:r>
      <w:r w:rsidR="00E435F2" w:rsidRPr="00EE51AE">
        <w:rPr>
          <w:lang w:val="en-US"/>
        </w:rPr>
        <w:t xml:space="preserve">requested additional disclosure in relation to </w:t>
      </w:r>
      <w:r w:rsidR="00713E4E" w:rsidRPr="00EE51AE">
        <w:rPr>
          <w:lang w:val="en-US"/>
        </w:rPr>
        <w:t>ACMA’s</w:t>
      </w:r>
      <w:r w:rsidR="004D0F63" w:rsidRPr="00EE51AE">
        <w:rPr>
          <w:lang w:val="en-US"/>
        </w:rPr>
        <w:t xml:space="preserve"> revenue and related expenses in Table </w:t>
      </w:r>
      <w:r w:rsidR="005B6DCE">
        <w:rPr>
          <w:lang w:val="en-US"/>
        </w:rPr>
        <w:t>6</w:t>
      </w:r>
      <w:r w:rsidR="004D0F63" w:rsidRPr="00EE51AE">
        <w:rPr>
          <w:lang w:val="en-US"/>
        </w:rPr>
        <w:t xml:space="preserve">, under section 7A. </w:t>
      </w:r>
      <w:r w:rsidR="009C36D2">
        <w:rPr>
          <w:lang w:val="en-US"/>
        </w:rPr>
        <w:t>We have</w:t>
      </w:r>
      <w:r w:rsidR="004D0F63" w:rsidRPr="00EE51AE">
        <w:rPr>
          <w:lang w:val="en-US"/>
        </w:rPr>
        <w:t xml:space="preserve"> updated th</w:t>
      </w:r>
      <w:r w:rsidR="00FD46EA">
        <w:rPr>
          <w:lang w:val="en-US"/>
        </w:rPr>
        <w:t>is</w:t>
      </w:r>
      <w:r w:rsidR="004D0F63" w:rsidRPr="00EE51AE">
        <w:rPr>
          <w:lang w:val="en-US"/>
        </w:rPr>
        <w:t xml:space="preserve"> </w:t>
      </w:r>
      <w:r w:rsidR="00B736D4" w:rsidRPr="00EE51AE">
        <w:rPr>
          <w:lang w:val="en-US"/>
        </w:rPr>
        <w:t>CRIS</w:t>
      </w:r>
      <w:r w:rsidR="00FD1436" w:rsidRPr="00EE51AE">
        <w:rPr>
          <w:lang w:val="en-US"/>
        </w:rPr>
        <w:t xml:space="preserve"> </w:t>
      </w:r>
      <w:r w:rsidR="008C5B46" w:rsidRPr="00EE51AE">
        <w:rPr>
          <w:lang w:val="en-US"/>
        </w:rPr>
        <w:t xml:space="preserve">to provide </w:t>
      </w:r>
      <w:r w:rsidR="004D0F63" w:rsidRPr="00EE51AE">
        <w:rPr>
          <w:lang w:val="en-US"/>
        </w:rPr>
        <w:t xml:space="preserve">further </w:t>
      </w:r>
      <w:r w:rsidR="00B736D4" w:rsidRPr="00EE51AE">
        <w:rPr>
          <w:lang w:val="en-US"/>
        </w:rPr>
        <w:t>commentary</w:t>
      </w:r>
      <w:r w:rsidR="004D0F63" w:rsidRPr="00EE51AE">
        <w:rPr>
          <w:lang w:val="en-US"/>
        </w:rPr>
        <w:t xml:space="preserve"> </w:t>
      </w:r>
      <w:r w:rsidR="003362F0" w:rsidRPr="00EE51AE">
        <w:rPr>
          <w:lang w:val="en-US"/>
        </w:rPr>
        <w:t>on the</w:t>
      </w:r>
      <w:r w:rsidR="00BC041B" w:rsidRPr="00EE51AE">
        <w:rPr>
          <w:lang w:val="en-US"/>
        </w:rPr>
        <w:t xml:space="preserve"> breakdown of the actual cost recovery revenue and </w:t>
      </w:r>
      <w:r w:rsidR="004D0F63" w:rsidRPr="00EE51AE">
        <w:rPr>
          <w:lang w:val="en-US"/>
        </w:rPr>
        <w:t xml:space="preserve">the corresponding </w:t>
      </w:r>
      <w:r w:rsidR="00BC041B" w:rsidRPr="00EE51AE">
        <w:rPr>
          <w:lang w:val="en-US"/>
        </w:rPr>
        <w:t xml:space="preserve">expenses set out in Table </w:t>
      </w:r>
      <w:r w:rsidR="00CE6228">
        <w:rPr>
          <w:lang w:val="en-US"/>
        </w:rPr>
        <w:t>6</w:t>
      </w:r>
      <w:r w:rsidR="00BC041B" w:rsidRPr="00EE51AE">
        <w:rPr>
          <w:lang w:val="en-US"/>
        </w:rPr>
        <w:t xml:space="preserve"> under section 7A.</w:t>
      </w:r>
    </w:p>
    <w:p w14:paraId="345014EF" w14:textId="2D7C2189" w:rsidR="00504BF3" w:rsidRPr="00DF1CB8" w:rsidRDefault="00504BF3" w:rsidP="00504BF3">
      <w:pPr>
        <w:pStyle w:val="Heading1"/>
      </w:pPr>
      <w:bookmarkStart w:id="98" w:name="_Toc400965236"/>
      <w:bookmarkStart w:id="99" w:name="_Toc107236660"/>
      <w:bookmarkStart w:id="100" w:name="_Toc135817049"/>
      <w:bookmarkStart w:id="101" w:name="_Toc143267712"/>
      <w:r w:rsidRPr="00002662">
        <w:lastRenderedPageBreak/>
        <w:t>6.</w:t>
      </w:r>
      <w:r w:rsidRPr="00002662">
        <w:tab/>
        <w:t>Financial estimates</w:t>
      </w:r>
      <w:bookmarkEnd w:id="98"/>
      <w:bookmarkEnd w:id="99"/>
      <w:bookmarkEnd w:id="100"/>
      <w:bookmarkEnd w:id="101"/>
    </w:p>
    <w:p w14:paraId="7F3FD496" w14:textId="3E52FF56" w:rsidR="00504BF3" w:rsidRDefault="00504BF3" w:rsidP="00504BF3">
      <w:pPr>
        <w:rPr>
          <w:rFonts w:cs="Arial"/>
        </w:rPr>
      </w:pPr>
      <w:r w:rsidRPr="00DF1CB8">
        <w:rPr>
          <w:rFonts w:cs="Arial"/>
        </w:rPr>
        <w:t xml:space="preserve">Table </w:t>
      </w:r>
      <w:r w:rsidR="009A5EE9">
        <w:rPr>
          <w:rFonts w:cs="Arial"/>
        </w:rPr>
        <w:t>5</w:t>
      </w:r>
      <w:r w:rsidRPr="00DF1CB8">
        <w:rPr>
          <w:rFonts w:cs="Arial"/>
        </w:rPr>
        <w:t xml:space="preserve"> provides the estimated cost recovery revenue </w:t>
      </w:r>
      <w:r w:rsidR="003B09FF">
        <w:rPr>
          <w:rFonts w:cs="Arial"/>
        </w:rPr>
        <w:t xml:space="preserve">and expenses for the </w:t>
      </w:r>
      <w:r w:rsidR="00F619EC">
        <w:rPr>
          <w:rFonts w:cs="Arial"/>
        </w:rPr>
        <w:t>financial years</w:t>
      </w:r>
      <w:r w:rsidR="003B09FF">
        <w:rPr>
          <w:rFonts w:cs="Arial"/>
        </w:rPr>
        <w:t xml:space="preserve"> 20</w:t>
      </w:r>
      <w:r w:rsidR="001F6515">
        <w:rPr>
          <w:rFonts w:cs="Arial"/>
        </w:rPr>
        <w:t>2</w:t>
      </w:r>
      <w:r w:rsidR="008175B5">
        <w:rPr>
          <w:rFonts w:cs="Arial"/>
        </w:rPr>
        <w:t>3</w:t>
      </w:r>
      <w:r>
        <w:rPr>
          <w:rFonts w:cs="Arial"/>
        </w:rPr>
        <w:t>–</w:t>
      </w:r>
      <w:r w:rsidR="00245D26">
        <w:rPr>
          <w:rFonts w:cs="Arial"/>
        </w:rPr>
        <w:t>2</w:t>
      </w:r>
      <w:r w:rsidR="008175B5">
        <w:rPr>
          <w:rFonts w:cs="Arial"/>
        </w:rPr>
        <w:t>4</w:t>
      </w:r>
      <w:r w:rsidR="00245D26">
        <w:rPr>
          <w:rFonts w:cs="Arial"/>
        </w:rPr>
        <w:t xml:space="preserve"> to </w:t>
      </w:r>
      <w:r w:rsidR="003B09FF">
        <w:rPr>
          <w:rFonts w:cs="Arial"/>
        </w:rPr>
        <w:t>20</w:t>
      </w:r>
      <w:r w:rsidR="00245D26">
        <w:rPr>
          <w:rFonts w:cs="Arial"/>
        </w:rPr>
        <w:t>2</w:t>
      </w:r>
      <w:r w:rsidR="003140AA">
        <w:rPr>
          <w:rFonts w:cs="Arial"/>
        </w:rPr>
        <w:t>6</w:t>
      </w:r>
      <w:r w:rsidR="0094780A">
        <w:rPr>
          <w:rFonts w:cs="Arial"/>
        </w:rPr>
        <w:t>–</w:t>
      </w:r>
      <w:r w:rsidR="001B0A0C">
        <w:rPr>
          <w:rFonts w:cs="Arial"/>
        </w:rPr>
        <w:t>2</w:t>
      </w:r>
      <w:r w:rsidR="003140AA">
        <w:rPr>
          <w:rFonts w:cs="Arial"/>
        </w:rPr>
        <w:t>7</w:t>
      </w:r>
      <w:r w:rsidRPr="00DF1CB8">
        <w:rPr>
          <w:rFonts w:cs="Arial"/>
        </w:rPr>
        <w:t>.</w:t>
      </w:r>
    </w:p>
    <w:p w14:paraId="4ECB6E6F" w14:textId="71A20CDA" w:rsidR="00A51603" w:rsidRPr="00215028" w:rsidRDefault="00F43281" w:rsidP="0041763F">
      <w:pPr>
        <w:pStyle w:val="Tableheading0"/>
        <w:rPr>
          <w:rFonts w:cs="Arial"/>
        </w:rPr>
      </w:pPr>
      <w:r>
        <w:t>E</w:t>
      </w:r>
      <w:r w:rsidR="00A51603" w:rsidRPr="00215028">
        <w:t>stimated cost recovery revenue and expenses</w:t>
      </w:r>
    </w:p>
    <w:tbl>
      <w:tblPr>
        <w:tblW w:w="8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078"/>
        <w:gridCol w:w="1386"/>
        <w:gridCol w:w="1386"/>
        <w:gridCol w:w="1386"/>
        <w:gridCol w:w="1540"/>
      </w:tblGrid>
      <w:tr w:rsidR="008D644E" w:rsidRPr="00970241" w14:paraId="6D727876" w14:textId="77777777" w:rsidTr="003504CB">
        <w:trPr>
          <w:trHeight w:val="562"/>
        </w:trPr>
        <w:tc>
          <w:tcPr>
            <w:tcW w:w="3078" w:type="dxa"/>
            <w:shd w:val="clear" w:color="auto" w:fill="404040" w:themeFill="text1" w:themeFillTint="BF"/>
            <w:tcMar>
              <w:top w:w="57" w:type="dxa"/>
              <w:bottom w:w="57" w:type="dxa"/>
            </w:tcMar>
          </w:tcPr>
          <w:p w14:paraId="6D58808C" w14:textId="7E93125A" w:rsidR="008D644E" w:rsidRPr="0002365B" w:rsidRDefault="008D644E" w:rsidP="0026261E">
            <w:pPr>
              <w:pStyle w:val="TableHeading"/>
              <w:rPr>
                <w:color w:val="FFFFFF" w:themeColor="background1"/>
              </w:rPr>
            </w:pPr>
            <w:r w:rsidRPr="0002365B">
              <w:rPr>
                <w:color w:val="FFFFFF" w:themeColor="background1"/>
              </w:rPr>
              <w:t xml:space="preserve">Fee </w:t>
            </w:r>
            <w:r>
              <w:rPr>
                <w:color w:val="FFFFFF" w:themeColor="background1"/>
              </w:rPr>
              <w:t>i</w:t>
            </w:r>
            <w:r w:rsidRPr="0002365B">
              <w:rPr>
                <w:color w:val="FFFFFF" w:themeColor="background1"/>
              </w:rPr>
              <w:t>tem</w:t>
            </w:r>
          </w:p>
        </w:tc>
        <w:tc>
          <w:tcPr>
            <w:tcW w:w="1386" w:type="dxa"/>
            <w:shd w:val="clear" w:color="auto" w:fill="404040" w:themeFill="text1" w:themeFillTint="BF"/>
            <w:tcMar>
              <w:top w:w="57" w:type="dxa"/>
              <w:bottom w:w="57" w:type="dxa"/>
            </w:tcMar>
          </w:tcPr>
          <w:p w14:paraId="4FE989CC" w14:textId="350A25C8" w:rsidR="00280F1E" w:rsidRDefault="00280F1E" w:rsidP="0026261E">
            <w:pPr>
              <w:pStyle w:val="TableHeading"/>
              <w:jc w:val="right"/>
              <w:rPr>
                <w:color w:val="FFFFFF" w:themeColor="background1"/>
              </w:rPr>
            </w:pPr>
            <w:r>
              <w:rPr>
                <w:color w:val="FFFFFF" w:themeColor="background1"/>
              </w:rPr>
              <w:t xml:space="preserve">Budget </w:t>
            </w:r>
            <w:r w:rsidR="00125B8C">
              <w:rPr>
                <w:color w:val="FFFFFF" w:themeColor="background1"/>
              </w:rPr>
              <w:t>y</w:t>
            </w:r>
            <w:r>
              <w:rPr>
                <w:color w:val="FFFFFF" w:themeColor="background1"/>
              </w:rPr>
              <w:t>ear</w:t>
            </w:r>
          </w:p>
          <w:p w14:paraId="499AE2C3" w14:textId="7D736B55" w:rsidR="008D644E" w:rsidRPr="0002365B" w:rsidRDefault="008D644E" w:rsidP="0026261E">
            <w:pPr>
              <w:pStyle w:val="TableHeading"/>
              <w:jc w:val="right"/>
              <w:rPr>
                <w:color w:val="FFFFFF" w:themeColor="background1"/>
              </w:rPr>
            </w:pPr>
            <w:r w:rsidRPr="006816E9">
              <w:rPr>
                <w:color w:val="FFFFFF" w:themeColor="background1"/>
              </w:rPr>
              <w:t>2023</w:t>
            </w:r>
            <w:r>
              <w:rPr>
                <w:color w:val="FFFFFF" w:themeColor="background1"/>
              </w:rPr>
              <w:t>–</w:t>
            </w:r>
            <w:r w:rsidRPr="006816E9">
              <w:rPr>
                <w:color w:val="FFFFFF" w:themeColor="background1"/>
              </w:rPr>
              <w:t>24</w:t>
            </w:r>
          </w:p>
          <w:p w14:paraId="30B49D02" w14:textId="7B0DF8B4" w:rsidR="008D644E" w:rsidRPr="0002365B" w:rsidRDefault="008D644E" w:rsidP="0026261E">
            <w:pPr>
              <w:pStyle w:val="TableHeading"/>
              <w:jc w:val="right"/>
              <w:rPr>
                <w:color w:val="FFFFFF" w:themeColor="background1"/>
              </w:rPr>
            </w:pPr>
            <w:r w:rsidRPr="0002365B">
              <w:rPr>
                <w:color w:val="FFFFFF" w:themeColor="background1"/>
              </w:rPr>
              <w:t>$million</w:t>
            </w:r>
          </w:p>
        </w:tc>
        <w:tc>
          <w:tcPr>
            <w:tcW w:w="1386" w:type="dxa"/>
            <w:shd w:val="clear" w:color="auto" w:fill="404040" w:themeFill="text1" w:themeFillTint="BF"/>
            <w:tcMar>
              <w:top w:w="57" w:type="dxa"/>
              <w:bottom w:w="57" w:type="dxa"/>
            </w:tcMar>
          </w:tcPr>
          <w:p w14:paraId="164FA7E3" w14:textId="045D8FF1" w:rsidR="00280F1E" w:rsidRDefault="00280F1E" w:rsidP="0026261E">
            <w:pPr>
              <w:pStyle w:val="TableHeading"/>
              <w:jc w:val="right"/>
              <w:rPr>
                <w:color w:val="FFFFFF" w:themeColor="background1"/>
              </w:rPr>
            </w:pPr>
            <w:r>
              <w:rPr>
                <w:color w:val="FFFFFF" w:themeColor="background1"/>
              </w:rPr>
              <w:t xml:space="preserve"> </w:t>
            </w:r>
            <w:r w:rsidR="00F325E7">
              <w:rPr>
                <w:color w:val="FFFFFF" w:themeColor="background1"/>
              </w:rPr>
              <w:t xml:space="preserve">Forward estimate </w:t>
            </w:r>
            <w:r>
              <w:rPr>
                <w:color w:val="FFFFFF" w:themeColor="background1"/>
              </w:rPr>
              <w:t>1</w:t>
            </w:r>
          </w:p>
          <w:p w14:paraId="4056F918" w14:textId="20CDE825" w:rsidR="008D644E" w:rsidRPr="0002365B" w:rsidRDefault="008D644E" w:rsidP="0026261E">
            <w:pPr>
              <w:pStyle w:val="TableHeading"/>
              <w:jc w:val="right"/>
              <w:rPr>
                <w:color w:val="FFFFFF" w:themeColor="background1"/>
              </w:rPr>
            </w:pPr>
            <w:r>
              <w:rPr>
                <w:color w:val="FFFFFF" w:themeColor="background1"/>
              </w:rPr>
              <w:t>2024–25</w:t>
            </w:r>
          </w:p>
          <w:p w14:paraId="1AE9A37D" w14:textId="66052A57" w:rsidR="008D644E" w:rsidRPr="0002365B" w:rsidRDefault="008D644E" w:rsidP="0026261E">
            <w:pPr>
              <w:pStyle w:val="TableHeading"/>
              <w:jc w:val="right"/>
              <w:rPr>
                <w:color w:val="FFFFFF" w:themeColor="background1"/>
              </w:rPr>
            </w:pPr>
            <w:r w:rsidRPr="0002365B">
              <w:rPr>
                <w:color w:val="FFFFFF" w:themeColor="background1"/>
              </w:rPr>
              <w:t>$million</w:t>
            </w:r>
          </w:p>
        </w:tc>
        <w:tc>
          <w:tcPr>
            <w:tcW w:w="1386" w:type="dxa"/>
            <w:shd w:val="clear" w:color="auto" w:fill="404040" w:themeFill="text1" w:themeFillTint="BF"/>
            <w:tcMar>
              <w:top w:w="57" w:type="dxa"/>
              <w:bottom w:w="57" w:type="dxa"/>
            </w:tcMar>
          </w:tcPr>
          <w:p w14:paraId="22424877" w14:textId="4D599E7F" w:rsidR="00280F1E" w:rsidRDefault="00C36320" w:rsidP="0026261E">
            <w:pPr>
              <w:pStyle w:val="TableHeading"/>
              <w:jc w:val="right"/>
              <w:rPr>
                <w:color w:val="FFFFFF" w:themeColor="background1"/>
              </w:rPr>
            </w:pPr>
            <w:r>
              <w:rPr>
                <w:color w:val="FFFFFF" w:themeColor="background1"/>
              </w:rPr>
              <w:t xml:space="preserve">Forward estimate </w:t>
            </w:r>
            <w:r w:rsidR="00280F1E">
              <w:rPr>
                <w:color w:val="FFFFFF" w:themeColor="background1"/>
              </w:rPr>
              <w:t>2</w:t>
            </w:r>
          </w:p>
          <w:p w14:paraId="2051A410" w14:textId="02B62F54" w:rsidR="008D644E" w:rsidRPr="0002365B" w:rsidRDefault="008D644E" w:rsidP="0026261E">
            <w:pPr>
              <w:pStyle w:val="TableHeading"/>
              <w:jc w:val="right"/>
              <w:rPr>
                <w:color w:val="FFFFFF" w:themeColor="background1"/>
              </w:rPr>
            </w:pPr>
            <w:r>
              <w:rPr>
                <w:color w:val="FFFFFF" w:themeColor="background1"/>
              </w:rPr>
              <w:t>2025–26</w:t>
            </w:r>
          </w:p>
          <w:p w14:paraId="5E286AF1" w14:textId="4EEF4E94" w:rsidR="008D644E" w:rsidRPr="0002365B" w:rsidRDefault="008D644E" w:rsidP="0026261E">
            <w:pPr>
              <w:pStyle w:val="TableHeading"/>
              <w:jc w:val="right"/>
              <w:rPr>
                <w:color w:val="FFFFFF" w:themeColor="background1"/>
              </w:rPr>
            </w:pPr>
            <w:r w:rsidRPr="0002365B">
              <w:rPr>
                <w:color w:val="FFFFFF" w:themeColor="background1"/>
              </w:rPr>
              <w:t>$million</w:t>
            </w:r>
          </w:p>
        </w:tc>
        <w:tc>
          <w:tcPr>
            <w:tcW w:w="1540" w:type="dxa"/>
            <w:shd w:val="clear" w:color="auto" w:fill="404040" w:themeFill="text1" w:themeFillTint="BF"/>
            <w:tcMar>
              <w:top w:w="57" w:type="dxa"/>
              <w:bottom w:w="57" w:type="dxa"/>
            </w:tcMar>
          </w:tcPr>
          <w:p w14:paraId="1C864B03" w14:textId="381F21E9" w:rsidR="00280F1E" w:rsidRDefault="00F325E7" w:rsidP="0026261E">
            <w:pPr>
              <w:pStyle w:val="TableHeading"/>
              <w:jc w:val="right"/>
              <w:rPr>
                <w:color w:val="FFFFFF" w:themeColor="background1"/>
              </w:rPr>
            </w:pPr>
            <w:r>
              <w:rPr>
                <w:color w:val="FFFFFF" w:themeColor="background1"/>
              </w:rPr>
              <w:t xml:space="preserve">Forward estimate </w:t>
            </w:r>
            <w:r w:rsidR="00280F1E">
              <w:rPr>
                <w:color w:val="FFFFFF" w:themeColor="background1"/>
              </w:rPr>
              <w:t>3</w:t>
            </w:r>
          </w:p>
          <w:p w14:paraId="4F9B8F45" w14:textId="7232A8E5" w:rsidR="008D644E" w:rsidRPr="0002365B" w:rsidRDefault="008D644E" w:rsidP="0026261E">
            <w:pPr>
              <w:pStyle w:val="TableHeading"/>
              <w:jc w:val="right"/>
              <w:rPr>
                <w:color w:val="FFFFFF" w:themeColor="background1"/>
              </w:rPr>
            </w:pPr>
            <w:r>
              <w:rPr>
                <w:color w:val="FFFFFF" w:themeColor="background1"/>
              </w:rPr>
              <w:t>2026–27</w:t>
            </w:r>
          </w:p>
          <w:p w14:paraId="1DD41D3D" w14:textId="77777777" w:rsidR="008D644E" w:rsidRPr="0002365B" w:rsidRDefault="008D644E" w:rsidP="0026261E">
            <w:pPr>
              <w:pStyle w:val="TableHeading"/>
              <w:jc w:val="right"/>
              <w:rPr>
                <w:color w:val="FFFFFF" w:themeColor="background1"/>
              </w:rPr>
            </w:pPr>
            <w:r w:rsidRPr="0002365B">
              <w:rPr>
                <w:color w:val="FFFFFF" w:themeColor="background1"/>
              </w:rPr>
              <w:t>$million</w:t>
            </w:r>
          </w:p>
        </w:tc>
      </w:tr>
      <w:tr w:rsidR="00830BA7" w:rsidRPr="00970241" w14:paraId="23856D10" w14:textId="77777777" w:rsidTr="003504CB">
        <w:trPr>
          <w:trHeight w:val="283"/>
        </w:trPr>
        <w:tc>
          <w:tcPr>
            <w:tcW w:w="3078" w:type="dxa"/>
            <w:tcMar>
              <w:top w:w="57" w:type="dxa"/>
              <w:bottom w:w="57" w:type="dxa"/>
            </w:tcMar>
            <w:vAlign w:val="center"/>
          </w:tcPr>
          <w:p w14:paraId="5B8435C2" w14:textId="793A7C50" w:rsidR="00830BA7" w:rsidRPr="004713C3" w:rsidRDefault="00830BA7" w:rsidP="00830BA7">
            <w:pPr>
              <w:pStyle w:val="TableBody"/>
            </w:pPr>
            <w:r>
              <w:t>Radiocommunications fees</w:t>
            </w:r>
            <w:r w:rsidR="00072CAF">
              <w:t>*</w:t>
            </w:r>
          </w:p>
        </w:tc>
        <w:tc>
          <w:tcPr>
            <w:tcW w:w="1386" w:type="dxa"/>
            <w:tcMar>
              <w:top w:w="57" w:type="dxa"/>
              <w:bottom w:w="57" w:type="dxa"/>
            </w:tcMar>
          </w:tcPr>
          <w:p w14:paraId="7A0F4D15" w14:textId="111A693A" w:rsidR="00830BA7" w:rsidRPr="004713C3" w:rsidRDefault="00830BA7" w:rsidP="00830BA7">
            <w:pPr>
              <w:pStyle w:val="TableBody"/>
              <w:jc w:val="right"/>
            </w:pPr>
            <w:r w:rsidRPr="001C5FE6">
              <w:t xml:space="preserve"> 2.</w:t>
            </w:r>
            <w:r>
              <w:t>5</w:t>
            </w:r>
            <w:r w:rsidR="00147602">
              <w:t>8</w:t>
            </w:r>
            <w:r w:rsidRPr="001C5FE6">
              <w:t xml:space="preserve"> </w:t>
            </w:r>
          </w:p>
        </w:tc>
        <w:tc>
          <w:tcPr>
            <w:tcW w:w="1386" w:type="dxa"/>
            <w:shd w:val="clear" w:color="auto" w:fill="auto"/>
            <w:tcMar>
              <w:top w:w="57" w:type="dxa"/>
              <w:bottom w:w="57" w:type="dxa"/>
            </w:tcMar>
          </w:tcPr>
          <w:p w14:paraId="380D1744" w14:textId="3D438786" w:rsidR="00830BA7" w:rsidRPr="004713C3" w:rsidRDefault="00830BA7" w:rsidP="00830BA7">
            <w:pPr>
              <w:pStyle w:val="TableBody"/>
              <w:jc w:val="right"/>
            </w:pPr>
            <w:r w:rsidRPr="001C5FE6">
              <w:t xml:space="preserve"> 2.</w:t>
            </w:r>
            <w:r>
              <w:t>6</w:t>
            </w:r>
            <w:r w:rsidR="00926691">
              <w:t>7</w:t>
            </w:r>
            <w:r w:rsidRPr="001C5FE6">
              <w:t xml:space="preserve"> </w:t>
            </w:r>
          </w:p>
        </w:tc>
        <w:tc>
          <w:tcPr>
            <w:tcW w:w="1386" w:type="dxa"/>
            <w:shd w:val="clear" w:color="auto" w:fill="auto"/>
            <w:tcMar>
              <w:top w:w="57" w:type="dxa"/>
              <w:bottom w:w="57" w:type="dxa"/>
            </w:tcMar>
          </w:tcPr>
          <w:p w14:paraId="69425043" w14:textId="62B2F505" w:rsidR="00830BA7" w:rsidRPr="004713C3" w:rsidRDefault="00830BA7" w:rsidP="00830BA7">
            <w:pPr>
              <w:pStyle w:val="TableBody"/>
              <w:jc w:val="right"/>
            </w:pPr>
            <w:r w:rsidRPr="001C5FE6">
              <w:t xml:space="preserve"> 2.</w:t>
            </w:r>
            <w:r>
              <w:t>6</w:t>
            </w:r>
            <w:r w:rsidR="00926691">
              <w:t>7</w:t>
            </w:r>
            <w:r w:rsidRPr="001C5FE6">
              <w:t xml:space="preserve"> </w:t>
            </w:r>
          </w:p>
        </w:tc>
        <w:tc>
          <w:tcPr>
            <w:tcW w:w="1540" w:type="dxa"/>
            <w:shd w:val="clear" w:color="auto" w:fill="auto"/>
            <w:tcMar>
              <w:top w:w="57" w:type="dxa"/>
              <w:bottom w:w="57" w:type="dxa"/>
            </w:tcMar>
          </w:tcPr>
          <w:p w14:paraId="300DFBE6" w14:textId="066EBCC0" w:rsidR="00830BA7" w:rsidRPr="004713C3" w:rsidRDefault="00830BA7" w:rsidP="00830BA7">
            <w:pPr>
              <w:pStyle w:val="TableBody"/>
              <w:jc w:val="right"/>
            </w:pPr>
            <w:r w:rsidRPr="001C5FE6">
              <w:t xml:space="preserve"> 2.</w:t>
            </w:r>
            <w:r>
              <w:t>6</w:t>
            </w:r>
            <w:r w:rsidR="00926691">
              <w:t>7</w:t>
            </w:r>
            <w:r w:rsidRPr="001C5FE6">
              <w:t xml:space="preserve"> </w:t>
            </w:r>
          </w:p>
        </w:tc>
      </w:tr>
      <w:tr w:rsidR="00830BA7" w:rsidRPr="00970241" w14:paraId="1E4ACE0B" w14:textId="77777777" w:rsidTr="003504CB">
        <w:trPr>
          <w:trHeight w:val="303"/>
        </w:trPr>
        <w:tc>
          <w:tcPr>
            <w:tcW w:w="3078" w:type="dxa"/>
            <w:tcMar>
              <w:top w:w="57" w:type="dxa"/>
              <w:bottom w:w="57" w:type="dxa"/>
            </w:tcMar>
            <w:vAlign w:val="center"/>
          </w:tcPr>
          <w:p w14:paraId="50B5D5BB" w14:textId="77777777" w:rsidR="00830BA7" w:rsidRPr="004713C3" w:rsidRDefault="00830BA7" w:rsidP="00830BA7">
            <w:pPr>
              <w:pStyle w:val="TableBody"/>
            </w:pPr>
            <w:r w:rsidRPr="004713C3">
              <w:t>T</w:t>
            </w:r>
            <w:r>
              <w:t>elecommunications fees</w:t>
            </w:r>
          </w:p>
        </w:tc>
        <w:tc>
          <w:tcPr>
            <w:tcW w:w="1386" w:type="dxa"/>
            <w:tcMar>
              <w:top w:w="57" w:type="dxa"/>
              <w:bottom w:w="57" w:type="dxa"/>
            </w:tcMar>
          </w:tcPr>
          <w:p w14:paraId="6AD53562" w14:textId="7F8CCA2C" w:rsidR="00830BA7" w:rsidRPr="004713C3" w:rsidRDefault="00830BA7" w:rsidP="00830BA7">
            <w:pPr>
              <w:pStyle w:val="TableBody"/>
              <w:jc w:val="right"/>
            </w:pPr>
            <w:r w:rsidRPr="001C5FE6">
              <w:t xml:space="preserve"> 0.1</w:t>
            </w:r>
            <w:r>
              <w:t>9</w:t>
            </w:r>
            <w:r w:rsidRPr="001C5FE6">
              <w:t xml:space="preserve"> </w:t>
            </w:r>
          </w:p>
        </w:tc>
        <w:tc>
          <w:tcPr>
            <w:tcW w:w="1386" w:type="dxa"/>
            <w:shd w:val="clear" w:color="auto" w:fill="auto"/>
            <w:tcMar>
              <w:top w:w="57" w:type="dxa"/>
              <w:bottom w:w="57" w:type="dxa"/>
            </w:tcMar>
          </w:tcPr>
          <w:p w14:paraId="106DD143" w14:textId="6BE48A0C" w:rsidR="00830BA7" w:rsidRPr="004713C3" w:rsidRDefault="00830BA7" w:rsidP="00830BA7">
            <w:pPr>
              <w:pStyle w:val="TableBody"/>
              <w:jc w:val="right"/>
            </w:pPr>
            <w:r w:rsidRPr="001C5FE6">
              <w:t xml:space="preserve"> 0.1</w:t>
            </w:r>
            <w:r>
              <w:t>9</w:t>
            </w:r>
            <w:r w:rsidRPr="001C5FE6">
              <w:t xml:space="preserve"> </w:t>
            </w:r>
          </w:p>
        </w:tc>
        <w:tc>
          <w:tcPr>
            <w:tcW w:w="1386" w:type="dxa"/>
            <w:shd w:val="clear" w:color="auto" w:fill="auto"/>
            <w:tcMar>
              <w:top w:w="57" w:type="dxa"/>
              <w:bottom w:w="57" w:type="dxa"/>
            </w:tcMar>
          </w:tcPr>
          <w:p w14:paraId="6001B71A" w14:textId="51DB61FD" w:rsidR="00830BA7" w:rsidRPr="004713C3" w:rsidRDefault="00830BA7" w:rsidP="00830BA7">
            <w:pPr>
              <w:pStyle w:val="TableBody"/>
              <w:jc w:val="right"/>
            </w:pPr>
            <w:r w:rsidRPr="001C5FE6">
              <w:t xml:space="preserve"> 0.1</w:t>
            </w:r>
            <w:r>
              <w:t>9</w:t>
            </w:r>
            <w:r w:rsidRPr="001C5FE6">
              <w:t xml:space="preserve"> </w:t>
            </w:r>
          </w:p>
        </w:tc>
        <w:tc>
          <w:tcPr>
            <w:tcW w:w="1540" w:type="dxa"/>
            <w:shd w:val="clear" w:color="auto" w:fill="auto"/>
            <w:tcMar>
              <w:top w:w="57" w:type="dxa"/>
              <w:bottom w:w="57" w:type="dxa"/>
            </w:tcMar>
          </w:tcPr>
          <w:p w14:paraId="3CDA5064" w14:textId="3BBC3A93" w:rsidR="00830BA7" w:rsidRPr="004713C3" w:rsidRDefault="00830BA7" w:rsidP="00830BA7">
            <w:pPr>
              <w:pStyle w:val="TableBody"/>
              <w:jc w:val="right"/>
            </w:pPr>
            <w:r w:rsidRPr="001C5FE6">
              <w:t xml:space="preserve"> 0.1</w:t>
            </w:r>
            <w:r>
              <w:t>9</w:t>
            </w:r>
            <w:r w:rsidRPr="001C5FE6">
              <w:t xml:space="preserve"> </w:t>
            </w:r>
          </w:p>
        </w:tc>
      </w:tr>
      <w:tr w:rsidR="00830BA7" w:rsidRPr="00970241" w14:paraId="0463C0B7" w14:textId="77777777" w:rsidTr="003504CB">
        <w:trPr>
          <w:trHeight w:val="308"/>
        </w:trPr>
        <w:tc>
          <w:tcPr>
            <w:tcW w:w="3078" w:type="dxa"/>
            <w:tcMar>
              <w:top w:w="57" w:type="dxa"/>
              <w:bottom w:w="57" w:type="dxa"/>
            </w:tcMar>
            <w:vAlign w:val="center"/>
          </w:tcPr>
          <w:p w14:paraId="36CF3AF0" w14:textId="77777777" w:rsidR="00830BA7" w:rsidRPr="004713C3" w:rsidRDefault="00830BA7" w:rsidP="00830BA7">
            <w:pPr>
              <w:pStyle w:val="TableBody"/>
            </w:pPr>
            <w:r w:rsidRPr="004713C3">
              <w:t>Broadcasting fees</w:t>
            </w:r>
          </w:p>
        </w:tc>
        <w:tc>
          <w:tcPr>
            <w:tcW w:w="1386" w:type="dxa"/>
            <w:tcMar>
              <w:top w:w="57" w:type="dxa"/>
              <w:bottom w:w="57" w:type="dxa"/>
            </w:tcMar>
          </w:tcPr>
          <w:p w14:paraId="4714D2D8" w14:textId="48DFF664" w:rsidR="00830BA7" w:rsidRPr="004713C3" w:rsidRDefault="00830BA7" w:rsidP="00830BA7">
            <w:pPr>
              <w:pStyle w:val="TableBody"/>
              <w:jc w:val="right"/>
            </w:pPr>
            <w:r w:rsidRPr="001C5FE6">
              <w:t xml:space="preserve"> 0.02 </w:t>
            </w:r>
          </w:p>
        </w:tc>
        <w:tc>
          <w:tcPr>
            <w:tcW w:w="1386" w:type="dxa"/>
            <w:shd w:val="clear" w:color="auto" w:fill="auto"/>
            <w:tcMar>
              <w:top w:w="57" w:type="dxa"/>
              <w:bottom w:w="57" w:type="dxa"/>
            </w:tcMar>
          </w:tcPr>
          <w:p w14:paraId="04E97127" w14:textId="32726FE3" w:rsidR="00830BA7" w:rsidRPr="004713C3" w:rsidRDefault="00830BA7" w:rsidP="00830BA7">
            <w:pPr>
              <w:pStyle w:val="TableBody"/>
              <w:jc w:val="right"/>
            </w:pPr>
            <w:r w:rsidRPr="001C5FE6">
              <w:t xml:space="preserve"> 0.02 </w:t>
            </w:r>
          </w:p>
        </w:tc>
        <w:tc>
          <w:tcPr>
            <w:tcW w:w="1386" w:type="dxa"/>
            <w:shd w:val="clear" w:color="auto" w:fill="auto"/>
            <w:tcMar>
              <w:top w:w="57" w:type="dxa"/>
              <w:bottom w:w="57" w:type="dxa"/>
            </w:tcMar>
          </w:tcPr>
          <w:p w14:paraId="0AA69FFE" w14:textId="56418D24" w:rsidR="00830BA7" w:rsidRPr="004713C3" w:rsidRDefault="00830BA7" w:rsidP="00830BA7">
            <w:pPr>
              <w:pStyle w:val="TableBody"/>
              <w:jc w:val="right"/>
            </w:pPr>
            <w:r w:rsidRPr="001C5FE6">
              <w:t xml:space="preserve"> 0.02 </w:t>
            </w:r>
          </w:p>
        </w:tc>
        <w:tc>
          <w:tcPr>
            <w:tcW w:w="1540" w:type="dxa"/>
            <w:shd w:val="clear" w:color="auto" w:fill="auto"/>
            <w:tcMar>
              <w:top w:w="57" w:type="dxa"/>
              <w:bottom w:w="57" w:type="dxa"/>
            </w:tcMar>
          </w:tcPr>
          <w:p w14:paraId="355476F1" w14:textId="77B202BF" w:rsidR="00830BA7" w:rsidRPr="004713C3" w:rsidRDefault="00830BA7" w:rsidP="00830BA7">
            <w:pPr>
              <w:pStyle w:val="TableBody"/>
              <w:jc w:val="right"/>
            </w:pPr>
            <w:r w:rsidRPr="001C5FE6">
              <w:t xml:space="preserve"> 0.02 </w:t>
            </w:r>
          </w:p>
        </w:tc>
      </w:tr>
      <w:tr w:rsidR="00830BA7" w:rsidRPr="00895401" w14:paraId="4FFFB0A1" w14:textId="77777777" w:rsidTr="003504CB">
        <w:trPr>
          <w:trHeight w:val="312"/>
        </w:trPr>
        <w:tc>
          <w:tcPr>
            <w:tcW w:w="3078" w:type="dxa"/>
            <w:shd w:val="clear" w:color="auto" w:fill="F2F2F2" w:themeFill="background1" w:themeFillShade="F2"/>
            <w:tcMar>
              <w:top w:w="57" w:type="dxa"/>
              <w:bottom w:w="57" w:type="dxa"/>
            </w:tcMar>
            <w:vAlign w:val="center"/>
          </w:tcPr>
          <w:p w14:paraId="01E4D2B3" w14:textId="77777777" w:rsidR="00830BA7" w:rsidRPr="004713C3" w:rsidRDefault="00830BA7" w:rsidP="00830BA7">
            <w:pPr>
              <w:pStyle w:val="TableHeading"/>
            </w:pPr>
            <w:r>
              <w:t>Total revenue</w:t>
            </w:r>
          </w:p>
        </w:tc>
        <w:tc>
          <w:tcPr>
            <w:tcW w:w="1386" w:type="dxa"/>
            <w:shd w:val="clear" w:color="auto" w:fill="F2F2F2" w:themeFill="background1" w:themeFillShade="F2"/>
            <w:tcMar>
              <w:top w:w="57" w:type="dxa"/>
              <w:bottom w:w="57" w:type="dxa"/>
            </w:tcMar>
          </w:tcPr>
          <w:p w14:paraId="4273C291" w14:textId="614BD5DC" w:rsidR="00830BA7" w:rsidRPr="004713C3" w:rsidRDefault="00830BA7" w:rsidP="00830BA7">
            <w:pPr>
              <w:pStyle w:val="TableHeading"/>
              <w:jc w:val="right"/>
            </w:pPr>
            <w:r>
              <w:t>2.7</w:t>
            </w:r>
            <w:r w:rsidR="00926691">
              <w:t>9</w:t>
            </w:r>
          </w:p>
        </w:tc>
        <w:tc>
          <w:tcPr>
            <w:tcW w:w="1386" w:type="dxa"/>
            <w:shd w:val="clear" w:color="auto" w:fill="F2F2F2" w:themeFill="background1" w:themeFillShade="F2"/>
            <w:tcMar>
              <w:top w:w="57" w:type="dxa"/>
              <w:bottom w:w="57" w:type="dxa"/>
            </w:tcMar>
          </w:tcPr>
          <w:p w14:paraId="6DFC0E97" w14:textId="35583708" w:rsidR="00830BA7" w:rsidRPr="004713C3" w:rsidRDefault="00830BA7" w:rsidP="00830BA7">
            <w:pPr>
              <w:pStyle w:val="TableHeading"/>
              <w:jc w:val="right"/>
            </w:pPr>
            <w:r>
              <w:t>2.8</w:t>
            </w:r>
            <w:r w:rsidR="00F77AA8">
              <w:t>8</w:t>
            </w:r>
          </w:p>
        </w:tc>
        <w:tc>
          <w:tcPr>
            <w:tcW w:w="1386" w:type="dxa"/>
            <w:shd w:val="clear" w:color="auto" w:fill="F2F2F2" w:themeFill="background1" w:themeFillShade="F2"/>
            <w:tcMar>
              <w:top w:w="57" w:type="dxa"/>
              <w:bottom w:w="57" w:type="dxa"/>
            </w:tcMar>
          </w:tcPr>
          <w:p w14:paraId="79C8A67F" w14:textId="14440D25" w:rsidR="00830BA7" w:rsidRPr="004713C3" w:rsidRDefault="00830BA7" w:rsidP="00830BA7">
            <w:pPr>
              <w:pStyle w:val="TableHeading"/>
              <w:jc w:val="right"/>
            </w:pPr>
            <w:r>
              <w:t>2.8</w:t>
            </w:r>
            <w:r w:rsidR="00F77AA8">
              <w:t>8</w:t>
            </w:r>
          </w:p>
        </w:tc>
        <w:tc>
          <w:tcPr>
            <w:tcW w:w="1540" w:type="dxa"/>
            <w:shd w:val="clear" w:color="auto" w:fill="F2F2F2" w:themeFill="background1" w:themeFillShade="F2"/>
            <w:tcMar>
              <w:top w:w="57" w:type="dxa"/>
              <w:bottom w:w="57" w:type="dxa"/>
            </w:tcMar>
          </w:tcPr>
          <w:p w14:paraId="21A848DB" w14:textId="11B8F2C0" w:rsidR="00830BA7" w:rsidRPr="004713C3" w:rsidRDefault="00830BA7" w:rsidP="00830BA7">
            <w:pPr>
              <w:pStyle w:val="TableHeading"/>
              <w:jc w:val="right"/>
            </w:pPr>
            <w:r>
              <w:t>2.8</w:t>
            </w:r>
            <w:r w:rsidR="00F77AA8">
              <w:t>8</w:t>
            </w:r>
          </w:p>
        </w:tc>
      </w:tr>
      <w:tr w:rsidR="00830BA7" w:rsidRPr="00970241" w14:paraId="5DF34589" w14:textId="77777777" w:rsidTr="003504CB">
        <w:trPr>
          <w:trHeight w:val="301"/>
        </w:trPr>
        <w:tc>
          <w:tcPr>
            <w:tcW w:w="3078" w:type="dxa"/>
            <w:shd w:val="clear" w:color="auto" w:fill="auto"/>
            <w:tcMar>
              <w:top w:w="57" w:type="dxa"/>
              <w:bottom w:w="57" w:type="dxa"/>
            </w:tcMar>
            <w:vAlign w:val="center"/>
          </w:tcPr>
          <w:p w14:paraId="1F27FDBC" w14:textId="77777777" w:rsidR="00830BA7" w:rsidRPr="004713C3" w:rsidRDefault="00830BA7" w:rsidP="00830BA7">
            <w:pPr>
              <w:pStyle w:val="TableHeading"/>
            </w:pPr>
            <w:r w:rsidRPr="004713C3">
              <w:t>Total</w:t>
            </w:r>
            <w:r>
              <w:t xml:space="preserve"> expenses</w:t>
            </w:r>
          </w:p>
        </w:tc>
        <w:tc>
          <w:tcPr>
            <w:tcW w:w="1386" w:type="dxa"/>
            <w:tcMar>
              <w:top w:w="57" w:type="dxa"/>
              <w:bottom w:w="57" w:type="dxa"/>
            </w:tcMar>
            <w:vAlign w:val="center"/>
          </w:tcPr>
          <w:p w14:paraId="5C3DE8B1" w14:textId="7F456CF6" w:rsidR="00830BA7" w:rsidRPr="004713C3" w:rsidRDefault="00830BA7" w:rsidP="00830BA7">
            <w:pPr>
              <w:pStyle w:val="TableHeading"/>
              <w:jc w:val="right"/>
            </w:pPr>
            <w:r>
              <w:t>2.7</w:t>
            </w:r>
            <w:r w:rsidR="00926691">
              <w:t>9</w:t>
            </w:r>
          </w:p>
        </w:tc>
        <w:tc>
          <w:tcPr>
            <w:tcW w:w="1386" w:type="dxa"/>
            <w:shd w:val="clear" w:color="auto" w:fill="auto"/>
            <w:tcMar>
              <w:top w:w="57" w:type="dxa"/>
              <w:bottom w:w="57" w:type="dxa"/>
            </w:tcMar>
            <w:vAlign w:val="center"/>
          </w:tcPr>
          <w:p w14:paraId="4E14AE82" w14:textId="257228EF" w:rsidR="00830BA7" w:rsidRPr="004713C3" w:rsidRDefault="00830BA7" w:rsidP="00830BA7">
            <w:pPr>
              <w:pStyle w:val="TableHeading"/>
              <w:jc w:val="right"/>
            </w:pPr>
            <w:r>
              <w:t>2.8</w:t>
            </w:r>
            <w:r w:rsidR="00F77AA8">
              <w:t>8</w:t>
            </w:r>
          </w:p>
        </w:tc>
        <w:tc>
          <w:tcPr>
            <w:tcW w:w="1386" w:type="dxa"/>
            <w:shd w:val="clear" w:color="auto" w:fill="auto"/>
            <w:tcMar>
              <w:top w:w="57" w:type="dxa"/>
              <w:bottom w:w="57" w:type="dxa"/>
            </w:tcMar>
            <w:vAlign w:val="center"/>
          </w:tcPr>
          <w:p w14:paraId="0A7793C3" w14:textId="27990D33" w:rsidR="00830BA7" w:rsidRPr="004713C3" w:rsidRDefault="00830BA7" w:rsidP="00830BA7">
            <w:pPr>
              <w:pStyle w:val="TableHeading"/>
              <w:jc w:val="right"/>
            </w:pPr>
            <w:r>
              <w:t>2.8</w:t>
            </w:r>
            <w:r w:rsidR="00F77AA8">
              <w:t>8</w:t>
            </w:r>
          </w:p>
        </w:tc>
        <w:tc>
          <w:tcPr>
            <w:tcW w:w="1540" w:type="dxa"/>
            <w:shd w:val="clear" w:color="auto" w:fill="auto"/>
            <w:tcMar>
              <w:top w:w="57" w:type="dxa"/>
              <w:bottom w:w="57" w:type="dxa"/>
            </w:tcMar>
            <w:vAlign w:val="center"/>
          </w:tcPr>
          <w:p w14:paraId="286C4DD9" w14:textId="359C3618" w:rsidR="00830BA7" w:rsidRPr="004713C3" w:rsidRDefault="00830BA7" w:rsidP="00830BA7">
            <w:pPr>
              <w:pStyle w:val="TableHeading"/>
              <w:jc w:val="right"/>
            </w:pPr>
            <w:r>
              <w:t>2.8</w:t>
            </w:r>
            <w:r w:rsidR="00F77AA8">
              <w:t>8</w:t>
            </w:r>
          </w:p>
        </w:tc>
      </w:tr>
      <w:tr w:rsidR="00830BA7" w:rsidRPr="00970241" w14:paraId="52939289" w14:textId="77777777" w:rsidTr="003504CB">
        <w:trPr>
          <w:trHeight w:val="306"/>
        </w:trPr>
        <w:tc>
          <w:tcPr>
            <w:tcW w:w="3078" w:type="dxa"/>
            <w:shd w:val="clear" w:color="auto" w:fill="auto"/>
            <w:tcMar>
              <w:top w:w="57" w:type="dxa"/>
              <w:bottom w:w="57" w:type="dxa"/>
            </w:tcMar>
            <w:vAlign w:val="center"/>
          </w:tcPr>
          <w:p w14:paraId="58BF9274" w14:textId="77777777" w:rsidR="00830BA7" w:rsidRPr="004713C3" w:rsidRDefault="00830BA7" w:rsidP="00830BA7">
            <w:pPr>
              <w:pStyle w:val="TableHeading"/>
            </w:pPr>
            <w:r>
              <w:t>Balance</w:t>
            </w:r>
          </w:p>
        </w:tc>
        <w:tc>
          <w:tcPr>
            <w:tcW w:w="1386" w:type="dxa"/>
            <w:tcMar>
              <w:top w:w="57" w:type="dxa"/>
              <w:bottom w:w="57" w:type="dxa"/>
            </w:tcMar>
            <w:vAlign w:val="center"/>
          </w:tcPr>
          <w:p w14:paraId="48624561" w14:textId="294EDC72" w:rsidR="00830BA7" w:rsidRDefault="00830BA7" w:rsidP="00830BA7">
            <w:pPr>
              <w:pStyle w:val="TableHeading"/>
              <w:jc w:val="right"/>
            </w:pPr>
            <w:r>
              <w:t>0.00</w:t>
            </w:r>
          </w:p>
        </w:tc>
        <w:tc>
          <w:tcPr>
            <w:tcW w:w="1386" w:type="dxa"/>
            <w:shd w:val="clear" w:color="auto" w:fill="auto"/>
            <w:tcMar>
              <w:top w:w="57" w:type="dxa"/>
              <w:bottom w:w="57" w:type="dxa"/>
            </w:tcMar>
            <w:vAlign w:val="center"/>
          </w:tcPr>
          <w:p w14:paraId="7D0C80E3" w14:textId="516BD841" w:rsidR="00830BA7" w:rsidRDefault="00830BA7" w:rsidP="00830BA7">
            <w:pPr>
              <w:pStyle w:val="TableHeading"/>
              <w:jc w:val="right"/>
            </w:pPr>
            <w:r>
              <w:t>0.00</w:t>
            </w:r>
          </w:p>
        </w:tc>
        <w:tc>
          <w:tcPr>
            <w:tcW w:w="1386" w:type="dxa"/>
            <w:shd w:val="clear" w:color="auto" w:fill="auto"/>
            <w:tcMar>
              <w:top w:w="57" w:type="dxa"/>
              <w:bottom w:w="57" w:type="dxa"/>
            </w:tcMar>
            <w:vAlign w:val="center"/>
          </w:tcPr>
          <w:p w14:paraId="63B97ED2" w14:textId="03E12449" w:rsidR="00830BA7" w:rsidRDefault="00830BA7" w:rsidP="00830BA7">
            <w:pPr>
              <w:pStyle w:val="TableHeading"/>
              <w:jc w:val="right"/>
            </w:pPr>
            <w:r>
              <w:t>0.00</w:t>
            </w:r>
          </w:p>
        </w:tc>
        <w:tc>
          <w:tcPr>
            <w:tcW w:w="1540" w:type="dxa"/>
            <w:shd w:val="clear" w:color="auto" w:fill="auto"/>
            <w:tcMar>
              <w:top w:w="57" w:type="dxa"/>
              <w:bottom w:w="57" w:type="dxa"/>
            </w:tcMar>
            <w:vAlign w:val="center"/>
          </w:tcPr>
          <w:p w14:paraId="5E432FF4" w14:textId="1617CF02" w:rsidR="00830BA7" w:rsidRDefault="00830BA7" w:rsidP="00830BA7">
            <w:pPr>
              <w:pStyle w:val="TableHeading"/>
              <w:jc w:val="right"/>
            </w:pPr>
            <w:r>
              <w:t>0.00</w:t>
            </w:r>
          </w:p>
        </w:tc>
      </w:tr>
    </w:tbl>
    <w:p w14:paraId="7E64314D" w14:textId="778BCA2A" w:rsidR="0084608D" w:rsidRPr="007529F5" w:rsidRDefault="00072CAF" w:rsidP="007529F5">
      <w:pPr>
        <w:spacing w:after="80" w:line="240" w:lineRule="auto"/>
        <w:contextualSpacing/>
        <w:rPr>
          <w:i/>
          <w:iCs/>
          <w:sz w:val="16"/>
          <w:szCs w:val="16"/>
        </w:rPr>
      </w:pPr>
      <w:r w:rsidRPr="00AB7A8A">
        <w:t xml:space="preserve">* </w:t>
      </w:r>
      <w:r w:rsidRPr="00AB7A8A">
        <w:rPr>
          <w:i/>
          <w:iCs/>
          <w:sz w:val="16"/>
          <w:szCs w:val="16"/>
        </w:rPr>
        <w:t>Includes</w:t>
      </w:r>
      <w:r w:rsidR="00402C15" w:rsidRPr="00AB7A8A">
        <w:rPr>
          <w:i/>
          <w:iCs/>
        </w:rPr>
        <w:t xml:space="preserve"> </w:t>
      </w:r>
      <w:r w:rsidR="00402C15" w:rsidRPr="00AB7A8A">
        <w:rPr>
          <w:i/>
          <w:iCs/>
          <w:sz w:val="16"/>
          <w:szCs w:val="16"/>
        </w:rPr>
        <w:t>estimated</w:t>
      </w:r>
      <w:r w:rsidR="00402C15" w:rsidRPr="00AB7A8A">
        <w:rPr>
          <w:i/>
          <w:sz w:val="16"/>
          <w:szCs w:val="16"/>
        </w:rPr>
        <w:t xml:space="preserve"> </w:t>
      </w:r>
      <w:r w:rsidR="00CD653B">
        <w:rPr>
          <w:i/>
          <w:sz w:val="16"/>
          <w:szCs w:val="16"/>
        </w:rPr>
        <w:t>2023</w:t>
      </w:r>
      <w:r w:rsidR="004E0FB2">
        <w:rPr>
          <w:i/>
          <w:sz w:val="16"/>
          <w:szCs w:val="16"/>
        </w:rPr>
        <w:t>–</w:t>
      </w:r>
      <w:r w:rsidR="00CD653B">
        <w:rPr>
          <w:i/>
          <w:sz w:val="16"/>
          <w:szCs w:val="16"/>
        </w:rPr>
        <w:t xml:space="preserve">24 </w:t>
      </w:r>
      <w:r w:rsidR="006673A2" w:rsidRPr="00AB7A8A">
        <w:rPr>
          <w:i/>
          <w:iCs/>
          <w:sz w:val="16"/>
          <w:szCs w:val="16"/>
        </w:rPr>
        <w:t>part</w:t>
      </w:r>
      <w:r w:rsidR="004E0FB2">
        <w:rPr>
          <w:i/>
          <w:iCs/>
          <w:sz w:val="16"/>
          <w:szCs w:val="16"/>
        </w:rPr>
        <w:t>-</w:t>
      </w:r>
      <w:r w:rsidR="006673A2" w:rsidRPr="00AB7A8A">
        <w:rPr>
          <w:i/>
          <w:iCs/>
          <w:sz w:val="16"/>
          <w:szCs w:val="16"/>
        </w:rPr>
        <w:t xml:space="preserve">year </w:t>
      </w:r>
      <w:r w:rsidR="00AA0826" w:rsidRPr="00AB7A8A">
        <w:rPr>
          <w:i/>
          <w:iCs/>
          <w:sz w:val="16"/>
          <w:szCs w:val="16"/>
        </w:rPr>
        <w:t xml:space="preserve">impact of </w:t>
      </w:r>
      <w:r w:rsidR="002573AF">
        <w:rPr>
          <w:i/>
          <w:iCs/>
          <w:sz w:val="16"/>
          <w:szCs w:val="16"/>
        </w:rPr>
        <w:t xml:space="preserve">charges </w:t>
      </w:r>
      <w:r w:rsidR="00F642CE" w:rsidRPr="00AB7A8A">
        <w:rPr>
          <w:i/>
          <w:iCs/>
          <w:sz w:val="16"/>
          <w:szCs w:val="16"/>
        </w:rPr>
        <w:t>under the</w:t>
      </w:r>
      <w:r w:rsidR="003C5D1F">
        <w:rPr>
          <w:i/>
          <w:iCs/>
          <w:sz w:val="16"/>
          <w:szCs w:val="16"/>
        </w:rPr>
        <w:t xml:space="preserve"> </w:t>
      </w:r>
      <w:r w:rsidR="00F642CE" w:rsidRPr="007529F5">
        <w:rPr>
          <w:i/>
          <w:iCs/>
          <w:sz w:val="16"/>
          <w:szCs w:val="16"/>
        </w:rPr>
        <w:t xml:space="preserve">proposed </w:t>
      </w:r>
      <w:r w:rsidR="00F35756" w:rsidRPr="007529F5">
        <w:rPr>
          <w:i/>
          <w:iCs/>
          <w:sz w:val="16"/>
          <w:szCs w:val="16"/>
        </w:rPr>
        <w:t xml:space="preserve">amateur radio qualification framework and call sign arrangements </w:t>
      </w:r>
      <w:r w:rsidR="00333CF3">
        <w:rPr>
          <w:i/>
          <w:iCs/>
          <w:sz w:val="16"/>
          <w:szCs w:val="16"/>
        </w:rPr>
        <w:t>(</w:t>
      </w:r>
      <w:r w:rsidR="00AA0826" w:rsidRPr="007529F5">
        <w:rPr>
          <w:i/>
          <w:iCs/>
          <w:sz w:val="16"/>
          <w:szCs w:val="16"/>
        </w:rPr>
        <w:t>from February 2024</w:t>
      </w:r>
      <w:r w:rsidR="00333CF3">
        <w:rPr>
          <w:i/>
          <w:iCs/>
          <w:sz w:val="16"/>
          <w:szCs w:val="16"/>
        </w:rPr>
        <w:t>)</w:t>
      </w:r>
      <w:r w:rsidR="003C5D1F">
        <w:rPr>
          <w:i/>
          <w:iCs/>
          <w:sz w:val="16"/>
          <w:szCs w:val="16"/>
        </w:rPr>
        <w:t xml:space="preserve">, </w:t>
      </w:r>
      <w:r w:rsidR="00337B11">
        <w:rPr>
          <w:i/>
          <w:iCs/>
          <w:sz w:val="16"/>
          <w:szCs w:val="16"/>
        </w:rPr>
        <w:t>p</w:t>
      </w:r>
      <w:r w:rsidR="00CB7627" w:rsidRPr="007529F5">
        <w:rPr>
          <w:i/>
          <w:iCs/>
          <w:sz w:val="16"/>
          <w:szCs w:val="16"/>
        </w:rPr>
        <w:t>ro</w:t>
      </w:r>
      <w:r w:rsidR="00CB7627">
        <w:rPr>
          <w:i/>
          <w:iCs/>
          <w:sz w:val="16"/>
          <w:szCs w:val="16"/>
        </w:rPr>
        <w:t xml:space="preserve">posed </w:t>
      </w:r>
      <w:r w:rsidR="002573AF">
        <w:rPr>
          <w:i/>
          <w:iCs/>
          <w:sz w:val="16"/>
          <w:szCs w:val="16"/>
        </w:rPr>
        <w:t xml:space="preserve">charges relating to the issue of </w:t>
      </w:r>
      <w:r w:rsidR="00461A6F">
        <w:rPr>
          <w:i/>
          <w:iCs/>
          <w:sz w:val="16"/>
          <w:szCs w:val="16"/>
        </w:rPr>
        <w:t xml:space="preserve">an </w:t>
      </w:r>
      <w:r w:rsidR="002573AF">
        <w:rPr>
          <w:i/>
          <w:iCs/>
          <w:sz w:val="16"/>
          <w:szCs w:val="16"/>
        </w:rPr>
        <w:t xml:space="preserve">AWRL </w:t>
      </w:r>
      <w:r w:rsidR="007F44CB">
        <w:rPr>
          <w:i/>
          <w:iCs/>
          <w:sz w:val="16"/>
          <w:szCs w:val="16"/>
        </w:rPr>
        <w:t>(</w:t>
      </w:r>
      <w:r w:rsidR="0086117E">
        <w:rPr>
          <w:i/>
          <w:iCs/>
          <w:sz w:val="16"/>
          <w:szCs w:val="16"/>
        </w:rPr>
        <w:t>from March 2024</w:t>
      </w:r>
      <w:r w:rsidR="007F44CB">
        <w:rPr>
          <w:i/>
          <w:iCs/>
          <w:sz w:val="16"/>
          <w:szCs w:val="16"/>
        </w:rPr>
        <w:t>)</w:t>
      </w:r>
      <w:r w:rsidR="003C5D1F">
        <w:rPr>
          <w:i/>
          <w:iCs/>
          <w:sz w:val="16"/>
          <w:szCs w:val="16"/>
        </w:rPr>
        <w:t xml:space="preserve"> and</w:t>
      </w:r>
      <w:r w:rsidR="006673A2" w:rsidRPr="007529F5">
        <w:rPr>
          <w:i/>
          <w:iCs/>
          <w:sz w:val="16"/>
          <w:szCs w:val="16"/>
        </w:rPr>
        <w:t xml:space="preserve"> full</w:t>
      </w:r>
      <w:r w:rsidR="004E0FB2">
        <w:rPr>
          <w:i/>
          <w:iCs/>
          <w:sz w:val="16"/>
          <w:szCs w:val="16"/>
        </w:rPr>
        <w:t>-</w:t>
      </w:r>
      <w:r w:rsidR="006673A2" w:rsidRPr="007529F5">
        <w:rPr>
          <w:i/>
          <w:iCs/>
          <w:sz w:val="16"/>
          <w:szCs w:val="16"/>
        </w:rPr>
        <w:t>year impact from 2024</w:t>
      </w:r>
      <w:r w:rsidR="004E0FB2">
        <w:rPr>
          <w:i/>
          <w:sz w:val="16"/>
          <w:szCs w:val="16"/>
        </w:rPr>
        <w:t>–</w:t>
      </w:r>
      <w:r w:rsidR="006673A2" w:rsidRPr="007529F5">
        <w:rPr>
          <w:i/>
          <w:iCs/>
          <w:sz w:val="16"/>
          <w:szCs w:val="16"/>
        </w:rPr>
        <w:t>2</w:t>
      </w:r>
      <w:r w:rsidR="0021771B" w:rsidRPr="007529F5">
        <w:rPr>
          <w:i/>
          <w:iCs/>
          <w:sz w:val="16"/>
          <w:szCs w:val="16"/>
        </w:rPr>
        <w:t>5</w:t>
      </w:r>
      <w:r w:rsidR="006673A2" w:rsidRPr="007529F5">
        <w:rPr>
          <w:i/>
          <w:iCs/>
          <w:sz w:val="16"/>
          <w:szCs w:val="16"/>
        </w:rPr>
        <w:t xml:space="preserve"> onwards</w:t>
      </w:r>
      <w:r w:rsidR="000A3F9B" w:rsidRPr="007529F5">
        <w:rPr>
          <w:i/>
          <w:iCs/>
          <w:sz w:val="16"/>
          <w:szCs w:val="16"/>
        </w:rPr>
        <w:t>.</w:t>
      </w:r>
    </w:p>
    <w:p w14:paraId="3502DEF7" w14:textId="443DFC32" w:rsidR="00504BF3" w:rsidRPr="00932A0B" w:rsidRDefault="00504BF3" w:rsidP="00504BF3">
      <w:pPr>
        <w:pStyle w:val="Heading1"/>
      </w:pPr>
      <w:bookmarkStart w:id="102" w:name="_Toc400965237"/>
      <w:bookmarkStart w:id="103" w:name="_Toc107236661"/>
      <w:bookmarkStart w:id="104" w:name="_Toc135817050"/>
      <w:bookmarkStart w:id="105" w:name="_Toc143267713"/>
      <w:r w:rsidRPr="00932A0B">
        <w:lastRenderedPageBreak/>
        <w:t>7</w:t>
      </w:r>
      <w:r w:rsidR="00000B0F" w:rsidRPr="00932A0B">
        <w:t>A</w:t>
      </w:r>
      <w:r w:rsidR="008B61E0">
        <w:t>.</w:t>
      </w:r>
      <w:r w:rsidRPr="00932A0B">
        <w:tab/>
        <w:t>Financial performance</w:t>
      </w:r>
      <w:bookmarkEnd w:id="102"/>
      <w:bookmarkEnd w:id="103"/>
      <w:bookmarkEnd w:id="104"/>
      <w:bookmarkEnd w:id="105"/>
    </w:p>
    <w:p w14:paraId="4A3088F7" w14:textId="54860DCC" w:rsidR="00504BF3" w:rsidRDefault="00504BF3" w:rsidP="00504BF3">
      <w:pPr>
        <w:rPr>
          <w:rFonts w:cs="Arial"/>
        </w:rPr>
      </w:pPr>
      <w:r w:rsidRPr="00DF1CB8">
        <w:rPr>
          <w:rFonts w:cs="Arial"/>
        </w:rPr>
        <w:t xml:space="preserve">Table </w:t>
      </w:r>
      <w:r w:rsidR="009A5EE9">
        <w:rPr>
          <w:rFonts w:cs="Arial"/>
        </w:rPr>
        <w:t>6</w:t>
      </w:r>
      <w:r w:rsidR="00125B8C" w:rsidRPr="00DF1CB8">
        <w:rPr>
          <w:rFonts w:cs="Arial"/>
        </w:rPr>
        <w:t xml:space="preserve"> </w:t>
      </w:r>
      <w:r w:rsidRPr="00DF1CB8">
        <w:rPr>
          <w:rFonts w:cs="Arial"/>
        </w:rPr>
        <w:t xml:space="preserve">provides historical revenue and expenses for the past </w:t>
      </w:r>
      <w:r w:rsidR="0094780A">
        <w:rPr>
          <w:rFonts w:cs="Arial"/>
        </w:rPr>
        <w:t>5</w:t>
      </w:r>
      <w:r w:rsidR="0094780A" w:rsidRPr="00DF1CB8">
        <w:rPr>
          <w:rFonts w:cs="Arial"/>
        </w:rPr>
        <w:t xml:space="preserve"> </w:t>
      </w:r>
      <w:r w:rsidRPr="00DF1CB8">
        <w:rPr>
          <w:rFonts w:cs="Arial"/>
        </w:rPr>
        <w:t>financial years.</w:t>
      </w:r>
    </w:p>
    <w:p w14:paraId="43034066" w14:textId="197DFE66" w:rsidR="00A74843" w:rsidRPr="00B7365F" w:rsidRDefault="00A74843" w:rsidP="0041763F">
      <w:pPr>
        <w:pStyle w:val="Tableheading0"/>
        <w:rPr>
          <w:rFonts w:cs="Arial"/>
        </w:rPr>
      </w:pPr>
      <w:r w:rsidRPr="0002365B">
        <w:t>Actual cost recovery revenue and expenses</w:t>
      </w:r>
    </w:p>
    <w:tbl>
      <w:tblPr>
        <w:tblW w:w="86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2959"/>
        <w:gridCol w:w="1146"/>
        <w:gridCol w:w="1146"/>
        <w:gridCol w:w="1146"/>
        <w:gridCol w:w="1146"/>
        <w:gridCol w:w="1146"/>
      </w:tblGrid>
      <w:tr w:rsidR="00071E81" w:rsidRPr="00970241" w14:paraId="6EA26FCE" w14:textId="5F02DBC6" w:rsidTr="00AB7A8A">
        <w:trPr>
          <w:trHeight w:val="274"/>
        </w:trPr>
        <w:tc>
          <w:tcPr>
            <w:tcW w:w="2959" w:type="dxa"/>
            <w:shd w:val="clear" w:color="auto" w:fill="404040" w:themeFill="text1" w:themeFillTint="BF"/>
            <w:tcMar>
              <w:top w:w="57" w:type="dxa"/>
              <w:bottom w:w="57" w:type="dxa"/>
            </w:tcMar>
          </w:tcPr>
          <w:p w14:paraId="2BF8E0DB" w14:textId="77777777" w:rsidR="00071E81" w:rsidRPr="0002365B" w:rsidRDefault="00071E81" w:rsidP="00071E81">
            <w:pPr>
              <w:pStyle w:val="TableHeading"/>
              <w:rPr>
                <w:color w:val="FFFFFF" w:themeColor="background1"/>
              </w:rPr>
            </w:pPr>
            <w:r w:rsidRPr="0002365B">
              <w:rPr>
                <w:color w:val="FFFFFF" w:themeColor="background1"/>
              </w:rPr>
              <w:t xml:space="preserve">Fee </w:t>
            </w:r>
            <w:r>
              <w:rPr>
                <w:color w:val="FFFFFF" w:themeColor="background1"/>
              </w:rPr>
              <w:t>i</w:t>
            </w:r>
            <w:r w:rsidRPr="0002365B">
              <w:rPr>
                <w:color w:val="FFFFFF" w:themeColor="background1"/>
              </w:rPr>
              <w:t>tem</w:t>
            </w:r>
          </w:p>
        </w:tc>
        <w:tc>
          <w:tcPr>
            <w:tcW w:w="1146" w:type="dxa"/>
            <w:shd w:val="clear" w:color="auto" w:fill="404040" w:themeFill="text1" w:themeFillTint="BF"/>
            <w:tcMar>
              <w:top w:w="57" w:type="dxa"/>
              <w:bottom w:w="57" w:type="dxa"/>
            </w:tcMar>
          </w:tcPr>
          <w:p w14:paraId="3FF868A1" w14:textId="03A42F72" w:rsidR="00071E81" w:rsidRDefault="00071E81" w:rsidP="00071E81">
            <w:pPr>
              <w:pStyle w:val="TableHeading"/>
              <w:jc w:val="right"/>
              <w:rPr>
                <w:color w:val="FFFFFF" w:themeColor="background1"/>
              </w:rPr>
            </w:pPr>
            <w:r w:rsidRPr="00A20314">
              <w:rPr>
                <w:color w:val="FFFFFF" w:themeColor="background1"/>
              </w:rPr>
              <w:t>2018–19</w:t>
            </w:r>
          </w:p>
          <w:p w14:paraId="261C56E2" w14:textId="40B8EC76" w:rsidR="00071E81" w:rsidRPr="00A20314" w:rsidRDefault="00071E81" w:rsidP="00071E81">
            <w:pPr>
              <w:pStyle w:val="TableHeading"/>
              <w:jc w:val="right"/>
              <w:rPr>
                <w:color w:val="FFFFFF" w:themeColor="background1"/>
              </w:rPr>
            </w:pPr>
            <w:r w:rsidRPr="00A20314">
              <w:rPr>
                <w:color w:val="FFFFFF" w:themeColor="background1"/>
              </w:rPr>
              <w:t>$million</w:t>
            </w:r>
          </w:p>
        </w:tc>
        <w:tc>
          <w:tcPr>
            <w:tcW w:w="1146" w:type="dxa"/>
            <w:tcBorders>
              <w:bottom w:val="single" w:sz="2" w:space="0" w:color="auto"/>
            </w:tcBorders>
            <w:shd w:val="clear" w:color="auto" w:fill="404040" w:themeFill="text1" w:themeFillTint="BF"/>
            <w:tcMar>
              <w:top w:w="57" w:type="dxa"/>
              <w:bottom w:w="57" w:type="dxa"/>
            </w:tcMar>
          </w:tcPr>
          <w:p w14:paraId="2D7E41C9" w14:textId="77777777" w:rsidR="00071E81" w:rsidRDefault="00071E81" w:rsidP="00071E81">
            <w:pPr>
              <w:pStyle w:val="TableHeading"/>
              <w:jc w:val="right"/>
              <w:rPr>
                <w:color w:val="FFFFFF" w:themeColor="background1"/>
              </w:rPr>
            </w:pPr>
            <w:r w:rsidRPr="00A20314">
              <w:rPr>
                <w:color w:val="FFFFFF" w:themeColor="background1"/>
              </w:rPr>
              <w:t>2019–20</w:t>
            </w:r>
          </w:p>
          <w:p w14:paraId="69E9090D" w14:textId="746EA26A" w:rsidR="00071E81" w:rsidRPr="00A20314" w:rsidRDefault="00071E81" w:rsidP="00071E81">
            <w:pPr>
              <w:pStyle w:val="TableHeading"/>
              <w:jc w:val="right"/>
              <w:rPr>
                <w:color w:val="FFFFFF" w:themeColor="background1"/>
              </w:rPr>
            </w:pPr>
            <w:r w:rsidRPr="00A20314">
              <w:rPr>
                <w:color w:val="FFFFFF" w:themeColor="background1"/>
              </w:rPr>
              <w:t>$million</w:t>
            </w:r>
          </w:p>
        </w:tc>
        <w:tc>
          <w:tcPr>
            <w:tcW w:w="1146" w:type="dxa"/>
            <w:tcBorders>
              <w:bottom w:val="single" w:sz="2" w:space="0" w:color="auto"/>
            </w:tcBorders>
            <w:shd w:val="clear" w:color="auto" w:fill="404040" w:themeFill="text1" w:themeFillTint="BF"/>
            <w:tcMar>
              <w:top w:w="57" w:type="dxa"/>
              <w:bottom w:w="57" w:type="dxa"/>
            </w:tcMar>
          </w:tcPr>
          <w:p w14:paraId="43BE5860" w14:textId="77777777" w:rsidR="00071E81" w:rsidRDefault="00071E81" w:rsidP="00071E81">
            <w:pPr>
              <w:pStyle w:val="TableHeading"/>
              <w:jc w:val="right"/>
              <w:rPr>
                <w:color w:val="FFFFFF" w:themeColor="background1"/>
              </w:rPr>
            </w:pPr>
            <w:r w:rsidRPr="00A20314">
              <w:rPr>
                <w:color w:val="FFFFFF" w:themeColor="background1"/>
              </w:rPr>
              <w:t>2020–21</w:t>
            </w:r>
          </w:p>
          <w:p w14:paraId="0FEE2A61" w14:textId="6632B028" w:rsidR="00071E81" w:rsidRPr="00A20314" w:rsidRDefault="00071E81" w:rsidP="00071E81">
            <w:pPr>
              <w:pStyle w:val="TableHeading"/>
              <w:jc w:val="right"/>
              <w:rPr>
                <w:color w:val="FFFFFF" w:themeColor="background1"/>
              </w:rPr>
            </w:pPr>
            <w:r w:rsidRPr="00A20314">
              <w:rPr>
                <w:color w:val="FFFFFF" w:themeColor="background1"/>
              </w:rPr>
              <w:t>$million</w:t>
            </w:r>
          </w:p>
        </w:tc>
        <w:tc>
          <w:tcPr>
            <w:tcW w:w="1146" w:type="dxa"/>
            <w:tcBorders>
              <w:bottom w:val="single" w:sz="2" w:space="0" w:color="auto"/>
            </w:tcBorders>
            <w:shd w:val="clear" w:color="auto" w:fill="404040" w:themeFill="text1" w:themeFillTint="BF"/>
            <w:tcMar>
              <w:top w:w="57" w:type="dxa"/>
              <w:bottom w:w="57" w:type="dxa"/>
            </w:tcMar>
          </w:tcPr>
          <w:p w14:paraId="5E77211E" w14:textId="77777777" w:rsidR="00071E81" w:rsidRDefault="00071E81" w:rsidP="00071E81">
            <w:pPr>
              <w:pStyle w:val="TableHeading"/>
              <w:jc w:val="right"/>
              <w:rPr>
                <w:color w:val="FFFFFF" w:themeColor="background1"/>
              </w:rPr>
            </w:pPr>
            <w:r w:rsidRPr="00A20314">
              <w:rPr>
                <w:color w:val="FFFFFF" w:themeColor="background1"/>
              </w:rPr>
              <w:t>2021–22</w:t>
            </w:r>
          </w:p>
          <w:p w14:paraId="2D717315" w14:textId="3B80FA18" w:rsidR="00071E81" w:rsidRPr="00A20314" w:rsidRDefault="00071E81" w:rsidP="00071E81">
            <w:pPr>
              <w:pStyle w:val="TableHeading"/>
              <w:jc w:val="right"/>
              <w:rPr>
                <w:color w:val="FFFFFF" w:themeColor="background1"/>
              </w:rPr>
            </w:pPr>
            <w:r w:rsidRPr="00A20314">
              <w:rPr>
                <w:color w:val="FFFFFF" w:themeColor="background1"/>
              </w:rPr>
              <w:t>$million</w:t>
            </w:r>
          </w:p>
        </w:tc>
        <w:tc>
          <w:tcPr>
            <w:tcW w:w="1146" w:type="dxa"/>
            <w:tcBorders>
              <w:bottom w:val="single" w:sz="2" w:space="0" w:color="auto"/>
            </w:tcBorders>
            <w:shd w:val="clear" w:color="auto" w:fill="404040" w:themeFill="text1" w:themeFillTint="BF"/>
          </w:tcPr>
          <w:p w14:paraId="299C2B3B" w14:textId="35DE2D8C" w:rsidR="003504CB" w:rsidRDefault="003504CB" w:rsidP="008175B5">
            <w:pPr>
              <w:pStyle w:val="TableHeading"/>
              <w:jc w:val="right"/>
              <w:rPr>
                <w:color w:val="FFFFFF" w:themeColor="background1"/>
              </w:rPr>
            </w:pPr>
            <w:r w:rsidRPr="00A20314">
              <w:rPr>
                <w:color w:val="FFFFFF" w:themeColor="background1"/>
              </w:rPr>
              <w:t>202</w:t>
            </w:r>
            <w:r>
              <w:rPr>
                <w:color w:val="FFFFFF" w:themeColor="background1"/>
              </w:rPr>
              <w:t>2</w:t>
            </w:r>
            <w:r w:rsidRPr="00A20314">
              <w:rPr>
                <w:color w:val="FFFFFF" w:themeColor="background1"/>
              </w:rPr>
              <w:t>–2</w:t>
            </w:r>
            <w:r>
              <w:rPr>
                <w:color w:val="FFFFFF" w:themeColor="background1"/>
              </w:rPr>
              <w:t>3</w:t>
            </w:r>
          </w:p>
          <w:p w14:paraId="15650902" w14:textId="673337FE" w:rsidR="003504CB" w:rsidRPr="00A20314" w:rsidRDefault="003504CB" w:rsidP="008175B5">
            <w:pPr>
              <w:pStyle w:val="TableHeading"/>
              <w:jc w:val="right"/>
              <w:rPr>
                <w:color w:val="FFFFFF" w:themeColor="background1"/>
              </w:rPr>
            </w:pPr>
            <w:r w:rsidRPr="00A20314">
              <w:rPr>
                <w:color w:val="FFFFFF" w:themeColor="background1"/>
              </w:rPr>
              <w:t>$million</w:t>
            </w:r>
          </w:p>
        </w:tc>
      </w:tr>
      <w:tr w:rsidR="001D1EC2" w:rsidRPr="00970241" w14:paraId="11652663" w14:textId="167E8EAB" w:rsidTr="00AB7A8A">
        <w:trPr>
          <w:trHeight w:val="224"/>
        </w:trPr>
        <w:tc>
          <w:tcPr>
            <w:tcW w:w="2959" w:type="dxa"/>
            <w:tcMar>
              <w:top w:w="57" w:type="dxa"/>
              <w:bottom w:w="57" w:type="dxa"/>
            </w:tcMar>
            <w:vAlign w:val="center"/>
          </w:tcPr>
          <w:p w14:paraId="68A82812" w14:textId="77777777" w:rsidR="001D1EC2" w:rsidRPr="00A14A24" w:rsidRDefault="001D1EC2" w:rsidP="001D1EC2">
            <w:pPr>
              <w:pStyle w:val="TableBody"/>
            </w:pPr>
            <w:r w:rsidRPr="00A14A24">
              <w:t>Radiocommunications fees</w:t>
            </w:r>
          </w:p>
        </w:tc>
        <w:tc>
          <w:tcPr>
            <w:tcW w:w="1146" w:type="dxa"/>
            <w:shd w:val="clear" w:color="auto" w:fill="auto"/>
            <w:tcMar>
              <w:top w:w="57" w:type="dxa"/>
              <w:bottom w:w="57" w:type="dxa"/>
            </w:tcMar>
          </w:tcPr>
          <w:p w14:paraId="16162CA8" w14:textId="737B5130" w:rsidR="001D1EC2" w:rsidRPr="00A14A24" w:rsidRDefault="001D1EC2" w:rsidP="001D1EC2">
            <w:pPr>
              <w:pStyle w:val="TableBody"/>
              <w:jc w:val="right"/>
            </w:pPr>
            <w:r w:rsidRPr="0021208E">
              <w:t>4.14</w:t>
            </w:r>
          </w:p>
        </w:tc>
        <w:tc>
          <w:tcPr>
            <w:tcW w:w="1146" w:type="dxa"/>
            <w:tcBorders>
              <w:top w:val="single" w:sz="2" w:space="0" w:color="auto"/>
              <w:left w:val="nil"/>
              <w:bottom w:val="single" w:sz="4" w:space="0" w:color="auto"/>
              <w:right w:val="single" w:sz="6" w:space="0" w:color="auto"/>
            </w:tcBorders>
            <w:shd w:val="clear" w:color="auto" w:fill="auto"/>
            <w:tcMar>
              <w:top w:w="57" w:type="dxa"/>
              <w:bottom w:w="57" w:type="dxa"/>
            </w:tcMar>
          </w:tcPr>
          <w:p w14:paraId="6BBBF502" w14:textId="7510E772" w:rsidR="001D1EC2" w:rsidRPr="00A14A24" w:rsidRDefault="001D1EC2" w:rsidP="001D1EC2">
            <w:pPr>
              <w:pStyle w:val="TableBody"/>
              <w:jc w:val="right"/>
            </w:pPr>
            <w:r w:rsidRPr="0021208E">
              <w:t>3.38</w:t>
            </w:r>
          </w:p>
        </w:tc>
        <w:tc>
          <w:tcPr>
            <w:tcW w:w="1146" w:type="dxa"/>
            <w:tcBorders>
              <w:top w:val="single" w:sz="2" w:space="0" w:color="auto"/>
              <w:left w:val="single" w:sz="6" w:space="0" w:color="auto"/>
              <w:bottom w:val="single" w:sz="4" w:space="0" w:color="auto"/>
              <w:right w:val="single" w:sz="6" w:space="0" w:color="auto"/>
            </w:tcBorders>
            <w:shd w:val="clear" w:color="auto" w:fill="auto"/>
            <w:tcMar>
              <w:top w:w="57" w:type="dxa"/>
              <w:bottom w:w="57" w:type="dxa"/>
            </w:tcMar>
          </w:tcPr>
          <w:p w14:paraId="24B32E9C" w14:textId="248BEEA3" w:rsidR="001D1EC2" w:rsidRPr="00A14A24" w:rsidRDefault="001D1EC2" w:rsidP="001D1EC2">
            <w:pPr>
              <w:pStyle w:val="TableBody"/>
              <w:jc w:val="right"/>
            </w:pPr>
            <w:r w:rsidRPr="0021208E">
              <w:t>3.43</w:t>
            </w:r>
          </w:p>
        </w:tc>
        <w:tc>
          <w:tcPr>
            <w:tcW w:w="1146" w:type="dxa"/>
            <w:tcBorders>
              <w:top w:val="single" w:sz="2" w:space="0" w:color="auto"/>
              <w:left w:val="single" w:sz="6" w:space="0" w:color="auto"/>
              <w:bottom w:val="single" w:sz="4" w:space="0" w:color="auto"/>
              <w:right w:val="single" w:sz="6" w:space="0" w:color="auto"/>
            </w:tcBorders>
            <w:shd w:val="clear" w:color="auto" w:fill="auto"/>
            <w:tcMar>
              <w:top w:w="57" w:type="dxa"/>
              <w:bottom w:w="57" w:type="dxa"/>
            </w:tcMar>
          </w:tcPr>
          <w:p w14:paraId="090FEB45" w14:textId="5B231461" w:rsidR="001D1EC2" w:rsidRPr="00A14A24" w:rsidRDefault="001D1EC2" w:rsidP="001D1EC2">
            <w:pPr>
              <w:pStyle w:val="TableBody"/>
              <w:jc w:val="right"/>
            </w:pPr>
            <w:r w:rsidRPr="00E24E05">
              <w:t>3.18</w:t>
            </w:r>
          </w:p>
        </w:tc>
        <w:tc>
          <w:tcPr>
            <w:tcW w:w="1146" w:type="dxa"/>
            <w:tcBorders>
              <w:top w:val="single" w:sz="2" w:space="0" w:color="auto"/>
              <w:left w:val="single" w:sz="6" w:space="0" w:color="auto"/>
              <w:bottom w:val="single" w:sz="4" w:space="0" w:color="auto"/>
              <w:right w:val="single" w:sz="6" w:space="0" w:color="auto"/>
            </w:tcBorders>
          </w:tcPr>
          <w:p w14:paraId="417F9BC6" w14:textId="1124E7E0" w:rsidR="000A6D98" w:rsidRPr="001C5FE6" w:rsidRDefault="000A6D98" w:rsidP="000A6D98">
            <w:pPr>
              <w:pStyle w:val="TableBody"/>
              <w:jc w:val="right"/>
            </w:pPr>
            <w:r w:rsidRPr="001C5FE6">
              <w:t xml:space="preserve"> 2.</w:t>
            </w:r>
            <w:r w:rsidR="00EB3547">
              <w:t>53</w:t>
            </w:r>
            <w:r w:rsidRPr="001C5FE6">
              <w:t xml:space="preserve"> </w:t>
            </w:r>
          </w:p>
        </w:tc>
      </w:tr>
      <w:tr w:rsidR="001D1EC2" w:rsidRPr="00970241" w14:paraId="2D1C7ABB" w14:textId="47CA98A5" w:rsidTr="00AB7A8A">
        <w:trPr>
          <w:trHeight w:val="288"/>
        </w:trPr>
        <w:tc>
          <w:tcPr>
            <w:tcW w:w="2959" w:type="dxa"/>
            <w:tcMar>
              <w:top w:w="57" w:type="dxa"/>
              <w:bottom w:w="57" w:type="dxa"/>
            </w:tcMar>
            <w:vAlign w:val="center"/>
          </w:tcPr>
          <w:p w14:paraId="707E57F6" w14:textId="77777777" w:rsidR="001D1EC2" w:rsidRPr="004713C3" w:rsidRDefault="001D1EC2" w:rsidP="001D1EC2">
            <w:pPr>
              <w:pStyle w:val="TableBody"/>
            </w:pPr>
            <w:r w:rsidRPr="004713C3">
              <w:t>T</w:t>
            </w:r>
            <w:r>
              <w:t>elecommunications fees</w:t>
            </w:r>
          </w:p>
        </w:tc>
        <w:tc>
          <w:tcPr>
            <w:tcW w:w="1146" w:type="dxa"/>
            <w:shd w:val="clear" w:color="auto" w:fill="auto"/>
            <w:tcMar>
              <w:top w:w="57" w:type="dxa"/>
              <w:bottom w:w="57" w:type="dxa"/>
            </w:tcMar>
          </w:tcPr>
          <w:p w14:paraId="3A017AD1" w14:textId="7A9FC327" w:rsidR="001D1EC2" w:rsidRPr="00A87FB0" w:rsidRDefault="001D1EC2" w:rsidP="001D1EC2">
            <w:pPr>
              <w:pStyle w:val="TableBody"/>
              <w:jc w:val="right"/>
            </w:pPr>
            <w:r w:rsidRPr="0021208E">
              <w:t>0.21</w:t>
            </w:r>
          </w:p>
        </w:tc>
        <w:tc>
          <w:tcPr>
            <w:tcW w:w="1146" w:type="dxa"/>
            <w:tcBorders>
              <w:top w:val="single" w:sz="4" w:space="0" w:color="auto"/>
              <w:left w:val="nil"/>
              <w:bottom w:val="single" w:sz="4" w:space="0" w:color="auto"/>
              <w:right w:val="single" w:sz="6" w:space="0" w:color="auto"/>
            </w:tcBorders>
            <w:shd w:val="clear" w:color="auto" w:fill="auto"/>
            <w:tcMar>
              <w:top w:w="57" w:type="dxa"/>
              <w:bottom w:w="57" w:type="dxa"/>
            </w:tcMar>
          </w:tcPr>
          <w:p w14:paraId="65D186E7" w14:textId="3392AD1A" w:rsidR="001D1EC2" w:rsidRPr="00A87FB0" w:rsidRDefault="001D1EC2" w:rsidP="001D1EC2">
            <w:pPr>
              <w:pStyle w:val="TableBody"/>
              <w:jc w:val="right"/>
            </w:pPr>
            <w:r w:rsidRPr="0021208E">
              <w:t>0.13</w:t>
            </w:r>
          </w:p>
        </w:tc>
        <w:tc>
          <w:tcPr>
            <w:tcW w:w="1146" w:type="dxa"/>
            <w:tcBorders>
              <w:top w:val="single" w:sz="4" w:space="0" w:color="auto"/>
              <w:left w:val="single" w:sz="6" w:space="0" w:color="auto"/>
              <w:bottom w:val="single" w:sz="4" w:space="0" w:color="auto"/>
              <w:right w:val="single" w:sz="6" w:space="0" w:color="auto"/>
            </w:tcBorders>
            <w:shd w:val="clear" w:color="auto" w:fill="auto"/>
            <w:tcMar>
              <w:top w:w="57" w:type="dxa"/>
              <w:bottom w:w="57" w:type="dxa"/>
            </w:tcMar>
          </w:tcPr>
          <w:p w14:paraId="32314A19" w14:textId="1D079584" w:rsidR="001D1EC2" w:rsidRPr="00A87FB0" w:rsidRDefault="001D1EC2" w:rsidP="001D1EC2">
            <w:pPr>
              <w:pStyle w:val="TableBody"/>
              <w:jc w:val="right"/>
            </w:pPr>
            <w:r w:rsidRPr="0021208E">
              <w:t>0.18</w:t>
            </w:r>
          </w:p>
        </w:tc>
        <w:tc>
          <w:tcPr>
            <w:tcW w:w="1146" w:type="dxa"/>
            <w:tcBorders>
              <w:top w:val="single" w:sz="4" w:space="0" w:color="auto"/>
              <w:left w:val="single" w:sz="6" w:space="0" w:color="auto"/>
              <w:bottom w:val="single" w:sz="4" w:space="0" w:color="auto"/>
              <w:right w:val="single" w:sz="6" w:space="0" w:color="auto"/>
            </w:tcBorders>
            <w:shd w:val="clear" w:color="auto" w:fill="auto"/>
            <w:tcMar>
              <w:top w:w="57" w:type="dxa"/>
              <w:bottom w:w="57" w:type="dxa"/>
            </w:tcMar>
          </w:tcPr>
          <w:p w14:paraId="27F4766D" w14:textId="6BD1AECB" w:rsidR="001D1EC2" w:rsidRPr="00A87FB0" w:rsidRDefault="001D1EC2" w:rsidP="001D1EC2">
            <w:pPr>
              <w:pStyle w:val="TableBody"/>
              <w:jc w:val="right"/>
            </w:pPr>
            <w:r w:rsidRPr="00E24E05">
              <w:t>0.12</w:t>
            </w:r>
          </w:p>
        </w:tc>
        <w:tc>
          <w:tcPr>
            <w:tcW w:w="1146" w:type="dxa"/>
            <w:tcBorders>
              <w:top w:val="single" w:sz="4" w:space="0" w:color="auto"/>
              <w:left w:val="single" w:sz="6" w:space="0" w:color="auto"/>
              <w:bottom w:val="single" w:sz="4" w:space="0" w:color="auto"/>
              <w:right w:val="single" w:sz="6" w:space="0" w:color="auto"/>
            </w:tcBorders>
          </w:tcPr>
          <w:p w14:paraId="2AAB01BC" w14:textId="02DF1FDF" w:rsidR="000A6D98" w:rsidRPr="001C5FE6" w:rsidRDefault="000A6D98" w:rsidP="000A6D98">
            <w:pPr>
              <w:pStyle w:val="TableBody"/>
              <w:jc w:val="right"/>
            </w:pPr>
            <w:r w:rsidRPr="001C5FE6">
              <w:t xml:space="preserve"> 0.1</w:t>
            </w:r>
            <w:r>
              <w:t>9</w:t>
            </w:r>
            <w:r w:rsidRPr="001C5FE6">
              <w:t xml:space="preserve"> </w:t>
            </w:r>
          </w:p>
        </w:tc>
      </w:tr>
      <w:tr w:rsidR="001D1EC2" w:rsidRPr="00970241" w14:paraId="358B89D2" w14:textId="496859D1" w:rsidTr="00AB7A8A">
        <w:trPr>
          <w:trHeight w:val="292"/>
        </w:trPr>
        <w:tc>
          <w:tcPr>
            <w:tcW w:w="2959" w:type="dxa"/>
            <w:tcMar>
              <w:top w:w="57" w:type="dxa"/>
              <w:bottom w:w="57" w:type="dxa"/>
            </w:tcMar>
            <w:vAlign w:val="center"/>
          </w:tcPr>
          <w:p w14:paraId="389D360B" w14:textId="77777777" w:rsidR="001D1EC2" w:rsidRPr="004713C3" w:rsidRDefault="001D1EC2" w:rsidP="001D1EC2">
            <w:pPr>
              <w:pStyle w:val="TableBody"/>
            </w:pPr>
            <w:r w:rsidRPr="004713C3">
              <w:t>Broadcasting fees</w:t>
            </w:r>
          </w:p>
        </w:tc>
        <w:tc>
          <w:tcPr>
            <w:tcW w:w="1146" w:type="dxa"/>
            <w:shd w:val="clear" w:color="auto" w:fill="auto"/>
            <w:tcMar>
              <w:top w:w="57" w:type="dxa"/>
              <w:bottom w:w="57" w:type="dxa"/>
            </w:tcMar>
          </w:tcPr>
          <w:p w14:paraId="022F233C" w14:textId="04CA3D42" w:rsidR="001D1EC2" w:rsidRPr="00A87FB0" w:rsidRDefault="001D1EC2" w:rsidP="001D1EC2">
            <w:pPr>
              <w:pStyle w:val="TableBody"/>
              <w:jc w:val="right"/>
            </w:pPr>
            <w:r w:rsidRPr="0021208E">
              <w:t>0.02</w:t>
            </w:r>
          </w:p>
        </w:tc>
        <w:tc>
          <w:tcPr>
            <w:tcW w:w="1146" w:type="dxa"/>
            <w:tcBorders>
              <w:top w:val="single" w:sz="4" w:space="0" w:color="auto"/>
              <w:left w:val="nil"/>
              <w:bottom w:val="single" w:sz="4" w:space="0" w:color="auto"/>
              <w:right w:val="single" w:sz="6" w:space="0" w:color="auto"/>
            </w:tcBorders>
            <w:shd w:val="clear" w:color="auto" w:fill="auto"/>
            <w:tcMar>
              <w:top w:w="57" w:type="dxa"/>
              <w:bottom w:w="57" w:type="dxa"/>
            </w:tcMar>
          </w:tcPr>
          <w:p w14:paraId="6567631A" w14:textId="650FE10C" w:rsidR="001D1EC2" w:rsidRPr="00A87FB0" w:rsidRDefault="001D1EC2" w:rsidP="001D1EC2">
            <w:pPr>
              <w:pStyle w:val="TableBody"/>
              <w:jc w:val="right"/>
            </w:pPr>
            <w:r w:rsidRPr="0021208E">
              <w:t>0.03</w:t>
            </w:r>
          </w:p>
        </w:tc>
        <w:tc>
          <w:tcPr>
            <w:tcW w:w="1146" w:type="dxa"/>
            <w:tcBorders>
              <w:top w:val="single" w:sz="4" w:space="0" w:color="auto"/>
              <w:left w:val="single" w:sz="6" w:space="0" w:color="auto"/>
              <w:bottom w:val="single" w:sz="4" w:space="0" w:color="auto"/>
              <w:right w:val="single" w:sz="6" w:space="0" w:color="auto"/>
            </w:tcBorders>
            <w:shd w:val="clear" w:color="auto" w:fill="auto"/>
            <w:tcMar>
              <w:top w:w="57" w:type="dxa"/>
              <w:bottom w:w="57" w:type="dxa"/>
            </w:tcMar>
          </w:tcPr>
          <w:p w14:paraId="4A51C007" w14:textId="2D3971BC" w:rsidR="001D1EC2" w:rsidRPr="00A87FB0" w:rsidRDefault="001D1EC2" w:rsidP="001D1EC2">
            <w:pPr>
              <w:pStyle w:val="TableBody"/>
              <w:jc w:val="right"/>
            </w:pPr>
            <w:r w:rsidRPr="0021208E">
              <w:t>0.04</w:t>
            </w:r>
          </w:p>
        </w:tc>
        <w:tc>
          <w:tcPr>
            <w:tcW w:w="1146" w:type="dxa"/>
            <w:tcBorders>
              <w:top w:val="single" w:sz="4" w:space="0" w:color="auto"/>
              <w:left w:val="single" w:sz="6" w:space="0" w:color="auto"/>
              <w:bottom w:val="single" w:sz="4" w:space="0" w:color="auto"/>
              <w:right w:val="single" w:sz="6" w:space="0" w:color="auto"/>
            </w:tcBorders>
            <w:shd w:val="clear" w:color="auto" w:fill="auto"/>
            <w:tcMar>
              <w:top w:w="57" w:type="dxa"/>
              <w:bottom w:w="57" w:type="dxa"/>
            </w:tcMar>
          </w:tcPr>
          <w:p w14:paraId="3D40A662" w14:textId="662B8E9D" w:rsidR="001D1EC2" w:rsidRPr="00A87FB0" w:rsidRDefault="001D1EC2" w:rsidP="001D1EC2">
            <w:pPr>
              <w:pStyle w:val="TableBody"/>
              <w:jc w:val="right"/>
            </w:pPr>
            <w:r w:rsidRPr="00E24E05">
              <w:t>0.03</w:t>
            </w:r>
          </w:p>
        </w:tc>
        <w:tc>
          <w:tcPr>
            <w:tcW w:w="1146" w:type="dxa"/>
            <w:tcBorders>
              <w:top w:val="single" w:sz="4" w:space="0" w:color="auto"/>
              <w:left w:val="single" w:sz="6" w:space="0" w:color="auto"/>
              <w:bottom w:val="single" w:sz="4" w:space="0" w:color="auto"/>
              <w:right w:val="single" w:sz="6" w:space="0" w:color="auto"/>
            </w:tcBorders>
          </w:tcPr>
          <w:p w14:paraId="79263D0D" w14:textId="44D6695B" w:rsidR="000A6D98" w:rsidRPr="001C5FE6" w:rsidRDefault="000A6D98" w:rsidP="000A6D98">
            <w:pPr>
              <w:pStyle w:val="TableBody"/>
              <w:jc w:val="right"/>
            </w:pPr>
            <w:r w:rsidRPr="001C5FE6">
              <w:t xml:space="preserve"> 0.02 </w:t>
            </w:r>
          </w:p>
        </w:tc>
      </w:tr>
      <w:tr w:rsidR="001D1EC2" w:rsidRPr="00895401" w14:paraId="12D15677" w14:textId="6042B75D" w:rsidTr="00AB7A8A">
        <w:trPr>
          <w:trHeight w:val="296"/>
        </w:trPr>
        <w:tc>
          <w:tcPr>
            <w:tcW w:w="2959" w:type="dxa"/>
            <w:shd w:val="clear" w:color="auto" w:fill="F2F2F2" w:themeFill="background1" w:themeFillShade="F2"/>
            <w:tcMar>
              <w:top w:w="57" w:type="dxa"/>
              <w:bottom w:w="57" w:type="dxa"/>
            </w:tcMar>
            <w:vAlign w:val="center"/>
          </w:tcPr>
          <w:p w14:paraId="45330B97" w14:textId="77777777" w:rsidR="001D1EC2" w:rsidRPr="004713C3" w:rsidRDefault="001D1EC2" w:rsidP="001D1EC2">
            <w:pPr>
              <w:pStyle w:val="TableHeading"/>
            </w:pPr>
            <w:r>
              <w:t>Total revenue</w:t>
            </w:r>
          </w:p>
        </w:tc>
        <w:tc>
          <w:tcPr>
            <w:tcW w:w="1146" w:type="dxa"/>
            <w:shd w:val="clear" w:color="auto" w:fill="F2F2F2" w:themeFill="background1" w:themeFillShade="F2"/>
            <w:tcMar>
              <w:top w:w="57" w:type="dxa"/>
              <w:bottom w:w="57" w:type="dxa"/>
            </w:tcMar>
          </w:tcPr>
          <w:p w14:paraId="52507293" w14:textId="6C5CB216" w:rsidR="001D1EC2" w:rsidRPr="00A87FB0" w:rsidRDefault="001D1EC2" w:rsidP="001D1EC2">
            <w:pPr>
              <w:pStyle w:val="TableHeading"/>
              <w:jc w:val="right"/>
            </w:pPr>
            <w:r w:rsidRPr="0021208E">
              <w:t>4.37</w:t>
            </w:r>
          </w:p>
        </w:tc>
        <w:tc>
          <w:tcPr>
            <w:tcW w:w="1146" w:type="dxa"/>
            <w:tcBorders>
              <w:top w:val="single" w:sz="4" w:space="0" w:color="auto"/>
              <w:left w:val="nil"/>
              <w:bottom w:val="single" w:sz="4" w:space="0" w:color="auto"/>
              <w:right w:val="single" w:sz="6" w:space="0" w:color="auto"/>
            </w:tcBorders>
            <w:shd w:val="clear" w:color="000000" w:fill="F2F2F2"/>
            <w:tcMar>
              <w:top w:w="57" w:type="dxa"/>
              <w:bottom w:w="57" w:type="dxa"/>
            </w:tcMar>
          </w:tcPr>
          <w:p w14:paraId="73485F9E" w14:textId="2A3FC631" w:rsidR="001D1EC2" w:rsidRPr="00A87FB0" w:rsidRDefault="001D1EC2" w:rsidP="001D1EC2">
            <w:pPr>
              <w:pStyle w:val="TableHeading"/>
              <w:jc w:val="right"/>
            </w:pPr>
            <w:r w:rsidRPr="0021208E">
              <w:t>3.54</w:t>
            </w:r>
          </w:p>
        </w:tc>
        <w:tc>
          <w:tcPr>
            <w:tcW w:w="1146" w:type="dxa"/>
            <w:tcBorders>
              <w:top w:val="single" w:sz="4" w:space="0" w:color="auto"/>
              <w:left w:val="single" w:sz="6" w:space="0" w:color="auto"/>
              <w:bottom w:val="single" w:sz="4" w:space="0" w:color="auto"/>
              <w:right w:val="single" w:sz="6" w:space="0" w:color="auto"/>
            </w:tcBorders>
            <w:shd w:val="clear" w:color="000000" w:fill="F2F2F2"/>
            <w:tcMar>
              <w:top w:w="57" w:type="dxa"/>
              <w:bottom w:w="57" w:type="dxa"/>
            </w:tcMar>
          </w:tcPr>
          <w:p w14:paraId="3A893805" w14:textId="6BA318AB" w:rsidR="001D1EC2" w:rsidRPr="00A87FB0" w:rsidRDefault="001D1EC2" w:rsidP="001D1EC2">
            <w:pPr>
              <w:pStyle w:val="TableHeading"/>
              <w:jc w:val="right"/>
            </w:pPr>
            <w:r w:rsidRPr="0021208E">
              <w:t>3.65</w:t>
            </w:r>
          </w:p>
        </w:tc>
        <w:tc>
          <w:tcPr>
            <w:tcW w:w="1146" w:type="dxa"/>
            <w:tcBorders>
              <w:top w:val="single" w:sz="4" w:space="0" w:color="auto"/>
              <w:left w:val="single" w:sz="6" w:space="0" w:color="auto"/>
              <w:bottom w:val="single" w:sz="4" w:space="0" w:color="auto"/>
              <w:right w:val="single" w:sz="6" w:space="0" w:color="auto"/>
            </w:tcBorders>
            <w:shd w:val="clear" w:color="000000" w:fill="F2F2F2"/>
            <w:tcMar>
              <w:top w:w="57" w:type="dxa"/>
              <w:bottom w:w="57" w:type="dxa"/>
            </w:tcMar>
          </w:tcPr>
          <w:p w14:paraId="3D36E8F7" w14:textId="300B1A64" w:rsidR="001D1EC2" w:rsidRPr="00A87FB0" w:rsidRDefault="001D1EC2" w:rsidP="001D1EC2">
            <w:pPr>
              <w:pStyle w:val="TableHeading"/>
              <w:jc w:val="right"/>
            </w:pPr>
            <w:r w:rsidRPr="00E24E05">
              <w:t>3.33</w:t>
            </w:r>
          </w:p>
        </w:tc>
        <w:tc>
          <w:tcPr>
            <w:tcW w:w="1146" w:type="dxa"/>
            <w:tcBorders>
              <w:top w:val="single" w:sz="4" w:space="0" w:color="auto"/>
              <w:left w:val="single" w:sz="6" w:space="0" w:color="auto"/>
              <w:bottom w:val="single" w:sz="4" w:space="0" w:color="auto"/>
              <w:right w:val="single" w:sz="6" w:space="0" w:color="auto"/>
            </w:tcBorders>
            <w:shd w:val="clear" w:color="000000" w:fill="F2F2F2"/>
          </w:tcPr>
          <w:p w14:paraId="7240BB00" w14:textId="6986CE1C" w:rsidR="000A6D98" w:rsidRPr="001C5FE6" w:rsidRDefault="006E7488" w:rsidP="000A6D98">
            <w:pPr>
              <w:pStyle w:val="TableHeading"/>
              <w:jc w:val="right"/>
            </w:pPr>
            <w:r>
              <w:t>2.74</w:t>
            </w:r>
          </w:p>
        </w:tc>
      </w:tr>
      <w:tr w:rsidR="008D644E" w:rsidRPr="00970241" w14:paraId="66B7C6AD" w14:textId="09565FD6" w:rsidTr="00AB7A8A">
        <w:trPr>
          <w:trHeight w:val="301"/>
        </w:trPr>
        <w:tc>
          <w:tcPr>
            <w:tcW w:w="2959" w:type="dxa"/>
            <w:shd w:val="clear" w:color="auto" w:fill="auto"/>
            <w:tcMar>
              <w:top w:w="57" w:type="dxa"/>
              <w:bottom w:w="57" w:type="dxa"/>
            </w:tcMar>
            <w:vAlign w:val="center"/>
          </w:tcPr>
          <w:p w14:paraId="03EEDC70" w14:textId="77777777" w:rsidR="008D644E" w:rsidRPr="004713C3" w:rsidRDefault="008D644E" w:rsidP="00424DF7">
            <w:pPr>
              <w:pStyle w:val="TableHeading"/>
            </w:pPr>
            <w:r w:rsidRPr="004713C3">
              <w:t>Total</w:t>
            </w:r>
            <w:r>
              <w:t xml:space="preserve"> expenses</w:t>
            </w:r>
          </w:p>
        </w:tc>
        <w:tc>
          <w:tcPr>
            <w:tcW w:w="1146" w:type="dxa"/>
            <w:shd w:val="clear" w:color="auto" w:fill="auto"/>
            <w:tcMar>
              <w:top w:w="57" w:type="dxa"/>
              <w:bottom w:w="57" w:type="dxa"/>
            </w:tcMar>
          </w:tcPr>
          <w:p w14:paraId="7D8B79EB" w14:textId="66590C3C" w:rsidR="008D644E" w:rsidRPr="00A87FB0" w:rsidRDefault="008D644E" w:rsidP="00424DF7">
            <w:pPr>
              <w:pStyle w:val="TableHeading"/>
              <w:jc w:val="right"/>
            </w:pPr>
            <w:r w:rsidRPr="0021208E">
              <w:t>4.37</w:t>
            </w:r>
          </w:p>
        </w:tc>
        <w:tc>
          <w:tcPr>
            <w:tcW w:w="1146" w:type="dxa"/>
            <w:tcBorders>
              <w:top w:val="single" w:sz="4" w:space="0" w:color="auto"/>
              <w:left w:val="nil"/>
              <w:bottom w:val="single" w:sz="4" w:space="0" w:color="auto"/>
              <w:right w:val="single" w:sz="6" w:space="0" w:color="auto"/>
            </w:tcBorders>
            <w:shd w:val="clear" w:color="auto" w:fill="auto"/>
            <w:tcMar>
              <w:top w:w="57" w:type="dxa"/>
              <w:bottom w:w="57" w:type="dxa"/>
            </w:tcMar>
          </w:tcPr>
          <w:p w14:paraId="6AD12647" w14:textId="2C0DB878" w:rsidR="008D644E" w:rsidRPr="00A87FB0" w:rsidRDefault="008D644E" w:rsidP="00424DF7">
            <w:pPr>
              <w:pStyle w:val="TableHeading"/>
              <w:jc w:val="right"/>
            </w:pPr>
            <w:r w:rsidRPr="0021208E">
              <w:t>3.54</w:t>
            </w:r>
          </w:p>
        </w:tc>
        <w:tc>
          <w:tcPr>
            <w:tcW w:w="1146" w:type="dxa"/>
            <w:tcBorders>
              <w:top w:val="single" w:sz="4" w:space="0" w:color="auto"/>
              <w:left w:val="single" w:sz="6" w:space="0" w:color="auto"/>
              <w:bottom w:val="single" w:sz="4" w:space="0" w:color="auto"/>
              <w:right w:val="single" w:sz="6" w:space="0" w:color="auto"/>
            </w:tcBorders>
            <w:shd w:val="clear" w:color="auto" w:fill="auto"/>
            <w:tcMar>
              <w:top w:w="57" w:type="dxa"/>
              <w:bottom w:w="57" w:type="dxa"/>
            </w:tcMar>
          </w:tcPr>
          <w:p w14:paraId="74B66002" w14:textId="256AAA4A" w:rsidR="008D644E" w:rsidRPr="00A87FB0" w:rsidRDefault="008D644E" w:rsidP="00424DF7">
            <w:pPr>
              <w:pStyle w:val="TableHeading"/>
              <w:jc w:val="right"/>
            </w:pPr>
            <w:r w:rsidRPr="0021208E">
              <w:t>3.65</w:t>
            </w:r>
          </w:p>
        </w:tc>
        <w:tc>
          <w:tcPr>
            <w:tcW w:w="1146" w:type="dxa"/>
            <w:tcBorders>
              <w:top w:val="single" w:sz="4" w:space="0" w:color="auto"/>
              <w:left w:val="single" w:sz="6" w:space="0" w:color="auto"/>
              <w:bottom w:val="single" w:sz="4" w:space="0" w:color="auto"/>
              <w:right w:val="single" w:sz="6" w:space="0" w:color="auto"/>
            </w:tcBorders>
            <w:shd w:val="clear" w:color="auto" w:fill="auto"/>
            <w:tcMar>
              <w:top w:w="57" w:type="dxa"/>
              <w:bottom w:w="57" w:type="dxa"/>
            </w:tcMar>
          </w:tcPr>
          <w:p w14:paraId="138E346D" w14:textId="72E2B834" w:rsidR="008D644E" w:rsidRPr="00A87FB0" w:rsidRDefault="001D1EC2" w:rsidP="00424DF7">
            <w:pPr>
              <w:pStyle w:val="TableHeading"/>
              <w:jc w:val="right"/>
            </w:pPr>
            <w:r>
              <w:t>3.33</w:t>
            </w:r>
          </w:p>
        </w:tc>
        <w:tc>
          <w:tcPr>
            <w:tcW w:w="1146" w:type="dxa"/>
            <w:tcBorders>
              <w:top w:val="single" w:sz="4" w:space="0" w:color="auto"/>
              <w:left w:val="single" w:sz="6" w:space="0" w:color="auto"/>
              <w:bottom w:val="single" w:sz="4" w:space="0" w:color="auto"/>
              <w:right w:val="single" w:sz="6" w:space="0" w:color="auto"/>
            </w:tcBorders>
            <w:vAlign w:val="center"/>
          </w:tcPr>
          <w:p w14:paraId="622084DC" w14:textId="739E0680" w:rsidR="000A6D98" w:rsidRDefault="006E7488" w:rsidP="000A6D98">
            <w:pPr>
              <w:pStyle w:val="TableHeading"/>
              <w:jc w:val="right"/>
            </w:pPr>
            <w:r>
              <w:t>2.74</w:t>
            </w:r>
          </w:p>
        </w:tc>
      </w:tr>
      <w:tr w:rsidR="008D644E" w:rsidRPr="00970241" w14:paraId="5E2D3A18" w14:textId="7AB9E538" w:rsidTr="00AB7A8A">
        <w:trPr>
          <w:trHeight w:val="275"/>
        </w:trPr>
        <w:tc>
          <w:tcPr>
            <w:tcW w:w="2959" w:type="dxa"/>
            <w:shd w:val="clear" w:color="auto" w:fill="auto"/>
            <w:tcMar>
              <w:top w:w="57" w:type="dxa"/>
              <w:bottom w:w="57" w:type="dxa"/>
            </w:tcMar>
            <w:vAlign w:val="center"/>
          </w:tcPr>
          <w:p w14:paraId="334DCA6B" w14:textId="77777777" w:rsidR="008D644E" w:rsidRPr="004713C3" w:rsidRDefault="008D644E" w:rsidP="00B0284C">
            <w:pPr>
              <w:pStyle w:val="TableHeading"/>
            </w:pPr>
            <w:r>
              <w:t>Balance</w:t>
            </w:r>
          </w:p>
        </w:tc>
        <w:tc>
          <w:tcPr>
            <w:tcW w:w="1146" w:type="dxa"/>
            <w:shd w:val="clear" w:color="auto" w:fill="auto"/>
            <w:tcMar>
              <w:top w:w="57" w:type="dxa"/>
              <w:bottom w:w="57" w:type="dxa"/>
            </w:tcMar>
            <w:vAlign w:val="center"/>
          </w:tcPr>
          <w:p w14:paraId="4A5B301B" w14:textId="37166987" w:rsidR="008D644E" w:rsidRPr="00A87FB0" w:rsidRDefault="008D644E" w:rsidP="0028258E">
            <w:pPr>
              <w:pStyle w:val="TableHeading"/>
              <w:jc w:val="right"/>
            </w:pPr>
            <w:r>
              <w:t>0.00</w:t>
            </w:r>
          </w:p>
        </w:tc>
        <w:tc>
          <w:tcPr>
            <w:tcW w:w="1146" w:type="dxa"/>
            <w:tcBorders>
              <w:top w:val="single" w:sz="4" w:space="0" w:color="auto"/>
              <w:left w:val="nil"/>
              <w:bottom w:val="single" w:sz="6" w:space="0" w:color="auto"/>
              <w:right w:val="single" w:sz="6" w:space="0" w:color="auto"/>
            </w:tcBorders>
            <w:shd w:val="clear" w:color="auto" w:fill="auto"/>
            <w:tcMar>
              <w:top w:w="57" w:type="dxa"/>
              <w:bottom w:w="57" w:type="dxa"/>
            </w:tcMar>
            <w:vAlign w:val="center"/>
          </w:tcPr>
          <w:p w14:paraId="27514F5B" w14:textId="77777777" w:rsidR="008D644E" w:rsidRPr="00A87FB0" w:rsidRDefault="008D644E" w:rsidP="0028258E">
            <w:pPr>
              <w:pStyle w:val="TableHeading"/>
              <w:jc w:val="right"/>
            </w:pPr>
            <w:r>
              <w:t>0.00</w:t>
            </w:r>
          </w:p>
        </w:tc>
        <w:tc>
          <w:tcPr>
            <w:tcW w:w="1146" w:type="dxa"/>
            <w:tcBorders>
              <w:top w:val="single" w:sz="4" w:space="0" w:color="auto"/>
              <w:left w:val="single" w:sz="6" w:space="0" w:color="auto"/>
              <w:bottom w:val="single" w:sz="6" w:space="0" w:color="auto"/>
              <w:right w:val="single" w:sz="6" w:space="0" w:color="auto"/>
            </w:tcBorders>
            <w:shd w:val="clear" w:color="auto" w:fill="auto"/>
            <w:tcMar>
              <w:top w:w="57" w:type="dxa"/>
              <w:bottom w:w="57" w:type="dxa"/>
            </w:tcMar>
            <w:vAlign w:val="center"/>
          </w:tcPr>
          <w:p w14:paraId="755E1DD6" w14:textId="77777777" w:rsidR="008D644E" w:rsidRPr="00A87FB0" w:rsidRDefault="008D644E" w:rsidP="0028258E">
            <w:pPr>
              <w:pStyle w:val="TableHeading"/>
              <w:jc w:val="right"/>
            </w:pPr>
            <w:r>
              <w:t>0.00</w:t>
            </w:r>
          </w:p>
        </w:tc>
        <w:tc>
          <w:tcPr>
            <w:tcW w:w="1146" w:type="dxa"/>
            <w:tcBorders>
              <w:top w:val="single" w:sz="4" w:space="0" w:color="auto"/>
              <w:left w:val="single" w:sz="6" w:space="0" w:color="auto"/>
              <w:bottom w:val="single" w:sz="6" w:space="0" w:color="auto"/>
              <w:right w:val="single" w:sz="6" w:space="0" w:color="auto"/>
            </w:tcBorders>
            <w:shd w:val="clear" w:color="auto" w:fill="auto"/>
            <w:tcMar>
              <w:top w:w="57" w:type="dxa"/>
              <w:bottom w:w="57" w:type="dxa"/>
            </w:tcMar>
            <w:vAlign w:val="center"/>
          </w:tcPr>
          <w:p w14:paraId="36AB9B65" w14:textId="6BF96AB8" w:rsidR="008D644E" w:rsidRPr="00A87FB0" w:rsidRDefault="001D1EC2" w:rsidP="0028258E">
            <w:pPr>
              <w:pStyle w:val="TableHeading"/>
              <w:jc w:val="right"/>
            </w:pPr>
            <w:r>
              <w:t>0.00</w:t>
            </w:r>
          </w:p>
        </w:tc>
        <w:tc>
          <w:tcPr>
            <w:tcW w:w="1146" w:type="dxa"/>
            <w:tcBorders>
              <w:top w:val="single" w:sz="4" w:space="0" w:color="auto"/>
              <w:left w:val="single" w:sz="6" w:space="0" w:color="auto"/>
              <w:bottom w:val="single" w:sz="6" w:space="0" w:color="auto"/>
              <w:right w:val="single" w:sz="6" w:space="0" w:color="auto"/>
            </w:tcBorders>
            <w:vAlign w:val="center"/>
          </w:tcPr>
          <w:p w14:paraId="27CA9419" w14:textId="3E4D28B4" w:rsidR="000A6D98" w:rsidRDefault="000A6D98" w:rsidP="000A6D98">
            <w:pPr>
              <w:pStyle w:val="TableHeading"/>
              <w:jc w:val="right"/>
            </w:pPr>
            <w:r>
              <w:t>0.00</w:t>
            </w:r>
          </w:p>
        </w:tc>
      </w:tr>
    </w:tbl>
    <w:p w14:paraId="7DD70AC8" w14:textId="106C3FC9" w:rsidR="000A6D98" w:rsidRDefault="000A6D98" w:rsidP="000A6D98">
      <w:pPr>
        <w:pStyle w:val="Tableorfigurenote"/>
      </w:pPr>
      <w:r w:rsidRPr="00CD3F1C">
        <w:t xml:space="preserve">*Note: </w:t>
      </w:r>
      <w:r w:rsidRPr="00AB7A8A">
        <w:t>At the time of publication, the CRIS has been updated to reflect actuals until 30 June 2023.</w:t>
      </w:r>
    </w:p>
    <w:p w14:paraId="72174018" w14:textId="47A20655" w:rsidR="000A6D98" w:rsidRPr="00EE51AE" w:rsidRDefault="001F4F1D" w:rsidP="003E76A7">
      <w:pPr>
        <w:rPr>
          <w:lang w:val="en-US"/>
        </w:rPr>
      </w:pPr>
      <w:r w:rsidRPr="00EE51AE">
        <w:rPr>
          <w:lang w:val="en-US"/>
        </w:rPr>
        <w:t>A</w:t>
      </w:r>
      <w:r w:rsidR="000A6D98" w:rsidRPr="00EE51AE">
        <w:rPr>
          <w:lang w:val="en-US"/>
        </w:rPr>
        <w:t xml:space="preserve"> rigorous activity-based costing process was undertaken </w:t>
      </w:r>
      <w:r w:rsidRPr="00EE51AE">
        <w:rPr>
          <w:lang w:val="en-US"/>
        </w:rPr>
        <w:t xml:space="preserve">by the ACMA as part of its portfolio charging review </w:t>
      </w:r>
      <w:r w:rsidR="000A6D98" w:rsidRPr="00EE51AE">
        <w:rPr>
          <w:lang w:val="en-US"/>
        </w:rPr>
        <w:t>to identify and document the actual underlying business processes and staffing effort required to provide each service. The hourly rate was established by dividing the ACMA’s net cost of service</w:t>
      </w:r>
      <w:r w:rsidR="000A6D98" w:rsidRPr="00EE51AE">
        <w:rPr>
          <w:rStyle w:val="FootnoteReference"/>
          <w:rFonts w:cs="Arial"/>
          <w:lang w:val="en-US"/>
        </w:rPr>
        <w:footnoteReference w:id="4"/>
      </w:r>
      <w:r w:rsidR="000A6D98" w:rsidRPr="00EE51AE">
        <w:rPr>
          <w:lang w:val="en-US"/>
        </w:rPr>
        <w:t xml:space="preserve"> by the total number of productive hours worked by staff providing direct services, including an attribution of all support and overhead costs for the 2020–21 financial year. </w:t>
      </w:r>
      <w:r w:rsidR="00697671" w:rsidRPr="00EE51AE">
        <w:rPr>
          <w:lang w:val="en-US"/>
        </w:rPr>
        <w:t xml:space="preserve">The standard hourly rate has been consistently applied to all radiocommunications, telecommunications and broadcasting fees, except those related to radiocommunications field operations, interference investigations and testing of devices. </w:t>
      </w:r>
      <w:r w:rsidR="000A6D98" w:rsidRPr="00EE51AE">
        <w:rPr>
          <w:lang w:val="en-US"/>
        </w:rPr>
        <w:t>As no significant changes have occurred to the ACMA’s organisational and cost structures in 2021–22, our special and standard hourly rates have been maintained as per the previous rates implemented on 1 October 2022.</w:t>
      </w:r>
    </w:p>
    <w:p w14:paraId="6D322A22" w14:textId="77777777" w:rsidR="00AF4B76" w:rsidRDefault="00697671" w:rsidP="00A92D9C">
      <w:pPr>
        <w:pStyle w:val="Paragraphbeforelist"/>
        <w:spacing w:after="240"/>
      </w:pPr>
      <w:r w:rsidRPr="00EE51AE">
        <w:t>Actual r</w:t>
      </w:r>
      <w:r w:rsidR="000A6D98" w:rsidRPr="00EE51AE">
        <w:t>evenue and expenses for 2022–23</w:t>
      </w:r>
      <w:r w:rsidR="000A703E" w:rsidRPr="00EE51AE">
        <w:t>,</w:t>
      </w:r>
      <w:r w:rsidR="000A6D98" w:rsidRPr="00EE51AE">
        <w:t xml:space="preserve"> </w:t>
      </w:r>
      <w:r w:rsidR="00AC70BF" w:rsidRPr="00EE51AE">
        <w:t>particularly in relation to radiocommunications fees</w:t>
      </w:r>
      <w:r w:rsidR="003D5E7B" w:rsidRPr="00EE51AE">
        <w:t>,</w:t>
      </w:r>
      <w:r w:rsidR="000A703E" w:rsidRPr="00EE51AE">
        <w:t xml:space="preserve"> </w:t>
      </w:r>
      <w:r w:rsidR="00000B97" w:rsidRPr="00EE51AE">
        <w:t>reflect</w:t>
      </w:r>
      <w:r w:rsidR="00000B97">
        <w:t>s</w:t>
      </w:r>
      <w:r w:rsidR="00000B97" w:rsidRPr="00EE51AE">
        <w:t xml:space="preserve"> </w:t>
      </w:r>
      <w:r w:rsidR="000A6D98" w:rsidRPr="00EE51AE">
        <w:t>the</w:t>
      </w:r>
      <w:r w:rsidR="000A6D98" w:rsidRPr="00EE51AE" w:rsidDel="001F734A">
        <w:t xml:space="preserve"> </w:t>
      </w:r>
      <w:r w:rsidR="005C1FAB" w:rsidRPr="00EE51AE">
        <w:t xml:space="preserve">expected </w:t>
      </w:r>
      <w:r w:rsidR="000A6D98" w:rsidRPr="00EE51AE">
        <w:t xml:space="preserve">decrease </w:t>
      </w:r>
      <w:r w:rsidR="00000B97">
        <w:t>in</w:t>
      </w:r>
      <w:r w:rsidR="00000B97" w:rsidRPr="00EE51AE">
        <w:t xml:space="preserve"> </w:t>
      </w:r>
      <w:r w:rsidR="003906D8" w:rsidRPr="00EE51AE">
        <w:t xml:space="preserve">processing applications associated with </w:t>
      </w:r>
      <w:r w:rsidR="00D62331" w:rsidRPr="00EE51AE">
        <w:t>radiocommunications frequency assignment certificates electronically and considering applications associated with varying conditions of assigned licences</w:t>
      </w:r>
      <w:r w:rsidR="00C61C90" w:rsidRPr="00EE51AE">
        <w:t xml:space="preserve">. </w:t>
      </w:r>
    </w:p>
    <w:p w14:paraId="1E75DFE0" w14:textId="475B4BD4" w:rsidR="00000B97" w:rsidRDefault="00C61C90" w:rsidP="007E775E">
      <w:pPr>
        <w:pStyle w:val="Paragraphbeforelist"/>
      </w:pPr>
      <w:r w:rsidRPr="00EE51AE">
        <w:t>The most common licences</w:t>
      </w:r>
      <w:r w:rsidR="002B5379" w:rsidRPr="00EE51AE">
        <w:rPr>
          <w:rStyle w:val="FootnoteReference"/>
        </w:rPr>
        <w:footnoteReference w:id="5"/>
      </w:r>
      <w:r w:rsidR="002B5379" w:rsidRPr="00EE51AE">
        <w:t xml:space="preserve"> </w:t>
      </w:r>
      <w:r w:rsidRPr="00EE51AE">
        <w:t>issued or varied</w:t>
      </w:r>
      <w:r w:rsidR="002B5379">
        <w:t xml:space="preserve"> </w:t>
      </w:r>
      <w:r w:rsidRPr="00EE51AE">
        <w:t>are</w:t>
      </w:r>
      <w:r w:rsidR="00000B97">
        <w:t>:</w:t>
      </w:r>
      <w:r w:rsidR="00A92D9C" w:rsidRPr="00A92D9C">
        <w:rPr>
          <w:rStyle w:val="FootnoteReference"/>
        </w:rPr>
        <w:t xml:space="preserve"> </w:t>
      </w:r>
    </w:p>
    <w:p w14:paraId="1B2A1F75" w14:textId="5AE0A3D1" w:rsidR="00000B97" w:rsidRDefault="002A37AA" w:rsidP="007E775E">
      <w:pPr>
        <w:pStyle w:val="Bulletlevel1"/>
      </w:pPr>
      <w:r w:rsidRPr="00EE51AE">
        <w:t>ambulatory system land mobile</w:t>
      </w:r>
    </w:p>
    <w:p w14:paraId="5CB1596A" w14:textId="3D5ACB9A" w:rsidR="00000B97" w:rsidRDefault="002A37AA" w:rsidP="007E775E">
      <w:pPr>
        <w:pStyle w:val="Bulletlevel1"/>
      </w:pPr>
      <w:r w:rsidRPr="00EE51AE">
        <w:t xml:space="preserve">land mobile system greater than 30 </w:t>
      </w:r>
      <w:r w:rsidR="00535931">
        <w:t>M</w:t>
      </w:r>
      <w:r w:rsidRPr="00EE51AE">
        <w:t>Hz</w:t>
      </w:r>
    </w:p>
    <w:p w14:paraId="5880EB54" w14:textId="58E26771" w:rsidR="00000B97" w:rsidRDefault="002A37AA" w:rsidP="007E775E">
      <w:pPr>
        <w:pStyle w:val="Bulletlevel1"/>
      </w:pPr>
      <w:r w:rsidRPr="00EE51AE">
        <w:t>fixed licence (point</w:t>
      </w:r>
      <w:r w:rsidR="00000B97">
        <w:t>-</w:t>
      </w:r>
      <w:r w:rsidRPr="00EE51AE">
        <w:t>to</w:t>
      </w:r>
      <w:r w:rsidR="00000B97">
        <w:t>-</w:t>
      </w:r>
      <w:r w:rsidRPr="00EE51AE">
        <w:t>point station)</w:t>
      </w:r>
    </w:p>
    <w:p w14:paraId="1D2A0962" w14:textId="196099AD" w:rsidR="00000B97" w:rsidRDefault="002C4C22" w:rsidP="002C4C22">
      <w:pPr>
        <w:pStyle w:val="Bulletlevel1last"/>
      </w:pPr>
      <w:r w:rsidRPr="002C4C22">
        <w:t>Public Mobile Telecommunication Service</w:t>
      </w:r>
      <w:r>
        <w:t xml:space="preserve"> (</w:t>
      </w:r>
      <w:r w:rsidR="002A37AA" w:rsidRPr="004407F2">
        <w:t>PMTS</w:t>
      </w:r>
      <w:r>
        <w:t>)</w:t>
      </w:r>
      <w:r w:rsidR="002A37AA" w:rsidRPr="004407F2">
        <w:t xml:space="preserve"> Class B </w:t>
      </w:r>
      <w:r w:rsidR="002C54BD">
        <w:t>(Public Telecommunications Service (</w:t>
      </w:r>
      <w:r w:rsidR="002A37AA" w:rsidRPr="004407F2">
        <w:t>PTS</w:t>
      </w:r>
      <w:r w:rsidR="002C54BD">
        <w:t>)</w:t>
      </w:r>
      <w:r w:rsidR="002A37AA" w:rsidRPr="004407F2">
        <w:t xml:space="preserve"> licences</w:t>
      </w:r>
      <w:r w:rsidR="00000B97">
        <w:t>.</w:t>
      </w:r>
      <w:r w:rsidR="00A92D9C">
        <w:t xml:space="preserve"> </w:t>
      </w:r>
    </w:p>
    <w:p w14:paraId="216D8B32" w14:textId="41098482" w:rsidR="00B7365F" w:rsidRPr="0007779F" w:rsidRDefault="000A6D98" w:rsidP="003E76A7">
      <w:proofErr w:type="gramStart"/>
      <w:r w:rsidRPr="00EE51AE">
        <w:t>The majority of</w:t>
      </w:r>
      <w:proofErr w:type="gramEnd"/>
      <w:r w:rsidRPr="00EE51AE">
        <w:t xml:space="preserve"> the broadcasting revenue relate</w:t>
      </w:r>
      <w:r w:rsidR="00283899" w:rsidRPr="00EE51AE">
        <w:t>d</w:t>
      </w:r>
      <w:r w:rsidRPr="00EE51AE">
        <w:t xml:space="preserve"> to commercial radio and television broadcasting service licence. T</w:t>
      </w:r>
      <w:r w:rsidRPr="00EE51AE" w:rsidDel="00BC262D">
        <w:t>here</w:t>
      </w:r>
      <w:r w:rsidRPr="00EE51AE">
        <w:t xml:space="preserve"> was </w:t>
      </w:r>
      <w:r w:rsidRPr="00EE51AE" w:rsidDel="00BC262D">
        <w:t>a</w:t>
      </w:r>
      <w:r w:rsidRPr="00EE51AE">
        <w:t>n increase in revenue relating to telecommunications fees, due mainly to an increase in demand for nominated carrier declarations.</w:t>
      </w:r>
      <w:r w:rsidR="00B17486" w:rsidRPr="00EE51AE">
        <w:t xml:space="preserve"> </w:t>
      </w:r>
      <w:r w:rsidR="001F025A" w:rsidRPr="00EE51AE">
        <w:t xml:space="preserve">Refer to </w:t>
      </w:r>
      <w:r w:rsidR="00442C3E">
        <w:t xml:space="preserve">Appendix </w:t>
      </w:r>
      <w:r w:rsidR="001F025A" w:rsidRPr="00EE51AE">
        <w:t xml:space="preserve">A for </w:t>
      </w:r>
      <w:r w:rsidR="00445431" w:rsidRPr="00EE51AE">
        <w:t xml:space="preserve">information on </w:t>
      </w:r>
      <w:r w:rsidR="001F025A" w:rsidRPr="00EE51AE">
        <w:t xml:space="preserve">the </w:t>
      </w:r>
      <w:r w:rsidR="494DEE47" w:rsidRPr="00EE51AE">
        <w:t xml:space="preserve">various </w:t>
      </w:r>
      <w:r w:rsidR="006B7AED" w:rsidRPr="00EE51AE">
        <w:t>ACMA fee</w:t>
      </w:r>
      <w:r w:rsidR="002B5379">
        <w:t xml:space="preserve"> </w:t>
      </w:r>
      <w:r w:rsidR="006B7AED" w:rsidRPr="00EE51AE">
        <w:t>types</w:t>
      </w:r>
      <w:r w:rsidR="001F025A" w:rsidRPr="00EE51AE">
        <w:t>.</w:t>
      </w:r>
      <w:r w:rsidR="001F025A">
        <w:t xml:space="preserve"> </w:t>
      </w:r>
    </w:p>
    <w:p w14:paraId="41E0F431" w14:textId="51CB017F" w:rsidR="008C5619" w:rsidRPr="008C5619" w:rsidRDefault="00211BF2" w:rsidP="00211BF2">
      <w:pPr>
        <w:pStyle w:val="Heading1"/>
      </w:pPr>
      <w:bookmarkStart w:id="106" w:name="_Toc417990966"/>
      <w:bookmarkStart w:id="107" w:name="_Toc454268382"/>
      <w:bookmarkStart w:id="108" w:name="_Toc107236662"/>
      <w:bookmarkStart w:id="109" w:name="_Toc135817051"/>
      <w:bookmarkStart w:id="110" w:name="_Toc143267714"/>
      <w:r w:rsidRPr="00002662">
        <w:lastRenderedPageBreak/>
        <w:t>7B</w:t>
      </w:r>
      <w:r w:rsidR="008B61E0">
        <w:t>.</w:t>
      </w:r>
      <w:r w:rsidRPr="00002662">
        <w:tab/>
      </w:r>
      <w:r w:rsidR="008C5619" w:rsidRPr="00002662">
        <w:t>Non-financial performance</w:t>
      </w:r>
      <w:bookmarkEnd w:id="106"/>
      <w:bookmarkEnd w:id="107"/>
      <w:bookmarkEnd w:id="108"/>
      <w:bookmarkEnd w:id="109"/>
      <w:bookmarkEnd w:id="110"/>
    </w:p>
    <w:p w14:paraId="6E04D005" w14:textId="2E0CF074" w:rsidR="008C5619" w:rsidRDefault="0094780A" w:rsidP="00B872B9">
      <w:pPr>
        <w:pStyle w:val="Paragraphbeforelist"/>
      </w:pPr>
      <w:r>
        <w:t xml:space="preserve">We are </w:t>
      </w:r>
      <w:r w:rsidR="008C5619" w:rsidRPr="008C5619">
        <w:t>responsible for the regulation of broadcasting, radiocommunications</w:t>
      </w:r>
      <w:r w:rsidR="00D53291">
        <w:t>,</w:t>
      </w:r>
      <w:r w:rsidR="008C5619" w:rsidRPr="008C5619">
        <w:t xml:space="preserve"> telecommunications</w:t>
      </w:r>
      <w:r w:rsidR="00D53291">
        <w:t xml:space="preserve"> and </w:t>
      </w:r>
      <w:r w:rsidR="00125B8C">
        <w:t>some online content</w:t>
      </w:r>
      <w:r w:rsidR="008C5619" w:rsidRPr="008C5619">
        <w:t xml:space="preserve">. </w:t>
      </w:r>
      <w:r>
        <w:t xml:space="preserve">Our </w:t>
      </w:r>
      <w:r w:rsidR="00451A08">
        <w:t xml:space="preserve">key performance indicators </w:t>
      </w:r>
      <w:r w:rsidR="008C5619" w:rsidRPr="008C5619">
        <w:t xml:space="preserve">for </w:t>
      </w:r>
      <w:r>
        <w:t xml:space="preserve">our </w:t>
      </w:r>
      <w:r w:rsidR="008C5619" w:rsidRPr="00B872B9">
        <w:t>deliverables</w:t>
      </w:r>
      <w:r w:rsidR="008C5619" w:rsidRPr="008C5619">
        <w:t xml:space="preserve"> </w:t>
      </w:r>
      <w:r w:rsidR="003B09FF">
        <w:t>are</w:t>
      </w:r>
      <w:r w:rsidR="00451A08">
        <w:t>:</w:t>
      </w:r>
      <w:r w:rsidR="003B09FF">
        <w:t xml:space="preserve"> </w:t>
      </w:r>
    </w:p>
    <w:p w14:paraId="16F67B20" w14:textId="41D54505" w:rsidR="00451A08" w:rsidRDefault="00451A08" w:rsidP="0041763F">
      <w:pPr>
        <w:pStyle w:val="Bulletlevel1"/>
      </w:pPr>
      <w:r>
        <w:t>Spectrum users can access spectrum on terms and conditions appropriate to meet their needs, subject to other users and government policy objectives.</w:t>
      </w:r>
    </w:p>
    <w:p w14:paraId="08DE35AC" w14:textId="7D8D00F3" w:rsidR="00451A08" w:rsidRDefault="00451A08" w:rsidP="0041763F">
      <w:pPr>
        <w:pStyle w:val="Bulletlevel1"/>
      </w:pPr>
      <w:r>
        <w:t>Licences are allocated within statutory timeframes and the outsourcing of the numbering function realises a reduction in administrative costs.</w:t>
      </w:r>
    </w:p>
    <w:p w14:paraId="4FBDC00E" w14:textId="49AF3364" w:rsidR="00451A08" w:rsidRDefault="00451A08" w:rsidP="0041763F">
      <w:pPr>
        <w:pStyle w:val="Bulletlevel1"/>
      </w:pPr>
      <w:r>
        <w:t>Interference complaints are resolved within published timeframes and in a cost-effective manner.</w:t>
      </w:r>
    </w:p>
    <w:p w14:paraId="3D7DB83F" w14:textId="57AE7B40" w:rsidR="00451A08" w:rsidRDefault="00451A08" w:rsidP="0041763F">
      <w:pPr>
        <w:pStyle w:val="Bulletlevel1"/>
      </w:pPr>
      <w:r>
        <w:t>Law enforcement, emergency and national security service providers are appropriately and reasonably supported by the ACMA and telecommunications industry.</w:t>
      </w:r>
    </w:p>
    <w:p w14:paraId="1B121697" w14:textId="31AFB675" w:rsidR="00451A08" w:rsidRDefault="00451A08" w:rsidP="0041763F">
      <w:pPr>
        <w:pStyle w:val="Bulletlevel1"/>
      </w:pPr>
      <w:r>
        <w:t>Telecommunications safeguards, including those associated with Australia’s broadband network, protect the interests of citizens and small businesses who purchase or use telecommunications services.</w:t>
      </w:r>
    </w:p>
    <w:p w14:paraId="1FF96032" w14:textId="49CA13BF" w:rsidR="00451A08" w:rsidRDefault="00451A08" w:rsidP="0041763F">
      <w:pPr>
        <w:pStyle w:val="Bulletlevel1"/>
      </w:pPr>
      <w:r>
        <w:t>Broadcasting safeguards reflect community standards and citizens have effective and accessible avenues of complaint for broadcast content that breaches community standards.</w:t>
      </w:r>
    </w:p>
    <w:p w14:paraId="52E95C1C" w14:textId="3B11AAC1" w:rsidR="00681823" w:rsidRPr="008C5619" w:rsidRDefault="00451A08" w:rsidP="00145F7A">
      <w:pPr>
        <w:pStyle w:val="Bulletlevel1last"/>
      </w:pPr>
      <w:r>
        <w:t>Internet providers, critical infrastructure providers and other organisations have access to information that enables them to assist citizens and small businesses to interact securely and safely with the digital networked economy</w:t>
      </w:r>
      <w:r w:rsidR="00656A4A">
        <w:t>.</w:t>
      </w:r>
    </w:p>
    <w:p w14:paraId="2555CD59" w14:textId="52331F97" w:rsidR="00504BF3" w:rsidRPr="008C5619" w:rsidRDefault="008C5619" w:rsidP="0041763F">
      <w:pPr>
        <w:pStyle w:val="ACMASpaceaftertable"/>
        <w:spacing w:after="120"/>
      </w:pPr>
      <w:r w:rsidRPr="00EE51AE">
        <w:t>The actual performance for the ACMA’s deliverables</w:t>
      </w:r>
      <w:r w:rsidR="00263E4C" w:rsidRPr="00EE51AE">
        <w:t xml:space="preserve"> for the </w:t>
      </w:r>
      <w:r w:rsidR="00002662" w:rsidRPr="00EE51AE">
        <w:t>20</w:t>
      </w:r>
      <w:r w:rsidR="0050084C" w:rsidRPr="00EE51AE">
        <w:t>2</w:t>
      </w:r>
      <w:r w:rsidR="000D6176" w:rsidRPr="00EE51AE">
        <w:t>2</w:t>
      </w:r>
      <w:r w:rsidR="0094780A" w:rsidRPr="00EE51AE">
        <w:t>–</w:t>
      </w:r>
      <w:r w:rsidR="00002662" w:rsidRPr="00EE51AE">
        <w:t>2</w:t>
      </w:r>
      <w:r w:rsidR="000D6176" w:rsidRPr="00EE51AE">
        <w:t>3</w:t>
      </w:r>
      <w:r w:rsidRPr="00EE51AE">
        <w:t xml:space="preserve"> financial year </w:t>
      </w:r>
      <w:r w:rsidR="00B31A68" w:rsidRPr="00EE51AE">
        <w:t xml:space="preserve">is expected to </w:t>
      </w:r>
      <w:r w:rsidR="000D6176" w:rsidRPr="00EE51AE">
        <w:t xml:space="preserve">be published on our website </w:t>
      </w:r>
      <w:r w:rsidR="00C747DE" w:rsidRPr="00EE51AE">
        <w:t>towards the end of 2023</w:t>
      </w:r>
      <w:r w:rsidR="00C0304D" w:rsidRPr="00EE51AE">
        <w:t>.</w:t>
      </w:r>
      <w:r w:rsidRPr="008C5619">
        <w:t xml:space="preserve"> </w:t>
      </w:r>
      <w:r w:rsidR="00E73B01" w:rsidRPr="008C5619" w:rsidDel="00E73B01">
        <w:rPr>
          <w:vertAlign w:val="superscript"/>
        </w:rPr>
        <w:t xml:space="preserve"> </w:t>
      </w:r>
    </w:p>
    <w:p w14:paraId="67B3A533" w14:textId="749ACEBA" w:rsidR="00504BF3" w:rsidRPr="00DF1CB8" w:rsidRDefault="00504BF3" w:rsidP="00504BF3">
      <w:pPr>
        <w:pStyle w:val="Heading1"/>
      </w:pPr>
      <w:bookmarkStart w:id="111" w:name="_Toc400965238"/>
      <w:bookmarkStart w:id="112" w:name="_Toc107236663"/>
      <w:bookmarkStart w:id="113" w:name="_Toc135817052"/>
      <w:bookmarkStart w:id="114" w:name="_Toc143267715"/>
      <w:r w:rsidRPr="00DF1CB8">
        <w:lastRenderedPageBreak/>
        <w:t>8</w:t>
      </w:r>
      <w:r>
        <w:t>.</w:t>
      </w:r>
      <w:r w:rsidRPr="00DF1CB8">
        <w:tab/>
        <w:t>K</w:t>
      </w:r>
      <w:r>
        <w:t>ey forward dates and</w:t>
      </w:r>
      <w:r w:rsidR="0029339C">
        <w:t xml:space="preserve"> </w:t>
      </w:r>
      <w:r w:rsidRPr="00DF1CB8">
        <w:t>events</w:t>
      </w:r>
      <w:bookmarkEnd w:id="111"/>
      <w:bookmarkEnd w:id="112"/>
      <w:bookmarkEnd w:id="113"/>
      <w:bookmarkEnd w:id="114"/>
    </w:p>
    <w:p w14:paraId="71D57582" w14:textId="04B32955" w:rsidR="00504BF3" w:rsidRDefault="00504BF3" w:rsidP="00504BF3">
      <w:pPr>
        <w:rPr>
          <w:rFonts w:cs="Arial"/>
        </w:rPr>
      </w:pPr>
      <w:r w:rsidRPr="00DF1CB8">
        <w:rPr>
          <w:rFonts w:cs="Arial"/>
        </w:rPr>
        <w:t xml:space="preserve">The key forward events and dates for </w:t>
      </w:r>
      <w:r w:rsidR="00451A08" w:rsidRPr="00DF1CB8">
        <w:rPr>
          <w:rFonts w:cs="Arial"/>
        </w:rPr>
        <w:t>th</w:t>
      </w:r>
      <w:r w:rsidR="00451A08">
        <w:rPr>
          <w:rFonts w:cs="Arial"/>
        </w:rPr>
        <w:t>is</w:t>
      </w:r>
      <w:r w:rsidR="00451A08" w:rsidRPr="00DF1CB8">
        <w:rPr>
          <w:rFonts w:cs="Arial"/>
        </w:rPr>
        <w:t xml:space="preserve"> </w:t>
      </w:r>
      <w:r w:rsidRPr="00DF1CB8">
        <w:rPr>
          <w:rFonts w:cs="Arial"/>
        </w:rPr>
        <w:t xml:space="preserve">CRIS update are </w:t>
      </w:r>
      <w:r w:rsidR="00FA17F2">
        <w:rPr>
          <w:rFonts w:cs="Arial"/>
        </w:rPr>
        <w:t xml:space="preserve">set out </w:t>
      </w:r>
      <w:r w:rsidRPr="00DF1CB8">
        <w:rPr>
          <w:rFonts w:cs="Arial"/>
        </w:rPr>
        <w:t xml:space="preserve">in Table </w:t>
      </w:r>
      <w:r w:rsidR="00451A08">
        <w:rPr>
          <w:rFonts w:cs="Arial"/>
        </w:rPr>
        <w:t>5</w:t>
      </w:r>
      <w:r w:rsidRPr="00DF1CB8">
        <w:rPr>
          <w:rFonts w:cs="Arial"/>
        </w:rPr>
        <w:t>.</w:t>
      </w:r>
    </w:p>
    <w:p w14:paraId="2509F038" w14:textId="77777777" w:rsidR="00A74843" w:rsidRPr="0007779F" w:rsidRDefault="00A74843" w:rsidP="00097698">
      <w:pPr>
        <w:pStyle w:val="ACMATableHeader"/>
        <w:rPr>
          <w:rFonts w:cs="Arial"/>
        </w:rPr>
      </w:pPr>
      <w:r w:rsidRPr="0002365B">
        <w:t>Key forward dates and events</w:t>
      </w:r>
    </w:p>
    <w:tbl>
      <w:tblPr>
        <w:tblW w:w="7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00"/>
        <w:gridCol w:w="2428"/>
      </w:tblGrid>
      <w:tr w:rsidR="00A74843" w14:paraId="79A808B2" w14:textId="77777777" w:rsidTr="0041763F">
        <w:tc>
          <w:tcPr>
            <w:tcW w:w="5100" w:type="dxa"/>
            <w:shd w:val="clear" w:color="auto" w:fill="404040" w:themeFill="text1" w:themeFillTint="BF"/>
            <w:tcMar>
              <w:top w:w="57" w:type="dxa"/>
              <w:bottom w:w="57" w:type="dxa"/>
            </w:tcMar>
          </w:tcPr>
          <w:p w14:paraId="09514EB7" w14:textId="77777777" w:rsidR="00A74843" w:rsidRPr="0002365B" w:rsidRDefault="00A74843" w:rsidP="00A104E5">
            <w:pPr>
              <w:pStyle w:val="TableHeading"/>
              <w:rPr>
                <w:color w:val="FFFFFF" w:themeColor="background1"/>
              </w:rPr>
            </w:pPr>
            <w:r w:rsidRPr="0002365B">
              <w:rPr>
                <w:color w:val="FFFFFF" w:themeColor="background1"/>
              </w:rPr>
              <w:t>Key events</w:t>
            </w:r>
          </w:p>
        </w:tc>
        <w:tc>
          <w:tcPr>
            <w:tcW w:w="2428" w:type="dxa"/>
            <w:shd w:val="clear" w:color="auto" w:fill="404040" w:themeFill="text1" w:themeFillTint="BF"/>
            <w:tcMar>
              <w:top w:w="57" w:type="dxa"/>
              <w:bottom w:w="57" w:type="dxa"/>
            </w:tcMar>
          </w:tcPr>
          <w:p w14:paraId="0F458911" w14:textId="77777777" w:rsidR="00A74843" w:rsidRPr="0002365B" w:rsidRDefault="00A74843" w:rsidP="00A104E5">
            <w:pPr>
              <w:pStyle w:val="TableHeading"/>
              <w:rPr>
                <w:color w:val="FFFFFF" w:themeColor="background1"/>
              </w:rPr>
            </w:pPr>
            <w:r w:rsidRPr="0002365B">
              <w:rPr>
                <w:color w:val="FFFFFF" w:themeColor="background1"/>
              </w:rPr>
              <w:t>Indicative date</w:t>
            </w:r>
          </w:p>
        </w:tc>
      </w:tr>
      <w:tr w:rsidR="003B0657" w14:paraId="1C61CD57" w14:textId="77777777" w:rsidTr="0041763F">
        <w:tc>
          <w:tcPr>
            <w:tcW w:w="5100" w:type="dxa"/>
            <w:tcMar>
              <w:top w:w="57" w:type="dxa"/>
              <w:bottom w:w="57" w:type="dxa"/>
            </w:tcMar>
          </w:tcPr>
          <w:p w14:paraId="45D62F64" w14:textId="0155A2B2" w:rsidR="003B0657" w:rsidRDefault="00FF0AE9" w:rsidP="00A104E5">
            <w:pPr>
              <w:pStyle w:val="TableBody"/>
            </w:pPr>
            <w:r>
              <w:t>N</w:t>
            </w:r>
            <w:r w:rsidRPr="00FF0AE9">
              <w:t>ext scheduled update of financial outcomes</w:t>
            </w:r>
          </w:p>
        </w:tc>
        <w:tc>
          <w:tcPr>
            <w:tcW w:w="2428" w:type="dxa"/>
            <w:tcMar>
              <w:top w:w="57" w:type="dxa"/>
              <w:bottom w:w="57" w:type="dxa"/>
            </w:tcMar>
            <w:vAlign w:val="center"/>
          </w:tcPr>
          <w:p w14:paraId="44E4E63F" w14:textId="10878E2F" w:rsidR="003B0657" w:rsidRDefault="00671BA2" w:rsidP="00A104E5">
            <w:pPr>
              <w:pStyle w:val="TableBody"/>
            </w:pPr>
            <w:r w:rsidRPr="00656A4A">
              <w:t>July 2024</w:t>
            </w:r>
          </w:p>
        </w:tc>
      </w:tr>
      <w:tr w:rsidR="00D54D1F" w14:paraId="5779ACB5" w14:textId="77777777" w:rsidTr="0041763F">
        <w:tc>
          <w:tcPr>
            <w:tcW w:w="5100" w:type="dxa"/>
            <w:tcMar>
              <w:top w:w="57" w:type="dxa"/>
              <w:bottom w:w="57" w:type="dxa"/>
            </w:tcMar>
          </w:tcPr>
          <w:p w14:paraId="2BDB366D" w14:textId="10A4959E" w:rsidR="00D54D1F" w:rsidRDefault="00046AED" w:rsidP="00A104E5">
            <w:pPr>
              <w:pStyle w:val="TableBody"/>
            </w:pPr>
            <w:r>
              <w:t>N</w:t>
            </w:r>
            <w:r w:rsidRPr="00046AED">
              <w:t>ext scheduled portfolio charging review</w:t>
            </w:r>
          </w:p>
        </w:tc>
        <w:tc>
          <w:tcPr>
            <w:tcW w:w="2428" w:type="dxa"/>
            <w:tcMar>
              <w:top w:w="57" w:type="dxa"/>
              <w:bottom w:w="57" w:type="dxa"/>
            </w:tcMar>
            <w:vAlign w:val="center"/>
          </w:tcPr>
          <w:p w14:paraId="13C3BEC1" w14:textId="6845640A" w:rsidR="00D54D1F" w:rsidRDefault="00132BA7" w:rsidP="00A104E5">
            <w:pPr>
              <w:pStyle w:val="TableBody"/>
            </w:pPr>
            <w:r>
              <w:t>2025</w:t>
            </w:r>
            <w:r w:rsidR="00451A08">
              <w:t>–</w:t>
            </w:r>
            <w:r>
              <w:t>26</w:t>
            </w:r>
          </w:p>
        </w:tc>
      </w:tr>
    </w:tbl>
    <w:p w14:paraId="779883D6" w14:textId="77777777" w:rsidR="00504BF3" w:rsidRDefault="00504BF3" w:rsidP="00A414C2">
      <w:pPr>
        <w:pStyle w:val="ACMASpaceaftertable"/>
      </w:pPr>
    </w:p>
    <w:p w14:paraId="3106ABA5" w14:textId="18377E63" w:rsidR="00504BF3" w:rsidRDefault="00504BF3" w:rsidP="00504BF3">
      <w:pPr>
        <w:pStyle w:val="Heading1"/>
      </w:pPr>
      <w:bookmarkStart w:id="115" w:name="_Toc400965239"/>
      <w:bookmarkStart w:id="116" w:name="_Toc107236664"/>
      <w:bookmarkStart w:id="117" w:name="_Toc135817053"/>
      <w:bookmarkStart w:id="118" w:name="_Toc143267716"/>
      <w:r w:rsidRPr="00DF1CB8">
        <w:lastRenderedPageBreak/>
        <w:t>9</w:t>
      </w:r>
      <w:r w:rsidR="008B61E0">
        <w:t>.</w:t>
      </w:r>
      <w:r w:rsidRPr="00DF1CB8">
        <w:tab/>
        <w:t xml:space="preserve">CRIS </w:t>
      </w:r>
      <w:r>
        <w:t>approval and change</w:t>
      </w:r>
      <w:r w:rsidR="0029339C">
        <w:t xml:space="preserve"> </w:t>
      </w:r>
      <w:r w:rsidRPr="00DF1CB8">
        <w:t>register</w:t>
      </w:r>
      <w:bookmarkEnd w:id="115"/>
      <w:bookmarkEnd w:id="116"/>
      <w:bookmarkEnd w:id="117"/>
      <w:bookmarkEnd w:id="118"/>
    </w:p>
    <w:p w14:paraId="67F39901" w14:textId="77777777" w:rsidR="00A74843" w:rsidRDefault="00A74843" w:rsidP="00097698">
      <w:pPr>
        <w:pStyle w:val="ACMATableHeader"/>
      </w:pPr>
      <w:r w:rsidRPr="00986DE5">
        <w:t>Change register</w:t>
      </w:r>
    </w:p>
    <w:tbl>
      <w:tblPr>
        <w:tblStyle w:val="TableGrid2"/>
        <w:tblW w:w="9182" w:type="dxa"/>
        <w:tblInd w:w="5" w:type="dxa"/>
        <w:tblLayout w:type="fixed"/>
        <w:tblCellMar>
          <w:top w:w="85" w:type="dxa"/>
          <w:left w:w="57" w:type="dxa"/>
          <w:bottom w:w="85" w:type="dxa"/>
          <w:right w:w="57" w:type="dxa"/>
        </w:tblCellMar>
        <w:tblLook w:val="04A0" w:firstRow="1" w:lastRow="0" w:firstColumn="1" w:lastColumn="0" w:noHBand="0" w:noVBand="1"/>
        <w:tblCaption w:val="Change register"/>
        <w:tblDescription w:val="Table contains dates, description of activity, the approver name and comments."/>
      </w:tblPr>
      <w:tblGrid>
        <w:gridCol w:w="2236"/>
        <w:gridCol w:w="2410"/>
        <w:gridCol w:w="1984"/>
        <w:gridCol w:w="2552"/>
      </w:tblGrid>
      <w:tr w:rsidR="00774E85" w:rsidRPr="00487233" w14:paraId="72F9DCC7" w14:textId="77777777" w:rsidTr="00B872B9">
        <w:trPr>
          <w:trHeight w:val="164"/>
          <w:tblHeader/>
        </w:trPr>
        <w:tc>
          <w:tcPr>
            <w:tcW w:w="2236" w:type="dxa"/>
            <w:tcBorders>
              <w:top w:val="nil"/>
            </w:tcBorders>
            <w:shd w:val="clear" w:color="auto" w:fill="404040" w:themeFill="text1" w:themeFillTint="BF"/>
            <w:tcMar>
              <w:top w:w="57" w:type="dxa"/>
              <w:bottom w:w="57" w:type="dxa"/>
            </w:tcMar>
            <w:vAlign w:val="center"/>
          </w:tcPr>
          <w:p w14:paraId="608091F0" w14:textId="77777777" w:rsidR="00774E85" w:rsidRPr="00097698" w:rsidRDefault="00774E85" w:rsidP="00CE0264">
            <w:pPr>
              <w:pStyle w:val="TableHeading"/>
              <w:rPr>
                <w:b w:val="0"/>
                <w:color w:val="FFFFFF" w:themeColor="background1"/>
              </w:rPr>
            </w:pPr>
            <w:r w:rsidRPr="00097698">
              <w:rPr>
                <w:color w:val="FFFFFF" w:themeColor="background1"/>
                <w:lang w:eastAsia="en-US"/>
              </w:rPr>
              <w:t>Date</w:t>
            </w:r>
          </w:p>
        </w:tc>
        <w:tc>
          <w:tcPr>
            <w:tcW w:w="2410" w:type="dxa"/>
            <w:tcBorders>
              <w:top w:val="nil"/>
            </w:tcBorders>
            <w:shd w:val="clear" w:color="auto" w:fill="404040" w:themeFill="text1" w:themeFillTint="BF"/>
            <w:tcMar>
              <w:top w:w="57" w:type="dxa"/>
              <w:bottom w:w="57" w:type="dxa"/>
            </w:tcMar>
            <w:vAlign w:val="center"/>
          </w:tcPr>
          <w:p w14:paraId="3F6B7F27" w14:textId="77777777" w:rsidR="00774E85" w:rsidRPr="00097698" w:rsidRDefault="00774E85" w:rsidP="00CE0264">
            <w:pPr>
              <w:pStyle w:val="TableHeading"/>
              <w:rPr>
                <w:b w:val="0"/>
                <w:color w:val="FFFFFF" w:themeColor="background1"/>
              </w:rPr>
            </w:pPr>
            <w:r w:rsidRPr="00097698">
              <w:rPr>
                <w:color w:val="FFFFFF" w:themeColor="background1"/>
                <w:lang w:eastAsia="en-US"/>
              </w:rPr>
              <w:t>Description</w:t>
            </w:r>
          </w:p>
        </w:tc>
        <w:tc>
          <w:tcPr>
            <w:tcW w:w="1984" w:type="dxa"/>
            <w:tcBorders>
              <w:top w:val="nil"/>
            </w:tcBorders>
            <w:shd w:val="clear" w:color="auto" w:fill="404040" w:themeFill="text1" w:themeFillTint="BF"/>
            <w:tcMar>
              <w:top w:w="57" w:type="dxa"/>
              <w:bottom w:w="57" w:type="dxa"/>
            </w:tcMar>
            <w:vAlign w:val="center"/>
          </w:tcPr>
          <w:p w14:paraId="19F9C247" w14:textId="77777777" w:rsidR="00774E85" w:rsidRPr="00097698" w:rsidRDefault="00774E85" w:rsidP="00CE0264">
            <w:pPr>
              <w:pStyle w:val="TableHeading"/>
              <w:rPr>
                <w:b w:val="0"/>
                <w:color w:val="FFFFFF" w:themeColor="background1"/>
              </w:rPr>
            </w:pPr>
            <w:r w:rsidRPr="00097698">
              <w:rPr>
                <w:color w:val="FFFFFF" w:themeColor="background1"/>
                <w:lang w:eastAsia="en-US"/>
              </w:rPr>
              <w:t>Approved by</w:t>
            </w:r>
          </w:p>
        </w:tc>
        <w:tc>
          <w:tcPr>
            <w:tcW w:w="2552" w:type="dxa"/>
            <w:tcBorders>
              <w:top w:val="nil"/>
            </w:tcBorders>
            <w:shd w:val="clear" w:color="auto" w:fill="404040" w:themeFill="text1" w:themeFillTint="BF"/>
            <w:tcMar>
              <w:top w:w="57" w:type="dxa"/>
              <w:bottom w:w="57" w:type="dxa"/>
            </w:tcMar>
          </w:tcPr>
          <w:p w14:paraId="1D9EDFBB" w14:textId="77777777" w:rsidR="00774E85" w:rsidRPr="00097698" w:rsidRDefault="00774E85" w:rsidP="00CE0264">
            <w:pPr>
              <w:pStyle w:val="TableHeading"/>
              <w:rPr>
                <w:b w:val="0"/>
                <w:color w:val="FFFFFF" w:themeColor="background1"/>
              </w:rPr>
            </w:pPr>
            <w:r w:rsidRPr="00097698">
              <w:rPr>
                <w:color w:val="FFFFFF" w:themeColor="background1"/>
                <w:lang w:eastAsia="en-US"/>
              </w:rPr>
              <w:t>Comments</w:t>
            </w:r>
          </w:p>
        </w:tc>
      </w:tr>
      <w:tr w:rsidR="00FC165D" w:rsidRPr="00A14A24" w14:paraId="55C5E5B4" w14:textId="77777777" w:rsidTr="00B872B9">
        <w:trPr>
          <w:trHeight w:val="164"/>
        </w:trPr>
        <w:tc>
          <w:tcPr>
            <w:tcW w:w="2236" w:type="dxa"/>
            <w:tcBorders>
              <w:top w:val="nil"/>
            </w:tcBorders>
            <w:tcMar>
              <w:top w:w="57" w:type="dxa"/>
              <w:bottom w:w="57" w:type="dxa"/>
            </w:tcMar>
          </w:tcPr>
          <w:p w14:paraId="7C6E1366" w14:textId="34D6A583" w:rsidR="00FC165D" w:rsidRDefault="00FC165D" w:rsidP="00BB0282">
            <w:pPr>
              <w:pStyle w:val="TableBody"/>
            </w:pPr>
            <w:r>
              <w:t>2023</w:t>
            </w:r>
          </w:p>
        </w:tc>
        <w:tc>
          <w:tcPr>
            <w:tcW w:w="2410" w:type="dxa"/>
            <w:tcMar>
              <w:top w:w="57" w:type="dxa"/>
              <w:bottom w:w="57" w:type="dxa"/>
            </w:tcMar>
          </w:tcPr>
          <w:p w14:paraId="5F24BA81" w14:textId="77777777" w:rsidR="00FC165D" w:rsidRPr="00A14A24" w:rsidRDefault="00FC165D" w:rsidP="00FC165D">
            <w:pPr>
              <w:pStyle w:val="TableBody"/>
              <w:rPr>
                <w:b/>
                <w:bCs/>
                <w:i/>
                <w:iCs/>
              </w:rPr>
            </w:pPr>
            <w:r>
              <w:t xml:space="preserve">Approval of the </w:t>
            </w:r>
          </w:p>
          <w:p w14:paraId="25EB264B" w14:textId="705DD6A5" w:rsidR="00FC165D" w:rsidRDefault="00FC165D" w:rsidP="00FC165D">
            <w:pPr>
              <w:pStyle w:val="TableBody"/>
            </w:pPr>
            <w:r>
              <w:t xml:space="preserve">2023–24 CRIS </w:t>
            </w:r>
          </w:p>
        </w:tc>
        <w:tc>
          <w:tcPr>
            <w:tcW w:w="1984" w:type="dxa"/>
            <w:tcBorders>
              <w:top w:val="nil"/>
            </w:tcBorders>
            <w:tcMar>
              <w:top w:w="57" w:type="dxa"/>
              <w:bottom w:w="57" w:type="dxa"/>
            </w:tcMar>
          </w:tcPr>
          <w:p w14:paraId="4928D700" w14:textId="4816D2E5" w:rsidR="00FC165D" w:rsidRPr="00D846AE" w:rsidRDefault="00FC165D" w:rsidP="00FC165D">
            <w:pPr>
              <w:pStyle w:val="TableBody"/>
            </w:pPr>
            <w:r w:rsidRPr="00D846AE">
              <w:t>Minister for Communications</w:t>
            </w:r>
          </w:p>
        </w:tc>
        <w:tc>
          <w:tcPr>
            <w:tcW w:w="2552" w:type="dxa"/>
            <w:tcBorders>
              <w:top w:val="nil"/>
            </w:tcBorders>
            <w:tcMar>
              <w:top w:w="57" w:type="dxa"/>
              <w:bottom w:w="57" w:type="dxa"/>
            </w:tcMar>
          </w:tcPr>
          <w:p w14:paraId="3ECCE6FA" w14:textId="77777777" w:rsidR="00FC165D" w:rsidRPr="00A14A24" w:rsidRDefault="00FC165D" w:rsidP="00FC165D">
            <w:pPr>
              <w:pStyle w:val="TableBody"/>
            </w:pPr>
          </w:p>
        </w:tc>
      </w:tr>
      <w:tr w:rsidR="00FC165D" w:rsidRPr="00A14A24" w14:paraId="7F0DC76F" w14:textId="77777777" w:rsidTr="00B872B9">
        <w:trPr>
          <w:trHeight w:val="164"/>
        </w:trPr>
        <w:tc>
          <w:tcPr>
            <w:tcW w:w="2236" w:type="dxa"/>
            <w:tcBorders>
              <w:top w:val="nil"/>
            </w:tcBorders>
            <w:tcMar>
              <w:top w:w="57" w:type="dxa"/>
              <w:bottom w:w="57" w:type="dxa"/>
            </w:tcMar>
          </w:tcPr>
          <w:p w14:paraId="3D05630B" w14:textId="48753EC4" w:rsidR="00FC165D" w:rsidRDefault="00FC165D" w:rsidP="00BB0282">
            <w:pPr>
              <w:pStyle w:val="TableBody"/>
            </w:pPr>
            <w:r>
              <w:t>2023</w:t>
            </w:r>
          </w:p>
        </w:tc>
        <w:tc>
          <w:tcPr>
            <w:tcW w:w="2410" w:type="dxa"/>
            <w:tcMar>
              <w:top w:w="57" w:type="dxa"/>
              <w:bottom w:w="57" w:type="dxa"/>
            </w:tcMar>
          </w:tcPr>
          <w:p w14:paraId="12B562C2" w14:textId="0B3DDB59" w:rsidR="00FC165D" w:rsidRDefault="00FC165D" w:rsidP="00FC165D">
            <w:pPr>
              <w:pStyle w:val="TableBody"/>
            </w:pPr>
            <w:r>
              <w:t>Certification of the 2023–24 CRIS</w:t>
            </w:r>
          </w:p>
        </w:tc>
        <w:tc>
          <w:tcPr>
            <w:tcW w:w="1984" w:type="dxa"/>
            <w:tcBorders>
              <w:top w:val="nil"/>
            </w:tcBorders>
            <w:tcMar>
              <w:top w:w="57" w:type="dxa"/>
              <w:bottom w:w="57" w:type="dxa"/>
            </w:tcMar>
          </w:tcPr>
          <w:p w14:paraId="539A6413" w14:textId="7F874265" w:rsidR="00FC165D" w:rsidRPr="00D846AE" w:rsidRDefault="00FC165D" w:rsidP="00FC165D">
            <w:pPr>
              <w:pStyle w:val="TableBody"/>
            </w:pPr>
            <w:r w:rsidRPr="00D846AE">
              <w:t xml:space="preserve">ACMA Chair </w:t>
            </w:r>
          </w:p>
        </w:tc>
        <w:tc>
          <w:tcPr>
            <w:tcW w:w="2552" w:type="dxa"/>
            <w:tcBorders>
              <w:top w:val="nil"/>
            </w:tcBorders>
            <w:tcMar>
              <w:top w:w="57" w:type="dxa"/>
              <w:bottom w:w="57" w:type="dxa"/>
            </w:tcMar>
          </w:tcPr>
          <w:p w14:paraId="64FDFE33" w14:textId="77777777" w:rsidR="00FC165D" w:rsidRPr="00A14A24" w:rsidRDefault="00FC165D" w:rsidP="00FC165D">
            <w:pPr>
              <w:pStyle w:val="TableBody"/>
            </w:pPr>
          </w:p>
        </w:tc>
      </w:tr>
      <w:tr w:rsidR="009B3A16" w:rsidRPr="00A14A24" w14:paraId="7AADE760" w14:textId="77777777" w:rsidTr="00B872B9">
        <w:trPr>
          <w:trHeight w:val="164"/>
        </w:trPr>
        <w:tc>
          <w:tcPr>
            <w:tcW w:w="2236" w:type="dxa"/>
            <w:tcBorders>
              <w:top w:val="nil"/>
            </w:tcBorders>
            <w:tcMar>
              <w:top w:w="57" w:type="dxa"/>
              <w:bottom w:w="57" w:type="dxa"/>
            </w:tcMar>
          </w:tcPr>
          <w:p w14:paraId="173E96A1" w14:textId="39B916B0" w:rsidR="009B3A16" w:rsidRDefault="00F90D5F" w:rsidP="00BB0282">
            <w:pPr>
              <w:pStyle w:val="TableBody"/>
            </w:pPr>
            <w:r>
              <w:t xml:space="preserve">29 August </w:t>
            </w:r>
            <w:r w:rsidR="00B872B9">
              <w:t xml:space="preserve">– </w:t>
            </w:r>
            <w:r w:rsidR="009F03DB">
              <w:t>26 September</w:t>
            </w:r>
            <w:r>
              <w:t xml:space="preserve"> </w:t>
            </w:r>
            <w:r w:rsidR="004D1EB5">
              <w:t>2023</w:t>
            </w:r>
          </w:p>
        </w:tc>
        <w:tc>
          <w:tcPr>
            <w:tcW w:w="2410" w:type="dxa"/>
            <w:tcMar>
              <w:top w:w="57" w:type="dxa"/>
              <w:bottom w:w="57" w:type="dxa"/>
            </w:tcMar>
          </w:tcPr>
          <w:p w14:paraId="57255B8E" w14:textId="284285FB" w:rsidR="009B3A16" w:rsidRDefault="00A84826" w:rsidP="00FC165D">
            <w:pPr>
              <w:pStyle w:val="TableBody"/>
            </w:pPr>
            <w:r>
              <w:t xml:space="preserve">Additional </w:t>
            </w:r>
            <w:r w:rsidR="00ED4668">
              <w:t>c</w:t>
            </w:r>
            <w:r w:rsidR="004D1EB5">
              <w:t>onsultation on the draft CRIS</w:t>
            </w:r>
          </w:p>
        </w:tc>
        <w:tc>
          <w:tcPr>
            <w:tcW w:w="1984" w:type="dxa"/>
            <w:tcBorders>
              <w:top w:val="nil"/>
            </w:tcBorders>
            <w:tcMar>
              <w:top w:w="57" w:type="dxa"/>
              <w:bottom w:w="57" w:type="dxa"/>
            </w:tcMar>
          </w:tcPr>
          <w:p w14:paraId="4F3631D9" w14:textId="5639823D" w:rsidR="009B3A16" w:rsidRPr="00D846AE" w:rsidRDefault="006A156A" w:rsidP="00FC165D">
            <w:pPr>
              <w:pStyle w:val="TableBody"/>
            </w:pPr>
            <w:r>
              <w:t xml:space="preserve">ACMA </w:t>
            </w:r>
            <w:r w:rsidR="00140CAB">
              <w:t>Authority</w:t>
            </w:r>
          </w:p>
        </w:tc>
        <w:tc>
          <w:tcPr>
            <w:tcW w:w="2552" w:type="dxa"/>
            <w:tcBorders>
              <w:top w:val="nil"/>
            </w:tcBorders>
            <w:tcMar>
              <w:top w:w="57" w:type="dxa"/>
              <w:bottom w:w="57" w:type="dxa"/>
            </w:tcMar>
          </w:tcPr>
          <w:p w14:paraId="6D2334CF" w14:textId="43DB3825" w:rsidR="009B3A16" w:rsidRPr="00A14A24" w:rsidRDefault="008708A4" w:rsidP="00FC165D">
            <w:pPr>
              <w:pStyle w:val="TableBody"/>
            </w:pPr>
            <w:r>
              <w:t>P</w:t>
            </w:r>
            <w:r w:rsidRPr="008708A4">
              <w:t>roposed charges to accommodate a new qualification framework and accreditation scheme for amateur radio and proposed charges relating to issue of AWRLs</w:t>
            </w:r>
          </w:p>
        </w:tc>
      </w:tr>
      <w:tr w:rsidR="00FC165D" w:rsidRPr="00A14A24" w14:paraId="4158E59F" w14:textId="77777777" w:rsidTr="00B872B9">
        <w:trPr>
          <w:trHeight w:val="164"/>
        </w:trPr>
        <w:tc>
          <w:tcPr>
            <w:tcW w:w="2236" w:type="dxa"/>
            <w:tcBorders>
              <w:top w:val="nil"/>
            </w:tcBorders>
            <w:tcMar>
              <w:top w:w="57" w:type="dxa"/>
              <w:bottom w:w="57" w:type="dxa"/>
            </w:tcMar>
          </w:tcPr>
          <w:p w14:paraId="7B234E9F" w14:textId="6A1BE650" w:rsidR="00FC165D" w:rsidRDefault="003B1764" w:rsidP="00BB0282">
            <w:pPr>
              <w:pStyle w:val="TableBody"/>
            </w:pPr>
            <w:r>
              <w:t>5</w:t>
            </w:r>
            <w:r w:rsidR="006F1165">
              <w:t xml:space="preserve"> </w:t>
            </w:r>
            <w:r w:rsidR="00723CEA">
              <w:t>June</w:t>
            </w:r>
            <w:r w:rsidR="00FC165D">
              <w:t xml:space="preserve"> </w:t>
            </w:r>
            <w:r w:rsidR="006F1165">
              <w:t xml:space="preserve">– 7 July </w:t>
            </w:r>
            <w:r w:rsidR="00FC165D">
              <w:t>2023</w:t>
            </w:r>
          </w:p>
        </w:tc>
        <w:tc>
          <w:tcPr>
            <w:tcW w:w="2410" w:type="dxa"/>
            <w:tcMar>
              <w:top w:w="57" w:type="dxa"/>
              <w:bottom w:w="57" w:type="dxa"/>
            </w:tcMar>
          </w:tcPr>
          <w:p w14:paraId="148C3236" w14:textId="4B5F7CF4" w:rsidR="00FC165D" w:rsidRDefault="00FC165D" w:rsidP="00FC165D">
            <w:pPr>
              <w:pStyle w:val="TableBody"/>
            </w:pPr>
            <w:r>
              <w:t>Consultation on the draft CRIS</w:t>
            </w:r>
          </w:p>
        </w:tc>
        <w:tc>
          <w:tcPr>
            <w:tcW w:w="1984" w:type="dxa"/>
            <w:tcBorders>
              <w:top w:val="nil"/>
            </w:tcBorders>
            <w:tcMar>
              <w:top w:w="57" w:type="dxa"/>
              <w:bottom w:w="57" w:type="dxa"/>
            </w:tcMar>
          </w:tcPr>
          <w:p w14:paraId="616EEC40" w14:textId="7D2A1101" w:rsidR="00FC165D" w:rsidRPr="00D846AE" w:rsidRDefault="00EB045F" w:rsidP="00FC165D">
            <w:pPr>
              <w:pStyle w:val="TableBody"/>
            </w:pPr>
            <w:r>
              <w:t>ACMA Chair</w:t>
            </w:r>
          </w:p>
        </w:tc>
        <w:tc>
          <w:tcPr>
            <w:tcW w:w="2552" w:type="dxa"/>
            <w:tcBorders>
              <w:top w:val="nil"/>
            </w:tcBorders>
            <w:tcMar>
              <w:top w:w="57" w:type="dxa"/>
              <w:bottom w:w="57" w:type="dxa"/>
            </w:tcMar>
          </w:tcPr>
          <w:p w14:paraId="776A3AA6" w14:textId="77777777" w:rsidR="00FC165D" w:rsidRPr="00A14A24" w:rsidRDefault="00FC165D" w:rsidP="00FC165D">
            <w:pPr>
              <w:pStyle w:val="TableBody"/>
            </w:pPr>
          </w:p>
        </w:tc>
      </w:tr>
      <w:tr w:rsidR="00FC165D" w:rsidRPr="00A14A24" w14:paraId="0EBA703E" w14:textId="77777777" w:rsidTr="00B872B9">
        <w:trPr>
          <w:trHeight w:val="164"/>
        </w:trPr>
        <w:tc>
          <w:tcPr>
            <w:tcW w:w="2236" w:type="dxa"/>
            <w:tcBorders>
              <w:top w:val="nil"/>
            </w:tcBorders>
            <w:tcMar>
              <w:top w:w="57" w:type="dxa"/>
              <w:bottom w:w="57" w:type="dxa"/>
            </w:tcMar>
          </w:tcPr>
          <w:p w14:paraId="7697A1F2" w14:textId="1A4B7F51" w:rsidR="00FC165D" w:rsidRPr="00A14A24" w:rsidRDefault="00FC165D" w:rsidP="00BB0282">
            <w:pPr>
              <w:pStyle w:val="TableBody"/>
              <w:rPr>
                <w:b/>
                <w:bCs/>
                <w:i/>
                <w:iCs/>
              </w:rPr>
            </w:pPr>
            <w:r>
              <w:t>1 September 2022</w:t>
            </w:r>
          </w:p>
        </w:tc>
        <w:tc>
          <w:tcPr>
            <w:tcW w:w="2410" w:type="dxa"/>
            <w:tcMar>
              <w:top w:w="57" w:type="dxa"/>
              <w:bottom w:w="57" w:type="dxa"/>
            </w:tcMar>
          </w:tcPr>
          <w:p w14:paraId="189CCC78" w14:textId="0FA1023A" w:rsidR="00FC165D" w:rsidRPr="00A14A24" w:rsidRDefault="00FC165D" w:rsidP="00FC165D">
            <w:pPr>
              <w:pStyle w:val="TableBody"/>
              <w:rPr>
                <w:b/>
                <w:bCs/>
                <w:i/>
                <w:iCs/>
              </w:rPr>
            </w:pPr>
            <w:r>
              <w:t xml:space="preserve">Approval of the </w:t>
            </w:r>
          </w:p>
          <w:p w14:paraId="322CB13C" w14:textId="1BA9CF7E" w:rsidR="00FC165D" w:rsidRPr="00A14A24" w:rsidRDefault="00FC165D" w:rsidP="00FC165D">
            <w:pPr>
              <w:pStyle w:val="TableBody"/>
              <w:rPr>
                <w:b/>
                <w:bCs/>
                <w:i/>
                <w:iCs/>
              </w:rPr>
            </w:pPr>
            <w:r>
              <w:t xml:space="preserve">2022–23 CRIS </w:t>
            </w:r>
          </w:p>
        </w:tc>
        <w:tc>
          <w:tcPr>
            <w:tcW w:w="1984" w:type="dxa"/>
            <w:tcBorders>
              <w:top w:val="nil"/>
            </w:tcBorders>
            <w:tcMar>
              <w:top w:w="57" w:type="dxa"/>
              <w:bottom w:w="57" w:type="dxa"/>
            </w:tcMar>
          </w:tcPr>
          <w:p w14:paraId="7798090F" w14:textId="5D6007E9" w:rsidR="00FC165D" w:rsidRPr="00A14A24" w:rsidRDefault="00FC165D" w:rsidP="00FC165D">
            <w:pPr>
              <w:pStyle w:val="TableBody"/>
              <w:rPr>
                <w:b/>
                <w:i/>
              </w:rPr>
            </w:pPr>
            <w:r w:rsidRPr="00D846AE">
              <w:t>Minister for Communications</w:t>
            </w:r>
          </w:p>
        </w:tc>
        <w:tc>
          <w:tcPr>
            <w:tcW w:w="2552" w:type="dxa"/>
            <w:vMerge w:val="restart"/>
            <w:tcBorders>
              <w:top w:val="nil"/>
            </w:tcBorders>
            <w:tcMar>
              <w:top w:w="57" w:type="dxa"/>
              <w:bottom w:w="57" w:type="dxa"/>
            </w:tcMar>
          </w:tcPr>
          <w:p w14:paraId="1EA0827B" w14:textId="481C6C68" w:rsidR="00FC165D" w:rsidRPr="00A14A24" w:rsidRDefault="00FC165D" w:rsidP="00FC165D">
            <w:pPr>
              <w:pStyle w:val="TableBody"/>
            </w:pPr>
            <w:r w:rsidRPr="00A14A24">
              <w:t>Changes to the ACMA fees for radiocommunications, telecommunications and broadcasting services and to remake relevant charges determinations</w:t>
            </w:r>
          </w:p>
        </w:tc>
      </w:tr>
      <w:tr w:rsidR="00FC165D" w:rsidRPr="00A14A24" w14:paraId="337D6DE4" w14:textId="77777777" w:rsidTr="00B872B9">
        <w:trPr>
          <w:trHeight w:val="244"/>
        </w:trPr>
        <w:tc>
          <w:tcPr>
            <w:tcW w:w="2236" w:type="dxa"/>
            <w:tcMar>
              <w:top w:w="57" w:type="dxa"/>
              <w:bottom w:w="57" w:type="dxa"/>
            </w:tcMar>
          </w:tcPr>
          <w:p w14:paraId="2170BFE9" w14:textId="0577A7CE" w:rsidR="00FC165D" w:rsidRPr="00A14A24" w:rsidRDefault="00FC165D" w:rsidP="00BB0282">
            <w:pPr>
              <w:pStyle w:val="TableBody"/>
              <w:rPr>
                <w:b/>
                <w:bCs/>
                <w:i/>
                <w:iCs/>
              </w:rPr>
            </w:pPr>
            <w:r>
              <w:t>11 August 2022</w:t>
            </w:r>
          </w:p>
        </w:tc>
        <w:tc>
          <w:tcPr>
            <w:tcW w:w="2410" w:type="dxa"/>
            <w:tcBorders>
              <w:top w:val="nil"/>
            </w:tcBorders>
            <w:tcMar>
              <w:top w:w="57" w:type="dxa"/>
              <w:bottom w:w="57" w:type="dxa"/>
            </w:tcMar>
          </w:tcPr>
          <w:p w14:paraId="7D7F08C2" w14:textId="0044526A" w:rsidR="00FC165D" w:rsidRPr="00A14A24" w:rsidRDefault="00FC165D" w:rsidP="00FC165D">
            <w:pPr>
              <w:pStyle w:val="TableBody"/>
              <w:rPr>
                <w:b/>
                <w:bCs/>
                <w:i/>
                <w:iCs/>
              </w:rPr>
            </w:pPr>
            <w:r>
              <w:t>Certification of the 2022–23 CRIS</w:t>
            </w:r>
          </w:p>
        </w:tc>
        <w:tc>
          <w:tcPr>
            <w:tcW w:w="1984" w:type="dxa"/>
            <w:tcMar>
              <w:top w:w="57" w:type="dxa"/>
              <w:bottom w:w="57" w:type="dxa"/>
            </w:tcMar>
          </w:tcPr>
          <w:p w14:paraId="0D8006BF" w14:textId="58B64DDF" w:rsidR="00FC165D" w:rsidRPr="00A14A24" w:rsidRDefault="00FC165D" w:rsidP="00FC165D">
            <w:pPr>
              <w:pStyle w:val="TableBody"/>
              <w:rPr>
                <w:b/>
                <w:i/>
              </w:rPr>
            </w:pPr>
            <w:r w:rsidRPr="00D846AE">
              <w:t xml:space="preserve">ACMA Chair </w:t>
            </w:r>
          </w:p>
        </w:tc>
        <w:tc>
          <w:tcPr>
            <w:tcW w:w="2552" w:type="dxa"/>
            <w:vMerge/>
            <w:tcMar>
              <w:top w:w="57" w:type="dxa"/>
              <w:bottom w:w="57" w:type="dxa"/>
            </w:tcMar>
            <w:vAlign w:val="center"/>
          </w:tcPr>
          <w:p w14:paraId="038F8211" w14:textId="77777777" w:rsidR="00FC165D" w:rsidRPr="00A14A24" w:rsidRDefault="00FC165D" w:rsidP="00FC165D">
            <w:pPr>
              <w:pStyle w:val="TableBody"/>
            </w:pPr>
          </w:p>
        </w:tc>
      </w:tr>
      <w:tr w:rsidR="00FC165D" w:rsidRPr="00487233" w14:paraId="5DA73073" w14:textId="77777777" w:rsidTr="00B872B9">
        <w:trPr>
          <w:trHeight w:val="244"/>
        </w:trPr>
        <w:tc>
          <w:tcPr>
            <w:tcW w:w="2236" w:type="dxa"/>
            <w:tcMar>
              <w:top w:w="57" w:type="dxa"/>
              <w:bottom w:w="57" w:type="dxa"/>
            </w:tcMar>
          </w:tcPr>
          <w:p w14:paraId="6DED81A4" w14:textId="585A4AF6" w:rsidR="00FC165D" w:rsidRPr="00A14A24" w:rsidRDefault="00FC165D" w:rsidP="00BB0282">
            <w:pPr>
              <w:pStyle w:val="TableBody"/>
            </w:pPr>
            <w:r>
              <w:t>27</w:t>
            </w:r>
            <w:r w:rsidRPr="00A14A24">
              <w:t xml:space="preserve"> </w:t>
            </w:r>
            <w:r>
              <w:t>June</w:t>
            </w:r>
            <w:r w:rsidRPr="00A14A24">
              <w:t xml:space="preserve"> – </w:t>
            </w:r>
            <w:r>
              <w:t>25</w:t>
            </w:r>
            <w:r w:rsidRPr="00A14A24">
              <w:t xml:space="preserve"> </w:t>
            </w:r>
            <w:r>
              <w:t>July</w:t>
            </w:r>
            <w:r w:rsidRPr="00A14A24">
              <w:t xml:space="preserve"> 2022</w:t>
            </w:r>
          </w:p>
        </w:tc>
        <w:tc>
          <w:tcPr>
            <w:tcW w:w="2410" w:type="dxa"/>
            <w:tcMar>
              <w:top w:w="57" w:type="dxa"/>
              <w:bottom w:w="57" w:type="dxa"/>
            </w:tcMar>
          </w:tcPr>
          <w:p w14:paraId="4B936B29" w14:textId="5C3016D5" w:rsidR="00FC165D" w:rsidRDefault="00FC165D" w:rsidP="00FC165D">
            <w:pPr>
              <w:pStyle w:val="TableBody"/>
            </w:pPr>
            <w:r w:rsidRPr="00A14A24">
              <w:t xml:space="preserve">Consultation for </w:t>
            </w:r>
            <w:r>
              <w:t>4</w:t>
            </w:r>
            <w:r w:rsidRPr="00A14A24">
              <w:t xml:space="preserve"> weeks on the draft CRIS</w:t>
            </w:r>
          </w:p>
        </w:tc>
        <w:tc>
          <w:tcPr>
            <w:tcW w:w="1984" w:type="dxa"/>
            <w:tcMar>
              <w:top w:w="57" w:type="dxa"/>
              <w:bottom w:w="57" w:type="dxa"/>
            </w:tcMar>
          </w:tcPr>
          <w:p w14:paraId="7182E406" w14:textId="77777777" w:rsidR="00FC165D" w:rsidRDefault="00FC165D" w:rsidP="00FC165D">
            <w:pPr>
              <w:pStyle w:val="TableBody"/>
            </w:pPr>
          </w:p>
        </w:tc>
        <w:tc>
          <w:tcPr>
            <w:tcW w:w="2552" w:type="dxa"/>
            <w:vMerge/>
            <w:tcMar>
              <w:top w:w="57" w:type="dxa"/>
              <w:bottom w:w="57" w:type="dxa"/>
            </w:tcMar>
            <w:vAlign w:val="center"/>
          </w:tcPr>
          <w:p w14:paraId="4572BC1B" w14:textId="77777777" w:rsidR="00FC165D" w:rsidRPr="006C509C" w:rsidRDefault="00FC165D" w:rsidP="00FC165D">
            <w:pPr>
              <w:pStyle w:val="TableBody"/>
            </w:pPr>
          </w:p>
        </w:tc>
      </w:tr>
      <w:tr w:rsidR="00FC165D" w:rsidRPr="00487233" w14:paraId="26510F13" w14:textId="77777777" w:rsidTr="00B872B9">
        <w:trPr>
          <w:trHeight w:val="244"/>
        </w:trPr>
        <w:tc>
          <w:tcPr>
            <w:tcW w:w="2236" w:type="dxa"/>
            <w:tcMar>
              <w:top w:w="57" w:type="dxa"/>
              <w:bottom w:w="57" w:type="dxa"/>
            </w:tcMar>
          </w:tcPr>
          <w:p w14:paraId="71FA810B" w14:textId="77777777" w:rsidR="00FC165D" w:rsidRDefault="00FC165D" w:rsidP="00BB0282">
            <w:pPr>
              <w:pStyle w:val="TableBody"/>
            </w:pPr>
            <w:r>
              <w:t>27 March 2017</w:t>
            </w:r>
          </w:p>
        </w:tc>
        <w:tc>
          <w:tcPr>
            <w:tcW w:w="2410" w:type="dxa"/>
            <w:tcMar>
              <w:top w:w="57" w:type="dxa"/>
              <w:bottom w:w="57" w:type="dxa"/>
            </w:tcMar>
          </w:tcPr>
          <w:p w14:paraId="323577F6" w14:textId="021F4868" w:rsidR="00FC165D" w:rsidRDefault="00FC165D" w:rsidP="00FC165D">
            <w:pPr>
              <w:pStyle w:val="TableBody"/>
            </w:pPr>
            <w:r>
              <w:t xml:space="preserve">Changes made to interference investigation activity description in sections 3.1.1 and 3.3.3 of the CRIS and activity 166 of </w:t>
            </w:r>
            <w:r w:rsidR="00442C3E">
              <w:t xml:space="preserve">Appendix </w:t>
            </w:r>
            <w:r>
              <w:t>A of the CRIS</w:t>
            </w:r>
          </w:p>
        </w:tc>
        <w:tc>
          <w:tcPr>
            <w:tcW w:w="1984" w:type="dxa"/>
            <w:tcMar>
              <w:top w:w="57" w:type="dxa"/>
              <w:bottom w:w="57" w:type="dxa"/>
            </w:tcMar>
          </w:tcPr>
          <w:p w14:paraId="4847E0AC" w14:textId="77777777" w:rsidR="00FC165D" w:rsidRPr="00487233" w:rsidRDefault="00FC165D" w:rsidP="00FC165D">
            <w:pPr>
              <w:pStyle w:val="TableBody"/>
            </w:pPr>
            <w:r>
              <w:t>ACMA Authority</w:t>
            </w:r>
          </w:p>
        </w:tc>
        <w:tc>
          <w:tcPr>
            <w:tcW w:w="2552" w:type="dxa"/>
            <w:vMerge w:val="restart"/>
            <w:tcMar>
              <w:top w:w="57" w:type="dxa"/>
              <w:bottom w:w="57" w:type="dxa"/>
            </w:tcMar>
            <w:vAlign w:val="center"/>
          </w:tcPr>
          <w:p w14:paraId="08830B31" w14:textId="5A6D2B07" w:rsidR="00FC165D" w:rsidRPr="006C509C" w:rsidRDefault="00FC165D" w:rsidP="00FC165D">
            <w:pPr>
              <w:pStyle w:val="TableBody"/>
            </w:pPr>
            <w:r>
              <w:t>Changes to the ACMA fees for radiocommunications, telecommunications and broadcasting services to remake relevant charges determinations, which were due to sunset on 1 April 2017</w:t>
            </w:r>
          </w:p>
        </w:tc>
      </w:tr>
      <w:tr w:rsidR="00FC165D" w:rsidRPr="00487233" w14:paraId="76C156BF" w14:textId="77777777" w:rsidTr="00B872B9">
        <w:trPr>
          <w:trHeight w:val="244"/>
        </w:trPr>
        <w:tc>
          <w:tcPr>
            <w:tcW w:w="2236" w:type="dxa"/>
            <w:tcMar>
              <w:top w:w="57" w:type="dxa"/>
              <w:bottom w:w="57" w:type="dxa"/>
            </w:tcMar>
          </w:tcPr>
          <w:p w14:paraId="0EBC0F31" w14:textId="77777777" w:rsidR="00FC165D" w:rsidRDefault="00FC165D" w:rsidP="00BB0282">
            <w:pPr>
              <w:pStyle w:val="TableBody"/>
            </w:pPr>
            <w:r>
              <w:t>23 March 2017</w:t>
            </w:r>
          </w:p>
        </w:tc>
        <w:tc>
          <w:tcPr>
            <w:tcW w:w="2410" w:type="dxa"/>
            <w:tcMar>
              <w:top w:w="57" w:type="dxa"/>
              <w:bottom w:w="57" w:type="dxa"/>
            </w:tcMar>
          </w:tcPr>
          <w:p w14:paraId="5F9F829F" w14:textId="3BE8C47E" w:rsidR="00FC165D" w:rsidRDefault="00FC165D" w:rsidP="00FC165D">
            <w:pPr>
              <w:pStyle w:val="TableBody"/>
            </w:pPr>
            <w:r>
              <w:t>Approval of the updated CRIS – version 2</w:t>
            </w:r>
          </w:p>
        </w:tc>
        <w:tc>
          <w:tcPr>
            <w:tcW w:w="1984" w:type="dxa"/>
            <w:tcMar>
              <w:top w:w="57" w:type="dxa"/>
              <w:bottom w:w="57" w:type="dxa"/>
            </w:tcMar>
          </w:tcPr>
          <w:p w14:paraId="0562F3F8" w14:textId="2918974B" w:rsidR="00FC165D" w:rsidRDefault="00FC165D" w:rsidP="00FC165D">
            <w:pPr>
              <w:pStyle w:val="TableBody"/>
            </w:pPr>
            <w:r>
              <w:t>Minister for Communications</w:t>
            </w:r>
          </w:p>
        </w:tc>
        <w:tc>
          <w:tcPr>
            <w:tcW w:w="2552" w:type="dxa"/>
            <w:vMerge/>
            <w:tcMar>
              <w:top w:w="57" w:type="dxa"/>
              <w:bottom w:w="57" w:type="dxa"/>
            </w:tcMar>
          </w:tcPr>
          <w:p w14:paraId="40361B47" w14:textId="77777777" w:rsidR="00FC165D" w:rsidRPr="006C509C" w:rsidRDefault="00FC165D" w:rsidP="00FC165D">
            <w:pPr>
              <w:pStyle w:val="TableBody"/>
            </w:pPr>
          </w:p>
        </w:tc>
      </w:tr>
      <w:tr w:rsidR="00FC165D" w:rsidRPr="00487233" w14:paraId="1A32E172" w14:textId="77777777" w:rsidTr="00B872B9">
        <w:trPr>
          <w:trHeight w:val="244"/>
        </w:trPr>
        <w:tc>
          <w:tcPr>
            <w:tcW w:w="2236" w:type="dxa"/>
            <w:tcMar>
              <w:top w:w="57" w:type="dxa"/>
              <w:bottom w:w="57" w:type="dxa"/>
            </w:tcMar>
          </w:tcPr>
          <w:p w14:paraId="7229C310" w14:textId="77777777" w:rsidR="00FC165D" w:rsidRDefault="00FC165D" w:rsidP="00BB0282">
            <w:pPr>
              <w:pStyle w:val="TableBody"/>
            </w:pPr>
            <w:r>
              <w:t>21 February 2017</w:t>
            </w:r>
          </w:p>
        </w:tc>
        <w:tc>
          <w:tcPr>
            <w:tcW w:w="2410" w:type="dxa"/>
            <w:tcMar>
              <w:top w:w="57" w:type="dxa"/>
              <w:bottom w:w="57" w:type="dxa"/>
            </w:tcMar>
          </w:tcPr>
          <w:p w14:paraId="472D2962" w14:textId="6BC6EAD1" w:rsidR="00FC165D" w:rsidRDefault="00FC165D" w:rsidP="00FC165D">
            <w:pPr>
              <w:pStyle w:val="TableBody"/>
            </w:pPr>
            <w:r>
              <w:t>Certification of the updated CRIS – version 2</w:t>
            </w:r>
          </w:p>
        </w:tc>
        <w:tc>
          <w:tcPr>
            <w:tcW w:w="1984" w:type="dxa"/>
            <w:tcMar>
              <w:top w:w="57" w:type="dxa"/>
              <w:bottom w:w="57" w:type="dxa"/>
            </w:tcMar>
          </w:tcPr>
          <w:p w14:paraId="2A997616" w14:textId="77777777" w:rsidR="00FC165D" w:rsidRDefault="00FC165D" w:rsidP="00FC165D">
            <w:pPr>
              <w:pStyle w:val="TableBody"/>
            </w:pPr>
            <w:r>
              <w:t>ACMA Chair</w:t>
            </w:r>
          </w:p>
        </w:tc>
        <w:tc>
          <w:tcPr>
            <w:tcW w:w="2552" w:type="dxa"/>
            <w:vMerge/>
            <w:tcMar>
              <w:top w:w="57" w:type="dxa"/>
              <w:bottom w:w="57" w:type="dxa"/>
            </w:tcMar>
          </w:tcPr>
          <w:p w14:paraId="5C53E988" w14:textId="77777777" w:rsidR="00FC165D" w:rsidRPr="006C509C" w:rsidRDefault="00FC165D" w:rsidP="00FC165D">
            <w:pPr>
              <w:pStyle w:val="TableBody"/>
            </w:pPr>
          </w:p>
        </w:tc>
      </w:tr>
      <w:tr w:rsidR="00FC165D" w:rsidRPr="00487233" w14:paraId="6B5A01D4" w14:textId="77777777" w:rsidTr="00B872B9">
        <w:trPr>
          <w:trHeight w:val="244"/>
        </w:trPr>
        <w:tc>
          <w:tcPr>
            <w:tcW w:w="2236" w:type="dxa"/>
            <w:tcMar>
              <w:top w:w="57" w:type="dxa"/>
              <w:bottom w:w="57" w:type="dxa"/>
            </w:tcMar>
          </w:tcPr>
          <w:p w14:paraId="2CFFA07E" w14:textId="77777777" w:rsidR="00FC165D" w:rsidRDefault="00FC165D" w:rsidP="00BB0282">
            <w:pPr>
              <w:pStyle w:val="TableBody"/>
            </w:pPr>
            <w:r>
              <w:t>2 July 2015</w:t>
            </w:r>
          </w:p>
        </w:tc>
        <w:tc>
          <w:tcPr>
            <w:tcW w:w="2410" w:type="dxa"/>
            <w:tcMar>
              <w:top w:w="57" w:type="dxa"/>
              <w:bottom w:w="57" w:type="dxa"/>
            </w:tcMar>
          </w:tcPr>
          <w:p w14:paraId="65BCBF96" w14:textId="77777777" w:rsidR="00FC165D" w:rsidRPr="00487233" w:rsidRDefault="00FC165D" w:rsidP="00FC165D">
            <w:pPr>
              <w:pStyle w:val="TableBody"/>
            </w:pPr>
            <w:r>
              <w:t>Approval to the addendum 1</w:t>
            </w:r>
          </w:p>
        </w:tc>
        <w:tc>
          <w:tcPr>
            <w:tcW w:w="1984" w:type="dxa"/>
            <w:tcMar>
              <w:top w:w="57" w:type="dxa"/>
              <w:bottom w:w="57" w:type="dxa"/>
            </w:tcMar>
          </w:tcPr>
          <w:p w14:paraId="150ED814" w14:textId="2F70D35E" w:rsidR="00FC165D" w:rsidRPr="00487233" w:rsidRDefault="00FC165D" w:rsidP="00FC165D">
            <w:pPr>
              <w:pStyle w:val="TableBody"/>
            </w:pPr>
            <w:r>
              <w:t>Minister for Communications</w:t>
            </w:r>
          </w:p>
        </w:tc>
        <w:tc>
          <w:tcPr>
            <w:tcW w:w="2552" w:type="dxa"/>
            <w:vMerge w:val="restart"/>
            <w:tcMar>
              <w:top w:w="57" w:type="dxa"/>
              <w:bottom w:w="57" w:type="dxa"/>
            </w:tcMar>
            <w:vAlign w:val="center"/>
          </w:tcPr>
          <w:p w14:paraId="75843108" w14:textId="77777777" w:rsidR="00FC165D" w:rsidRPr="006C509C" w:rsidRDefault="00FC165D" w:rsidP="00FC165D">
            <w:pPr>
              <w:pStyle w:val="TableBody"/>
            </w:pPr>
            <w:r w:rsidRPr="006C509C">
              <w:t>Changes to fees for telecommunications numbering activities</w:t>
            </w:r>
          </w:p>
        </w:tc>
      </w:tr>
      <w:tr w:rsidR="00FC165D" w:rsidRPr="00323AE8" w14:paraId="06CF0A9C" w14:textId="77777777" w:rsidTr="00B872B9">
        <w:trPr>
          <w:trHeight w:val="244"/>
        </w:trPr>
        <w:tc>
          <w:tcPr>
            <w:tcW w:w="2236" w:type="dxa"/>
            <w:tcMar>
              <w:top w:w="57" w:type="dxa"/>
              <w:bottom w:w="57" w:type="dxa"/>
            </w:tcMar>
          </w:tcPr>
          <w:p w14:paraId="77052104" w14:textId="77777777" w:rsidR="00FC165D" w:rsidRDefault="00FC165D" w:rsidP="00BB0282">
            <w:pPr>
              <w:pStyle w:val="TableBody"/>
            </w:pPr>
            <w:r>
              <w:t>24 June 2015</w:t>
            </w:r>
          </w:p>
        </w:tc>
        <w:tc>
          <w:tcPr>
            <w:tcW w:w="2410" w:type="dxa"/>
            <w:tcMar>
              <w:top w:w="57" w:type="dxa"/>
              <w:bottom w:w="57" w:type="dxa"/>
            </w:tcMar>
          </w:tcPr>
          <w:p w14:paraId="1AD0922A" w14:textId="77777777" w:rsidR="00FC165D" w:rsidRPr="00487233" w:rsidRDefault="00FC165D" w:rsidP="00FC165D">
            <w:pPr>
              <w:pStyle w:val="TableBody"/>
            </w:pPr>
            <w:r>
              <w:t>Certification of the addendum 1</w:t>
            </w:r>
          </w:p>
        </w:tc>
        <w:tc>
          <w:tcPr>
            <w:tcW w:w="1984" w:type="dxa"/>
            <w:tcMar>
              <w:top w:w="57" w:type="dxa"/>
              <w:bottom w:w="57" w:type="dxa"/>
            </w:tcMar>
          </w:tcPr>
          <w:p w14:paraId="4E840489" w14:textId="77777777" w:rsidR="00FC165D" w:rsidRPr="00487233" w:rsidRDefault="00FC165D" w:rsidP="00FC165D">
            <w:pPr>
              <w:pStyle w:val="TableBody"/>
            </w:pPr>
            <w:r>
              <w:t>ACMA Chair</w:t>
            </w:r>
          </w:p>
        </w:tc>
        <w:tc>
          <w:tcPr>
            <w:tcW w:w="2552" w:type="dxa"/>
            <w:vMerge/>
            <w:tcMar>
              <w:top w:w="57" w:type="dxa"/>
              <w:bottom w:w="57" w:type="dxa"/>
            </w:tcMar>
            <w:vAlign w:val="center"/>
          </w:tcPr>
          <w:p w14:paraId="39AEED36" w14:textId="77777777" w:rsidR="00FC165D" w:rsidRPr="006C509C" w:rsidRDefault="00FC165D" w:rsidP="00FC165D">
            <w:pPr>
              <w:pStyle w:val="TableBody"/>
            </w:pPr>
          </w:p>
        </w:tc>
      </w:tr>
      <w:tr w:rsidR="00FC165D" w:rsidRPr="00487233" w14:paraId="180ED4E1" w14:textId="77777777" w:rsidTr="00B872B9">
        <w:trPr>
          <w:trHeight w:val="244"/>
        </w:trPr>
        <w:tc>
          <w:tcPr>
            <w:tcW w:w="2236" w:type="dxa"/>
            <w:tcMar>
              <w:top w:w="57" w:type="dxa"/>
              <w:bottom w:w="57" w:type="dxa"/>
            </w:tcMar>
          </w:tcPr>
          <w:p w14:paraId="4FD6BBEB" w14:textId="77777777" w:rsidR="00FC165D" w:rsidRPr="00487233" w:rsidRDefault="00FC165D" w:rsidP="00BB0282">
            <w:pPr>
              <w:pStyle w:val="TableBody"/>
              <w:rPr>
                <w:b/>
                <w:i/>
              </w:rPr>
            </w:pPr>
            <w:r>
              <w:t>2 October 2014</w:t>
            </w:r>
          </w:p>
        </w:tc>
        <w:tc>
          <w:tcPr>
            <w:tcW w:w="2410" w:type="dxa"/>
            <w:tcMar>
              <w:top w:w="57" w:type="dxa"/>
              <w:bottom w:w="57" w:type="dxa"/>
            </w:tcMar>
          </w:tcPr>
          <w:p w14:paraId="7BF3F784" w14:textId="492B33FC" w:rsidR="00FC165D" w:rsidRPr="00487233" w:rsidRDefault="00FC165D" w:rsidP="00FC165D">
            <w:pPr>
              <w:pStyle w:val="TableBody"/>
              <w:rPr>
                <w:b/>
                <w:i/>
              </w:rPr>
            </w:pPr>
            <w:r>
              <w:t xml:space="preserve">Approval of </w:t>
            </w:r>
            <w:r w:rsidRPr="00487233">
              <w:t>the CRIS</w:t>
            </w:r>
            <w:r>
              <w:t xml:space="preserve"> –version 1</w:t>
            </w:r>
          </w:p>
        </w:tc>
        <w:tc>
          <w:tcPr>
            <w:tcW w:w="1984" w:type="dxa"/>
            <w:tcMar>
              <w:top w:w="57" w:type="dxa"/>
              <w:bottom w:w="57" w:type="dxa"/>
            </w:tcMar>
          </w:tcPr>
          <w:p w14:paraId="596B784A" w14:textId="16697CB1" w:rsidR="00FC165D" w:rsidRPr="00487233" w:rsidRDefault="00FC165D" w:rsidP="00FC165D">
            <w:pPr>
              <w:pStyle w:val="TableBody"/>
              <w:rPr>
                <w:b/>
                <w:i/>
              </w:rPr>
            </w:pPr>
            <w:r w:rsidRPr="00487233">
              <w:t>Minister for Communications</w:t>
            </w:r>
          </w:p>
        </w:tc>
        <w:tc>
          <w:tcPr>
            <w:tcW w:w="2552" w:type="dxa"/>
            <w:tcMar>
              <w:top w:w="57" w:type="dxa"/>
              <w:bottom w:w="57" w:type="dxa"/>
            </w:tcMar>
            <w:vAlign w:val="center"/>
          </w:tcPr>
          <w:p w14:paraId="0AF29A1C" w14:textId="77777777" w:rsidR="00FC165D" w:rsidRPr="006C509C" w:rsidRDefault="00FC165D" w:rsidP="00FC165D">
            <w:pPr>
              <w:pStyle w:val="TableBody"/>
            </w:pPr>
          </w:p>
        </w:tc>
      </w:tr>
      <w:tr w:rsidR="00FC165D" w:rsidRPr="00487233" w14:paraId="4B83D64C" w14:textId="77777777" w:rsidTr="00B872B9">
        <w:trPr>
          <w:trHeight w:val="164"/>
        </w:trPr>
        <w:tc>
          <w:tcPr>
            <w:tcW w:w="2236" w:type="dxa"/>
            <w:tcBorders>
              <w:top w:val="nil"/>
            </w:tcBorders>
            <w:tcMar>
              <w:top w:w="57" w:type="dxa"/>
              <w:bottom w:w="57" w:type="dxa"/>
            </w:tcMar>
          </w:tcPr>
          <w:p w14:paraId="0C0971C4" w14:textId="77777777" w:rsidR="00FC165D" w:rsidRPr="00487233" w:rsidRDefault="00FC165D" w:rsidP="00BB0282">
            <w:pPr>
              <w:pStyle w:val="TableBody"/>
              <w:rPr>
                <w:b/>
                <w:i/>
              </w:rPr>
            </w:pPr>
            <w:r>
              <w:t>25 September</w:t>
            </w:r>
            <w:r w:rsidRPr="00487233">
              <w:t xml:space="preserve"> 2014</w:t>
            </w:r>
          </w:p>
        </w:tc>
        <w:tc>
          <w:tcPr>
            <w:tcW w:w="2410" w:type="dxa"/>
            <w:tcBorders>
              <w:top w:val="nil"/>
            </w:tcBorders>
            <w:tcMar>
              <w:top w:w="57" w:type="dxa"/>
              <w:bottom w:w="57" w:type="dxa"/>
            </w:tcMar>
          </w:tcPr>
          <w:p w14:paraId="615E1E41" w14:textId="19761F4B" w:rsidR="00FC165D" w:rsidRPr="00487233" w:rsidRDefault="00FC165D" w:rsidP="00FC165D">
            <w:pPr>
              <w:pStyle w:val="TableBody"/>
              <w:rPr>
                <w:b/>
                <w:i/>
              </w:rPr>
            </w:pPr>
            <w:r w:rsidRPr="00487233">
              <w:t>Certification of the CRIS</w:t>
            </w:r>
            <w:r>
              <w:t xml:space="preserve"> – version 1</w:t>
            </w:r>
          </w:p>
        </w:tc>
        <w:tc>
          <w:tcPr>
            <w:tcW w:w="1984" w:type="dxa"/>
            <w:tcBorders>
              <w:top w:val="nil"/>
            </w:tcBorders>
            <w:tcMar>
              <w:top w:w="57" w:type="dxa"/>
              <w:bottom w:w="57" w:type="dxa"/>
            </w:tcMar>
          </w:tcPr>
          <w:p w14:paraId="72BB8A56" w14:textId="77777777" w:rsidR="00FC165D" w:rsidRPr="00487233" w:rsidRDefault="00FC165D" w:rsidP="00FC165D">
            <w:pPr>
              <w:pStyle w:val="TableBody"/>
              <w:rPr>
                <w:b/>
                <w:i/>
              </w:rPr>
            </w:pPr>
            <w:r w:rsidRPr="00487233">
              <w:t xml:space="preserve">ACMA </w:t>
            </w:r>
            <w:r>
              <w:t>Chair</w:t>
            </w:r>
          </w:p>
        </w:tc>
        <w:tc>
          <w:tcPr>
            <w:tcW w:w="2552" w:type="dxa"/>
            <w:tcBorders>
              <w:top w:val="nil"/>
            </w:tcBorders>
            <w:tcMar>
              <w:top w:w="57" w:type="dxa"/>
              <w:bottom w:w="57" w:type="dxa"/>
            </w:tcMar>
          </w:tcPr>
          <w:p w14:paraId="1FB70692" w14:textId="77777777" w:rsidR="00FC165D" w:rsidRPr="006C509C" w:rsidRDefault="00FC165D" w:rsidP="00FC165D">
            <w:pPr>
              <w:pStyle w:val="TableBody"/>
            </w:pPr>
          </w:p>
        </w:tc>
      </w:tr>
    </w:tbl>
    <w:p w14:paraId="084BD71A" w14:textId="77777777" w:rsidR="00504BF3" w:rsidRPr="00DF1CB8" w:rsidRDefault="00504BF3" w:rsidP="00A414C2">
      <w:pPr>
        <w:pStyle w:val="ACMASpaceaftertable"/>
      </w:pPr>
    </w:p>
    <w:p w14:paraId="6087AEC0" w14:textId="459918DC" w:rsidR="00504BF3" w:rsidRPr="00DF1CB8" w:rsidRDefault="008811FA" w:rsidP="00504BF3">
      <w:pPr>
        <w:pStyle w:val="Heading1"/>
      </w:pPr>
      <w:bookmarkStart w:id="119" w:name="_Toc143267717"/>
      <w:r>
        <w:lastRenderedPageBreak/>
        <w:t>Acronyms and shortened forms</w:t>
      </w:r>
      <w:bookmarkEnd w:id="119"/>
    </w:p>
    <w:p w14:paraId="5047DF54" w14:textId="22EFE2DA" w:rsidR="00504BF3" w:rsidRPr="00DF1CB8" w:rsidRDefault="00504BF3" w:rsidP="00147A23">
      <w:pPr>
        <w:tabs>
          <w:tab w:val="left" w:pos="2694"/>
        </w:tabs>
      </w:pPr>
      <w:r w:rsidRPr="00DF1CB8">
        <w:t xml:space="preserve">ACMA </w:t>
      </w:r>
      <w:r w:rsidRPr="00DF1CB8">
        <w:tab/>
        <w:t>Australian Communications and Media Authority</w:t>
      </w:r>
    </w:p>
    <w:p w14:paraId="704F82B6" w14:textId="0EBD696F" w:rsidR="00504BF3" w:rsidRPr="00504BF3" w:rsidRDefault="00504BF3" w:rsidP="00147A23">
      <w:pPr>
        <w:tabs>
          <w:tab w:val="left" w:pos="2694"/>
        </w:tabs>
        <w:ind w:left="1136" w:hanging="1136"/>
        <w:rPr>
          <w:i/>
        </w:rPr>
      </w:pPr>
      <w:r w:rsidRPr="00DF1CB8">
        <w:t>ACMA Act</w:t>
      </w:r>
      <w:r w:rsidRPr="00DF1CB8">
        <w:tab/>
      </w:r>
      <w:r w:rsidR="00147A23">
        <w:tab/>
      </w:r>
      <w:r w:rsidRPr="00986DE5">
        <w:rPr>
          <w:i/>
        </w:rPr>
        <w:t>Australian Communications and Media Authority Act</w:t>
      </w:r>
      <w:r w:rsidR="00147A23">
        <w:rPr>
          <w:i/>
        </w:rPr>
        <w:tab/>
        <w:t>2005</w:t>
      </w:r>
    </w:p>
    <w:p w14:paraId="3869395B" w14:textId="66997091" w:rsidR="00BF2A72" w:rsidRDefault="00BF2A72" w:rsidP="00147A23">
      <w:pPr>
        <w:tabs>
          <w:tab w:val="left" w:pos="2694"/>
        </w:tabs>
      </w:pPr>
      <w:r>
        <w:t>AMC</w:t>
      </w:r>
      <w:r>
        <w:tab/>
      </w:r>
      <w:r w:rsidRPr="00371B0E" w:rsidDel="00E42DD7">
        <w:rPr>
          <w:rFonts w:cs="Arial"/>
        </w:rPr>
        <w:t>Australian Maritime College</w:t>
      </w:r>
    </w:p>
    <w:p w14:paraId="52A819FC" w14:textId="795120EE" w:rsidR="00F40C5C" w:rsidRDefault="00F40C5C" w:rsidP="00147A23">
      <w:pPr>
        <w:tabs>
          <w:tab w:val="left" w:pos="2694"/>
        </w:tabs>
      </w:pPr>
      <w:r>
        <w:t>AMSA</w:t>
      </w:r>
      <w:r>
        <w:tab/>
        <w:t xml:space="preserve">Australian Maritime Safety Authority </w:t>
      </w:r>
    </w:p>
    <w:p w14:paraId="06738AAB" w14:textId="29B4AF84" w:rsidR="008811FA" w:rsidRDefault="008811FA" w:rsidP="00147A23">
      <w:pPr>
        <w:tabs>
          <w:tab w:val="left" w:pos="2694"/>
        </w:tabs>
        <w:rPr>
          <w:rFonts w:cs="Arial"/>
        </w:rPr>
      </w:pPr>
      <w:r>
        <w:t>AWL</w:t>
      </w:r>
      <w:r>
        <w:tab/>
      </w:r>
      <w:r>
        <w:rPr>
          <w:rFonts w:cs="Arial"/>
        </w:rPr>
        <w:t xml:space="preserve">area-wide licence </w:t>
      </w:r>
    </w:p>
    <w:p w14:paraId="3FE61C17" w14:textId="5CF9BD52" w:rsidR="008811FA" w:rsidRPr="008811FA" w:rsidRDefault="008811FA" w:rsidP="00147A23">
      <w:pPr>
        <w:tabs>
          <w:tab w:val="left" w:pos="2694"/>
        </w:tabs>
        <w:rPr>
          <w:rFonts w:cs="Arial"/>
        </w:rPr>
      </w:pPr>
      <w:r>
        <w:t>AWRL</w:t>
      </w:r>
      <w:r>
        <w:tab/>
      </w:r>
      <w:r>
        <w:rPr>
          <w:rFonts w:cs="Arial"/>
        </w:rPr>
        <w:t xml:space="preserve">area-wide receive licence </w:t>
      </w:r>
    </w:p>
    <w:p w14:paraId="15F9ADD1" w14:textId="29030317" w:rsidR="00D37695" w:rsidRPr="00F66609" w:rsidRDefault="00BF2A72" w:rsidP="00147A23">
      <w:pPr>
        <w:tabs>
          <w:tab w:val="left" w:pos="2694"/>
        </w:tabs>
        <w:rPr>
          <w:i/>
        </w:rPr>
      </w:pPr>
      <w:r w:rsidRPr="008F5062">
        <w:rPr>
          <w:rFonts w:cs="Arial"/>
        </w:rPr>
        <w:t>Broadcasting Services Act</w:t>
      </w:r>
      <w:r w:rsidR="00D37695">
        <w:tab/>
      </w:r>
      <w:r w:rsidR="00D37695">
        <w:rPr>
          <w:i/>
        </w:rPr>
        <w:t>Broadcasting Service</w:t>
      </w:r>
      <w:r w:rsidR="00000B0F">
        <w:rPr>
          <w:i/>
        </w:rPr>
        <w:t>s</w:t>
      </w:r>
      <w:r w:rsidR="00D37695">
        <w:rPr>
          <w:i/>
        </w:rPr>
        <w:t xml:space="preserve"> Act 1992</w:t>
      </w:r>
    </w:p>
    <w:p w14:paraId="268DF987" w14:textId="3688B5C3" w:rsidR="00504BF3" w:rsidRDefault="31467CA7" w:rsidP="00BF609E">
      <w:pPr>
        <w:tabs>
          <w:tab w:val="left" w:pos="2268"/>
          <w:tab w:val="left" w:pos="2694"/>
        </w:tabs>
      </w:pPr>
      <w:r>
        <w:t>CRIS</w:t>
      </w:r>
      <w:r w:rsidR="00504BF3">
        <w:tab/>
      </w:r>
      <w:r w:rsidR="00352903">
        <w:tab/>
      </w:r>
      <w:r>
        <w:t xml:space="preserve">Cost Recovery </w:t>
      </w:r>
      <w:r w:rsidR="515D9D86">
        <w:t xml:space="preserve">Implementation </w:t>
      </w:r>
      <w:r>
        <w:t>Statement</w:t>
      </w:r>
    </w:p>
    <w:p w14:paraId="1A41003D" w14:textId="1F3EE30B" w:rsidR="001E240E" w:rsidRPr="00DF1CB8" w:rsidRDefault="001E240E" w:rsidP="006A17DA">
      <w:pPr>
        <w:tabs>
          <w:tab w:val="left" w:pos="2127"/>
          <w:tab w:val="left" w:pos="2694"/>
        </w:tabs>
      </w:pPr>
      <w:r>
        <w:t>DRMT</w:t>
      </w:r>
      <w:r>
        <w:tab/>
      </w:r>
      <w:r w:rsidR="00352903">
        <w:tab/>
      </w:r>
      <w:r w:rsidR="008811FA">
        <w:t>d</w:t>
      </w:r>
      <w:r>
        <w:t xml:space="preserve">igital </w:t>
      </w:r>
      <w:r w:rsidR="008811FA">
        <w:t>r</w:t>
      </w:r>
      <w:r>
        <w:t xml:space="preserve">adio </w:t>
      </w:r>
      <w:r w:rsidR="008811FA">
        <w:t>m</w:t>
      </w:r>
      <w:r>
        <w:t xml:space="preserve">ultiplex </w:t>
      </w:r>
      <w:r w:rsidR="008811FA">
        <w:t>t</w:t>
      </w:r>
      <w:r>
        <w:t>ransmitter</w:t>
      </w:r>
    </w:p>
    <w:p w14:paraId="39D4F32A" w14:textId="14E8A363" w:rsidR="00504BF3" w:rsidRDefault="00504BF3" w:rsidP="006A17DA">
      <w:pPr>
        <w:tabs>
          <w:tab w:val="left" w:pos="1701"/>
          <w:tab w:val="left" w:pos="2268"/>
          <w:tab w:val="left" w:pos="2694"/>
        </w:tabs>
      </w:pPr>
      <w:r w:rsidRPr="00DF1CB8">
        <w:t>EPIRB</w:t>
      </w:r>
      <w:r w:rsidRPr="00DF1CB8">
        <w:tab/>
      </w:r>
      <w:r>
        <w:tab/>
      </w:r>
      <w:r w:rsidR="00352903">
        <w:tab/>
      </w:r>
      <w:r w:rsidR="008811FA">
        <w:t>e</w:t>
      </w:r>
      <w:r w:rsidRPr="00DF1CB8">
        <w:t xml:space="preserve">mergency </w:t>
      </w:r>
      <w:r w:rsidR="008811FA">
        <w:t>p</w:t>
      </w:r>
      <w:r w:rsidRPr="00DF1CB8">
        <w:t xml:space="preserve">osition </w:t>
      </w:r>
      <w:r w:rsidR="008811FA">
        <w:t>i</w:t>
      </w:r>
      <w:r w:rsidRPr="00DF1CB8">
        <w:t xml:space="preserve">ndicating </w:t>
      </w:r>
      <w:r w:rsidR="008811FA">
        <w:t>r</w:t>
      </w:r>
      <w:r w:rsidRPr="00DF1CB8">
        <w:t xml:space="preserve">adio </w:t>
      </w:r>
      <w:r w:rsidR="008811FA">
        <w:t>b</w:t>
      </w:r>
      <w:r w:rsidRPr="00DF1CB8">
        <w:t>eacon</w:t>
      </w:r>
    </w:p>
    <w:p w14:paraId="39817504" w14:textId="39429880" w:rsidR="00504BF3" w:rsidRPr="00504BF3" w:rsidRDefault="00504BF3" w:rsidP="006A17DA">
      <w:pPr>
        <w:tabs>
          <w:tab w:val="left" w:pos="2127"/>
          <w:tab w:val="left" w:pos="2694"/>
        </w:tabs>
        <w:rPr>
          <w:rFonts w:cs="Arial"/>
          <w:sz w:val="18"/>
        </w:rPr>
      </w:pPr>
      <w:r>
        <w:t>EROU</w:t>
      </w:r>
      <w:r>
        <w:tab/>
      </w:r>
      <w:r>
        <w:tab/>
      </w:r>
      <w:r w:rsidR="008811FA">
        <w:rPr>
          <w:rFonts w:cs="Arial"/>
          <w:szCs w:val="22"/>
        </w:rPr>
        <w:t>e</w:t>
      </w:r>
      <w:r w:rsidRPr="00323AE8">
        <w:rPr>
          <w:rFonts w:cs="Arial"/>
          <w:szCs w:val="22"/>
        </w:rPr>
        <w:t xml:space="preserve">nhanced </w:t>
      </w:r>
      <w:r w:rsidR="008811FA">
        <w:rPr>
          <w:rFonts w:cs="Arial"/>
          <w:szCs w:val="22"/>
        </w:rPr>
        <w:t>r</w:t>
      </w:r>
      <w:r w:rsidRPr="00323AE8">
        <w:rPr>
          <w:rFonts w:cs="Arial"/>
          <w:szCs w:val="22"/>
        </w:rPr>
        <w:t>ights</w:t>
      </w:r>
      <w:r w:rsidR="008811FA">
        <w:rPr>
          <w:rFonts w:cs="Arial"/>
          <w:szCs w:val="22"/>
        </w:rPr>
        <w:t>-</w:t>
      </w:r>
      <w:r w:rsidRPr="00323AE8">
        <w:rPr>
          <w:rFonts w:cs="Arial"/>
          <w:szCs w:val="22"/>
        </w:rPr>
        <w:t>of</w:t>
      </w:r>
      <w:r w:rsidR="008811FA">
        <w:rPr>
          <w:rFonts w:cs="Arial"/>
          <w:szCs w:val="22"/>
        </w:rPr>
        <w:t>-u</w:t>
      </w:r>
      <w:r w:rsidRPr="00323AE8">
        <w:rPr>
          <w:rFonts w:cs="Arial"/>
          <w:szCs w:val="22"/>
        </w:rPr>
        <w:t>se</w:t>
      </w:r>
    </w:p>
    <w:p w14:paraId="3672DD5D" w14:textId="08DA52F1" w:rsidR="00504BF3" w:rsidRPr="00DF1CB8" w:rsidRDefault="00504BF3" w:rsidP="006A17DA">
      <w:pPr>
        <w:tabs>
          <w:tab w:val="left" w:pos="2127"/>
          <w:tab w:val="left" w:pos="2694"/>
        </w:tabs>
      </w:pPr>
      <w:r w:rsidRPr="00DF1CB8">
        <w:t>ITU</w:t>
      </w:r>
      <w:r w:rsidRPr="00DF1CB8">
        <w:tab/>
      </w:r>
      <w:r>
        <w:tab/>
      </w:r>
      <w:r w:rsidRPr="00DF1CB8">
        <w:t>International Telecommunication Union</w:t>
      </w:r>
    </w:p>
    <w:p w14:paraId="21DFBB18" w14:textId="6AD153E6" w:rsidR="00130029" w:rsidRPr="00F66609" w:rsidRDefault="00147A23" w:rsidP="00FF5FD0">
      <w:pPr>
        <w:tabs>
          <w:tab w:val="left" w:pos="2268"/>
          <w:tab w:val="left" w:pos="2694"/>
        </w:tabs>
        <w:rPr>
          <w:i/>
        </w:rPr>
      </w:pPr>
      <w:r>
        <w:t>Telecommunications</w:t>
      </w:r>
      <w:r>
        <w:tab/>
      </w:r>
      <w:r>
        <w:tab/>
      </w:r>
      <w:proofErr w:type="spellStart"/>
      <w:r>
        <w:rPr>
          <w:i/>
        </w:rPr>
        <w:t>Telecommunications</w:t>
      </w:r>
      <w:proofErr w:type="spellEnd"/>
      <w:r>
        <w:rPr>
          <w:i/>
        </w:rPr>
        <w:t xml:space="preserve"> (Numbering Charges) Act 1997</w:t>
      </w:r>
      <w:r>
        <w:br/>
      </w:r>
      <w:r w:rsidR="00130029">
        <w:t>Numbering Charges</w:t>
      </w:r>
      <w:r w:rsidR="00352903">
        <w:t xml:space="preserve"> Act</w:t>
      </w:r>
      <w:r w:rsidR="00130029">
        <w:tab/>
      </w:r>
      <w:r w:rsidR="00352903">
        <w:tab/>
      </w:r>
      <w:r w:rsidR="00352903">
        <w:tab/>
      </w:r>
    </w:p>
    <w:p w14:paraId="1F195DE3" w14:textId="6FAD2780" w:rsidR="00F40C5C" w:rsidRPr="00F66609" w:rsidRDefault="00F40C5C" w:rsidP="00FF5FD0">
      <w:pPr>
        <w:tabs>
          <w:tab w:val="left" w:pos="2268"/>
          <w:tab w:val="left" w:pos="2694"/>
        </w:tabs>
        <w:rPr>
          <w:i/>
        </w:rPr>
      </w:pPr>
      <w:r>
        <w:t>Numbering Plan</w:t>
      </w:r>
      <w:r>
        <w:tab/>
      </w:r>
      <w:r w:rsidR="00352903">
        <w:tab/>
      </w:r>
      <w:r w:rsidRPr="00540805">
        <w:t>Telecommunications Numbering Plan 2015</w:t>
      </w:r>
    </w:p>
    <w:p w14:paraId="2EA9AA65" w14:textId="72EEAEC2" w:rsidR="00550EDF" w:rsidRDefault="000F6834" w:rsidP="00FF5FD0">
      <w:pPr>
        <w:tabs>
          <w:tab w:val="left" w:pos="2268"/>
          <w:tab w:val="left" w:pos="2694"/>
        </w:tabs>
        <w:rPr>
          <w:rFonts w:cs="Arial"/>
          <w:i/>
          <w:iCs/>
        </w:rPr>
      </w:pPr>
      <w:r>
        <w:t>Radiocommunications</w:t>
      </w:r>
      <w:r w:rsidR="00352903">
        <w:t xml:space="preserve"> Act</w:t>
      </w:r>
      <w:r w:rsidR="00352903">
        <w:tab/>
      </w:r>
      <w:r w:rsidR="0059600B" w:rsidRPr="0059600B">
        <w:rPr>
          <w:rFonts w:cs="Arial"/>
          <w:i/>
          <w:iCs/>
        </w:rPr>
        <w:t xml:space="preserve">Radiocommunications Act </w:t>
      </w:r>
      <w:r w:rsidR="00550EDF">
        <w:rPr>
          <w:rFonts w:cs="Arial"/>
          <w:i/>
          <w:iCs/>
        </w:rPr>
        <w:t>1992</w:t>
      </w:r>
      <w:r w:rsidR="0059600B" w:rsidRPr="0059600B">
        <w:rPr>
          <w:rFonts w:cs="Arial"/>
          <w:i/>
          <w:iCs/>
        </w:rPr>
        <w:t xml:space="preserve"> </w:t>
      </w:r>
    </w:p>
    <w:p w14:paraId="470130B7" w14:textId="36F93002" w:rsidR="00BF2A72" w:rsidRDefault="00984D5D" w:rsidP="00FF5FD0">
      <w:pPr>
        <w:tabs>
          <w:tab w:val="left" w:pos="2268"/>
          <w:tab w:val="left" w:pos="2694"/>
        </w:tabs>
      </w:pPr>
      <w:r>
        <w:t>Radiocommunications</w:t>
      </w:r>
      <w:r w:rsidR="00352903">
        <w:tab/>
      </w:r>
      <w:r w:rsidR="00352903">
        <w:tab/>
      </w:r>
      <w:proofErr w:type="spellStart"/>
      <w:r w:rsidR="00352903" w:rsidRPr="00540805">
        <w:t>Radiocommunications</w:t>
      </w:r>
      <w:proofErr w:type="spellEnd"/>
      <w:r w:rsidR="00352903" w:rsidRPr="00540805">
        <w:t xml:space="preserve"> (Charges) Determination 20</w:t>
      </w:r>
      <w:r w:rsidR="00041EE3">
        <w:t>22</w:t>
      </w:r>
      <w:r w:rsidR="008811FA">
        <w:t xml:space="preserve"> </w:t>
      </w:r>
      <w:r>
        <w:br/>
        <w:t>Determination</w:t>
      </w:r>
    </w:p>
    <w:p w14:paraId="7120EB7E" w14:textId="37193F4C" w:rsidR="00147A23" w:rsidRDefault="00147A23" w:rsidP="00FF5FD0">
      <w:pPr>
        <w:tabs>
          <w:tab w:val="left" w:pos="2268"/>
          <w:tab w:val="left" w:pos="2694"/>
        </w:tabs>
        <w:spacing w:after="0"/>
      </w:pPr>
      <w:r>
        <w:t xml:space="preserve">Telecommunications </w:t>
      </w:r>
      <w:r>
        <w:tab/>
      </w:r>
      <w:r>
        <w:tab/>
      </w:r>
      <w:proofErr w:type="spellStart"/>
      <w:r w:rsidRPr="00766F59">
        <w:t>Telecommunications</w:t>
      </w:r>
      <w:proofErr w:type="spellEnd"/>
      <w:r w:rsidRPr="00766F59">
        <w:t xml:space="preserve"> (Charges) Determination 2022</w:t>
      </w:r>
    </w:p>
    <w:p w14:paraId="78B9DCD0" w14:textId="14DB9BE8" w:rsidR="00DF1207" w:rsidRDefault="00147A23" w:rsidP="00FF5FD0">
      <w:pPr>
        <w:tabs>
          <w:tab w:val="left" w:pos="2268"/>
          <w:tab w:val="left" w:pos="2694"/>
        </w:tabs>
        <w:sectPr w:rsidR="00DF1207" w:rsidSect="00656A4A">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pPr>
      <w:r>
        <w:t>Determination</w:t>
      </w:r>
      <w:r w:rsidR="00984D5D">
        <w:tab/>
      </w:r>
    </w:p>
    <w:p w14:paraId="2E895D74" w14:textId="531FCF46" w:rsidR="003D4978" w:rsidRPr="00264B4F" w:rsidRDefault="00442C3E" w:rsidP="006C00DB">
      <w:pPr>
        <w:pStyle w:val="Heading1"/>
      </w:pPr>
      <w:bookmarkStart w:id="120" w:name="_Toc474228934"/>
      <w:bookmarkStart w:id="121" w:name="_Toc114669905"/>
      <w:bookmarkStart w:id="122" w:name="_Toc135817055"/>
      <w:bookmarkStart w:id="123" w:name="_Toc143267718"/>
      <w:r w:rsidRPr="00264B4F">
        <w:lastRenderedPageBreak/>
        <w:t xml:space="preserve">Appendix </w:t>
      </w:r>
      <w:r w:rsidR="00207FAA" w:rsidRPr="00264B4F">
        <w:t xml:space="preserve">A – Fees for the ACMA’s cost recovery </w:t>
      </w:r>
      <w:bookmarkEnd w:id="120"/>
      <w:bookmarkEnd w:id="121"/>
      <w:bookmarkEnd w:id="122"/>
      <w:r w:rsidR="00207FAA" w:rsidRPr="006C00DB">
        <w:t>activities</w:t>
      </w:r>
      <w:bookmarkEnd w:id="123"/>
    </w:p>
    <w:p w14:paraId="49B378D2" w14:textId="00C288C2" w:rsidR="004A5CF2" w:rsidRPr="006C00DB" w:rsidRDefault="00351807" w:rsidP="006C00DB">
      <w:pPr>
        <w:pStyle w:val="Paragraph"/>
      </w:pPr>
      <w:r w:rsidRPr="006C00DB">
        <w:t>Please note</w:t>
      </w:r>
      <w:r w:rsidR="0057463E" w:rsidRPr="006C00DB">
        <w:t xml:space="preserve"> the proposed charges to amateur radio and AWRLs are not reflected in </w:t>
      </w:r>
      <w:r w:rsidR="003A4CC2" w:rsidRPr="006C00DB">
        <w:t>the table below</w:t>
      </w:r>
      <w:r w:rsidR="0057463E" w:rsidRPr="006C00DB">
        <w:t>. Refer to sections 3.1.1, 3.3.1 and 3.3.2 of th</w:t>
      </w:r>
      <w:r w:rsidR="003A4CC2" w:rsidRPr="006C00DB">
        <w:t>is</w:t>
      </w:r>
      <w:r w:rsidR="0057463E" w:rsidRPr="006C00DB">
        <w:t xml:space="preserve"> CRIS for details on the proposed charges. </w:t>
      </w:r>
    </w:p>
    <w:p w14:paraId="5A7285A2" w14:textId="2F888ADD" w:rsidR="008C7781" w:rsidRPr="004A5CF2" w:rsidRDefault="004A5CF2" w:rsidP="006D0B51">
      <w:pPr>
        <w:pStyle w:val="Heading2"/>
        <w:spacing w:after="120"/>
      </w:pPr>
      <w:bookmarkStart w:id="124" w:name="_Toc143267719"/>
      <w:r w:rsidRPr="006D0B51">
        <w:t>Fees under the Radiocommunications (Charges) Determination 2022</w:t>
      </w:r>
      <w:bookmarkEnd w:id="124"/>
      <w:r w:rsidR="008C7781">
        <w:rPr>
          <w:color w:val="323232"/>
          <w:kern w:val="32"/>
          <w:sz w:val="20"/>
          <w:szCs w:val="20"/>
        </w:rPr>
        <w:fldChar w:fldCharType="begin"/>
      </w:r>
      <w:r w:rsidR="008C7781">
        <w:instrText xml:space="preserve"> LINK </w:instrText>
      </w:r>
      <w:r w:rsidR="00B252F0">
        <w:instrText xml:space="preserve">Excel.Sheet.12 https://acmagovau.sharepoint.com/sites/2023-24FeesforServiceCRIS/Shared%20Documents/General/CRIS/Copy%20of%20Att%20A%20to%20Fees%20CRIS(V1).xlsx "Attachment A - CRIS!R1C2:R117C6" </w:instrText>
      </w:r>
      <w:r w:rsidR="008C7781">
        <w:instrText xml:space="preserve">\a \f 4 \h </w:instrText>
      </w:r>
      <w:r w:rsidR="00F352B6">
        <w:instrText xml:space="preserve"> \* MERGEFORMAT </w:instrText>
      </w:r>
      <w:r w:rsidR="008C7781">
        <w:rPr>
          <w:color w:val="323232"/>
          <w:kern w:val="32"/>
          <w:sz w:val="20"/>
          <w:szCs w:val="20"/>
        </w:rPr>
        <w:fldChar w:fldCharType="separate"/>
      </w:r>
      <w:bookmarkStart w:id="125" w:name="_1741672006"/>
      <w:bookmarkStart w:id="126" w:name="_1742188873"/>
      <w:bookmarkEnd w:id="125"/>
      <w:bookmarkEnd w:id="126"/>
    </w:p>
    <w:tbl>
      <w:tblPr>
        <w:tblpPr w:leftFromText="180" w:rightFromText="180" w:vertAnchor="text" w:tblpY="1"/>
        <w:tblOverlap w:val="neve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57" w:type="dxa"/>
          <w:bottom w:w="85" w:type="dxa"/>
          <w:right w:w="57" w:type="dxa"/>
        </w:tblCellMar>
        <w:tblLook w:val="04A0" w:firstRow="1" w:lastRow="0" w:firstColumn="1" w:lastColumn="0" w:noHBand="0" w:noVBand="1"/>
      </w:tblPr>
      <w:tblGrid>
        <w:gridCol w:w="541"/>
        <w:gridCol w:w="2290"/>
        <w:gridCol w:w="2199"/>
        <w:gridCol w:w="6946"/>
        <w:gridCol w:w="1904"/>
      </w:tblGrid>
      <w:tr w:rsidR="00D4749A" w:rsidRPr="008C7781" w14:paraId="5F02C0FE" w14:textId="77777777" w:rsidTr="003E5A84">
        <w:trPr>
          <w:trHeight w:val="331"/>
          <w:tblHeader/>
        </w:trPr>
        <w:tc>
          <w:tcPr>
            <w:tcW w:w="195" w:type="pct"/>
            <w:shd w:val="clear" w:color="000000" w:fill="404040"/>
            <w:vAlign w:val="bottom"/>
            <w:hideMark/>
          </w:tcPr>
          <w:p w14:paraId="07E9390C" w14:textId="3FC09720" w:rsidR="00D4749A" w:rsidRPr="00D6241F" w:rsidRDefault="00D4749A" w:rsidP="006D0B51">
            <w:pPr>
              <w:spacing w:after="120" w:line="240" w:lineRule="auto"/>
              <w:contextualSpacing/>
              <w:rPr>
                <w:rFonts w:cs="Arial"/>
                <w:b/>
                <w:bCs/>
                <w:color w:val="FFFFFF"/>
                <w:szCs w:val="20"/>
              </w:rPr>
            </w:pPr>
            <w:r w:rsidRPr="00D6241F">
              <w:rPr>
                <w:rFonts w:cs="Arial"/>
                <w:b/>
                <w:bCs/>
                <w:color w:val="FFFFFF"/>
                <w:szCs w:val="20"/>
              </w:rPr>
              <w:t>Ref </w:t>
            </w:r>
          </w:p>
        </w:tc>
        <w:tc>
          <w:tcPr>
            <w:tcW w:w="825" w:type="pct"/>
            <w:shd w:val="clear" w:color="000000" w:fill="404040"/>
            <w:vAlign w:val="bottom"/>
            <w:hideMark/>
          </w:tcPr>
          <w:p w14:paraId="193E4360" w14:textId="77777777" w:rsidR="00D4749A" w:rsidRPr="00D6241F" w:rsidRDefault="00D4749A" w:rsidP="006D0B51">
            <w:pPr>
              <w:spacing w:after="120" w:line="240" w:lineRule="auto"/>
              <w:contextualSpacing/>
              <w:rPr>
                <w:rFonts w:cs="Arial"/>
                <w:b/>
                <w:bCs/>
                <w:color w:val="FFFFFF"/>
                <w:szCs w:val="20"/>
              </w:rPr>
            </w:pPr>
            <w:r w:rsidRPr="00D6241F">
              <w:rPr>
                <w:rFonts w:cs="Arial"/>
                <w:b/>
                <w:bCs/>
                <w:color w:val="FFFFFF"/>
                <w:szCs w:val="20"/>
              </w:rPr>
              <w:t>Fee type </w:t>
            </w:r>
          </w:p>
        </w:tc>
        <w:tc>
          <w:tcPr>
            <w:tcW w:w="792" w:type="pct"/>
            <w:shd w:val="clear" w:color="000000" w:fill="404040"/>
            <w:vAlign w:val="bottom"/>
            <w:hideMark/>
          </w:tcPr>
          <w:p w14:paraId="04AB6E54" w14:textId="110383C9" w:rsidR="00D4749A" w:rsidRPr="00D6241F" w:rsidRDefault="00D4749A" w:rsidP="006D0B51">
            <w:pPr>
              <w:spacing w:after="120" w:line="240" w:lineRule="auto"/>
              <w:contextualSpacing/>
              <w:rPr>
                <w:rFonts w:cs="Arial"/>
                <w:b/>
                <w:bCs/>
                <w:color w:val="FFFFFF"/>
                <w:szCs w:val="20"/>
              </w:rPr>
            </w:pPr>
            <w:r w:rsidRPr="00D6241F">
              <w:rPr>
                <w:rFonts w:cs="Arial"/>
                <w:b/>
                <w:bCs/>
                <w:color w:val="FFFFFF"/>
                <w:szCs w:val="20"/>
              </w:rPr>
              <w:t>R</w:t>
            </w:r>
            <w:r w:rsidR="004A5CF2">
              <w:rPr>
                <w:rFonts w:cs="Arial"/>
                <w:b/>
                <w:bCs/>
                <w:color w:val="FFFFFF"/>
                <w:szCs w:val="20"/>
              </w:rPr>
              <w:t>elevant section</w:t>
            </w:r>
          </w:p>
        </w:tc>
        <w:tc>
          <w:tcPr>
            <w:tcW w:w="2502" w:type="pct"/>
            <w:shd w:val="clear" w:color="000000" w:fill="404040"/>
            <w:vAlign w:val="bottom"/>
            <w:hideMark/>
          </w:tcPr>
          <w:p w14:paraId="3FB445B0" w14:textId="77777777" w:rsidR="00D4749A" w:rsidRPr="00D6241F" w:rsidRDefault="00D4749A" w:rsidP="006D0B51">
            <w:pPr>
              <w:spacing w:after="120" w:line="240" w:lineRule="auto"/>
              <w:contextualSpacing/>
              <w:rPr>
                <w:rFonts w:cs="Arial"/>
                <w:b/>
                <w:bCs/>
                <w:color w:val="FFFFFF"/>
                <w:szCs w:val="20"/>
              </w:rPr>
            </w:pPr>
            <w:r w:rsidRPr="00D6241F">
              <w:rPr>
                <w:rFonts w:cs="Arial"/>
                <w:b/>
                <w:bCs/>
                <w:color w:val="FFFFFF"/>
                <w:szCs w:val="20"/>
              </w:rPr>
              <w:t>Description </w:t>
            </w:r>
          </w:p>
        </w:tc>
        <w:tc>
          <w:tcPr>
            <w:tcW w:w="686" w:type="pct"/>
            <w:shd w:val="clear" w:color="000000" w:fill="404040"/>
            <w:vAlign w:val="bottom"/>
            <w:hideMark/>
          </w:tcPr>
          <w:p w14:paraId="01E23B1F" w14:textId="77777777" w:rsidR="00D4749A" w:rsidRPr="00D6241F" w:rsidRDefault="00D4749A" w:rsidP="006D0B51">
            <w:pPr>
              <w:spacing w:after="120" w:line="240" w:lineRule="auto"/>
              <w:contextualSpacing/>
              <w:jc w:val="right"/>
              <w:rPr>
                <w:rFonts w:cs="Arial"/>
                <w:b/>
                <w:bCs/>
                <w:color w:val="FFFFFF"/>
                <w:szCs w:val="20"/>
              </w:rPr>
            </w:pPr>
            <w:r w:rsidRPr="00D6241F">
              <w:rPr>
                <w:rFonts w:cs="Arial"/>
                <w:b/>
                <w:bCs/>
                <w:color w:val="FFFFFF"/>
                <w:szCs w:val="20"/>
              </w:rPr>
              <w:t>Fee</w:t>
            </w:r>
          </w:p>
        </w:tc>
      </w:tr>
      <w:tr w:rsidR="00D4749A" w:rsidRPr="008C7781" w14:paraId="36E26AEA" w14:textId="77777777" w:rsidTr="003E5A84">
        <w:trPr>
          <w:trHeight w:val="967"/>
        </w:trPr>
        <w:tc>
          <w:tcPr>
            <w:tcW w:w="195" w:type="pct"/>
            <w:shd w:val="clear" w:color="auto" w:fill="auto"/>
            <w:vAlign w:val="center"/>
            <w:hideMark/>
          </w:tcPr>
          <w:p w14:paraId="44231B9C" w14:textId="77777777" w:rsidR="00D4749A" w:rsidRPr="008C7781" w:rsidRDefault="00D4749A" w:rsidP="00C35614">
            <w:pPr>
              <w:spacing w:after="0" w:line="240" w:lineRule="auto"/>
              <w:contextualSpacing/>
              <w:rPr>
                <w:rFonts w:cs="Arial"/>
                <w:szCs w:val="20"/>
              </w:rPr>
            </w:pPr>
            <w:r w:rsidRPr="008C7781">
              <w:rPr>
                <w:rFonts w:cs="Arial"/>
                <w:szCs w:val="20"/>
              </w:rPr>
              <w:t>1</w:t>
            </w:r>
          </w:p>
        </w:tc>
        <w:tc>
          <w:tcPr>
            <w:tcW w:w="825" w:type="pct"/>
            <w:shd w:val="clear" w:color="auto" w:fill="auto"/>
            <w:vAlign w:val="center"/>
            <w:hideMark/>
          </w:tcPr>
          <w:p w14:paraId="11E71760" w14:textId="7F03ADFF" w:rsidR="00D4749A" w:rsidRPr="005E1BCD" w:rsidRDefault="00D4749A" w:rsidP="00C35614">
            <w:pPr>
              <w:spacing w:after="0" w:line="240" w:lineRule="auto"/>
              <w:contextualSpacing/>
              <w:rPr>
                <w:rFonts w:cs="Arial"/>
                <w:b/>
                <w:bCs/>
                <w:szCs w:val="20"/>
              </w:rPr>
            </w:pPr>
            <w:r>
              <w:rPr>
                <w:rFonts w:cs="Arial"/>
                <w:b/>
                <w:bCs/>
                <w:szCs w:val="20"/>
              </w:rPr>
              <w:t>Device t</w:t>
            </w:r>
            <w:r w:rsidRPr="005E1BCD">
              <w:rPr>
                <w:rFonts w:cs="Arial"/>
                <w:b/>
                <w:bCs/>
                <w:szCs w:val="20"/>
              </w:rPr>
              <w:t>esting </w:t>
            </w:r>
          </w:p>
        </w:tc>
        <w:tc>
          <w:tcPr>
            <w:tcW w:w="792" w:type="pct"/>
            <w:shd w:val="clear" w:color="auto" w:fill="auto"/>
            <w:vAlign w:val="center"/>
            <w:hideMark/>
          </w:tcPr>
          <w:p w14:paraId="69788056" w14:textId="210BD5AD" w:rsidR="00D4749A" w:rsidRPr="00E05173" w:rsidRDefault="00107493" w:rsidP="00C35614">
            <w:pPr>
              <w:spacing w:after="0" w:line="240" w:lineRule="auto"/>
              <w:contextualSpacing/>
              <w:rPr>
                <w:rFonts w:ascii="Calibri" w:hAnsi="Calibri" w:cs="Calibri"/>
                <w:sz w:val="22"/>
                <w:szCs w:val="22"/>
                <w:u w:val="single"/>
              </w:rPr>
            </w:pPr>
            <w:hyperlink r:id="rId33" w:anchor="RANGE!D2" w:history="1">
              <w:r w:rsidR="00D4749A" w:rsidRPr="00E05173">
                <w:t>Sch 1 Part 1 Table 1 (Item 1.1.1)</w:t>
              </w:r>
            </w:hyperlink>
          </w:p>
        </w:tc>
        <w:tc>
          <w:tcPr>
            <w:tcW w:w="2502" w:type="pct"/>
            <w:shd w:val="clear" w:color="auto" w:fill="auto"/>
            <w:vAlign w:val="center"/>
            <w:hideMark/>
          </w:tcPr>
          <w:p w14:paraId="4EE04180" w14:textId="4B371DDA" w:rsidR="00D4749A" w:rsidRPr="008C7781" w:rsidRDefault="00D4749A" w:rsidP="00C35614">
            <w:pPr>
              <w:spacing w:after="0" w:line="240" w:lineRule="auto"/>
              <w:contextualSpacing/>
              <w:rPr>
                <w:rFonts w:cs="Arial"/>
                <w:szCs w:val="20"/>
              </w:rPr>
            </w:pPr>
            <w:r w:rsidRPr="008C7781">
              <w:rPr>
                <w:rFonts w:cs="Arial"/>
                <w:szCs w:val="20"/>
              </w:rPr>
              <w:t>Testing (on request by a person other than a member of a police force of a State or Territory or the Australian Federal Police) of radiocommunications devices (other than a device that is subject to a permanent ban) for compliance with the Radiocommunications Act and instruments made under that Act</w:t>
            </w:r>
            <w:r>
              <w:rPr>
                <w:rFonts w:cs="Arial"/>
                <w:szCs w:val="20"/>
              </w:rPr>
              <w:t>.</w:t>
            </w:r>
          </w:p>
        </w:tc>
        <w:tc>
          <w:tcPr>
            <w:tcW w:w="686" w:type="pct"/>
            <w:shd w:val="clear" w:color="auto" w:fill="auto"/>
            <w:vAlign w:val="center"/>
            <w:hideMark/>
          </w:tcPr>
          <w:p w14:paraId="0C3DB8AD" w14:textId="1C8104BF" w:rsidR="00D4749A" w:rsidRPr="008C7781" w:rsidRDefault="00D4749A" w:rsidP="00C35614">
            <w:pPr>
              <w:spacing w:after="0" w:line="240" w:lineRule="auto"/>
              <w:contextualSpacing/>
              <w:jc w:val="right"/>
              <w:rPr>
                <w:rFonts w:cs="Arial"/>
                <w:szCs w:val="20"/>
              </w:rPr>
            </w:pPr>
            <w:r w:rsidRPr="008C7781">
              <w:rPr>
                <w:rFonts w:cs="Arial"/>
                <w:szCs w:val="20"/>
              </w:rPr>
              <w:t>Special hourly rate B</w:t>
            </w:r>
          </w:p>
        </w:tc>
      </w:tr>
      <w:tr w:rsidR="00D4749A" w:rsidRPr="008C7781" w14:paraId="2150DCB5" w14:textId="77777777" w:rsidTr="003E5A84">
        <w:trPr>
          <w:trHeight w:val="313"/>
        </w:trPr>
        <w:tc>
          <w:tcPr>
            <w:tcW w:w="195" w:type="pct"/>
            <w:shd w:val="clear" w:color="auto" w:fill="auto"/>
            <w:vAlign w:val="center"/>
            <w:hideMark/>
          </w:tcPr>
          <w:p w14:paraId="272C50FA" w14:textId="77777777" w:rsidR="00D4749A" w:rsidRPr="008C7781" w:rsidRDefault="00D4749A" w:rsidP="00C35614">
            <w:pPr>
              <w:spacing w:after="0" w:line="240" w:lineRule="auto"/>
              <w:contextualSpacing/>
              <w:rPr>
                <w:rFonts w:cs="Arial"/>
                <w:szCs w:val="20"/>
              </w:rPr>
            </w:pPr>
            <w:r w:rsidRPr="008C7781">
              <w:rPr>
                <w:rFonts w:cs="Arial"/>
                <w:szCs w:val="20"/>
              </w:rPr>
              <w:t>2</w:t>
            </w:r>
          </w:p>
        </w:tc>
        <w:tc>
          <w:tcPr>
            <w:tcW w:w="825" w:type="pct"/>
            <w:shd w:val="clear" w:color="auto" w:fill="auto"/>
            <w:vAlign w:val="center"/>
            <w:hideMark/>
          </w:tcPr>
          <w:p w14:paraId="6A2B429C" w14:textId="77777777" w:rsidR="00D4749A" w:rsidRPr="005E1BCD" w:rsidRDefault="00D4749A" w:rsidP="00C35614">
            <w:pPr>
              <w:spacing w:after="0" w:line="240" w:lineRule="auto"/>
              <w:contextualSpacing/>
              <w:rPr>
                <w:rFonts w:cs="Arial"/>
                <w:b/>
                <w:bCs/>
                <w:szCs w:val="20"/>
              </w:rPr>
            </w:pPr>
            <w:r w:rsidRPr="005E1BCD">
              <w:rPr>
                <w:rFonts w:cs="Arial"/>
                <w:b/>
                <w:bCs/>
                <w:szCs w:val="20"/>
              </w:rPr>
              <w:t>Documents</w:t>
            </w:r>
            <w:r w:rsidRPr="008C7781">
              <w:rPr>
                <w:rFonts w:cs="Arial"/>
                <w:szCs w:val="20"/>
              </w:rPr>
              <w:t> </w:t>
            </w:r>
          </w:p>
        </w:tc>
        <w:tc>
          <w:tcPr>
            <w:tcW w:w="792" w:type="pct"/>
            <w:shd w:val="clear" w:color="auto" w:fill="auto"/>
            <w:vAlign w:val="center"/>
            <w:hideMark/>
          </w:tcPr>
          <w:p w14:paraId="18A758EE" w14:textId="5E110332" w:rsidR="00D4749A" w:rsidRPr="00E05173" w:rsidRDefault="00107493" w:rsidP="00C35614">
            <w:pPr>
              <w:spacing w:after="0" w:line="240" w:lineRule="auto"/>
              <w:contextualSpacing/>
              <w:rPr>
                <w:rFonts w:ascii="Calibri" w:hAnsi="Calibri" w:cs="Calibri"/>
                <w:sz w:val="22"/>
                <w:szCs w:val="22"/>
                <w:u w:val="single"/>
              </w:rPr>
            </w:pPr>
            <w:hyperlink r:id="rId34" w:anchor="RANGE!D2" w:history="1">
              <w:r w:rsidR="00D4749A" w:rsidRPr="00E05173">
                <w:t>Sch 1 Part 7 Table 1 (Item 7.1.1)</w:t>
              </w:r>
            </w:hyperlink>
          </w:p>
        </w:tc>
        <w:tc>
          <w:tcPr>
            <w:tcW w:w="2502" w:type="pct"/>
            <w:shd w:val="clear" w:color="auto" w:fill="auto"/>
            <w:vAlign w:val="center"/>
            <w:hideMark/>
          </w:tcPr>
          <w:p w14:paraId="670B5868" w14:textId="77777777" w:rsidR="00D4749A" w:rsidRPr="008C7781" w:rsidRDefault="00D4749A" w:rsidP="00C35614">
            <w:pPr>
              <w:spacing w:after="0" w:line="240" w:lineRule="auto"/>
              <w:contextualSpacing/>
              <w:rPr>
                <w:rFonts w:cs="Arial"/>
                <w:szCs w:val="20"/>
              </w:rPr>
            </w:pPr>
            <w:r w:rsidRPr="008C7781">
              <w:rPr>
                <w:rFonts w:cs="Arial"/>
                <w:szCs w:val="20"/>
              </w:rPr>
              <w:t xml:space="preserve">Issuing a duplicate document of any kind or, where such duplicate document cannot be issued, a letter of confirmation. </w:t>
            </w:r>
          </w:p>
        </w:tc>
        <w:tc>
          <w:tcPr>
            <w:tcW w:w="686" w:type="pct"/>
            <w:shd w:val="clear" w:color="auto" w:fill="auto"/>
            <w:vAlign w:val="center"/>
            <w:hideMark/>
          </w:tcPr>
          <w:p w14:paraId="394B8598" w14:textId="77777777" w:rsidR="00D4749A" w:rsidRPr="008C7781" w:rsidRDefault="00D4749A" w:rsidP="00C35614">
            <w:pPr>
              <w:spacing w:after="0" w:line="240" w:lineRule="auto"/>
              <w:contextualSpacing/>
              <w:jc w:val="right"/>
              <w:rPr>
                <w:rFonts w:cs="Arial"/>
                <w:szCs w:val="20"/>
              </w:rPr>
            </w:pPr>
            <w:r w:rsidRPr="008C7781">
              <w:rPr>
                <w:rFonts w:cs="Arial"/>
                <w:szCs w:val="20"/>
              </w:rPr>
              <w:t>$38.00</w:t>
            </w:r>
          </w:p>
        </w:tc>
      </w:tr>
      <w:tr w:rsidR="00D4749A" w:rsidRPr="008C7781" w14:paraId="6117EFB0" w14:textId="77777777" w:rsidTr="00CC3366">
        <w:trPr>
          <w:trHeight w:val="1249"/>
        </w:trPr>
        <w:tc>
          <w:tcPr>
            <w:tcW w:w="195" w:type="pct"/>
            <w:tcBorders>
              <w:bottom w:val="single" w:sz="4" w:space="0" w:color="000000"/>
            </w:tcBorders>
            <w:shd w:val="clear" w:color="auto" w:fill="auto"/>
            <w:vAlign w:val="center"/>
            <w:hideMark/>
          </w:tcPr>
          <w:p w14:paraId="362FBFFB" w14:textId="77777777" w:rsidR="00D4749A" w:rsidRPr="008C7781" w:rsidRDefault="00D4749A" w:rsidP="006D0B51">
            <w:pPr>
              <w:spacing w:after="120" w:line="240" w:lineRule="auto"/>
              <w:contextualSpacing/>
              <w:rPr>
                <w:rFonts w:cs="Arial"/>
                <w:szCs w:val="20"/>
              </w:rPr>
            </w:pPr>
            <w:r w:rsidRPr="008C7781">
              <w:rPr>
                <w:rFonts w:cs="Arial"/>
                <w:szCs w:val="20"/>
              </w:rPr>
              <w:t>3</w:t>
            </w:r>
          </w:p>
        </w:tc>
        <w:tc>
          <w:tcPr>
            <w:tcW w:w="825" w:type="pct"/>
            <w:vMerge w:val="restart"/>
            <w:tcBorders>
              <w:bottom w:val="single" w:sz="4" w:space="0" w:color="000000"/>
            </w:tcBorders>
            <w:shd w:val="clear" w:color="auto" w:fill="auto"/>
            <w:vAlign w:val="center"/>
            <w:hideMark/>
          </w:tcPr>
          <w:p w14:paraId="60E4CACF" w14:textId="77777777" w:rsidR="00D4749A" w:rsidRPr="00C23DAE" w:rsidRDefault="00D4749A" w:rsidP="006D0B51">
            <w:pPr>
              <w:spacing w:after="120" w:line="240" w:lineRule="auto"/>
              <w:contextualSpacing/>
              <w:rPr>
                <w:rFonts w:cs="Arial"/>
                <w:b/>
                <w:szCs w:val="20"/>
              </w:rPr>
            </w:pPr>
            <w:r w:rsidRPr="005E1BCD">
              <w:rPr>
                <w:rFonts w:cs="Arial"/>
                <w:b/>
                <w:bCs/>
                <w:szCs w:val="20"/>
              </w:rPr>
              <w:t>Examinations</w:t>
            </w:r>
            <w:r w:rsidRPr="008C7781">
              <w:rPr>
                <w:rFonts w:cs="Arial"/>
                <w:szCs w:val="20"/>
              </w:rPr>
              <w:t> </w:t>
            </w:r>
          </w:p>
        </w:tc>
        <w:tc>
          <w:tcPr>
            <w:tcW w:w="792" w:type="pct"/>
            <w:tcBorders>
              <w:bottom w:val="single" w:sz="4" w:space="0" w:color="000000"/>
            </w:tcBorders>
            <w:shd w:val="clear" w:color="auto" w:fill="auto"/>
            <w:vAlign w:val="center"/>
            <w:hideMark/>
          </w:tcPr>
          <w:p w14:paraId="4445641B" w14:textId="4DB47B97" w:rsidR="00D4749A" w:rsidRPr="00E05173" w:rsidRDefault="00107493" w:rsidP="0094231A">
            <w:pPr>
              <w:spacing w:after="0" w:line="240" w:lineRule="auto"/>
              <w:contextualSpacing/>
              <w:rPr>
                <w:rFonts w:ascii="Calibri" w:hAnsi="Calibri" w:cs="Calibri"/>
                <w:sz w:val="22"/>
                <w:szCs w:val="22"/>
                <w:u w:val="single"/>
              </w:rPr>
            </w:pPr>
            <w:hyperlink r:id="rId35" w:anchor="RANGE!D2" w:history="1">
              <w:r w:rsidR="00D4749A" w:rsidRPr="00E05173">
                <w:t>Sch 1 Part 4 Table 1 (Item 4.1.1)</w:t>
              </w:r>
            </w:hyperlink>
          </w:p>
        </w:tc>
        <w:tc>
          <w:tcPr>
            <w:tcW w:w="2502" w:type="pct"/>
            <w:tcBorders>
              <w:bottom w:val="single" w:sz="4" w:space="0" w:color="000000"/>
            </w:tcBorders>
            <w:shd w:val="clear" w:color="auto" w:fill="auto"/>
            <w:vAlign w:val="center"/>
            <w:hideMark/>
          </w:tcPr>
          <w:p w14:paraId="530FACFC" w14:textId="77777777" w:rsidR="00FB7E48" w:rsidRDefault="00FB7E48" w:rsidP="002137C1">
            <w:pPr>
              <w:pStyle w:val="Paragraphbeforelist"/>
              <w:spacing w:line="240" w:lineRule="auto"/>
              <w:contextualSpacing/>
            </w:pPr>
            <w:r w:rsidRPr="008C7781">
              <w:t>Conducting an examination of a kind specified in paragraph 122(1)(b) of the Radiocommunications Act in relation to the issue of a certificate of proficiency that relates to an:</w:t>
            </w:r>
          </w:p>
          <w:p w14:paraId="1B6C27B3" w14:textId="77777777" w:rsidR="00FB7E48" w:rsidRDefault="00FB7E48" w:rsidP="0023759E">
            <w:pPr>
              <w:pStyle w:val="Bulletlevel1"/>
              <w:tabs>
                <w:tab w:val="clear" w:pos="436"/>
                <w:tab w:val="num" w:pos="296"/>
              </w:tabs>
              <w:ind w:left="296" w:hanging="283"/>
            </w:pPr>
            <w:r w:rsidRPr="002B08E1">
              <w:t>amateur</w:t>
            </w:r>
            <w:r w:rsidRPr="008C7781">
              <w:t xml:space="preserve"> licence (amateur advanced station); or</w:t>
            </w:r>
          </w:p>
          <w:p w14:paraId="351E31C8" w14:textId="787E8038" w:rsidR="00D4749A" w:rsidRPr="005438AD" w:rsidRDefault="00FB7E48" w:rsidP="00CC3366">
            <w:pPr>
              <w:pStyle w:val="Bulletlevel1"/>
              <w:tabs>
                <w:tab w:val="clear" w:pos="436"/>
                <w:tab w:val="num" w:pos="296"/>
              </w:tabs>
              <w:spacing w:after="0"/>
              <w:ind w:left="296" w:hanging="283"/>
            </w:pPr>
            <w:r w:rsidRPr="008C7781">
              <w:t>amateur licence (amateur standard station)</w:t>
            </w:r>
            <w:r>
              <w:t>.</w:t>
            </w:r>
          </w:p>
        </w:tc>
        <w:tc>
          <w:tcPr>
            <w:tcW w:w="686" w:type="pct"/>
            <w:tcBorders>
              <w:bottom w:val="single" w:sz="4" w:space="0" w:color="000000"/>
            </w:tcBorders>
            <w:shd w:val="clear" w:color="auto" w:fill="auto"/>
            <w:vAlign w:val="center"/>
            <w:hideMark/>
          </w:tcPr>
          <w:p w14:paraId="6268948E" w14:textId="77777777" w:rsidR="00D4749A" w:rsidRPr="008C7781" w:rsidRDefault="00D4749A" w:rsidP="0094231A">
            <w:pPr>
              <w:spacing w:after="0" w:line="240" w:lineRule="auto"/>
              <w:contextualSpacing/>
              <w:jc w:val="right"/>
              <w:rPr>
                <w:rFonts w:cs="Arial"/>
                <w:szCs w:val="20"/>
              </w:rPr>
            </w:pPr>
            <w:r w:rsidRPr="008C7781">
              <w:rPr>
                <w:rFonts w:cs="Arial"/>
                <w:szCs w:val="20"/>
              </w:rPr>
              <w:t>$490.00</w:t>
            </w:r>
          </w:p>
        </w:tc>
      </w:tr>
      <w:tr w:rsidR="00D4749A" w:rsidRPr="008C7781" w14:paraId="746FBB9E" w14:textId="77777777" w:rsidTr="003E5A84">
        <w:trPr>
          <w:trHeight w:val="739"/>
        </w:trPr>
        <w:tc>
          <w:tcPr>
            <w:tcW w:w="195" w:type="pct"/>
            <w:shd w:val="clear" w:color="auto" w:fill="auto"/>
            <w:vAlign w:val="center"/>
            <w:hideMark/>
          </w:tcPr>
          <w:p w14:paraId="380E8617" w14:textId="77777777" w:rsidR="00D4749A" w:rsidRPr="008C7781" w:rsidRDefault="00D4749A" w:rsidP="006D0B51">
            <w:pPr>
              <w:spacing w:after="120" w:line="240" w:lineRule="auto"/>
              <w:contextualSpacing/>
              <w:rPr>
                <w:rFonts w:cs="Arial"/>
                <w:szCs w:val="20"/>
              </w:rPr>
            </w:pPr>
            <w:r w:rsidRPr="008C7781">
              <w:rPr>
                <w:rFonts w:cs="Arial"/>
                <w:szCs w:val="20"/>
              </w:rPr>
              <w:t>4</w:t>
            </w:r>
          </w:p>
        </w:tc>
        <w:tc>
          <w:tcPr>
            <w:tcW w:w="825" w:type="pct"/>
            <w:vMerge/>
            <w:shd w:val="clear" w:color="auto" w:fill="auto"/>
            <w:vAlign w:val="center"/>
            <w:hideMark/>
          </w:tcPr>
          <w:p w14:paraId="203B0057"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288D73C" w14:textId="1FF63550" w:rsidR="00D4749A" w:rsidRPr="00E05173" w:rsidRDefault="00107493" w:rsidP="00CC3366">
            <w:pPr>
              <w:spacing w:after="0" w:line="240" w:lineRule="auto"/>
              <w:contextualSpacing/>
              <w:rPr>
                <w:rFonts w:ascii="Calibri" w:hAnsi="Calibri" w:cs="Calibri"/>
                <w:sz w:val="22"/>
                <w:szCs w:val="22"/>
                <w:u w:val="single"/>
              </w:rPr>
            </w:pPr>
            <w:hyperlink r:id="rId36" w:anchor="RANGE!D13" w:history="1">
              <w:r w:rsidR="00D4749A" w:rsidRPr="00E05173">
                <w:t>Sch 1 Part 4 Table 1 (Item 4.1.2)</w:t>
              </w:r>
            </w:hyperlink>
          </w:p>
        </w:tc>
        <w:tc>
          <w:tcPr>
            <w:tcW w:w="2502" w:type="pct"/>
            <w:shd w:val="clear" w:color="auto" w:fill="auto"/>
            <w:vAlign w:val="center"/>
            <w:hideMark/>
          </w:tcPr>
          <w:p w14:paraId="26B5D32B" w14:textId="4BF7CF7E" w:rsidR="00D4749A" w:rsidRPr="005438AD" w:rsidRDefault="00FB7E48" w:rsidP="00CC3366">
            <w:pPr>
              <w:spacing w:after="0" w:line="240" w:lineRule="auto"/>
              <w:contextualSpacing/>
              <w:rPr>
                <w:rFonts w:cs="Arial"/>
                <w:szCs w:val="20"/>
              </w:rPr>
            </w:pPr>
            <w:r w:rsidRPr="008C7781">
              <w:rPr>
                <w:rFonts w:cs="Arial"/>
                <w:szCs w:val="20"/>
              </w:rPr>
              <w:t>Conducting an examination of a kind specified in paragraph 122(1)(b) of the Radiocommunications Act in relation to the issue of a certificate of proficiency that relates to an amateur licence (amateur foundation station)</w:t>
            </w:r>
            <w:r>
              <w:rPr>
                <w:rFonts w:cs="Arial"/>
                <w:szCs w:val="20"/>
              </w:rPr>
              <w:t>.</w:t>
            </w:r>
          </w:p>
        </w:tc>
        <w:tc>
          <w:tcPr>
            <w:tcW w:w="686" w:type="pct"/>
            <w:shd w:val="clear" w:color="auto" w:fill="auto"/>
            <w:vAlign w:val="center"/>
            <w:hideMark/>
          </w:tcPr>
          <w:p w14:paraId="2872DF35" w14:textId="77777777" w:rsidR="00D4749A" w:rsidRPr="008C7781" w:rsidRDefault="00D4749A" w:rsidP="00CC3366">
            <w:pPr>
              <w:spacing w:after="0" w:line="240" w:lineRule="auto"/>
              <w:contextualSpacing/>
              <w:jc w:val="right"/>
              <w:rPr>
                <w:rFonts w:cs="Arial"/>
                <w:szCs w:val="20"/>
              </w:rPr>
            </w:pPr>
            <w:r w:rsidRPr="008C7781">
              <w:rPr>
                <w:rFonts w:cs="Arial"/>
                <w:szCs w:val="20"/>
              </w:rPr>
              <w:t>$377.00</w:t>
            </w:r>
          </w:p>
        </w:tc>
      </w:tr>
      <w:tr w:rsidR="002F0B35" w:rsidRPr="008C7781" w14:paraId="64F20E1A" w14:textId="77777777">
        <w:trPr>
          <w:trHeight w:val="1560"/>
        </w:trPr>
        <w:tc>
          <w:tcPr>
            <w:tcW w:w="195" w:type="pct"/>
            <w:shd w:val="clear" w:color="auto" w:fill="auto"/>
            <w:vAlign w:val="center"/>
            <w:hideMark/>
          </w:tcPr>
          <w:p w14:paraId="4EFB140A" w14:textId="06380F59" w:rsidR="002F0B35" w:rsidRPr="008C7781" w:rsidRDefault="00427A4F" w:rsidP="00C53E20">
            <w:pPr>
              <w:spacing w:after="120" w:line="240" w:lineRule="auto"/>
              <w:contextualSpacing/>
              <w:rPr>
                <w:rFonts w:cs="Arial"/>
                <w:szCs w:val="20"/>
              </w:rPr>
            </w:pPr>
            <w:r>
              <w:rPr>
                <w:rFonts w:cs="Arial"/>
                <w:szCs w:val="20"/>
              </w:rPr>
              <w:t>5</w:t>
            </w:r>
          </w:p>
        </w:tc>
        <w:tc>
          <w:tcPr>
            <w:tcW w:w="825" w:type="pct"/>
            <w:vMerge/>
            <w:vAlign w:val="center"/>
            <w:hideMark/>
          </w:tcPr>
          <w:p w14:paraId="113CA86A" w14:textId="77777777" w:rsidR="002F0B35" w:rsidRPr="005E1BCD" w:rsidRDefault="002F0B35" w:rsidP="00C53E20">
            <w:pPr>
              <w:spacing w:after="120" w:line="240" w:lineRule="auto"/>
              <w:contextualSpacing/>
              <w:rPr>
                <w:rFonts w:cs="Arial"/>
                <w:b/>
                <w:bCs/>
                <w:szCs w:val="20"/>
              </w:rPr>
            </w:pPr>
          </w:p>
        </w:tc>
        <w:tc>
          <w:tcPr>
            <w:tcW w:w="792" w:type="pct"/>
            <w:shd w:val="clear" w:color="auto" w:fill="auto"/>
            <w:vAlign w:val="center"/>
            <w:hideMark/>
          </w:tcPr>
          <w:p w14:paraId="5F15A9BF" w14:textId="77777777" w:rsidR="002F0B35" w:rsidRPr="00E05173" w:rsidRDefault="002F0B35" w:rsidP="00C53E20">
            <w:pPr>
              <w:keepNext/>
              <w:spacing w:after="120" w:line="240" w:lineRule="auto"/>
              <w:contextualSpacing/>
              <w:rPr>
                <w:rFonts w:ascii="Calibri" w:hAnsi="Calibri" w:cs="Calibri"/>
                <w:sz w:val="22"/>
                <w:szCs w:val="22"/>
                <w:u w:val="single"/>
              </w:rPr>
            </w:pPr>
            <w:r w:rsidRPr="00E05173">
              <w:t>Part 4 Table 1 (Item 4.1.3)</w:t>
            </w:r>
          </w:p>
        </w:tc>
        <w:tc>
          <w:tcPr>
            <w:tcW w:w="2502" w:type="pct"/>
            <w:shd w:val="clear" w:color="auto" w:fill="auto"/>
            <w:vAlign w:val="center"/>
            <w:hideMark/>
          </w:tcPr>
          <w:p w14:paraId="5D1DE9EA" w14:textId="77777777" w:rsidR="002F0B35" w:rsidRDefault="002F0B35" w:rsidP="00C53E20">
            <w:pPr>
              <w:pStyle w:val="Paragraphbeforelist"/>
              <w:spacing w:line="240" w:lineRule="auto"/>
              <w:contextualSpacing/>
              <w:rPr>
                <w:szCs w:val="20"/>
              </w:rPr>
            </w:pPr>
            <w:r w:rsidRPr="006B4D87">
              <w:rPr>
                <w:szCs w:val="20"/>
              </w:rPr>
              <w:t xml:space="preserve">Conducting an examination for a single module of an examination of a kind specified in paragraph 122(1)(b) of the Radiocommunications Act in relation to the issue of a certificate of proficiency that </w:t>
            </w:r>
            <w:r w:rsidRPr="002137C1">
              <w:t>relates</w:t>
            </w:r>
            <w:r w:rsidRPr="006B4D87">
              <w:rPr>
                <w:szCs w:val="20"/>
              </w:rPr>
              <w:t xml:space="preserve"> to an: </w:t>
            </w:r>
          </w:p>
          <w:p w14:paraId="5FA39491" w14:textId="0C777039" w:rsidR="002F0B35" w:rsidRPr="0023759E" w:rsidRDefault="002F0B35" w:rsidP="0023759E">
            <w:pPr>
              <w:pStyle w:val="Bulletlevel1"/>
              <w:tabs>
                <w:tab w:val="clear" w:pos="436"/>
                <w:tab w:val="num" w:pos="296"/>
              </w:tabs>
              <w:ind w:left="296" w:hanging="283"/>
            </w:pPr>
            <w:r w:rsidRPr="006B4D87">
              <w:rPr>
                <w:szCs w:val="20"/>
              </w:rPr>
              <w:t>am</w:t>
            </w:r>
            <w:r w:rsidRPr="0023759E">
              <w:t>ateur licence (amateur advanced station)</w:t>
            </w:r>
          </w:p>
          <w:p w14:paraId="2187615C" w14:textId="3BA91B11" w:rsidR="002F0B35" w:rsidRPr="0023759E" w:rsidRDefault="002F0B35" w:rsidP="0023759E">
            <w:pPr>
              <w:pStyle w:val="Bulletlevel1"/>
              <w:tabs>
                <w:tab w:val="clear" w:pos="436"/>
                <w:tab w:val="num" w:pos="296"/>
              </w:tabs>
              <w:ind w:left="296" w:hanging="283"/>
            </w:pPr>
            <w:r w:rsidRPr="0023759E">
              <w:t>amateur licence (amateur standard station)</w:t>
            </w:r>
          </w:p>
          <w:p w14:paraId="61AEC25D" w14:textId="33A4038A" w:rsidR="002F0B35" w:rsidRPr="0038228B" w:rsidRDefault="002F0B35" w:rsidP="00CC3366">
            <w:pPr>
              <w:pStyle w:val="Bulletlevel1"/>
              <w:tabs>
                <w:tab w:val="clear" w:pos="436"/>
                <w:tab w:val="num" w:pos="296"/>
              </w:tabs>
              <w:spacing w:after="0"/>
              <w:ind w:left="296" w:hanging="283"/>
              <w:rPr>
                <w:szCs w:val="20"/>
              </w:rPr>
            </w:pPr>
            <w:r w:rsidRPr="0023759E">
              <w:t>ama</w:t>
            </w:r>
            <w:r w:rsidRPr="004519A5">
              <w:rPr>
                <w:szCs w:val="20"/>
              </w:rPr>
              <w:t>teur licence (amateur foundation station)</w:t>
            </w:r>
            <w:r w:rsidR="002B5379">
              <w:rPr>
                <w:szCs w:val="20"/>
              </w:rPr>
              <w:t>.</w:t>
            </w:r>
          </w:p>
        </w:tc>
        <w:tc>
          <w:tcPr>
            <w:tcW w:w="686" w:type="pct"/>
            <w:shd w:val="clear" w:color="auto" w:fill="auto"/>
            <w:vAlign w:val="center"/>
            <w:hideMark/>
          </w:tcPr>
          <w:p w14:paraId="08634F9E" w14:textId="77777777" w:rsidR="002F0B35" w:rsidRPr="008C7781" w:rsidRDefault="002F0B35" w:rsidP="00C53E20">
            <w:pPr>
              <w:keepNext/>
              <w:spacing w:after="120" w:line="240" w:lineRule="auto"/>
              <w:contextualSpacing/>
              <w:jc w:val="right"/>
              <w:rPr>
                <w:rFonts w:cs="Arial"/>
                <w:szCs w:val="20"/>
              </w:rPr>
            </w:pPr>
            <w:r w:rsidRPr="008C7781">
              <w:rPr>
                <w:rFonts w:cs="Arial"/>
                <w:szCs w:val="20"/>
              </w:rPr>
              <w:t>$264.00</w:t>
            </w:r>
          </w:p>
        </w:tc>
      </w:tr>
      <w:tr w:rsidR="00D4749A" w:rsidRPr="008C7781" w14:paraId="07259C64" w14:textId="77777777" w:rsidTr="003E5A84">
        <w:trPr>
          <w:trHeight w:val="568"/>
        </w:trPr>
        <w:tc>
          <w:tcPr>
            <w:tcW w:w="195" w:type="pct"/>
            <w:vMerge w:val="restart"/>
            <w:shd w:val="clear" w:color="auto" w:fill="auto"/>
            <w:vAlign w:val="center"/>
            <w:hideMark/>
          </w:tcPr>
          <w:p w14:paraId="7D7DA3CA" w14:textId="10FE86E3" w:rsidR="00D4749A" w:rsidRPr="008C7781" w:rsidRDefault="00427A4F" w:rsidP="006D0B51">
            <w:pPr>
              <w:spacing w:after="120" w:line="240" w:lineRule="auto"/>
              <w:contextualSpacing/>
              <w:rPr>
                <w:rFonts w:cs="Arial"/>
                <w:szCs w:val="20"/>
              </w:rPr>
            </w:pPr>
            <w:r>
              <w:rPr>
                <w:rFonts w:cs="Arial"/>
                <w:szCs w:val="20"/>
              </w:rPr>
              <w:lastRenderedPageBreak/>
              <w:t>6</w:t>
            </w:r>
          </w:p>
        </w:tc>
        <w:tc>
          <w:tcPr>
            <w:tcW w:w="825" w:type="pct"/>
            <w:vMerge/>
            <w:shd w:val="clear" w:color="auto" w:fill="auto"/>
            <w:vAlign w:val="center"/>
            <w:hideMark/>
          </w:tcPr>
          <w:p w14:paraId="58018547" w14:textId="77777777" w:rsidR="00D4749A" w:rsidRPr="005E1BCD" w:rsidRDefault="00D4749A" w:rsidP="006D0B51">
            <w:pPr>
              <w:spacing w:after="120" w:line="240" w:lineRule="auto"/>
              <w:contextualSpacing/>
              <w:rPr>
                <w:rFonts w:cs="Arial"/>
                <w:b/>
                <w:bCs/>
                <w:szCs w:val="20"/>
              </w:rPr>
            </w:pPr>
          </w:p>
        </w:tc>
        <w:tc>
          <w:tcPr>
            <w:tcW w:w="792" w:type="pct"/>
            <w:vMerge w:val="restart"/>
            <w:shd w:val="clear" w:color="auto" w:fill="auto"/>
            <w:vAlign w:val="center"/>
            <w:hideMark/>
          </w:tcPr>
          <w:p w14:paraId="4D62C93D" w14:textId="4367EF4A" w:rsidR="00D4749A" w:rsidRPr="00E05173" w:rsidRDefault="00107493" w:rsidP="0094231A">
            <w:pPr>
              <w:spacing w:after="0" w:line="240" w:lineRule="auto"/>
              <w:contextualSpacing/>
              <w:rPr>
                <w:rFonts w:ascii="Calibri" w:hAnsi="Calibri" w:cs="Calibri"/>
                <w:sz w:val="22"/>
                <w:szCs w:val="22"/>
                <w:u w:val="single"/>
              </w:rPr>
            </w:pPr>
            <w:hyperlink r:id="rId37" w:anchor="RANGE!D35" w:history="1">
              <w:r w:rsidR="00D4749A" w:rsidRPr="00E05173">
                <w:t>Sch 1 Part 4 Table 1 (Item 4.1.4)</w:t>
              </w:r>
            </w:hyperlink>
          </w:p>
        </w:tc>
        <w:tc>
          <w:tcPr>
            <w:tcW w:w="2502" w:type="pct"/>
            <w:vMerge w:val="restart"/>
            <w:shd w:val="clear" w:color="auto" w:fill="auto"/>
            <w:vAlign w:val="center"/>
            <w:hideMark/>
          </w:tcPr>
          <w:p w14:paraId="6FD69E66" w14:textId="77777777" w:rsidR="00D4749A" w:rsidRDefault="00D4749A" w:rsidP="002137C1">
            <w:pPr>
              <w:pStyle w:val="Paragraphbeforelist"/>
              <w:spacing w:line="240" w:lineRule="auto"/>
              <w:contextualSpacing/>
              <w:rPr>
                <w:szCs w:val="20"/>
              </w:rPr>
            </w:pPr>
            <w:r w:rsidRPr="008C7781">
              <w:rPr>
                <w:szCs w:val="20"/>
              </w:rPr>
              <w:t xml:space="preserve">Conducting an examination of a kind specified in paragraph 122(1)(b) of the Radiocommunications Act in relation to the issue of any of the following kinds of </w:t>
            </w:r>
            <w:r w:rsidRPr="002137C1">
              <w:t>certificates</w:t>
            </w:r>
            <w:r w:rsidRPr="008C7781">
              <w:rPr>
                <w:szCs w:val="20"/>
              </w:rPr>
              <w:t xml:space="preserve"> of </w:t>
            </w:r>
            <w:r w:rsidRPr="007F0006">
              <w:t>proficiency</w:t>
            </w:r>
            <w:r w:rsidRPr="008C7781">
              <w:rPr>
                <w:szCs w:val="20"/>
              </w:rPr>
              <w:t>:</w:t>
            </w:r>
          </w:p>
          <w:p w14:paraId="7CD494AF" w14:textId="77777777" w:rsidR="00D4749A" w:rsidRPr="007F0006" w:rsidRDefault="00D4749A" w:rsidP="0023759E">
            <w:pPr>
              <w:pStyle w:val="Bulletlevel1"/>
              <w:tabs>
                <w:tab w:val="clear" w:pos="436"/>
                <w:tab w:val="num" w:pos="296"/>
              </w:tabs>
              <w:ind w:left="296" w:hanging="283"/>
            </w:pPr>
            <w:r w:rsidRPr="008C7781">
              <w:rPr>
                <w:szCs w:val="20"/>
              </w:rPr>
              <w:t>M</w:t>
            </w:r>
            <w:r w:rsidRPr="0023759E">
              <w:t>arin</w:t>
            </w:r>
            <w:r w:rsidRPr="007F0006">
              <w:t>e Radio Operator’s Certificate of Proficiency;</w:t>
            </w:r>
          </w:p>
          <w:p w14:paraId="2D91B048" w14:textId="77777777" w:rsidR="00D4749A" w:rsidRPr="007F0006" w:rsidRDefault="00D4749A" w:rsidP="0023759E">
            <w:pPr>
              <w:pStyle w:val="Bulletlevel1"/>
              <w:tabs>
                <w:tab w:val="clear" w:pos="436"/>
                <w:tab w:val="num" w:pos="296"/>
              </w:tabs>
              <w:ind w:left="296" w:hanging="283"/>
            </w:pPr>
            <w:r w:rsidRPr="007F0006">
              <w:t xml:space="preserve">Marine Radio Operator’s VHF Certificate of Proficiency; </w:t>
            </w:r>
          </w:p>
          <w:p w14:paraId="61CEF7D5" w14:textId="15DE616E" w:rsidR="00D4749A" w:rsidRPr="008C7781" w:rsidRDefault="00D4749A" w:rsidP="00CC3366">
            <w:pPr>
              <w:pStyle w:val="Bulletlevel1"/>
              <w:tabs>
                <w:tab w:val="clear" w:pos="436"/>
                <w:tab w:val="num" w:pos="296"/>
              </w:tabs>
              <w:spacing w:after="0"/>
              <w:ind w:left="296" w:hanging="283"/>
              <w:rPr>
                <w:szCs w:val="20"/>
              </w:rPr>
            </w:pPr>
            <w:r w:rsidRPr="007F0006">
              <w:t xml:space="preserve">Marine </w:t>
            </w:r>
            <w:r w:rsidRPr="008C7781">
              <w:rPr>
                <w:szCs w:val="20"/>
              </w:rPr>
              <w:t>Satellite Communications Certificate of Endorsement</w:t>
            </w:r>
            <w:r>
              <w:rPr>
                <w:szCs w:val="20"/>
              </w:rPr>
              <w:t>.</w:t>
            </w:r>
          </w:p>
        </w:tc>
        <w:tc>
          <w:tcPr>
            <w:tcW w:w="686" w:type="pct"/>
            <w:vMerge w:val="restart"/>
            <w:shd w:val="clear" w:color="auto" w:fill="auto"/>
            <w:vAlign w:val="center"/>
            <w:hideMark/>
          </w:tcPr>
          <w:p w14:paraId="5C069BF1" w14:textId="77777777" w:rsidR="00D4749A" w:rsidRPr="008C7781" w:rsidRDefault="00D4749A" w:rsidP="0094231A">
            <w:pPr>
              <w:spacing w:after="0" w:line="240" w:lineRule="auto"/>
              <w:contextualSpacing/>
              <w:jc w:val="right"/>
              <w:rPr>
                <w:rFonts w:cs="Arial"/>
                <w:szCs w:val="20"/>
              </w:rPr>
            </w:pPr>
            <w:r w:rsidRPr="008C7781">
              <w:rPr>
                <w:rFonts w:cs="Arial"/>
                <w:szCs w:val="20"/>
              </w:rPr>
              <w:t>$490.00</w:t>
            </w:r>
          </w:p>
        </w:tc>
      </w:tr>
      <w:tr w:rsidR="00D4749A" w:rsidRPr="008C7781" w14:paraId="7181B7FE" w14:textId="77777777" w:rsidTr="003E5A84">
        <w:trPr>
          <w:trHeight w:val="285"/>
        </w:trPr>
        <w:tc>
          <w:tcPr>
            <w:tcW w:w="195" w:type="pct"/>
            <w:vMerge/>
            <w:vAlign w:val="center"/>
            <w:hideMark/>
          </w:tcPr>
          <w:p w14:paraId="48ED67B8" w14:textId="77777777" w:rsidR="00D4749A" w:rsidRPr="008C7781" w:rsidRDefault="00D4749A" w:rsidP="006D0B51">
            <w:pPr>
              <w:spacing w:after="120" w:line="240" w:lineRule="auto"/>
              <w:contextualSpacing/>
              <w:rPr>
                <w:rFonts w:cs="Arial"/>
                <w:szCs w:val="20"/>
              </w:rPr>
            </w:pPr>
          </w:p>
        </w:tc>
        <w:tc>
          <w:tcPr>
            <w:tcW w:w="825" w:type="pct"/>
            <w:vMerge/>
            <w:vAlign w:val="center"/>
            <w:hideMark/>
          </w:tcPr>
          <w:p w14:paraId="56B0CAF2" w14:textId="77777777" w:rsidR="00D4749A" w:rsidRPr="005E1BCD" w:rsidRDefault="00D4749A" w:rsidP="006D0B51">
            <w:pPr>
              <w:spacing w:after="120" w:line="240" w:lineRule="auto"/>
              <w:contextualSpacing/>
              <w:rPr>
                <w:rFonts w:cs="Arial"/>
                <w:b/>
                <w:bCs/>
                <w:szCs w:val="20"/>
              </w:rPr>
            </w:pPr>
          </w:p>
        </w:tc>
        <w:tc>
          <w:tcPr>
            <w:tcW w:w="792" w:type="pct"/>
            <w:vMerge/>
            <w:vAlign w:val="center"/>
            <w:hideMark/>
          </w:tcPr>
          <w:p w14:paraId="57667C3B" w14:textId="77777777" w:rsidR="00D4749A" w:rsidRPr="00E05173" w:rsidRDefault="00D4749A" w:rsidP="006D0B51">
            <w:pPr>
              <w:spacing w:after="120" w:line="240" w:lineRule="auto"/>
              <w:contextualSpacing/>
              <w:rPr>
                <w:rFonts w:ascii="Calibri" w:hAnsi="Calibri" w:cs="Calibri"/>
                <w:sz w:val="22"/>
                <w:szCs w:val="22"/>
                <w:u w:val="single"/>
              </w:rPr>
            </w:pPr>
          </w:p>
        </w:tc>
        <w:tc>
          <w:tcPr>
            <w:tcW w:w="2502" w:type="pct"/>
            <w:vMerge/>
            <w:vAlign w:val="center"/>
            <w:hideMark/>
          </w:tcPr>
          <w:p w14:paraId="11B8C6DE" w14:textId="77777777" w:rsidR="00D4749A" w:rsidRPr="008C7781" w:rsidRDefault="00D4749A" w:rsidP="006D0B51">
            <w:pPr>
              <w:spacing w:after="120" w:line="240" w:lineRule="auto"/>
              <w:contextualSpacing/>
              <w:rPr>
                <w:rFonts w:cs="Arial"/>
                <w:szCs w:val="20"/>
              </w:rPr>
            </w:pPr>
          </w:p>
        </w:tc>
        <w:tc>
          <w:tcPr>
            <w:tcW w:w="686" w:type="pct"/>
            <w:vMerge/>
            <w:vAlign w:val="center"/>
            <w:hideMark/>
          </w:tcPr>
          <w:p w14:paraId="78B1E78B" w14:textId="77777777" w:rsidR="00D4749A" w:rsidRPr="008C7781" w:rsidRDefault="00D4749A" w:rsidP="006D0B51">
            <w:pPr>
              <w:spacing w:after="120" w:line="240" w:lineRule="auto"/>
              <w:contextualSpacing/>
              <w:jc w:val="right"/>
              <w:rPr>
                <w:rFonts w:cs="Arial"/>
                <w:szCs w:val="20"/>
              </w:rPr>
            </w:pPr>
          </w:p>
        </w:tc>
      </w:tr>
      <w:tr w:rsidR="00D4749A" w:rsidRPr="008C7781" w14:paraId="53F72CA9" w14:textId="77777777" w:rsidTr="003E5A84">
        <w:trPr>
          <w:trHeight w:val="230"/>
        </w:trPr>
        <w:tc>
          <w:tcPr>
            <w:tcW w:w="195" w:type="pct"/>
            <w:vMerge/>
            <w:vAlign w:val="center"/>
            <w:hideMark/>
          </w:tcPr>
          <w:p w14:paraId="187C8DF3" w14:textId="77777777" w:rsidR="00D4749A" w:rsidRPr="008C7781" w:rsidRDefault="00D4749A" w:rsidP="006D0B51">
            <w:pPr>
              <w:spacing w:after="120" w:line="240" w:lineRule="auto"/>
              <w:contextualSpacing/>
              <w:rPr>
                <w:rFonts w:cs="Arial"/>
                <w:szCs w:val="20"/>
              </w:rPr>
            </w:pPr>
          </w:p>
        </w:tc>
        <w:tc>
          <w:tcPr>
            <w:tcW w:w="825" w:type="pct"/>
            <w:vMerge/>
            <w:vAlign w:val="center"/>
            <w:hideMark/>
          </w:tcPr>
          <w:p w14:paraId="7D5E74B9" w14:textId="77777777" w:rsidR="00D4749A" w:rsidRPr="005E1BCD" w:rsidRDefault="00D4749A" w:rsidP="006D0B51">
            <w:pPr>
              <w:spacing w:after="120" w:line="240" w:lineRule="auto"/>
              <w:contextualSpacing/>
              <w:rPr>
                <w:rFonts w:cs="Arial"/>
                <w:b/>
                <w:bCs/>
                <w:szCs w:val="20"/>
              </w:rPr>
            </w:pPr>
          </w:p>
        </w:tc>
        <w:tc>
          <w:tcPr>
            <w:tcW w:w="792" w:type="pct"/>
            <w:vMerge/>
            <w:vAlign w:val="center"/>
            <w:hideMark/>
          </w:tcPr>
          <w:p w14:paraId="2BB0C80E" w14:textId="77777777" w:rsidR="00D4749A" w:rsidRPr="00E05173" w:rsidRDefault="00D4749A" w:rsidP="006D0B51">
            <w:pPr>
              <w:spacing w:after="120" w:line="240" w:lineRule="auto"/>
              <w:contextualSpacing/>
              <w:rPr>
                <w:rFonts w:ascii="Calibri" w:hAnsi="Calibri" w:cs="Calibri"/>
                <w:sz w:val="22"/>
                <w:szCs w:val="22"/>
                <w:u w:val="single"/>
              </w:rPr>
            </w:pPr>
          </w:p>
        </w:tc>
        <w:tc>
          <w:tcPr>
            <w:tcW w:w="2502" w:type="pct"/>
            <w:vMerge/>
            <w:vAlign w:val="center"/>
            <w:hideMark/>
          </w:tcPr>
          <w:p w14:paraId="37F79BD3" w14:textId="77777777" w:rsidR="00D4749A" w:rsidRPr="008C7781" w:rsidRDefault="00D4749A" w:rsidP="006D0B51">
            <w:pPr>
              <w:spacing w:after="120" w:line="240" w:lineRule="auto"/>
              <w:contextualSpacing/>
              <w:rPr>
                <w:rFonts w:cs="Arial"/>
                <w:szCs w:val="20"/>
              </w:rPr>
            </w:pPr>
          </w:p>
        </w:tc>
        <w:tc>
          <w:tcPr>
            <w:tcW w:w="686" w:type="pct"/>
            <w:vMerge/>
            <w:vAlign w:val="center"/>
            <w:hideMark/>
          </w:tcPr>
          <w:p w14:paraId="3121C638" w14:textId="77777777" w:rsidR="00D4749A" w:rsidRPr="008C7781" w:rsidRDefault="00D4749A" w:rsidP="006D0B51">
            <w:pPr>
              <w:spacing w:after="120" w:line="240" w:lineRule="auto"/>
              <w:contextualSpacing/>
              <w:jc w:val="right"/>
              <w:rPr>
                <w:rFonts w:cs="Arial"/>
                <w:szCs w:val="20"/>
              </w:rPr>
            </w:pPr>
          </w:p>
        </w:tc>
      </w:tr>
      <w:tr w:rsidR="00D4749A" w:rsidRPr="008C7781" w14:paraId="73AF0456" w14:textId="77777777" w:rsidTr="003E5A84">
        <w:trPr>
          <w:trHeight w:val="1025"/>
        </w:trPr>
        <w:tc>
          <w:tcPr>
            <w:tcW w:w="195" w:type="pct"/>
            <w:shd w:val="clear" w:color="auto" w:fill="auto"/>
            <w:vAlign w:val="center"/>
            <w:hideMark/>
          </w:tcPr>
          <w:p w14:paraId="68E413A3" w14:textId="77777777" w:rsidR="00D4749A" w:rsidRPr="008C7781" w:rsidRDefault="00D4749A" w:rsidP="006D0B51">
            <w:pPr>
              <w:spacing w:after="120" w:line="240" w:lineRule="auto"/>
              <w:contextualSpacing/>
              <w:rPr>
                <w:rFonts w:cs="Arial"/>
                <w:szCs w:val="20"/>
              </w:rPr>
            </w:pPr>
            <w:r w:rsidRPr="008C7781">
              <w:rPr>
                <w:rFonts w:cs="Arial"/>
                <w:szCs w:val="20"/>
              </w:rPr>
              <w:t>7</w:t>
            </w:r>
          </w:p>
        </w:tc>
        <w:tc>
          <w:tcPr>
            <w:tcW w:w="825" w:type="pct"/>
            <w:vMerge w:val="restart"/>
            <w:shd w:val="clear" w:color="auto" w:fill="auto"/>
            <w:vAlign w:val="center"/>
            <w:hideMark/>
          </w:tcPr>
          <w:p w14:paraId="10D241EA" w14:textId="77777777" w:rsidR="00D4749A" w:rsidRPr="005E1BCD" w:rsidRDefault="00D4749A" w:rsidP="006D0B51">
            <w:pPr>
              <w:spacing w:after="120" w:line="240" w:lineRule="auto"/>
              <w:contextualSpacing/>
              <w:rPr>
                <w:rFonts w:cs="Arial"/>
                <w:b/>
                <w:bCs/>
                <w:szCs w:val="20"/>
              </w:rPr>
            </w:pPr>
            <w:r w:rsidRPr="005E1BCD">
              <w:rPr>
                <w:rFonts w:cs="Arial"/>
                <w:b/>
                <w:bCs/>
                <w:szCs w:val="20"/>
              </w:rPr>
              <w:t>Satellite filing and coordination</w:t>
            </w:r>
          </w:p>
        </w:tc>
        <w:tc>
          <w:tcPr>
            <w:tcW w:w="792" w:type="pct"/>
            <w:shd w:val="clear" w:color="auto" w:fill="auto"/>
            <w:vAlign w:val="center"/>
            <w:hideMark/>
          </w:tcPr>
          <w:p w14:paraId="6D375E7C" w14:textId="0553D0B0" w:rsidR="00D4749A" w:rsidRPr="00E05173" w:rsidRDefault="00107493" w:rsidP="006D0B51">
            <w:pPr>
              <w:spacing w:after="120" w:line="240" w:lineRule="auto"/>
              <w:contextualSpacing/>
              <w:rPr>
                <w:rFonts w:ascii="Calibri" w:hAnsi="Calibri" w:cs="Calibri"/>
                <w:sz w:val="22"/>
                <w:szCs w:val="22"/>
                <w:u w:val="single"/>
              </w:rPr>
            </w:pPr>
            <w:hyperlink r:id="rId38" w:anchor="RANGE!D11" w:history="1">
              <w:r w:rsidR="00D4749A" w:rsidRPr="00E05173">
                <w:t>Sch 1 Part 6 Table 1 (item 6.1.2)</w:t>
              </w:r>
            </w:hyperlink>
          </w:p>
        </w:tc>
        <w:tc>
          <w:tcPr>
            <w:tcW w:w="2502" w:type="pct"/>
            <w:shd w:val="clear" w:color="auto" w:fill="auto"/>
            <w:vAlign w:val="center"/>
            <w:hideMark/>
          </w:tcPr>
          <w:p w14:paraId="0030A8E5" w14:textId="1C9FD0FB" w:rsidR="00D4749A" w:rsidRPr="008C7781" w:rsidRDefault="00D4749A" w:rsidP="006D0B51">
            <w:pPr>
              <w:spacing w:after="120" w:line="240" w:lineRule="auto"/>
              <w:contextualSpacing/>
              <w:rPr>
                <w:rFonts w:cs="Arial"/>
                <w:szCs w:val="20"/>
              </w:rPr>
            </w:pPr>
            <w:r w:rsidRPr="008C7781">
              <w:rPr>
                <w:rFonts w:cs="Arial"/>
                <w:szCs w:val="20"/>
              </w:rPr>
              <w:t xml:space="preserve">Satellite filing application – completion of satellite filing assessment (including all work done after the initial assessment of the application and up to when the ACMA </w:t>
            </w:r>
            <w:proofErr w:type="gramStart"/>
            <w:r w:rsidRPr="008C7781">
              <w:rPr>
                <w:rFonts w:cs="Arial"/>
                <w:szCs w:val="20"/>
              </w:rPr>
              <w:t>makes a decision</w:t>
            </w:r>
            <w:proofErr w:type="gramEnd"/>
            <w:r w:rsidRPr="008C7781">
              <w:rPr>
                <w:rFonts w:cs="Arial"/>
                <w:szCs w:val="20"/>
              </w:rPr>
              <w:t xml:space="preserve"> on whether or not to file the application with the ITU) – where Australia has not previously filed a satellite system with the ITU for the applicant</w:t>
            </w:r>
            <w:r>
              <w:rPr>
                <w:rFonts w:cs="Arial"/>
                <w:szCs w:val="20"/>
              </w:rPr>
              <w:t>.</w:t>
            </w:r>
          </w:p>
        </w:tc>
        <w:tc>
          <w:tcPr>
            <w:tcW w:w="686" w:type="pct"/>
            <w:shd w:val="clear" w:color="auto" w:fill="auto"/>
            <w:vAlign w:val="center"/>
            <w:hideMark/>
          </w:tcPr>
          <w:p w14:paraId="65CC17C1" w14:textId="3A20EC80" w:rsidR="00D4749A" w:rsidRPr="008C7781" w:rsidRDefault="00D4749A" w:rsidP="006D0B51">
            <w:pPr>
              <w:spacing w:after="120" w:line="240" w:lineRule="auto"/>
              <w:contextualSpacing/>
              <w:jc w:val="right"/>
              <w:rPr>
                <w:rFonts w:cs="Arial"/>
                <w:szCs w:val="20"/>
              </w:rPr>
            </w:pPr>
            <w:r w:rsidRPr="008C7781">
              <w:rPr>
                <w:rFonts w:cs="Arial"/>
                <w:szCs w:val="20"/>
              </w:rPr>
              <w:t xml:space="preserve">Hourly </w:t>
            </w:r>
            <w:r>
              <w:rPr>
                <w:rFonts w:cs="Arial"/>
                <w:szCs w:val="20"/>
              </w:rPr>
              <w:t>r</w:t>
            </w:r>
            <w:r w:rsidRPr="008C7781">
              <w:rPr>
                <w:rFonts w:cs="Arial"/>
                <w:szCs w:val="20"/>
              </w:rPr>
              <w:t>ate</w:t>
            </w:r>
          </w:p>
        </w:tc>
      </w:tr>
      <w:tr w:rsidR="00D4749A" w:rsidRPr="008C7781" w14:paraId="2FB2F3C5" w14:textId="77777777" w:rsidTr="003E5A84">
        <w:trPr>
          <w:trHeight w:val="1161"/>
        </w:trPr>
        <w:tc>
          <w:tcPr>
            <w:tcW w:w="195" w:type="pct"/>
            <w:shd w:val="clear" w:color="auto" w:fill="auto"/>
            <w:vAlign w:val="center"/>
            <w:hideMark/>
          </w:tcPr>
          <w:p w14:paraId="1C46581F" w14:textId="77777777" w:rsidR="00D4749A" w:rsidRPr="008C7781" w:rsidRDefault="00D4749A" w:rsidP="006D0B51">
            <w:pPr>
              <w:spacing w:after="120" w:line="240" w:lineRule="auto"/>
              <w:contextualSpacing/>
              <w:rPr>
                <w:rFonts w:cs="Arial"/>
                <w:szCs w:val="20"/>
              </w:rPr>
            </w:pPr>
            <w:r w:rsidRPr="008C7781">
              <w:rPr>
                <w:rFonts w:cs="Arial"/>
                <w:szCs w:val="20"/>
              </w:rPr>
              <w:t>8</w:t>
            </w:r>
          </w:p>
        </w:tc>
        <w:tc>
          <w:tcPr>
            <w:tcW w:w="825" w:type="pct"/>
            <w:vMerge/>
            <w:vAlign w:val="center"/>
            <w:hideMark/>
          </w:tcPr>
          <w:p w14:paraId="51AF60EC"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50261866" w14:textId="7B79AB81" w:rsidR="00D4749A" w:rsidRPr="00E05173" w:rsidRDefault="00107493" w:rsidP="006D0B51">
            <w:pPr>
              <w:spacing w:after="120" w:line="240" w:lineRule="auto"/>
              <w:contextualSpacing/>
              <w:rPr>
                <w:rFonts w:ascii="Calibri" w:hAnsi="Calibri" w:cs="Calibri"/>
                <w:sz w:val="22"/>
                <w:szCs w:val="22"/>
                <w:u w:val="single"/>
              </w:rPr>
            </w:pPr>
            <w:hyperlink r:id="rId39" w:anchor="RANGE!D28" w:history="1">
              <w:r w:rsidR="00D4749A" w:rsidRPr="00E05173">
                <w:t>Sch 1 Part 6 Table 1 (Item 6.1.3)</w:t>
              </w:r>
            </w:hyperlink>
          </w:p>
        </w:tc>
        <w:tc>
          <w:tcPr>
            <w:tcW w:w="2502" w:type="pct"/>
            <w:shd w:val="clear" w:color="auto" w:fill="auto"/>
            <w:vAlign w:val="center"/>
            <w:hideMark/>
          </w:tcPr>
          <w:p w14:paraId="6082D2A6" w14:textId="1C1DB0A3" w:rsidR="00D4749A" w:rsidRPr="008C7781" w:rsidRDefault="00D4749A" w:rsidP="006D0B51">
            <w:pPr>
              <w:spacing w:after="120" w:line="240" w:lineRule="auto"/>
              <w:contextualSpacing/>
              <w:rPr>
                <w:rFonts w:cs="Arial"/>
                <w:szCs w:val="20"/>
              </w:rPr>
            </w:pPr>
            <w:r w:rsidRPr="008C7781">
              <w:rPr>
                <w:rFonts w:cs="Arial"/>
                <w:szCs w:val="20"/>
              </w:rPr>
              <w:t xml:space="preserve">Assessing an application to file a satellite system with the ITU, consisting of work done during the period commencing upon receipt by the ACMA of an application to file a satellite system with the ITU and ending when the ACMA </w:t>
            </w:r>
            <w:proofErr w:type="gramStart"/>
            <w:r w:rsidRPr="008C7781">
              <w:rPr>
                <w:rFonts w:cs="Arial"/>
                <w:szCs w:val="20"/>
              </w:rPr>
              <w:t>makes a decision</w:t>
            </w:r>
            <w:proofErr w:type="gramEnd"/>
            <w:r w:rsidRPr="008C7781">
              <w:rPr>
                <w:rFonts w:cs="Arial"/>
                <w:szCs w:val="20"/>
              </w:rPr>
              <w:t xml:space="preserve"> on whether or not to file the application – where Australia has previously filed a satellite system with the ITU for the applicant</w:t>
            </w:r>
            <w:r>
              <w:rPr>
                <w:rFonts w:cs="Arial"/>
                <w:szCs w:val="20"/>
              </w:rPr>
              <w:t>.</w:t>
            </w:r>
          </w:p>
        </w:tc>
        <w:tc>
          <w:tcPr>
            <w:tcW w:w="686" w:type="pct"/>
            <w:shd w:val="clear" w:color="auto" w:fill="auto"/>
            <w:vAlign w:val="center"/>
            <w:hideMark/>
          </w:tcPr>
          <w:p w14:paraId="15D82318" w14:textId="3A0E114A" w:rsidR="00D4749A" w:rsidRPr="008C7781" w:rsidRDefault="00D4749A" w:rsidP="006D0B51">
            <w:pPr>
              <w:spacing w:after="120" w:line="240" w:lineRule="auto"/>
              <w:contextualSpacing/>
              <w:jc w:val="right"/>
              <w:rPr>
                <w:rFonts w:cs="Arial"/>
                <w:szCs w:val="20"/>
              </w:rPr>
            </w:pPr>
            <w:r w:rsidRPr="008C7781">
              <w:rPr>
                <w:rFonts w:cs="Arial"/>
                <w:szCs w:val="20"/>
              </w:rPr>
              <w:t>Hourly rate</w:t>
            </w:r>
          </w:p>
        </w:tc>
      </w:tr>
      <w:tr w:rsidR="00D4749A" w:rsidRPr="008C7781" w14:paraId="7AFE3315" w14:textId="77777777" w:rsidTr="003E5A84">
        <w:trPr>
          <w:trHeight w:val="733"/>
        </w:trPr>
        <w:tc>
          <w:tcPr>
            <w:tcW w:w="195" w:type="pct"/>
            <w:shd w:val="clear" w:color="auto" w:fill="auto"/>
            <w:vAlign w:val="center"/>
            <w:hideMark/>
          </w:tcPr>
          <w:p w14:paraId="7F3E9C10" w14:textId="77777777" w:rsidR="00D4749A" w:rsidRPr="008C7781" w:rsidRDefault="00D4749A" w:rsidP="006D0B51">
            <w:pPr>
              <w:spacing w:after="120" w:line="240" w:lineRule="auto"/>
              <w:contextualSpacing/>
              <w:rPr>
                <w:rFonts w:cs="Arial"/>
                <w:szCs w:val="20"/>
              </w:rPr>
            </w:pPr>
            <w:r w:rsidRPr="008C7781">
              <w:rPr>
                <w:rFonts w:cs="Arial"/>
                <w:szCs w:val="20"/>
              </w:rPr>
              <w:t>9</w:t>
            </w:r>
          </w:p>
        </w:tc>
        <w:tc>
          <w:tcPr>
            <w:tcW w:w="825" w:type="pct"/>
            <w:vMerge/>
            <w:vAlign w:val="center"/>
            <w:hideMark/>
          </w:tcPr>
          <w:p w14:paraId="1FF6074D"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3C82E79E" w14:textId="05B55D37" w:rsidR="00D4749A" w:rsidRPr="00E05173" w:rsidRDefault="00107493" w:rsidP="006D0B51">
            <w:pPr>
              <w:spacing w:after="120" w:line="240" w:lineRule="auto"/>
              <w:contextualSpacing/>
              <w:rPr>
                <w:rFonts w:ascii="Calibri" w:hAnsi="Calibri" w:cs="Calibri"/>
                <w:sz w:val="22"/>
                <w:szCs w:val="22"/>
                <w:u w:val="single"/>
              </w:rPr>
            </w:pPr>
            <w:hyperlink r:id="rId40" w:anchor="RANGE!D43" w:history="1">
              <w:r w:rsidR="00D4749A" w:rsidRPr="00E05173">
                <w:t>Sch 1 Part 6 Table 1 (Item 6.1.4)</w:t>
              </w:r>
            </w:hyperlink>
          </w:p>
        </w:tc>
        <w:tc>
          <w:tcPr>
            <w:tcW w:w="2502" w:type="pct"/>
            <w:shd w:val="clear" w:color="auto" w:fill="auto"/>
            <w:vAlign w:val="center"/>
            <w:hideMark/>
          </w:tcPr>
          <w:p w14:paraId="04FC7FA7" w14:textId="57D76CD6" w:rsidR="00D4749A" w:rsidRPr="008C7781" w:rsidRDefault="00D4749A" w:rsidP="006D0B51">
            <w:pPr>
              <w:spacing w:after="120" w:line="240" w:lineRule="auto"/>
              <w:contextualSpacing/>
              <w:rPr>
                <w:rFonts w:cs="Arial"/>
                <w:szCs w:val="20"/>
              </w:rPr>
            </w:pPr>
            <w:r w:rsidRPr="008C7781">
              <w:rPr>
                <w:rFonts w:cs="Arial"/>
                <w:szCs w:val="20"/>
              </w:rPr>
              <w:t xml:space="preserve">Satellite system support work: work undertaken by the ACMA in support of </w:t>
            </w:r>
            <w:r w:rsidRPr="008C7781" w:rsidDel="00804F3A">
              <w:rPr>
                <w:rFonts w:cs="Arial"/>
                <w:szCs w:val="20"/>
              </w:rPr>
              <w:t xml:space="preserve">existing or proposed </w:t>
            </w:r>
            <w:r w:rsidRPr="008C7781">
              <w:rPr>
                <w:rFonts w:cs="Arial"/>
                <w:szCs w:val="20"/>
              </w:rPr>
              <w:t>Australian satellite systems (excluding any work done under items 6.1.1, 6.1.2 or 6.1.3)</w:t>
            </w:r>
            <w:r>
              <w:rPr>
                <w:rFonts w:cs="Arial"/>
                <w:szCs w:val="20"/>
              </w:rPr>
              <w:t>.</w:t>
            </w:r>
          </w:p>
        </w:tc>
        <w:tc>
          <w:tcPr>
            <w:tcW w:w="686" w:type="pct"/>
            <w:shd w:val="clear" w:color="auto" w:fill="auto"/>
            <w:vAlign w:val="center"/>
            <w:hideMark/>
          </w:tcPr>
          <w:p w14:paraId="65B9E8AE" w14:textId="48BA26F0" w:rsidR="00D4749A" w:rsidRPr="008C7781" w:rsidRDefault="00D4749A" w:rsidP="006D0B51">
            <w:pPr>
              <w:spacing w:after="120" w:line="240" w:lineRule="auto"/>
              <w:contextualSpacing/>
              <w:jc w:val="right"/>
              <w:rPr>
                <w:rFonts w:cs="Arial"/>
                <w:szCs w:val="20"/>
              </w:rPr>
            </w:pPr>
            <w:r w:rsidRPr="008C7781">
              <w:rPr>
                <w:rFonts w:cs="Arial"/>
                <w:szCs w:val="20"/>
              </w:rPr>
              <w:t>Hourly rate</w:t>
            </w:r>
          </w:p>
        </w:tc>
      </w:tr>
      <w:tr w:rsidR="00D4749A" w:rsidRPr="008C7781" w14:paraId="7189CEC4" w14:textId="77777777" w:rsidTr="003E5A84">
        <w:trPr>
          <w:trHeight w:val="879"/>
        </w:trPr>
        <w:tc>
          <w:tcPr>
            <w:tcW w:w="195" w:type="pct"/>
            <w:shd w:val="clear" w:color="auto" w:fill="auto"/>
            <w:vAlign w:val="center"/>
            <w:hideMark/>
          </w:tcPr>
          <w:p w14:paraId="04FAB48E" w14:textId="77777777" w:rsidR="00D4749A" w:rsidRPr="008C7781" w:rsidRDefault="00D4749A" w:rsidP="006D0B51">
            <w:pPr>
              <w:spacing w:after="120" w:line="240" w:lineRule="auto"/>
              <w:contextualSpacing/>
              <w:rPr>
                <w:rFonts w:cs="Arial"/>
                <w:szCs w:val="20"/>
              </w:rPr>
            </w:pPr>
            <w:r w:rsidRPr="008C7781">
              <w:rPr>
                <w:rFonts w:cs="Arial"/>
                <w:szCs w:val="20"/>
              </w:rPr>
              <w:t>10</w:t>
            </w:r>
          </w:p>
        </w:tc>
        <w:tc>
          <w:tcPr>
            <w:tcW w:w="825" w:type="pct"/>
            <w:vMerge/>
            <w:vAlign w:val="center"/>
            <w:hideMark/>
          </w:tcPr>
          <w:p w14:paraId="20ED4BE2"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4A84DB97" w14:textId="19C5C972" w:rsidR="00D4749A" w:rsidRPr="00E05173" w:rsidRDefault="00107493" w:rsidP="002B08E1">
            <w:pPr>
              <w:spacing w:after="0" w:line="240" w:lineRule="auto"/>
              <w:contextualSpacing/>
              <w:rPr>
                <w:rFonts w:ascii="Calibri" w:hAnsi="Calibri" w:cs="Calibri"/>
                <w:sz w:val="22"/>
                <w:szCs w:val="22"/>
                <w:u w:val="single"/>
              </w:rPr>
            </w:pPr>
            <w:hyperlink r:id="rId41" w:anchor="RANGE!D2" w:history="1">
              <w:r w:rsidR="00D4749A" w:rsidRPr="00E05173">
                <w:t>Sch 1 Part 6 Table 1 (Item 6.1.1)</w:t>
              </w:r>
            </w:hyperlink>
          </w:p>
        </w:tc>
        <w:tc>
          <w:tcPr>
            <w:tcW w:w="2502" w:type="pct"/>
            <w:shd w:val="clear" w:color="auto" w:fill="auto"/>
            <w:vAlign w:val="center"/>
            <w:hideMark/>
          </w:tcPr>
          <w:p w14:paraId="65E91C6D" w14:textId="2874A3F9" w:rsidR="00D4749A" w:rsidRPr="008C7781" w:rsidRDefault="00D4749A" w:rsidP="0094231A">
            <w:pPr>
              <w:spacing w:after="0" w:line="240" w:lineRule="auto"/>
              <w:contextualSpacing/>
              <w:rPr>
                <w:rFonts w:cs="Arial"/>
                <w:szCs w:val="20"/>
              </w:rPr>
            </w:pPr>
            <w:r w:rsidRPr="008C7781">
              <w:rPr>
                <w:rFonts w:cs="Arial"/>
                <w:szCs w:val="20"/>
              </w:rPr>
              <w:t>Satellite filing application – initial assessment and consultation with applicant in relation to an application to file a satellite system with the ITU – where Australia has not previously filed a satellite system with the ITU for the applicant</w:t>
            </w:r>
            <w:r>
              <w:rPr>
                <w:rFonts w:cs="Arial"/>
                <w:szCs w:val="20"/>
              </w:rPr>
              <w:t>.</w:t>
            </w:r>
          </w:p>
        </w:tc>
        <w:tc>
          <w:tcPr>
            <w:tcW w:w="686" w:type="pct"/>
            <w:shd w:val="clear" w:color="auto" w:fill="auto"/>
            <w:vAlign w:val="center"/>
            <w:hideMark/>
          </w:tcPr>
          <w:p w14:paraId="3AF46301" w14:textId="77777777" w:rsidR="00D4749A" w:rsidRPr="008C7781" w:rsidRDefault="00D4749A" w:rsidP="0094231A">
            <w:pPr>
              <w:spacing w:after="0" w:line="240" w:lineRule="auto"/>
              <w:contextualSpacing/>
              <w:jc w:val="right"/>
              <w:rPr>
                <w:rFonts w:cs="Arial"/>
                <w:szCs w:val="20"/>
              </w:rPr>
            </w:pPr>
            <w:r w:rsidRPr="008C7781">
              <w:rPr>
                <w:rFonts w:cs="Arial"/>
                <w:szCs w:val="20"/>
              </w:rPr>
              <w:t>$1,130.00</w:t>
            </w:r>
          </w:p>
        </w:tc>
      </w:tr>
      <w:tr w:rsidR="00D4749A" w:rsidRPr="008C7781" w14:paraId="6DA76949" w14:textId="77777777" w:rsidTr="003E5A84">
        <w:trPr>
          <w:trHeight w:val="1130"/>
        </w:trPr>
        <w:tc>
          <w:tcPr>
            <w:tcW w:w="195" w:type="pct"/>
            <w:shd w:val="clear" w:color="auto" w:fill="auto"/>
            <w:vAlign w:val="center"/>
            <w:hideMark/>
          </w:tcPr>
          <w:p w14:paraId="4ECE2944" w14:textId="77777777" w:rsidR="00D4749A" w:rsidRPr="008C7781" w:rsidRDefault="00D4749A" w:rsidP="006D0B51">
            <w:pPr>
              <w:spacing w:after="120" w:line="240" w:lineRule="auto"/>
              <w:contextualSpacing/>
              <w:rPr>
                <w:rFonts w:cs="Arial"/>
                <w:szCs w:val="20"/>
              </w:rPr>
            </w:pPr>
            <w:r w:rsidRPr="008C7781">
              <w:rPr>
                <w:rFonts w:cs="Arial"/>
                <w:szCs w:val="20"/>
              </w:rPr>
              <w:t>11</w:t>
            </w:r>
          </w:p>
        </w:tc>
        <w:tc>
          <w:tcPr>
            <w:tcW w:w="825" w:type="pct"/>
            <w:vMerge w:val="restart"/>
            <w:shd w:val="clear" w:color="auto" w:fill="auto"/>
            <w:vAlign w:val="center"/>
            <w:hideMark/>
          </w:tcPr>
          <w:p w14:paraId="5611FD7A" w14:textId="77777777" w:rsidR="00D4749A" w:rsidRPr="005E1BCD" w:rsidRDefault="00D4749A" w:rsidP="006D0B51">
            <w:pPr>
              <w:spacing w:after="120" w:line="240" w:lineRule="auto"/>
              <w:contextualSpacing/>
              <w:rPr>
                <w:rFonts w:cs="Arial"/>
                <w:b/>
                <w:bCs/>
                <w:szCs w:val="20"/>
              </w:rPr>
            </w:pPr>
            <w:r w:rsidRPr="005E1BCD">
              <w:rPr>
                <w:rFonts w:cs="Arial"/>
                <w:b/>
                <w:bCs/>
                <w:szCs w:val="20"/>
              </w:rPr>
              <w:t>Assigned licences</w:t>
            </w:r>
            <w:r w:rsidRPr="008C7781">
              <w:rPr>
                <w:rFonts w:cs="Arial"/>
                <w:szCs w:val="20"/>
              </w:rPr>
              <w:t> </w:t>
            </w:r>
          </w:p>
        </w:tc>
        <w:tc>
          <w:tcPr>
            <w:tcW w:w="792" w:type="pct"/>
            <w:shd w:val="clear" w:color="auto" w:fill="auto"/>
            <w:vAlign w:val="center"/>
            <w:hideMark/>
          </w:tcPr>
          <w:p w14:paraId="0B36211E" w14:textId="53CDD24F" w:rsidR="00D4749A" w:rsidRPr="00E05173" w:rsidRDefault="00107493" w:rsidP="002B08E1">
            <w:pPr>
              <w:spacing w:after="0" w:line="240" w:lineRule="auto"/>
              <w:contextualSpacing/>
              <w:rPr>
                <w:rFonts w:ascii="Calibri" w:hAnsi="Calibri" w:cs="Calibri"/>
                <w:sz w:val="22"/>
                <w:szCs w:val="22"/>
                <w:u w:val="single"/>
              </w:rPr>
            </w:pPr>
            <w:hyperlink r:id="rId42" w:anchor="RANGE!D2" w:history="1">
              <w:r w:rsidR="00D4749A" w:rsidRPr="00E05173">
                <w:t>Sch 1 Part 2 Table 2 (Item 2.2.7 (a))</w:t>
              </w:r>
            </w:hyperlink>
          </w:p>
        </w:tc>
        <w:tc>
          <w:tcPr>
            <w:tcW w:w="2502" w:type="pct"/>
            <w:shd w:val="clear" w:color="auto" w:fill="auto"/>
            <w:vAlign w:val="center"/>
            <w:hideMark/>
          </w:tcPr>
          <w:p w14:paraId="0710AD71" w14:textId="77777777" w:rsidR="00D4749A" w:rsidRDefault="00D4749A" w:rsidP="002137C1">
            <w:pPr>
              <w:pStyle w:val="Paragraphbeforelist"/>
              <w:spacing w:line="240" w:lineRule="auto"/>
              <w:contextualSpacing/>
            </w:pPr>
            <w:r w:rsidRPr="008C7781">
              <w:t xml:space="preserve">Considering each frequency assignment requested in an application under section 99 of the Radiocommunications Act for the issue of any of the following licences, where the application is not accompanied by a frequency assignment certificate issued by an accredited person: </w:t>
            </w:r>
          </w:p>
          <w:p w14:paraId="36A12FAD" w14:textId="1DC358AF" w:rsidR="00D4749A" w:rsidRPr="008C7781" w:rsidRDefault="00D4749A" w:rsidP="002B08E1">
            <w:pPr>
              <w:pStyle w:val="Bulletlevel1"/>
              <w:numPr>
                <w:ilvl w:val="0"/>
                <w:numId w:val="0"/>
              </w:numPr>
              <w:spacing w:after="0" w:line="240" w:lineRule="auto"/>
              <w:contextualSpacing/>
            </w:pPr>
            <w:r w:rsidRPr="008C7781">
              <w:t>(a) aeronautical licence (aeronautical assigned system station)</w:t>
            </w:r>
            <w:r>
              <w:t>.</w:t>
            </w:r>
          </w:p>
        </w:tc>
        <w:tc>
          <w:tcPr>
            <w:tcW w:w="686" w:type="pct"/>
            <w:shd w:val="clear" w:color="auto" w:fill="auto"/>
            <w:vAlign w:val="center"/>
            <w:hideMark/>
          </w:tcPr>
          <w:p w14:paraId="60AEC707" w14:textId="77777777" w:rsidR="00D4749A" w:rsidRPr="008C7781" w:rsidRDefault="00D4749A" w:rsidP="002B08E1">
            <w:pPr>
              <w:spacing w:after="0" w:line="240" w:lineRule="auto"/>
              <w:contextualSpacing/>
              <w:jc w:val="right"/>
              <w:rPr>
                <w:rFonts w:cs="Arial"/>
                <w:szCs w:val="20"/>
              </w:rPr>
            </w:pPr>
            <w:r w:rsidRPr="008C7781">
              <w:rPr>
                <w:rFonts w:cs="Arial"/>
                <w:szCs w:val="20"/>
              </w:rPr>
              <w:t>$500.00 per spectrum access</w:t>
            </w:r>
          </w:p>
        </w:tc>
      </w:tr>
      <w:tr w:rsidR="00D4749A" w:rsidRPr="008C7781" w14:paraId="6CA34C5A" w14:textId="77777777" w:rsidTr="003E5A84">
        <w:trPr>
          <w:trHeight w:val="939"/>
        </w:trPr>
        <w:tc>
          <w:tcPr>
            <w:tcW w:w="195" w:type="pct"/>
            <w:shd w:val="clear" w:color="auto" w:fill="auto"/>
            <w:vAlign w:val="center"/>
            <w:hideMark/>
          </w:tcPr>
          <w:p w14:paraId="4A7EF98C"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12</w:t>
            </w:r>
          </w:p>
        </w:tc>
        <w:tc>
          <w:tcPr>
            <w:tcW w:w="825" w:type="pct"/>
            <w:vMerge/>
            <w:vAlign w:val="center"/>
            <w:hideMark/>
          </w:tcPr>
          <w:p w14:paraId="04385C96"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0144891D" w14:textId="1A0A0DDF" w:rsidR="00D4749A" w:rsidRPr="00E05173" w:rsidRDefault="00107493" w:rsidP="002B08E1">
            <w:pPr>
              <w:spacing w:after="0" w:line="240" w:lineRule="auto"/>
              <w:contextualSpacing/>
              <w:rPr>
                <w:rFonts w:ascii="Calibri" w:hAnsi="Calibri" w:cs="Calibri"/>
                <w:sz w:val="22"/>
                <w:szCs w:val="22"/>
                <w:u w:val="single"/>
              </w:rPr>
            </w:pPr>
            <w:hyperlink r:id="rId43" w:anchor="RANGE!E276" w:history="1">
              <w:r w:rsidR="00D4749A" w:rsidRPr="00E05173">
                <w:t>Sch 1 Part 2 Table 2 (Item 2.2.16)</w:t>
              </w:r>
            </w:hyperlink>
          </w:p>
        </w:tc>
        <w:tc>
          <w:tcPr>
            <w:tcW w:w="2502" w:type="pct"/>
            <w:shd w:val="clear" w:color="auto" w:fill="auto"/>
            <w:vAlign w:val="center"/>
            <w:hideMark/>
          </w:tcPr>
          <w:p w14:paraId="3D4CCDDD" w14:textId="77777777" w:rsidR="00D4749A" w:rsidRPr="008C7781" w:rsidRDefault="00D4749A" w:rsidP="006D0B51">
            <w:pPr>
              <w:spacing w:after="120" w:line="240" w:lineRule="auto"/>
              <w:contextualSpacing/>
              <w:rPr>
                <w:rFonts w:cs="Arial"/>
                <w:szCs w:val="20"/>
              </w:rPr>
            </w:pPr>
            <w:r w:rsidRPr="008C7781">
              <w:rPr>
                <w:rFonts w:cs="Arial"/>
                <w:szCs w:val="20"/>
              </w:rPr>
              <w:t>Considering an application under section 99 of the Radiocommunications Act for the issue of an aircraft licence (aircraft assigned station), and issuing it (if applicable), where the application is not accompanied by a frequency assignment certificate issued by an accredited person.</w:t>
            </w:r>
          </w:p>
        </w:tc>
        <w:tc>
          <w:tcPr>
            <w:tcW w:w="686" w:type="pct"/>
            <w:shd w:val="clear" w:color="auto" w:fill="auto"/>
            <w:vAlign w:val="center"/>
            <w:hideMark/>
          </w:tcPr>
          <w:p w14:paraId="46827732" w14:textId="77777777" w:rsidR="00D4749A" w:rsidRPr="008C7781" w:rsidRDefault="00D4749A" w:rsidP="006D0B51">
            <w:pPr>
              <w:spacing w:after="120" w:line="240" w:lineRule="auto"/>
              <w:contextualSpacing/>
              <w:jc w:val="right"/>
              <w:rPr>
                <w:rFonts w:cs="Arial"/>
                <w:szCs w:val="20"/>
              </w:rPr>
            </w:pPr>
            <w:r w:rsidRPr="008C7781">
              <w:rPr>
                <w:rFonts w:cs="Arial"/>
                <w:szCs w:val="20"/>
              </w:rPr>
              <w:t>$500.00 per licence</w:t>
            </w:r>
          </w:p>
        </w:tc>
      </w:tr>
      <w:tr w:rsidR="00D4749A" w:rsidRPr="008C7781" w14:paraId="62D0C118" w14:textId="77777777" w:rsidTr="003E5A84">
        <w:trPr>
          <w:trHeight w:val="285"/>
        </w:trPr>
        <w:tc>
          <w:tcPr>
            <w:tcW w:w="195" w:type="pct"/>
            <w:vMerge w:val="restart"/>
            <w:shd w:val="clear" w:color="auto" w:fill="auto"/>
            <w:vAlign w:val="center"/>
            <w:hideMark/>
          </w:tcPr>
          <w:p w14:paraId="4FB51AEC" w14:textId="77777777" w:rsidR="00D4749A" w:rsidRPr="008C7781" w:rsidRDefault="00D4749A" w:rsidP="006D0B51">
            <w:pPr>
              <w:spacing w:after="120" w:line="240" w:lineRule="auto"/>
              <w:contextualSpacing/>
              <w:rPr>
                <w:rFonts w:cs="Arial"/>
                <w:szCs w:val="20"/>
              </w:rPr>
            </w:pPr>
            <w:r w:rsidRPr="008C7781">
              <w:rPr>
                <w:rFonts w:cs="Arial"/>
                <w:szCs w:val="20"/>
              </w:rPr>
              <w:t>13</w:t>
            </w:r>
          </w:p>
        </w:tc>
        <w:tc>
          <w:tcPr>
            <w:tcW w:w="825" w:type="pct"/>
            <w:vMerge/>
            <w:vAlign w:val="center"/>
            <w:hideMark/>
          </w:tcPr>
          <w:p w14:paraId="71D69DE2" w14:textId="77777777" w:rsidR="00D4749A" w:rsidRPr="005E1BCD" w:rsidRDefault="00D4749A" w:rsidP="006D0B51">
            <w:pPr>
              <w:spacing w:after="120" w:line="240" w:lineRule="auto"/>
              <w:contextualSpacing/>
              <w:rPr>
                <w:rFonts w:cs="Arial"/>
                <w:b/>
                <w:bCs/>
                <w:szCs w:val="20"/>
              </w:rPr>
            </w:pPr>
          </w:p>
        </w:tc>
        <w:tc>
          <w:tcPr>
            <w:tcW w:w="792" w:type="pct"/>
            <w:vMerge w:val="restart"/>
            <w:shd w:val="clear" w:color="auto" w:fill="auto"/>
            <w:vAlign w:val="center"/>
            <w:hideMark/>
          </w:tcPr>
          <w:p w14:paraId="5173D240" w14:textId="0EC2F071" w:rsidR="00D4749A" w:rsidRPr="00E05173" w:rsidRDefault="00107493" w:rsidP="002B08E1">
            <w:pPr>
              <w:spacing w:after="0" w:line="240" w:lineRule="auto"/>
              <w:contextualSpacing/>
              <w:rPr>
                <w:rFonts w:ascii="Calibri" w:hAnsi="Calibri" w:cs="Calibri"/>
                <w:sz w:val="22"/>
                <w:szCs w:val="22"/>
                <w:u w:val="single"/>
              </w:rPr>
            </w:pPr>
            <w:hyperlink r:id="rId44" w:anchor="RANGE!D22" w:history="1">
              <w:r w:rsidR="00D4749A" w:rsidRPr="00E05173">
                <w:t>Sch 1 Part 2 Table 2 (Item 2.2.10)</w:t>
              </w:r>
            </w:hyperlink>
          </w:p>
        </w:tc>
        <w:tc>
          <w:tcPr>
            <w:tcW w:w="2502" w:type="pct"/>
            <w:vMerge w:val="restart"/>
            <w:shd w:val="clear" w:color="auto" w:fill="auto"/>
            <w:vAlign w:val="center"/>
            <w:hideMark/>
          </w:tcPr>
          <w:p w14:paraId="6355B17F" w14:textId="27143229" w:rsidR="00D4749A" w:rsidRPr="008C7781" w:rsidRDefault="00D4749A" w:rsidP="002B08E1">
            <w:pPr>
              <w:spacing w:after="0" w:line="240" w:lineRule="auto"/>
              <w:contextualSpacing/>
              <w:rPr>
                <w:rFonts w:cs="Arial"/>
                <w:szCs w:val="20"/>
              </w:rPr>
            </w:pPr>
            <w:r w:rsidRPr="008C7781">
              <w:rPr>
                <w:rFonts w:cs="Arial"/>
                <w:szCs w:val="20"/>
              </w:rPr>
              <w:t>Considering each frequency assignment requested in an application under section 99 of the Radiocommunications Act for the issue of a narrowband area service station licence, where the application is not accompanied by a frequency assignment certificate issued by an accredited person</w:t>
            </w:r>
            <w:r>
              <w:rPr>
                <w:rFonts w:cs="Arial"/>
                <w:szCs w:val="20"/>
              </w:rPr>
              <w:t>.</w:t>
            </w:r>
          </w:p>
        </w:tc>
        <w:tc>
          <w:tcPr>
            <w:tcW w:w="686" w:type="pct"/>
            <w:vMerge w:val="restart"/>
            <w:shd w:val="clear" w:color="auto" w:fill="auto"/>
            <w:vAlign w:val="center"/>
            <w:hideMark/>
          </w:tcPr>
          <w:p w14:paraId="69874394" w14:textId="77777777" w:rsidR="00D4749A" w:rsidRPr="008C7781" w:rsidRDefault="00D4749A" w:rsidP="002B08E1">
            <w:pPr>
              <w:spacing w:after="0" w:line="240" w:lineRule="auto"/>
              <w:contextualSpacing/>
              <w:jc w:val="right"/>
              <w:rPr>
                <w:rFonts w:cs="Arial"/>
                <w:szCs w:val="20"/>
              </w:rPr>
            </w:pPr>
            <w:r w:rsidRPr="008C7781">
              <w:rPr>
                <w:rFonts w:cs="Arial"/>
                <w:szCs w:val="20"/>
              </w:rPr>
              <w:t>$565.00 per spectrum access</w:t>
            </w:r>
          </w:p>
        </w:tc>
      </w:tr>
      <w:tr w:rsidR="00D4749A" w:rsidRPr="008C7781" w14:paraId="75A10A38" w14:textId="77777777" w:rsidTr="003E5A84">
        <w:trPr>
          <w:trHeight w:val="402"/>
        </w:trPr>
        <w:tc>
          <w:tcPr>
            <w:tcW w:w="195" w:type="pct"/>
            <w:vMerge/>
            <w:vAlign w:val="center"/>
            <w:hideMark/>
          </w:tcPr>
          <w:p w14:paraId="7D8C9E3E" w14:textId="77777777" w:rsidR="00D4749A" w:rsidRPr="008C7781" w:rsidRDefault="00D4749A" w:rsidP="006D0B51">
            <w:pPr>
              <w:spacing w:after="120" w:line="240" w:lineRule="auto"/>
              <w:contextualSpacing/>
              <w:rPr>
                <w:rFonts w:cs="Arial"/>
                <w:szCs w:val="20"/>
              </w:rPr>
            </w:pPr>
          </w:p>
        </w:tc>
        <w:tc>
          <w:tcPr>
            <w:tcW w:w="825" w:type="pct"/>
            <w:vMerge/>
            <w:vAlign w:val="center"/>
            <w:hideMark/>
          </w:tcPr>
          <w:p w14:paraId="169F9947" w14:textId="77777777" w:rsidR="00D4749A" w:rsidRPr="005E1BCD" w:rsidRDefault="00D4749A" w:rsidP="006D0B51">
            <w:pPr>
              <w:spacing w:after="120" w:line="240" w:lineRule="auto"/>
              <w:contextualSpacing/>
              <w:rPr>
                <w:rFonts w:cs="Arial"/>
                <w:b/>
                <w:bCs/>
                <w:szCs w:val="20"/>
              </w:rPr>
            </w:pPr>
          </w:p>
        </w:tc>
        <w:tc>
          <w:tcPr>
            <w:tcW w:w="792" w:type="pct"/>
            <w:vMerge/>
            <w:vAlign w:val="center"/>
            <w:hideMark/>
          </w:tcPr>
          <w:p w14:paraId="03C7E9E0" w14:textId="77777777" w:rsidR="00D4749A" w:rsidRPr="00E05173" w:rsidRDefault="00D4749A" w:rsidP="006D0B51">
            <w:pPr>
              <w:spacing w:after="120" w:line="240" w:lineRule="auto"/>
              <w:contextualSpacing/>
              <w:rPr>
                <w:rFonts w:ascii="Calibri" w:hAnsi="Calibri" w:cs="Calibri"/>
                <w:sz w:val="22"/>
                <w:szCs w:val="22"/>
                <w:u w:val="single"/>
              </w:rPr>
            </w:pPr>
          </w:p>
        </w:tc>
        <w:tc>
          <w:tcPr>
            <w:tcW w:w="2502" w:type="pct"/>
            <w:vMerge/>
            <w:vAlign w:val="center"/>
            <w:hideMark/>
          </w:tcPr>
          <w:p w14:paraId="2763E8E1" w14:textId="77777777" w:rsidR="00D4749A" w:rsidRPr="008C7781" w:rsidRDefault="00D4749A" w:rsidP="006D0B51">
            <w:pPr>
              <w:spacing w:after="120" w:line="240" w:lineRule="auto"/>
              <w:contextualSpacing/>
              <w:rPr>
                <w:rFonts w:cs="Arial"/>
                <w:szCs w:val="20"/>
              </w:rPr>
            </w:pPr>
          </w:p>
        </w:tc>
        <w:tc>
          <w:tcPr>
            <w:tcW w:w="686" w:type="pct"/>
            <w:vMerge/>
            <w:vAlign w:val="center"/>
            <w:hideMark/>
          </w:tcPr>
          <w:p w14:paraId="3EE9C38C" w14:textId="77777777" w:rsidR="00D4749A" w:rsidRPr="008C7781" w:rsidRDefault="00D4749A" w:rsidP="006D0B51">
            <w:pPr>
              <w:spacing w:after="120" w:line="240" w:lineRule="auto"/>
              <w:contextualSpacing/>
              <w:jc w:val="right"/>
              <w:rPr>
                <w:rFonts w:cs="Arial"/>
                <w:szCs w:val="20"/>
              </w:rPr>
            </w:pPr>
          </w:p>
        </w:tc>
      </w:tr>
      <w:tr w:rsidR="00D4749A" w:rsidRPr="008C7781" w14:paraId="1E392410" w14:textId="77777777" w:rsidTr="003E5A84">
        <w:trPr>
          <w:trHeight w:val="1177"/>
        </w:trPr>
        <w:tc>
          <w:tcPr>
            <w:tcW w:w="195" w:type="pct"/>
            <w:shd w:val="clear" w:color="auto" w:fill="auto"/>
            <w:vAlign w:val="center"/>
            <w:hideMark/>
          </w:tcPr>
          <w:p w14:paraId="3E11FFE1" w14:textId="77777777" w:rsidR="00D4749A" w:rsidRPr="008C7781" w:rsidRDefault="00D4749A" w:rsidP="006D0B51">
            <w:pPr>
              <w:spacing w:after="120" w:line="240" w:lineRule="auto"/>
              <w:contextualSpacing/>
              <w:rPr>
                <w:rFonts w:cs="Arial"/>
                <w:szCs w:val="20"/>
              </w:rPr>
            </w:pPr>
            <w:r w:rsidRPr="008C7781">
              <w:rPr>
                <w:rFonts w:cs="Arial"/>
                <w:szCs w:val="20"/>
              </w:rPr>
              <w:t>14</w:t>
            </w:r>
          </w:p>
        </w:tc>
        <w:tc>
          <w:tcPr>
            <w:tcW w:w="825" w:type="pct"/>
            <w:vMerge/>
            <w:vAlign w:val="center"/>
            <w:hideMark/>
          </w:tcPr>
          <w:p w14:paraId="53922631"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28CFFC45" w14:textId="678EDD04" w:rsidR="00D4749A" w:rsidRPr="00E05173" w:rsidRDefault="00107493" w:rsidP="002B08E1">
            <w:pPr>
              <w:spacing w:after="0" w:line="240" w:lineRule="auto"/>
              <w:contextualSpacing/>
              <w:rPr>
                <w:rFonts w:ascii="Calibri" w:hAnsi="Calibri" w:cs="Calibri"/>
                <w:sz w:val="22"/>
                <w:szCs w:val="22"/>
                <w:u w:val="single"/>
              </w:rPr>
            </w:pPr>
            <w:hyperlink r:id="rId45" w:anchor="RANGE!D42" w:history="1">
              <w:r w:rsidR="00D4749A" w:rsidRPr="00E05173">
                <w:t>Sch 1 Part 2 Table 2 (Item 2.2.9 (b))</w:t>
              </w:r>
            </w:hyperlink>
          </w:p>
        </w:tc>
        <w:tc>
          <w:tcPr>
            <w:tcW w:w="2502" w:type="pct"/>
            <w:shd w:val="clear" w:color="auto" w:fill="auto"/>
            <w:vAlign w:val="center"/>
            <w:hideMark/>
          </w:tcPr>
          <w:p w14:paraId="46A34D6D"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4E0DAE12" w14:textId="6A2DE127" w:rsidR="00D4749A" w:rsidRPr="008C7781" w:rsidRDefault="00D4749A" w:rsidP="002B08E1">
            <w:pPr>
              <w:pStyle w:val="Bulletlevel1"/>
              <w:numPr>
                <w:ilvl w:val="0"/>
                <w:numId w:val="0"/>
              </w:numPr>
              <w:spacing w:after="0" w:line="240" w:lineRule="auto"/>
              <w:ind w:left="295" w:hanging="295"/>
              <w:contextualSpacing/>
            </w:pPr>
            <w:r w:rsidRPr="008C7781">
              <w:t>(b) earth licence (mobile earth station)</w:t>
            </w:r>
            <w:r>
              <w:t>.</w:t>
            </w:r>
          </w:p>
        </w:tc>
        <w:tc>
          <w:tcPr>
            <w:tcW w:w="686" w:type="pct"/>
            <w:shd w:val="clear" w:color="auto" w:fill="auto"/>
            <w:vAlign w:val="center"/>
            <w:hideMark/>
          </w:tcPr>
          <w:p w14:paraId="7DDBBB8E" w14:textId="77777777" w:rsidR="00D4749A" w:rsidRPr="008C7781" w:rsidRDefault="00D4749A" w:rsidP="002B08E1">
            <w:pPr>
              <w:spacing w:after="0" w:line="240" w:lineRule="auto"/>
              <w:contextualSpacing/>
              <w:jc w:val="right"/>
              <w:rPr>
                <w:rFonts w:cs="Arial"/>
                <w:szCs w:val="20"/>
              </w:rPr>
            </w:pPr>
            <w:r w:rsidRPr="008C7781">
              <w:rPr>
                <w:rFonts w:cs="Arial"/>
                <w:szCs w:val="20"/>
              </w:rPr>
              <w:t>$546.00 per spectrum access</w:t>
            </w:r>
          </w:p>
        </w:tc>
      </w:tr>
      <w:tr w:rsidR="00D4749A" w:rsidRPr="008C7781" w14:paraId="640FE40E" w14:textId="77777777" w:rsidTr="003E5A84">
        <w:trPr>
          <w:trHeight w:val="914"/>
        </w:trPr>
        <w:tc>
          <w:tcPr>
            <w:tcW w:w="195" w:type="pct"/>
            <w:shd w:val="clear" w:color="auto" w:fill="auto"/>
            <w:vAlign w:val="center"/>
            <w:hideMark/>
          </w:tcPr>
          <w:p w14:paraId="11292CFE" w14:textId="77777777" w:rsidR="00D4749A" w:rsidRPr="008C7781" w:rsidRDefault="00D4749A" w:rsidP="006D0B51">
            <w:pPr>
              <w:spacing w:after="120" w:line="240" w:lineRule="auto"/>
              <w:contextualSpacing/>
              <w:rPr>
                <w:rFonts w:cs="Arial"/>
                <w:szCs w:val="20"/>
              </w:rPr>
            </w:pPr>
            <w:r w:rsidRPr="008C7781">
              <w:rPr>
                <w:rFonts w:cs="Arial"/>
                <w:szCs w:val="20"/>
              </w:rPr>
              <w:t>15</w:t>
            </w:r>
          </w:p>
        </w:tc>
        <w:tc>
          <w:tcPr>
            <w:tcW w:w="825" w:type="pct"/>
            <w:vMerge/>
            <w:vAlign w:val="center"/>
            <w:hideMark/>
          </w:tcPr>
          <w:p w14:paraId="73AFC212"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38B5166A" w14:textId="6EC1C49B" w:rsidR="00D4749A" w:rsidRPr="00E05173" w:rsidRDefault="00107493" w:rsidP="002B08E1">
            <w:pPr>
              <w:spacing w:after="0" w:line="240" w:lineRule="auto"/>
              <w:contextualSpacing/>
              <w:rPr>
                <w:rFonts w:ascii="Calibri" w:hAnsi="Calibri" w:cs="Calibri"/>
                <w:sz w:val="22"/>
                <w:szCs w:val="22"/>
                <w:u w:val="single"/>
              </w:rPr>
            </w:pPr>
            <w:hyperlink r:id="rId46" w:anchor="RANGE!D42" w:history="1">
              <w:r w:rsidR="00D4749A" w:rsidRPr="00E05173">
                <w:t>Sch 1 Part 2 Table 2 (Item 2.2.9 (a))</w:t>
              </w:r>
            </w:hyperlink>
          </w:p>
        </w:tc>
        <w:tc>
          <w:tcPr>
            <w:tcW w:w="2502" w:type="pct"/>
            <w:shd w:val="clear" w:color="auto" w:fill="auto"/>
            <w:vAlign w:val="center"/>
            <w:hideMark/>
          </w:tcPr>
          <w:p w14:paraId="6CB31E3D"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1629AD50" w14:textId="4DD03DA8"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(a) </w:t>
            </w:r>
            <w:r w:rsidRPr="00E13C34">
              <w:t>earth</w:t>
            </w:r>
            <w:r w:rsidRPr="008C7781">
              <w:rPr>
                <w:szCs w:val="20"/>
              </w:rPr>
              <w:t xml:space="preserve"> licence (fixed earth station)</w:t>
            </w:r>
            <w:r>
              <w:rPr>
                <w:szCs w:val="20"/>
              </w:rPr>
              <w:t>.</w:t>
            </w:r>
          </w:p>
        </w:tc>
        <w:tc>
          <w:tcPr>
            <w:tcW w:w="686" w:type="pct"/>
            <w:shd w:val="clear" w:color="auto" w:fill="auto"/>
            <w:vAlign w:val="center"/>
            <w:hideMark/>
          </w:tcPr>
          <w:p w14:paraId="57EA9081" w14:textId="77777777" w:rsidR="00D4749A" w:rsidRPr="008C7781" w:rsidRDefault="00D4749A" w:rsidP="002B08E1">
            <w:pPr>
              <w:spacing w:after="0" w:line="240" w:lineRule="auto"/>
              <w:contextualSpacing/>
              <w:jc w:val="right"/>
              <w:rPr>
                <w:rFonts w:cs="Arial"/>
                <w:szCs w:val="20"/>
              </w:rPr>
            </w:pPr>
            <w:r w:rsidRPr="008C7781">
              <w:rPr>
                <w:rFonts w:cs="Arial"/>
                <w:szCs w:val="20"/>
              </w:rPr>
              <w:t>$546.00 per spectrum access</w:t>
            </w:r>
          </w:p>
        </w:tc>
      </w:tr>
      <w:tr w:rsidR="00D4749A" w:rsidRPr="008C7781" w14:paraId="2E979525" w14:textId="77777777" w:rsidTr="003E5A84">
        <w:trPr>
          <w:trHeight w:val="1027"/>
        </w:trPr>
        <w:tc>
          <w:tcPr>
            <w:tcW w:w="195" w:type="pct"/>
            <w:shd w:val="clear" w:color="auto" w:fill="auto"/>
            <w:vAlign w:val="center"/>
            <w:hideMark/>
          </w:tcPr>
          <w:p w14:paraId="50ACDE27" w14:textId="77777777" w:rsidR="00D4749A" w:rsidRPr="008C7781" w:rsidRDefault="00D4749A" w:rsidP="006D0B51">
            <w:pPr>
              <w:spacing w:after="120" w:line="240" w:lineRule="auto"/>
              <w:contextualSpacing/>
              <w:rPr>
                <w:rFonts w:cs="Arial"/>
                <w:szCs w:val="20"/>
              </w:rPr>
            </w:pPr>
            <w:r w:rsidRPr="008C7781">
              <w:rPr>
                <w:rFonts w:cs="Arial"/>
                <w:szCs w:val="20"/>
              </w:rPr>
              <w:t>16</w:t>
            </w:r>
          </w:p>
        </w:tc>
        <w:tc>
          <w:tcPr>
            <w:tcW w:w="825" w:type="pct"/>
            <w:vMerge/>
            <w:vAlign w:val="center"/>
            <w:hideMark/>
          </w:tcPr>
          <w:p w14:paraId="12D35BAE"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5170F010" w14:textId="1AA06C91" w:rsidR="00D4749A" w:rsidRPr="00E05173" w:rsidRDefault="00107493" w:rsidP="002B08E1">
            <w:pPr>
              <w:spacing w:after="0" w:line="240" w:lineRule="auto"/>
              <w:contextualSpacing/>
              <w:rPr>
                <w:rFonts w:ascii="Calibri" w:hAnsi="Calibri" w:cs="Calibri"/>
                <w:sz w:val="22"/>
                <w:szCs w:val="22"/>
                <w:u w:val="single"/>
              </w:rPr>
            </w:pPr>
            <w:hyperlink r:id="rId47" w:anchor="RANGE!D61" w:history="1">
              <w:r w:rsidR="00D4749A" w:rsidRPr="00E05173">
                <w:t>Sch 1 Part 2 Table 2 (Item 2.2.4 (a))</w:t>
              </w:r>
            </w:hyperlink>
          </w:p>
        </w:tc>
        <w:tc>
          <w:tcPr>
            <w:tcW w:w="2502" w:type="pct"/>
            <w:shd w:val="clear" w:color="auto" w:fill="auto"/>
            <w:vAlign w:val="center"/>
            <w:hideMark/>
          </w:tcPr>
          <w:p w14:paraId="5615EA55" w14:textId="555D7AC4" w:rsidR="00D4749A" w:rsidRPr="00B15FB6" w:rsidRDefault="00D4749A" w:rsidP="002137C1">
            <w:pPr>
              <w:pStyle w:val="Paragraphbeforelist"/>
              <w:spacing w:line="240" w:lineRule="auto"/>
              <w:contextualSpacing/>
              <w:rPr>
                <w:szCs w:val="20"/>
              </w:rPr>
            </w:pPr>
            <w:r w:rsidRPr="00B15FB6">
              <w:rPr>
                <w:szCs w:val="20"/>
              </w:rPr>
              <w:t xml:space="preserve">Considering each frequency assignment requested in an application under section 99 of the Radiocommunications Act for the issue of any of the following licences, where the application is not accompanied by a frequency </w:t>
            </w:r>
            <w:r w:rsidRPr="002137C1">
              <w:t>assignment</w:t>
            </w:r>
            <w:r w:rsidRPr="00B15FB6">
              <w:rPr>
                <w:szCs w:val="20"/>
              </w:rPr>
              <w:t xml:space="preserve"> certificate issued by an accredited person: </w:t>
            </w:r>
          </w:p>
          <w:p w14:paraId="74B66515" w14:textId="58C3FE25" w:rsidR="00D4749A" w:rsidRPr="00B15FB6" w:rsidRDefault="00D4749A" w:rsidP="002B08E1">
            <w:pPr>
              <w:pStyle w:val="Bulletlevel1"/>
              <w:numPr>
                <w:ilvl w:val="0"/>
                <w:numId w:val="0"/>
              </w:numPr>
              <w:spacing w:after="0" w:line="240" w:lineRule="auto"/>
              <w:ind w:left="295" w:hanging="295"/>
              <w:contextualSpacing/>
              <w:rPr>
                <w:szCs w:val="20"/>
              </w:rPr>
            </w:pPr>
            <w:r w:rsidRPr="00B15FB6">
              <w:rPr>
                <w:szCs w:val="20"/>
              </w:rPr>
              <w:t>(a) fixed licence (point</w:t>
            </w:r>
            <w:r w:rsidR="002B08E1">
              <w:rPr>
                <w:szCs w:val="20"/>
              </w:rPr>
              <w:t>-</w:t>
            </w:r>
            <w:r w:rsidRPr="00B15FB6">
              <w:rPr>
                <w:szCs w:val="20"/>
              </w:rPr>
              <w:t>to</w:t>
            </w:r>
            <w:r w:rsidR="002B08E1">
              <w:rPr>
                <w:szCs w:val="20"/>
              </w:rPr>
              <w:t>-</w:t>
            </w:r>
            <w:r w:rsidRPr="00B15FB6">
              <w:rPr>
                <w:szCs w:val="20"/>
              </w:rPr>
              <w:t>multipoint station).</w:t>
            </w:r>
          </w:p>
        </w:tc>
        <w:tc>
          <w:tcPr>
            <w:tcW w:w="686" w:type="pct"/>
            <w:shd w:val="clear" w:color="auto" w:fill="auto"/>
            <w:vAlign w:val="center"/>
            <w:hideMark/>
          </w:tcPr>
          <w:p w14:paraId="1450DD94"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spectrum access</w:t>
            </w:r>
          </w:p>
        </w:tc>
      </w:tr>
      <w:tr w:rsidR="00D4749A" w:rsidRPr="008C7781" w14:paraId="14AF7B44" w14:textId="77777777" w:rsidTr="003E5A84">
        <w:trPr>
          <w:trHeight w:val="1292"/>
        </w:trPr>
        <w:tc>
          <w:tcPr>
            <w:tcW w:w="195" w:type="pct"/>
            <w:shd w:val="clear" w:color="auto" w:fill="auto"/>
            <w:vAlign w:val="center"/>
            <w:hideMark/>
          </w:tcPr>
          <w:p w14:paraId="084171E7" w14:textId="77777777" w:rsidR="00D4749A" w:rsidRPr="008C7781" w:rsidRDefault="00D4749A" w:rsidP="006D0B51">
            <w:pPr>
              <w:spacing w:after="120" w:line="240" w:lineRule="auto"/>
              <w:contextualSpacing/>
              <w:rPr>
                <w:rFonts w:cs="Arial"/>
                <w:szCs w:val="20"/>
              </w:rPr>
            </w:pPr>
            <w:r w:rsidRPr="008C7781">
              <w:rPr>
                <w:rFonts w:cs="Arial"/>
                <w:szCs w:val="20"/>
              </w:rPr>
              <w:t>17</w:t>
            </w:r>
          </w:p>
        </w:tc>
        <w:tc>
          <w:tcPr>
            <w:tcW w:w="825" w:type="pct"/>
            <w:vMerge/>
            <w:vAlign w:val="center"/>
            <w:hideMark/>
          </w:tcPr>
          <w:p w14:paraId="51BB6D01"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E51A126" w14:textId="1771ACB4" w:rsidR="00D4749A" w:rsidRPr="00E05173" w:rsidRDefault="00107493" w:rsidP="002B08E1">
            <w:pPr>
              <w:spacing w:after="0" w:line="240" w:lineRule="auto"/>
              <w:contextualSpacing/>
              <w:rPr>
                <w:rFonts w:ascii="Calibri" w:hAnsi="Calibri" w:cs="Calibri"/>
                <w:sz w:val="22"/>
                <w:szCs w:val="22"/>
                <w:u w:val="single"/>
              </w:rPr>
            </w:pPr>
            <w:hyperlink r:id="rId48" w:anchor="RANGE!D61" w:history="1">
              <w:r w:rsidR="00D4749A" w:rsidRPr="00E05173">
                <w:t>Sch 1 Part 2 Table 2 (Item 2.2.4(c))</w:t>
              </w:r>
            </w:hyperlink>
          </w:p>
        </w:tc>
        <w:tc>
          <w:tcPr>
            <w:tcW w:w="2502" w:type="pct"/>
            <w:shd w:val="clear" w:color="auto" w:fill="auto"/>
            <w:vAlign w:val="center"/>
            <w:hideMark/>
          </w:tcPr>
          <w:p w14:paraId="233907A2" w14:textId="136560CC"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3C9FE3DB" w14:textId="12C513FA" w:rsidR="00D4749A" w:rsidRPr="008C7781" w:rsidRDefault="00D4749A" w:rsidP="002B08E1">
            <w:pPr>
              <w:pStyle w:val="Bulletlevel1"/>
              <w:numPr>
                <w:ilvl w:val="0"/>
                <w:numId w:val="0"/>
              </w:numPr>
              <w:spacing w:after="0" w:line="240" w:lineRule="auto"/>
              <w:ind w:left="295" w:hanging="295"/>
              <w:contextualSpacing/>
            </w:pPr>
            <w:r w:rsidRPr="008C7781">
              <w:t>(c) fixed licence (point</w:t>
            </w:r>
            <w:r w:rsidR="002B08E1">
              <w:t>-</w:t>
            </w:r>
            <w:r w:rsidRPr="008C7781">
              <w:t>to</w:t>
            </w:r>
            <w:r w:rsidR="002B08E1">
              <w:t>-</w:t>
            </w:r>
            <w:r w:rsidRPr="008C7781">
              <w:t>multipoint – land mobile spectrum)</w:t>
            </w:r>
            <w:r>
              <w:t>.</w:t>
            </w:r>
          </w:p>
        </w:tc>
        <w:tc>
          <w:tcPr>
            <w:tcW w:w="686" w:type="pct"/>
            <w:shd w:val="clear" w:color="auto" w:fill="auto"/>
            <w:vAlign w:val="center"/>
            <w:hideMark/>
          </w:tcPr>
          <w:p w14:paraId="5CF5131C"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spectrum access</w:t>
            </w:r>
          </w:p>
        </w:tc>
      </w:tr>
      <w:tr w:rsidR="00D4749A" w:rsidRPr="008C7781" w14:paraId="0E961FA6" w14:textId="77777777" w:rsidTr="003E5A84">
        <w:trPr>
          <w:trHeight w:val="1157"/>
        </w:trPr>
        <w:tc>
          <w:tcPr>
            <w:tcW w:w="195" w:type="pct"/>
            <w:shd w:val="clear" w:color="auto" w:fill="auto"/>
            <w:vAlign w:val="center"/>
            <w:hideMark/>
          </w:tcPr>
          <w:p w14:paraId="2B18AE3B"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18</w:t>
            </w:r>
          </w:p>
        </w:tc>
        <w:tc>
          <w:tcPr>
            <w:tcW w:w="825" w:type="pct"/>
            <w:vMerge/>
            <w:vAlign w:val="center"/>
            <w:hideMark/>
          </w:tcPr>
          <w:p w14:paraId="6CE0CEB2"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07666486" w14:textId="7EFB2770" w:rsidR="00D4749A" w:rsidRPr="00E05173" w:rsidRDefault="00107493" w:rsidP="002B08E1">
            <w:pPr>
              <w:spacing w:after="0" w:line="240" w:lineRule="auto"/>
              <w:contextualSpacing/>
              <w:rPr>
                <w:rFonts w:ascii="Calibri" w:hAnsi="Calibri" w:cs="Calibri"/>
                <w:sz w:val="22"/>
                <w:szCs w:val="22"/>
                <w:u w:val="single"/>
              </w:rPr>
            </w:pPr>
            <w:hyperlink r:id="rId49" w:anchor="RANGE!D61" w:history="1">
              <w:r w:rsidR="00D4749A" w:rsidRPr="00E05173">
                <w:t>Sch 1 Part 2 Table 2 (Item 2.2.4 (b))</w:t>
              </w:r>
            </w:hyperlink>
          </w:p>
        </w:tc>
        <w:tc>
          <w:tcPr>
            <w:tcW w:w="2502" w:type="pct"/>
            <w:shd w:val="clear" w:color="auto" w:fill="auto"/>
            <w:vAlign w:val="center"/>
            <w:hideMark/>
          </w:tcPr>
          <w:p w14:paraId="1780C726" w14:textId="77777777" w:rsidR="00D4749A" w:rsidRDefault="00D4749A" w:rsidP="002137C1">
            <w:pPr>
              <w:pStyle w:val="Paragraphbeforelist"/>
              <w:spacing w:line="240" w:lineRule="auto"/>
              <w:contextualSpacing/>
              <w:rPr>
                <w:szCs w:val="20"/>
              </w:rPr>
            </w:pPr>
            <w:r w:rsidRPr="008C7781">
              <w:rPr>
                <w:szCs w:val="20"/>
              </w:rP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7E2B24D8" w14:textId="59054E9F" w:rsidR="00D4749A" w:rsidRPr="008C7781" w:rsidRDefault="00D4749A" w:rsidP="002B08E1">
            <w:pPr>
              <w:pStyle w:val="Bulletlevel1"/>
              <w:numPr>
                <w:ilvl w:val="0"/>
                <w:numId w:val="0"/>
              </w:numPr>
              <w:spacing w:after="0" w:line="240" w:lineRule="auto"/>
              <w:ind w:left="295" w:hanging="295"/>
              <w:contextualSpacing/>
            </w:pPr>
            <w:r w:rsidRPr="008C7781">
              <w:t>(b) fixed licence (point</w:t>
            </w:r>
            <w:r w:rsidR="002B08E1">
              <w:t>-</w:t>
            </w:r>
            <w:r w:rsidRPr="008C7781">
              <w:t>to</w:t>
            </w:r>
            <w:r w:rsidR="002B08E1">
              <w:t>-</w:t>
            </w:r>
            <w:r w:rsidRPr="008C7781">
              <w:t>multipoint system)</w:t>
            </w:r>
            <w:r>
              <w:t>.</w:t>
            </w:r>
          </w:p>
        </w:tc>
        <w:tc>
          <w:tcPr>
            <w:tcW w:w="686" w:type="pct"/>
            <w:shd w:val="clear" w:color="auto" w:fill="auto"/>
            <w:vAlign w:val="center"/>
            <w:hideMark/>
          </w:tcPr>
          <w:p w14:paraId="58316D33"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spectrum access</w:t>
            </w:r>
          </w:p>
        </w:tc>
      </w:tr>
      <w:tr w:rsidR="00D4749A" w:rsidRPr="008C7781" w14:paraId="453FC010" w14:textId="77777777" w:rsidTr="003E5A84">
        <w:trPr>
          <w:trHeight w:val="1190"/>
        </w:trPr>
        <w:tc>
          <w:tcPr>
            <w:tcW w:w="195" w:type="pct"/>
            <w:shd w:val="clear" w:color="auto" w:fill="auto"/>
            <w:vAlign w:val="center"/>
            <w:hideMark/>
          </w:tcPr>
          <w:p w14:paraId="3048CE17" w14:textId="77777777" w:rsidR="00D4749A" w:rsidRPr="008C7781" w:rsidRDefault="00D4749A" w:rsidP="006D0B51">
            <w:pPr>
              <w:spacing w:after="120" w:line="240" w:lineRule="auto"/>
              <w:contextualSpacing/>
              <w:rPr>
                <w:rFonts w:cs="Arial"/>
                <w:szCs w:val="20"/>
              </w:rPr>
            </w:pPr>
            <w:r w:rsidRPr="008C7781">
              <w:rPr>
                <w:rFonts w:cs="Arial"/>
                <w:szCs w:val="20"/>
              </w:rPr>
              <w:t>19</w:t>
            </w:r>
          </w:p>
        </w:tc>
        <w:tc>
          <w:tcPr>
            <w:tcW w:w="825" w:type="pct"/>
            <w:vMerge/>
            <w:vAlign w:val="center"/>
            <w:hideMark/>
          </w:tcPr>
          <w:p w14:paraId="74171754"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34E6DC97" w14:textId="042500C8" w:rsidR="00D4749A" w:rsidRPr="00E05173" w:rsidRDefault="00107493" w:rsidP="002B08E1">
            <w:pPr>
              <w:spacing w:after="0" w:line="240" w:lineRule="auto"/>
              <w:contextualSpacing/>
              <w:rPr>
                <w:rFonts w:ascii="Calibri" w:hAnsi="Calibri" w:cs="Calibri"/>
                <w:sz w:val="22"/>
                <w:szCs w:val="22"/>
                <w:u w:val="single"/>
              </w:rPr>
            </w:pPr>
            <w:hyperlink r:id="rId50" w:anchor="RANGE!D61" w:history="1">
              <w:r w:rsidR="00D4749A" w:rsidRPr="00E05173">
                <w:t>Sch 1 Part 2 Table 2 (Item 2.2.4 (d))</w:t>
              </w:r>
            </w:hyperlink>
          </w:p>
        </w:tc>
        <w:tc>
          <w:tcPr>
            <w:tcW w:w="2502" w:type="pct"/>
            <w:shd w:val="clear" w:color="auto" w:fill="auto"/>
            <w:vAlign w:val="center"/>
            <w:hideMark/>
          </w:tcPr>
          <w:p w14:paraId="5CE9F8AD"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w:t>
            </w:r>
            <w:r w:rsidRPr="002137C1">
              <w:t>assignment</w:t>
            </w:r>
            <w:r w:rsidRPr="008C7781">
              <w:rPr>
                <w:szCs w:val="20"/>
              </w:rPr>
              <w:t xml:space="preserve"> certificate issued by an accredited person:</w:t>
            </w:r>
          </w:p>
          <w:p w14:paraId="17A95610" w14:textId="6EB090E7" w:rsidR="00D4749A" w:rsidRPr="008C7781" w:rsidRDefault="00D4749A" w:rsidP="002B08E1">
            <w:pPr>
              <w:pStyle w:val="Bulletlevel1"/>
              <w:numPr>
                <w:ilvl w:val="0"/>
                <w:numId w:val="0"/>
              </w:numPr>
              <w:spacing w:after="0" w:line="240" w:lineRule="auto"/>
              <w:ind w:left="295" w:hanging="295"/>
              <w:contextualSpacing/>
            </w:pPr>
            <w:r w:rsidRPr="008C7781">
              <w:t>(d) fixed licence (point</w:t>
            </w:r>
            <w:r w:rsidR="002B08E1">
              <w:t>-</w:t>
            </w:r>
            <w:r w:rsidRPr="008C7781">
              <w:t>to</w:t>
            </w:r>
            <w:r w:rsidR="002B08E1">
              <w:t>-</w:t>
            </w:r>
            <w:r w:rsidRPr="008C7781">
              <w:t>point station)</w:t>
            </w:r>
            <w:r>
              <w:t>.</w:t>
            </w:r>
          </w:p>
        </w:tc>
        <w:tc>
          <w:tcPr>
            <w:tcW w:w="686" w:type="pct"/>
            <w:shd w:val="clear" w:color="auto" w:fill="auto"/>
            <w:vAlign w:val="center"/>
            <w:hideMark/>
          </w:tcPr>
          <w:p w14:paraId="5657690C"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spectrum access</w:t>
            </w:r>
          </w:p>
        </w:tc>
      </w:tr>
      <w:tr w:rsidR="00D4749A" w:rsidRPr="008C7781" w14:paraId="0CEBB0F1" w14:textId="77777777" w:rsidTr="003E5A84">
        <w:trPr>
          <w:trHeight w:val="1332"/>
        </w:trPr>
        <w:tc>
          <w:tcPr>
            <w:tcW w:w="195" w:type="pct"/>
            <w:shd w:val="clear" w:color="auto" w:fill="auto"/>
            <w:vAlign w:val="center"/>
            <w:hideMark/>
          </w:tcPr>
          <w:p w14:paraId="39B80040" w14:textId="77777777" w:rsidR="00D4749A" w:rsidRPr="008C7781" w:rsidRDefault="00D4749A" w:rsidP="006D0B51">
            <w:pPr>
              <w:spacing w:after="120" w:line="240" w:lineRule="auto"/>
              <w:contextualSpacing/>
              <w:rPr>
                <w:rFonts w:cs="Arial"/>
                <w:szCs w:val="20"/>
              </w:rPr>
            </w:pPr>
            <w:r w:rsidRPr="008C7781">
              <w:rPr>
                <w:rFonts w:cs="Arial"/>
                <w:szCs w:val="20"/>
              </w:rPr>
              <w:t>20</w:t>
            </w:r>
          </w:p>
        </w:tc>
        <w:tc>
          <w:tcPr>
            <w:tcW w:w="825" w:type="pct"/>
            <w:vMerge/>
            <w:vAlign w:val="center"/>
            <w:hideMark/>
          </w:tcPr>
          <w:p w14:paraId="62EE7A4E"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1D6E11E" w14:textId="1A9BAD55" w:rsidR="00D4749A" w:rsidRPr="00E05173" w:rsidRDefault="00107493" w:rsidP="002B08E1">
            <w:pPr>
              <w:spacing w:after="0" w:line="240" w:lineRule="auto"/>
              <w:contextualSpacing/>
              <w:rPr>
                <w:rFonts w:ascii="Calibri" w:hAnsi="Calibri" w:cs="Calibri"/>
                <w:sz w:val="22"/>
                <w:szCs w:val="22"/>
                <w:u w:val="single"/>
              </w:rPr>
            </w:pPr>
            <w:hyperlink r:id="rId51" w:anchor="RANGE!D61" w:history="1">
              <w:r w:rsidR="00D4749A" w:rsidRPr="00E05173">
                <w:t>Sch 1 Part 2 Table 2 (Item 2.2.4 (e))</w:t>
              </w:r>
            </w:hyperlink>
          </w:p>
        </w:tc>
        <w:tc>
          <w:tcPr>
            <w:tcW w:w="2502" w:type="pct"/>
            <w:shd w:val="clear" w:color="auto" w:fill="auto"/>
            <w:vAlign w:val="center"/>
            <w:hideMark/>
          </w:tcPr>
          <w:p w14:paraId="103C9D64" w14:textId="0E34567A" w:rsidR="00D4749A" w:rsidRDefault="00D4749A" w:rsidP="002137C1">
            <w:pPr>
              <w:pStyle w:val="Paragraphbeforelist"/>
              <w:spacing w:line="240" w:lineRule="auto"/>
              <w:contextualSpacing/>
            </w:pPr>
            <w:r w:rsidRPr="008C7781">
              <w:t xml:space="preserve">Considering each frequency assignment requested in an application under section 99 of the Radiocommunications Act for the issue of any of the following licences, where the application is not accompanied by a frequency assignment certificate issued by an accredited person: </w:t>
            </w:r>
          </w:p>
          <w:p w14:paraId="5B87337C" w14:textId="08E65167"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(e) fixed </w:t>
            </w:r>
            <w:r w:rsidRPr="00E13C34">
              <w:t>licence</w:t>
            </w:r>
            <w:r w:rsidRPr="008C7781">
              <w:rPr>
                <w:szCs w:val="20"/>
              </w:rPr>
              <w:t xml:space="preserve"> (900MHz studio to transmitter link station)</w:t>
            </w:r>
            <w:r>
              <w:rPr>
                <w:szCs w:val="20"/>
              </w:rPr>
              <w:t>.</w:t>
            </w:r>
          </w:p>
        </w:tc>
        <w:tc>
          <w:tcPr>
            <w:tcW w:w="686" w:type="pct"/>
            <w:shd w:val="clear" w:color="auto" w:fill="auto"/>
            <w:vAlign w:val="center"/>
            <w:hideMark/>
          </w:tcPr>
          <w:p w14:paraId="6CCEF1FD"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spectrum access</w:t>
            </w:r>
          </w:p>
        </w:tc>
      </w:tr>
      <w:tr w:rsidR="00D4749A" w:rsidRPr="008C7781" w14:paraId="04A5FDA5" w14:textId="77777777" w:rsidTr="003E5A84">
        <w:trPr>
          <w:trHeight w:val="988"/>
        </w:trPr>
        <w:tc>
          <w:tcPr>
            <w:tcW w:w="195" w:type="pct"/>
            <w:shd w:val="clear" w:color="auto" w:fill="auto"/>
            <w:vAlign w:val="center"/>
            <w:hideMark/>
          </w:tcPr>
          <w:p w14:paraId="48EFD63B" w14:textId="77777777" w:rsidR="00D4749A" w:rsidRPr="008C7781" w:rsidRDefault="00D4749A" w:rsidP="006D0B51">
            <w:pPr>
              <w:spacing w:after="120" w:line="240" w:lineRule="auto"/>
              <w:contextualSpacing/>
              <w:rPr>
                <w:rFonts w:cs="Arial"/>
                <w:szCs w:val="20"/>
              </w:rPr>
            </w:pPr>
            <w:r w:rsidRPr="008C7781">
              <w:rPr>
                <w:rFonts w:cs="Arial"/>
                <w:szCs w:val="20"/>
              </w:rPr>
              <w:t>21</w:t>
            </w:r>
          </w:p>
        </w:tc>
        <w:tc>
          <w:tcPr>
            <w:tcW w:w="825" w:type="pct"/>
            <w:vMerge/>
            <w:vAlign w:val="center"/>
            <w:hideMark/>
          </w:tcPr>
          <w:p w14:paraId="33FA769E"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2AA5556E" w14:textId="615563F4" w:rsidR="00D4749A" w:rsidRPr="00E05173" w:rsidRDefault="00107493" w:rsidP="002B08E1">
            <w:pPr>
              <w:spacing w:after="0" w:line="240" w:lineRule="auto"/>
              <w:contextualSpacing/>
              <w:rPr>
                <w:rFonts w:ascii="Calibri" w:hAnsi="Calibri" w:cs="Calibri"/>
                <w:sz w:val="22"/>
                <w:szCs w:val="22"/>
                <w:u w:val="single"/>
              </w:rPr>
            </w:pPr>
            <w:hyperlink r:id="rId52" w:anchor="RANGE!D61" w:history="1">
              <w:r w:rsidR="00D4749A" w:rsidRPr="00E05173">
                <w:t>Sch 1 Part 2 Table 2 (Item 2.2.13 (d))</w:t>
              </w:r>
            </w:hyperlink>
          </w:p>
        </w:tc>
        <w:tc>
          <w:tcPr>
            <w:tcW w:w="2502" w:type="pct"/>
            <w:shd w:val="clear" w:color="auto" w:fill="auto"/>
            <w:vAlign w:val="center"/>
            <w:hideMark/>
          </w:tcPr>
          <w:p w14:paraId="6B136BFB"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w:t>
            </w:r>
            <w:r w:rsidRPr="002137C1">
              <w:t>issued</w:t>
            </w:r>
            <w:r w:rsidRPr="008C7781">
              <w:rPr>
                <w:szCs w:val="20"/>
              </w:rPr>
              <w:t xml:space="preserve"> by an </w:t>
            </w:r>
            <w:r w:rsidRPr="00E13C34">
              <w:t>accredited</w:t>
            </w:r>
            <w:r w:rsidRPr="008C7781">
              <w:rPr>
                <w:szCs w:val="20"/>
              </w:rPr>
              <w:t xml:space="preserve"> person: </w:t>
            </w:r>
          </w:p>
          <w:p w14:paraId="23CB221F" w14:textId="3DEB8238"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(d) fixed licence (point</w:t>
            </w:r>
            <w:r w:rsidR="002B08E1">
              <w:rPr>
                <w:szCs w:val="20"/>
              </w:rPr>
              <w:t>-</w:t>
            </w:r>
            <w:r w:rsidRPr="008C7781">
              <w:rPr>
                <w:szCs w:val="20"/>
              </w:rPr>
              <w:t>to</w:t>
            </w:r>
            <w:r w:rsidR="002B08E1">
              <w:rPr>
                <w:szCs w:val="20"/>
              </w:rPr>
              <w:t>-</w:t>
            </w:r>
            <w:r w:rsidRPr="008C7781">
              <w:rPr>
                <w:szCs w:val="20"/>
              </w:rPr>
              <w:t xml:space="preserve">point (self-coordinated) </w:t>
            </w:r>
            <w:r w:rsidRPr="00E13C34">
              <w:t>station</w:t>
            </w:r>
            <w:r w:rsidRPr="008C7781">
              <w:rPr>
                <w:szCs w:val="20"/>
              </w:rPr>
              <w:t>)</w:t>
            </w:r>
            <w:r>
              <w:rPr>
                <w:szCs w:val="20"/>
              </w:rPr>
              <w:t>.</w:t>
            </w:r>
          </w:p>
        </w:tc>
        <w:tc>
          <w:tcPr>
            <w:tcW w:w="686" w:type="pct"/>
            <w:shd w:val="clear" w:color="auto" w:fill="auto"/>
            <w:vAlign w:val="center"/>
            <w:hideMark/>
          </w:tcPr>
          <w:p w14:paraId="42E8CBD7"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licence</w:t>
            </w:r>
          </w:p>
        </w:tc>
      </w:tr>
      <w:tr w:rsidR="00D4749A" w:rsidRPr="008C7781" w14:paraId="51EB652A" w14:textId="77777777" w:rsidTr="003E5A84">
        <w:trPr>
          <w:trHeight w:val="1017"/>
        </w:trPr>
        <w:tc>
          <w:tcPr>
            <w:tcW w:w="195" w:type="pct"/>
            <w:shd w:val="clear" w:color="auto" w:fill="auto"/>
            <w:vAlign w:val="center"/>
            <w:hideMark/>
          </w:tcPr>
          <w:p w14:paraId="6F005537" w14:textId="77777777" w:rsidR="00D4749A" w:rsidRPr="008C7781" w:rsidRDefault="00D4749A" w:rsidP="006D0B51">
            <w:pPr>
              <w:spacing w:after="120" w:line="240" w:lineRule="auto"/>
              <w:contextualSpacing/>
              <w:rPr>
                <w:rFonts w:cs="Arial"/>
                <w:szCs w:val="20"/>
              </w:rPr>
            </w:pPr>
            <w:r w:rsidRPr="008C7781">
              <w:rPr>
                <w:rFonts w:cs="Arial"/>
                <w:szCs w:val="20"/>
              </w:rPr>
              <w:t>22</w:t>
            </w:r>
          </w:p>
        </w:tc>
        <w:tc>
          <w:tcPr>
            <w:tcW w:w="825" w:type="pct"/>
            <w:vMerge/>
            <w:vAlign w:val="center"/>
            <w:hideMark/>
          </w:tcPr>
          <w:p w14:paraId="7AD21A9C"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6953C7C8" w14:textId="23E86BD2" w:rsidR="00D4749A" w:rsidRPr="00E05173" w:rsidRDefault="00107493" w:rsidP="002B08E1">
            <w:pPr>
              <w:spacing w:after="0" w:line="240" w:lineRule="auto"/>
              <w:contextualSpacing/>
              <w:rPr>
                <w:rFonts w:ascii="Calibri" w:hAnsi="Calibri" w:cs="Calibri"/>
                <w:sz w:val="22"/>
                <w:szCs w:val="22"/>
                <w:u w:val="single"/>
              </w:rPr>
            </w:pPr>
            <w:hyperlink r:id="rId53" w:anchor="RANGE!D61" w:history="1">
              <w:r w:rsidR="00D4749A" w:rsidRPr="00E05173">
                <w:t>Sch 1 Part 2 Table 2 (Item 2.2.13 (c))</w:t>
              </w:r>
            </w:hyperlink>
          </w:p>
        </w:tc>
        <w:tc>
          <w:tcPr>
            <w:tcW w:w="2502" w:type="pct"/>
            <w:shd w:val="clear" w:color="auto" w:fill="auto"/>
            <w:vAlign w:val="center"/>
            <w:hideMark/>
          </w:tcPr>
          <w:p w14:paraId="5A8461A5" w14:textId="06CD900C" w:rsidR="00D4749A" w:rsidRDefault="00D4749A" w:rsidP="002137C1">
            <w:pPr>
              <w:pStyle w:val="Paragraphbeforelist"/>
              <w:spacing w:line="240" w:lineRule="auto"/>
              <w:contextualSpacing/>
              <w:rPr>
                <w:szCs w:val="20"/>
              </w:rPr>
            </w:pPr>
            <w:r w:rsidRPr="008C7781">
              <w:rPr>
                <w:szCs w:val="20"/>
              </w:rP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4E244043" w14:textId="12A922D8" w:rsidR="00D4749A" w:rsidRPr="008C7781" w:rsidRDefault="00D4749A" w:rsidP="002B08E1">
            <w:pPr>
              <w:pStyle w:val="Bulletlevel1"/>
              <w:numPr>
                <w:ilvl w:val="0"/>
                <w:numId w:val="0"/>
              </w:numPr>
              <w:spacing w:after="0" w:line="240" w:lineRule="auto"/>
              <w:ind w:left="295" w:hanging="295"/>
              <w:contextualSpacing/>
            </w:pPr>
            <w:r w:rsidRPr="008C7781">
              <w:t>(c) fixed licence (point</w:t>
            </w:r>
            <w:r w:rsidR="002B08E1">
              <w:t>-</w:t>
            </w:r>
            <w:r w:rsidRPr="008C7781">
              <w:t>to</w:t>
            </w:r>
            <w:r w:rsidR="002B08E1">
              <w:t>-</w:t>
            </w:r>
            <w:r w:rsidRPr="008C7781">
              <w:t>point (5.8 GHz band) station)</w:t>
            </w:r>
            <w:r>
              <w:t>.</w:t>
            </w:r>
          </w:p>
        </w:tc>
        <w:tc>
          <w:tcPr>
            <w:tcW w:w="686" w:type="pct"/>
            <w:shd w:val="clear" w:color="auto" w:fill="auto"/>
            <w:vAlign w:val="center"/>
            <w:hideMark/>
          </w:tcPr>
          <w:p w14:paraId="5FC226CD" w14:textId="77777777" w:rsidR="00D4749A" w:rsidRPr="008C7781" w:rsidRDefault="00D4749A" w:rsidP="002B08E1">
            <w:pPr>
              <w:spacing w:after="0" w:line="240" w:lineRule="auto"/>
              <w:contextualSpacing/>
              <w:jc w:val="right"/>
              <w:rPr>
                <w:rFonts w:cs="Arial"/>
                <w:szCs w:val="20"/>
              </w:rPr>
            </w:pPr>
            <w:r w:rsidRPr="008C7781">
              <w:rPr>
                <w:rFonts w:cs="Arial"/>
                <w:szCs w:val="20"/>
              </w:rPr>
              <w:t>$471.00 per licence</w:t>
            </w:r>
          </w:p>
        </w:tc>
      </w:tr>
      <w:tr w:rsidR="00D4749A" w:rsidRPr="008C7781" w14:paraId="0AEC43C8" w14:textId="77777777" w:rsidTr="003E5A84">
        <w:trPr>
          <w:trHeight w:val="1038"/>
        </w:trPr>
        <w:tc>
          <w:tcPr>
            <w:tcW w:w="195" w:type="pct"/>
            <w:shd w:val="clear" w:color="auto" w:fill="auto"/>
            <w:vAlign w:val="center"/>
            <w:hideMark/>
          </w:tcPr>
          <w:p w14:paraId="4E94D798" w14:textId="77777777" w:rsidR="00D4749A" w:rsidRPr="008C7781" w:rsidRDefault="00D4749A" w:rsidP="006D0B51">
            <w:pPr>
              <w:spacing w:after="120" w:line="240" w:lineRule="auto"/>
              <w:contextualSpacing/>
              <w:rPr>
                <w:rFonts w:cs="Arial"/>
                <w:szCs w:val="20"/>
              </w:rPr>
            </w:pPr>
            <w:r w:rsidRPr="008C7781">
              <w:rPr>
                <w:rFonts w:cs="Arial"/>
                <w:szCs w:val="20"/>
              </w:rPr>
              <w:t>23</w:t>
            </w:r>
          </w:p>
        </w:tc>
        <w:tc>
          <w:tcPr>
            <w:tcW w:w="825" w:type="pct"/>
            <w:vMerge/>
            <w:vAlign w:val="center"/>
            <w:hideMark/>
          </w:tcPr>
          <w:p w14:paraId="3F1FCC2B"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41E86151" w14:textId="267D2B83" w:rsidR="00D4749A" w:rsidRPr="00E05173" w:rsidRDefault="00107493" w:rsidP="002B08E1">
            <w:pPr>
              <w:spacing w:after="0" w:line="240" w:lineRule="auto"/>
              <w:contextualSpacing/>
              <w:rPr>
                <w:rFonts w:ascii="Calibri" w:hAnsi="Calibri" w:cs="Calibri"/>
                <w:sz w:val="22"/>
                <w:szCs w:val="22"/>
                <w:u w:val="single"/>
              </w:rPr>
            </w:pPr>
            <w:hyperlink r:id="rId54" w:anchor="RANGE!D79" w:history="1">
              <w:r w:rsidR="00D4749A" w:rsidRPr="00E05173">
                <w:t>Sch 1 Part 2 Table 2 (Item 2.2.5 (d))</w:t>
              </w:r>
            </w:hyperlink>
          </w:p>
        </w:tc>
        <w:tc>
          <w:tcPr>
            <w:tcW w:w="2502" w:type="pct"/>
            <w:shd w:val="clear" w:color="auto" w:fill="auto"/>
            <w:vAlign w:val="center"/>
            <w:hideMark/>
          </w:tcPr>
          <w:p w14:paraId="6E75EC6C"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E13C34">
              <w:t>certificate</w:t>
            </w:r>
            <w:r w:rsidRPr="008C7781">
              <w:rPr>
                <w:szCs w:val="20"/>
              </w:rPr>
              <w:t xml:space="preserve"> issued by an accredited person:</w:t>
            </w:r>
            <w:r w:rsidRPr="008C7781" w:rsidDel="00E13C34">
              <w:rPr>
                <w:szCs w:val="20"/>
              </w:rPr>
              <w:t xml:space="preserve"> </w:t>
            </w:r>
          </w:p>
          <w:p w14:paraId="0AEA3626" w14:textId="21DE6C75"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(d) fixed licence (television outside broadcast station)</w:t>
            </w:r>
            <w:r>
              <w:rPr>
                <w:szCs w:val="20"/>
              </w:rPr>
              <w:t>.</w:t>
            </w:r>
          </w:p>
        </w:tc>
        <w:tc>
          <w:tcPr>
            <w:tcW w:w="686" w:type="pct"/>
            <w:shd w:val="clear" w:color="auto" w:fill="auto"/>
            <w:vAlign w:val="center"/>
            <w:hideMark/>
          </w:tcPr>
          <w:p w14:paraId="562BFB7D" w14:textId="77777777" w:rsidR="00D4749A" w:rsidRPr="008C7781" w:rsidRDefault="00D4749A" w:rsidP="002B08E1">
            <w:pPr>
              <w:spacing w:after="0" w:line="240" w:lineRule="auto"/>
              <w:contextualSpacing/>
              <w:jc w:val="right"/>
              <w:rPr>
                <w:rFonts w:cs="Arial"/>
                <w:szCs w:val="20"/>
              </w:rPr>
            </w:pPr>
            <w:r w:rsidRPr="008C7781">
              <w:rPr>
                <w:rFonts w:cs="Arial"/>
                <w:szCs w:val="20"/>
              </w:rPr>
              <w:t>$482.00 per spectrum access</w:t>
            </w:r>
          </w:p>
        </w:tc>
      </w:tr>
      <w:tr w:rsidR="00D4749A" w:rsidRPr="008C7781" w14:paraId="4C001132" w14:textId="77777777" w:rsidTr="003E5A84">
        <w:trPr>
          <w:trHeight w:val="914"/>
        </w:trPr>
        <w:tc>
          <w:tcPr>
            <w:tcW w:w="195" w:type="pct"/>
            <w:shd w:val="clear" w:color="auto" w:fill="auto"/>
            <w:vAlign w:val="center"/>
            <w:hideMark/>
          </w:tcPr>
          <w:p w14:paraId="24F0F6FF"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24</w:t>
            </w:r>
          </w:p>
        </w:tc>
        <w:tc>
          <w:tcPr>
            <w:tcW w:w="825" w:type="pct"/>
            <w:vMerge/>
            <w:vAlign w:val="center"/>
            <w:hideMark/>
          </w:tcPr>
          <w:p w14:paraId="4B4055F9"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E2F1A47" w14:textId="2AFAFA5C" w:rsidR="00D4749A" w:rsidRPr="00E05173" w:rsidRDefault="00107493" w:rsidP="002B08E1">
            <w:pPr>
              <w:spacing w:after="0" w:line="240" w:lineRule="auto"/>
              <w:contextualSpacing/>
              <w:rPr>
                <w:rFonts w:ascii="Calibri" w:hAnsi="Calibri" w:cs="Calibri"/>
                <w:sz w:val="22"/>
                <w:szCs w:val="22"/>
                <w:u w:val="single"/>
              </w:rPr>
            </w:pPr>
            <w:hyperlink r:id="rId55" w:anchor="RANGE!D79" w:history="1">
              <w:r w:rsidR="00D4749A" w:rsidRPr="00E05173">
                <w:t xml:space="preserve">Sch 1 Part 2 Table 2 </w:t>
              </w:r>
              <w:r w:rsidR="00D4749A" w:rsidRPr="00E05173">
                <w:rPr>
                  <w:rFonts w:ascii="Calibri" w:hAnsi="Calibri" w:cs="Calibri"/>
                  <w:sz w:val="22"/>
                  <w:szCs w:val="22"/>
                  <w:u w:val="single"/>
                </w:rPr>
                <w:br/>
              </w:r>
              <w:r w:rsidR="00D4749A" w:rsidRPr="00E05173">
                <w:t>(Item 2.2.14 (a))</w:t>
              </w:r>
            </w:hyperlink>
          </w:p>
        </w:tc>
        <w:tc>
          <w:tcPr>
            <w:tcW w:w="2502" w:type="pct"/>
            <w:shd w:val="clear" w:color="auto" w:fill="auto"/>
            <w:vAlign w:val="center"/>
            <w:hideMark/>
          </w:tcPr>
          <w:p w14:paraId="1487DBE5"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w:t>
            </w:r>
            <w:r w:rsidRPr="002137C1">
              <w:t>issued</w:t>
            </w:r>
            <w:r w:rsidRPr="008C7781">
              <w:rPr>
                <w:szCs w:val="20"/>
              </w:rPr>
              <w:t xml:space="preserve"> by an accredited person: </w:t>
            </w:r>
          </w:p>
          <w:p w14:paraId="70101A6A" w14:textId="6CF3937A"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(a) fixed </w:t>
            </w:r>
            <w:r w:rsidRPr="00E13C34">
              <w:t>licence</w:t>
            </w:r>
            <w:r w:rsidRPr="008C7781">
              <w:rPr>
                <w:szCs w:val="20"/>
              </w:rPr>
              <w:t xml:space="preserve"> (television outside broadcast system)</w:t>
            </w:r>
            <w:r>
              <w:rPr>
                <w:szCs w:val="20"/>
              </w:rPr>
              <w:t>.</w:t>
            </w:r>
          </w:p>
        </w:tc>
        <w:tc>
          <w:tcPr>
            <w:tcW w:w="686" w:type="pct"/>
            <w:shd w:val="clear" w:color="auto" w:fill="auto"/>
            <w:vAlign w:val="center"/>
            <w:hideMark/>
          </w:tcPr>
          <w:p w14:paraId="34D241D4" w14:textId="77777777" w:rsidR="00D4749A" w:rsidRPr="008C7781" w:rsidRDefault="00D4749A" w:rsidP="002B08E1">
            <w:pPr>
              <w:spacing w:after="0" w:line="240" w:lineRule="auto"/>
              <w:contextualSpacing/>
              <w:jc w:val="right"/>
              <w:rPr>
                <w:rFonts w:cs="Arial"/>
                <w:szCs w:val="20"/>
              </w:rPr>
            </w:pPr>
            <w:r w:rsidRPr="008C7781">
              <w:rPr>
                <w:rFonts w:cs="Arial"/>
                <w:szCs w:val="20"/>
              </w:rPr>
              <w:t>$482.00 per licence</w:t>
            </w:r>
          </w:p>
        </w:tc>
      </w:tr>
      <w:tr w:rsidR="00D4749A" w:rsidRPr="008C7781" w14:paraId="1E8D5C3A" w14:textId="77777777" w:rsidTr="003E5A84">
        <w:trPr>
          <w:trHeight w:val="1059"/>
        </w:trPr>
        <w:tc>
          <w:tcPr>
            <w:tcW w:w="195" w:type="pct"/>
            <w:shd w:val="clear" w:color="auto" w:fill="auto"/>
            <w:vAlign w:val="center"/>
            <w:hideMark/>
          </w:tcPr>
          <w:p w14:paraId="39A089F3" w14:textId="77777777" w:rsidR="00D4749A" w:rsidRPr="008C7781" w:rsidRDefault="00D4749A" w:rsidP="006D0B51">
            <w:pPr>
              <w:spacing w:after="120" w:line="240" w:lineRule="auto"/>
              <w:contextualSpacing/>
              <w:rPr>
                <w:rFonts w:cs="Arial"/>
                <w:szCs w:val="20"/>
              </w:rPr>
            </w:pPr>
            <w:r w:rsidRPr="008C7781">
              <w:rPr>
                <w:rFonts w:cs="Arial"/>
                <w:szCs w:val="20"/>
              </w:rPr>
              <w:t>25</w:t>
            </w:r>
          </w:p>
        </w:tc>
        <w:tc>
          <w:tcPr>
            <w:tcW w:w="825" w:type="pct"/>
            <w:vMerge/>
            <w:vAlign w:val="center"/>
            <w:hideMark/>
          </w:tcPr>
          <w:p w14:paraId="5ED90BF6"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47ACD0A8" w14:textId="796376FB" w:rsidR="00D4749A" w:rsidRPr="00E05173" w:rsidRDefault="00107493" w:rsidP="002B08E1">
            <w:pPr>
              <w:spacing w:after="0" w:line="240" w:lineRule="auto"/>
              <w:contextualSpacing/>
              <w:rPr>
                <w:rFonts w:ascii="Calibri" w:hAnsi="Calibri" w:cs="Calibri"/>
                <w:sz w:val="22"/>
                <w:szCs w:val="22"/>
                <w:u w:val="single"/>
              </w:rPr>
            </w:pPr>
            <w:hyperlink r:id="rId56" w:anchor="RANGE!D98" w:history="1">
              <w:r w:rsidR="00D4749A" w:rsidRPr="00E05173">
                <w:t>Sch 1 Part 2 Table 2 (Item 2.2.6 (a))</w:t>
              </w:r>
            </w:hyperlink>
          </w:p>
        </w:tc>
        <w:tc>
          <w:tcPr>
            <w:tcW w:w="2502" w:type="pct"/>
            <w:shd w:val="clear" w:color="auto" w:fill="auto"/>
            <w:vAlign w:val="center"/>
            <w:hideMark/>
          </w:tcPr>
          <w:p w14:paraId="282D945A" w14:textId="576D9A64"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w:t>
            </w:r>
            <w:r w:rsidRPr="00E13C34">
              <w:t>the</w:t>
            </w:r>
            <w:r w:rsidRPr="008C7781">
              <w:rPr>
                <w:szCs w:val="20"/>
              </w:rPr>
              <w:t xml:space="preserve"> application is not accompanied by a frequency assignment certificate </w:t>
            </w:r>
            <w:r w:rsidRPr="002137C1">
              <w:t>issued</w:t>
            </w:r>
            <w:r w:rsidRPr="008C7781">
              <w:rPr>
                <w:szCs w:val="20"/>
              </w:rPr>
              <w:t xml:space="preserve"> by an accredited person:  </w:t>
            </w:r>
          </w:p>
          <w:p w14:paraId="4BCD9346" w14:textId="66094665"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(a) land </w:t>
            </w:r>
            <w:r w:rsidRPr="00E13C34">
              <w:t>mobile</w:t>
            </w:r>
            <w:r w:rsidRPr="008C7781">
              <w:rPr>
                <w:szCs w:val="20"/>
              </w:rPr>
              <w:t xml:space="preserve"> licence (land mobile system 0</w:t>
            </w:r>
            <w:r>
              <w:rPr>
                <w:szCs w:val="20"/>
              </w:rPr>
              <w:t>–</w:t>
            </w:r>
            <w:r w:rsidRPr="008C7781">
              <w:rPr>
                <w:szCs w:val="20"/>
              </w:rPr>
              <w:t>30 MHz)</w:t>
            </w:r>
            <w:r>
              <w:rPr>
                <w:szCs w:val="20"/>
              </w:rPr>
              <w:t>.</w:t>
            </w:r>
          </w:p>
        </w:tc>
        <w:tc>
          <w:tcPr>
            <w:tcW w:w="686" w:type="pct"/>
            <w:shd w:val="clear" w:color="auto" w:fill="auto"/>
            <w:vAlign w:val="center"/>
            <w:hideMark/>
          </w:tcPr>
          <w:p w14:paraId="2897C0E5"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spectrum access</w:t>
            </w:r>
          </w:p>
        </w:tc>
      </w:tr>
      <w:tr w:rsidR="00D4749A" w:rsidRPr="008C7781" w14:paraId="3DF32928" w14:textId="77777777" w:rsidTr="003E5A84">
        <w:trPr>
          <w:trHeight w:val="1274"/>
        </w:trPr>
        <w:tc>
          <w:tcPr>
            <w:tcW w:w="195" w:type="pct"/>
            <w:shd w:val="clear" w:color="auto" w:fill="auto"/>
            <w:vAlign w:val="center"/>
            <w:hideMark/>
          </w:tcPr>
          <w:p w14:paraId="3017D20C" w14:textId="77777777" w:rsidR="00D4749A" w:rsidRPr="008C7781" w:rsidRDefault="00D4749A" w:rsidP="006D0B51">
            <w:pPr>
              <w:spacing w:after="120" w:line="240" w:lineRule="auto"/>
              <w:contextualSpacing/>
              <w:rPr>
                <w:rFonts w:cs="Arial"/>
                <w:szCs w:val="20"/>
              </w:rPr>
            </w:pPr>
            <w:r w:rsidRPr="008C7781">
              <w:rPr>
                <w:rFonts w:cs="Arial"/>
                <w:szCs w:val="20"/>
              </w:rPr>
              <w:t>26</w:t>
            </w:r>
          </w:p>
        </w:tc>
        <w:tc>
          <w:tcPr>
            <w:tcW w:w="825" w:type="pct"/>
            <w:vMerge/>
            <w:vAlign w:val="center"/>
            <w:hideMark/>
          </w:tcPr>
          <w:p w14:paraId="1CE1D9F2"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F72EC9C" w14:textId="77D87A09" w:rsidR="00D4749A" w:rsidRPr="00E05173" w:rsidRDefault="00107493" w:rsidP="002B08E1">
            <w:pPr>
              <w:spacing w:after="0" w:line="240" w:lineRule="auto"/>
              <w:contextualSpacing/>
              <w:rPr>
                <w:rFonts w:ascii="Calibri" w:hAnsi="Calibri" w:cs="Calibri"/>
                <w:sz w:val="22"/>
                <w:szCs w:val="22"/>
                <w:u w:val="single"/>
              </w:rPr>
            </w:pPr>
            <w:hyperlink r:id="rId57" w:anchor="RANGE!D117" w:history="1">
              <w:r w:rsidR="00D4749A" w:rsidRPr="00E05173">
                <w:t>Sch 1 Part 2 Table 2 (Item 2.2.5 (a))</w:t>
              </w:r>
            </w:hyperlink>
          </w:p>
        </w:tc>
        <w:tc>
          <w:tcPr>
            <w:tcW w:w="2502" w:type="pct"/>
            <w:shd w:val="clear" w:color="auto" w:fill="auto"/>
            <w:vAlign w:val="center"/>
            <w:hideMark/>
          </w:tcPr>
          <w:p w14:paraId="1263315A"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16EBF265" w14:textId="20068D00"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(a) land </w:t>
            </w:r>
            <w:r w:rsidRPr="00E13C34">
              <w:t>mobile</w:t>
            </w:r>
            <w:r w:rsidRPr="008C7781">
              <w:rPr>
                <w:szCs w:val="20"/>
              </w:rPr>
              <w:t xml:space="preserve"> licence (land mobile system greater than 30 MHz)</w:t>
            </w:r>
            <w:r>
              <w:rPr>
                <w:szCs w:val="20"/>
              </w:rPr>
              <w:t>.</w:t>
            </w:r>
          </w:p>
        </w:tc>
        <w:tc>
          <w:tcPr>
            <w:tcW w:w="686" w:type="pct"/>
            <w:shd w:val="clear" w:color="auto" w:fill="auto"/>
            <w:vAlign w:val="center"/>
            <w:hideMark/>
          </w:tcPr>
          <w:p w14:paraId="74BEB85F" w14:textId="77777777" w:rsidR="00D4749A" w:rsidRPr="008C7781" w:rsidRDefault="00D4749A" w:rsidP="002B08E1">
            <w:pPr>
              <w:spacing w:after="0" w:line="240" w:lineRule="auto"/>
              <w:contextualSpacing/>
              <w:jc w:val="right"/>
              <w:rPr>
                <w:rFonts w:cs="Arial"/>
                <w:szCs w:val="20"/>
              </w:rPr>
            </w:pPr>
            <w:r w:rsidRPr="008C7781">
              <w:rPr>
                <w:rFonts w:cs="Arial"/>
                <w:szCs w:val="20"/>
              </w:rPr>
              <w:t>$482.00 per spectrum access</w:t>
            </w:r>
          </w:p>
        </w:tc>
      </w:tr>
      <w:tr w:rsidR="00D4749A" w:rsidRPr="008C7781" w14:paraId="6B48FA13" w14:textId="77777777" w:rsidTr="003E5A84">
        <w:trPr>
          <w:trHeight w:val="1153"/>
        </w:trPr>
        <w:tc>
          <w:tcPr>
            <w:tcW w:w="195" w:type="pct"/>
            <w:shd w:val="clear" w:color="auto" w:fill="auto"/>
            <w:vAlign w:val="center"/>
            <w:hideMark/>
          </w:tcPr>
          <w:p w14:paraId="347EBF18" w14:textId="77777777" w:rsidR="00D4749A" w:rsidRPr="008C7781" w:rsidRDefault="00D4749A" w:rsidP="006D0B51">
            <w:pPr>
              <w:spacing w:after="120" w:line="240" w:lineRule="auto"/>
              <w:contextualSpacing/>
              <w:rPr>
                <w:rFonts w:cs="Arial"/>
                <w:szCs w:val="20"/>
              </w:rPr>
            </w:pPr>
            <w:r w:rsidRPr="008C7781">
              <w:rPr>
                <w:rFonts w:cs="Arial"/>
                <w:szCs w:val="20"/>
              </w:rPr>
              <w:t>27</w:t>
            </w:r>
          </w:p>
        </w:tc>
        <w:tc>
          <w:tcPr>
            <w:tcW w:w="825" w:type="pct"/>
            <w:vMerge/>
            <w:vAlign w:val="center"/>
            <w:hideMark/>
          </w:tcPr>
          <w:p w14:paraId="7D75D435"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2C5AE2F3" w14:textId="46CE990A" w:rsidR="00D4749A" w:rsidRPr="00E05173" w:rsidRDefault="00107493" w:rsidP="002B08E1">
            <w:pPr>
              <w:spacing w:after="0" w:line="240" w:lineRule="auto"/>
              <w:contextualSpacing/>
              <w:rPr>
                <w:rFonts w:ascii="Calibri" w:hAnsi="Calibri" w:cs="Calibri"/>
                <w:sz w:val="22"/>
                <w:szCs w:val="22"/>
                <w:u w:val="single"/>
              </w:rPr>
            </w:pPr>
            <w:hyperlink r:id="rId58" w:anchor="RANGE!D117" w:history="1">
              <w:r w:rsidR="00D4749A" w:rsidRPr="00E05173">
                <w:t>Sch 1 Part 2 Table 2 (Item 2.2.5 (b))</w:t>
              </w:r>
            </w:hyperlink>
          </w:p>
        </w:tc>
        <w:tc>
          <w:tcPr>
            <w:tcW w:w="2502" w:type="pct"/>
            <w:shd w:val="clear" w:color="auto" w:fill="auto"/>
            <w:vAlign w:val="center"/>
            <w:hideMark/>
          </w:tcPr>
          <w:p w14:paraId="3AF641A1" w14:textId="0EF585CB"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w:t>
            </w:r>
            <w:r w:rsidRPr="00E13C34">
              <w:t>licences</w:t>
            </w:r>
            <w:r w:rsidRPr="008C7781">
              <w:rPr>
                <w:szCs w:val="20"/>
              </w:rPr>
              <w:t xml:space="preserve">, where the application is not accompanied by a frequency </w:t>
            </w:r>
            <w:r w:rsidRPr="002137C1">
              <w:t>assignment</w:t>
            </w:r>
            <w:r w:rsidRPr="008C7781">
              <w:rPr>
                <w:szCs w:val="20"/>
              </w:rPr>
              <w:t xml:space="preserve"> certificate issued by an accredited person: </w:t>
            </w:r>
          </w:p>
          <w:p w14:paraId="35C15B1F" w14:textId="7C1A69ED"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(b) land mobile licence (CB repeater station)</w:t>
            </w:r>
            <w:r>
              <w:rPr>
                <w:szCs w:val="20"/>
              </w:rPr>
              <w:t>.</w:t>
            </w:r>
          </w:p>
        </w:tc>
        <w:tc>
          <w:tcPr>
            <w:tcW w:w="686" w:type="pct"/>
            <w:shd w:val="clear" w:color="auto" w:fill="auto"/>
            <w:vAlign w:val="center"/>
            <w:hideMark/>
          </w:tcPr>
          <w:p w14:paraId="55D17BBE" w14:textId="77777777" w:rsidR="00D4749A" w:rsidRPr="008C7781" w:rsidRDefault="00D4749A" w:rsidP="002B08E1">
            <w:pPr>
              <w:spacing w:after="0" w:line="240" w:lineRule="auto"/>
              <w:contextualSpacing/>
              <w:jc w:val="right"/>
              <w:rPr>
                <w:rFonts w:cs="Arial"/>
                <w:szCs w:val="20"/>
              </w:rPr>
            </w:pPr>
            <w:r w:rsidRPr="008C7781">
              <w:rPr>
                <w:rFonts w:cs="Arial"/>
                <w:szCs w:val="20"/>
              </w:rPr>
              <w:t>$482.00 per spectrum access</w:t>
            </w:r>
          </w:p>
        </w:tc>
      </w:tr>
      <w:tr w:rsidR="00D4749A" w:rsidRPr="008C7781" w14:paraId="7179B9E0" w14:textId="77777777" w:rsidTr="003E5A84">
        <w:trPr>
          <w:trHeight w:val="1276"/>
        </w:trPr>
        <w:tc>
          <w:tcPr>
            <w:tcW w:w="195" w:type="pct"/>
            <w:shd w:val="clear" w:color="auto" w:fill="auto"/>
            <w:vAlign w:val="center"/>
            <w:hideMark/>
          </w:tcPr>
          <w:p w14:paraId="69AE906E" w14:textId="77777777" w:rsidR="00D4749A" w:rsidRPr="008C7781" w:rsidRDefault="00D4749A" w:rsidP="006D0B51">
            <w:pPr>
              <w:spacing w:after="120" w:line="240" w:lineRule="auto"/>
              <w:contextualSpacing/>
              <w:rPr>
                <w:rFonts w:cs="Arial"/>
                <w:szCs w:val="20"/>
              </w:rPr>
            </w:pPr>
            <w:r w:rsidRPr="008C7781">
              <w:rPr>
                <w:rFonts w:cs="Arial"/>
                <w:szCs w:val="20"/>
              </w:rPr>
              <w:t>28</w:t>
            </w:r>
          </w:p>
        </w:tc>
        <w:tc>
          <w:tcPr>
            <w:tcW w:w="825" w:type="pct"/>
            <w:vMerge/>
            <w:vAlign w:val="center"/>
            <w:hideMark/>
          </w:tcPr>
          <w:p w14:paraId="68E7AA98"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A8872DF" w14:textId="7ED1F284" w:rsidR="00D4749A" w:rsidRPr="00E05173" w:rsidRDefault="00107493" w:rsidP="002B08E1">
            <w:pPr>
              <w:spacing w:after="0" w:line="240" w:lineRule="auto"/>
              <w:contextualSpacing/>
              <w:rPr>
                <w:rFonts w:ascii="Calibri" w:hAnsi="Calibri" w:cs="Calibri"/>
                <w:sz w:val="22"/>
                <w:szCs w:val="22"/>
                <w:u w:val="single"/>
              </w:rPr>
            </w:pPr>
            <w:hyperlink r:id="rId59" w:anchor="RANGE!D197" w:history="1">
              <w:r w:rsidR="00D4749A" w:rsidRPr="00E05173">
                <w:t>Sch 1 Part 2 Table 2 (Item 2.2.2)</w:t>
              </w:r>
            </w:hyperlink>
          </w:p>
        </w:tc>
        <w:tc>
          <w:tcPr>
            <w:tcW w:w="2502" w:type="pct"/>
            <w:shd w:val="clear" w:color="auto" w:fill="auto"/>
            <w:vAlign w:val="center"/>
            <w:hideMark/>
          </w:tcPr>
          <w:p w14:paraId="7B48BB4E" w14:textId="77777777" w:rsidR="00D4749A" w:rsidRDefault="00D4749A" w:rsidP="002137C1">
            <w:pPr>
              <w:pStyle w:val="Paragraphbeforelist"/>
              <w:spacing w:line="240" w:lineRule="auto"/>
              <w:contextualSpacing/>
            </w:pPr>
            <w:r w:rsidRPr="008C7781">
              <w:t>Considering each frequency assignment requested in an application under section 99 of the Radiocommunications Act for the issue of a land mobile licence (ambulatory station) where:</w:t>
            </w:r>
          </w:p>
          <w:p w14:paraId="3A1BD6B6" w14:textId="1C5E973F" w:rsidR="00D4749A" w:rsidRDefault="00D4749A" w:rsidP="002B08E1">
            <w:pPr>
              <w:pStyle w:val="Bulletlevel1"/>
              <w:numPr>
                <w:ilvl w:val="0"/>
                <w:numId w:val="0"/>
              </w:numPr>
              <w:spacing w:line="240" w:lineRule="auto"/>
              <w:ind w:left="295" w:hanging="295"/>
              <w:rPr>
                <w:szCs w:val="20"/>
              </w:rPr>
            </w:pPr>
            <w:r w:rsidRPr="008C7781">
              <w:rPr>
                <w:szCs w:val="20"/>
              </w:rPr>
              <w:t xml:space="preserve">(a) the </w:t>
            </w:r>
            <w:r w:rsidRPr="00E13C34">
              <w:t>application</w:t>
            </w:r>
            <w:r w:rsidRPr="008C7781">
              <w:rPr>
                <w:szCs w:val="20"/>
              </w:rPr>
              <w:t xml:space="preserve"> is not accompanied by a frequency assignment certificate issued by an accredited person; and</w:t>
            </w:r>
          </w:p>
          <w:p w14:paraId="7FAB8CD4" w14:textId="0054636D"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(b) in considering </w:t>
            </w:r>
            <w:r w:rsidRPr="00E13C34">
              <w:t>the</w:t>
            </w:r>
            <w:r w:rsidRPr="008C7781">
              <w:rPr>
                <w:szCs w:val="20"/>
              </w:rPr>
              <w:t xml:space="preserve"> issue of the licence, the ACMA does not perform coordination procedures to minimise interference</w:t>
            </w:r>
            <w:r>
              <w:rPr>
                <w:szCs w:val="20"/>
              </w:rPr>
              <w:t>.</w:t>
            </w:r>
          </w:p>
        </w:tc>
        <w:tc>
          <w:tcPr>
            <w:tcW w:w="686" w:type="pct"/>
            <w:shd w:val="clear" w:color="auto" w:fill="auto"/>
            <w:vAlign w:val="center"/>
            <w:hideMark/>
          </w:tcPr>
          <w:p w14:paraId="7346AD94" w14:textId="77777777" w:rsidR="00D4749A" w:rsidRPr="008C7781" w:rsidRDefault="00D4749A" w:rsidP="002B08E1">
            <w:pPr>
              <w:spacing w:after="0" w:line="240" w:lineRule="auto"/>
              <w:contextualSpacing/>
              <w:jc w:val="right"/>
              <w:rPr>
                <w:rFonts w:cs="Arial"/>
                <w:szCs w:val="20"/>
              </w:rPr>
            </w:pPr>
            <w:r w:rsidRPr="008C7781">
              <w:rPr>
                <w:rFonts w:cs="Arial"/>
                <w:szCs w:val="20"/>
              </w:rPr>
              <w:t>$444.00 per spectrum access</w:t>
            </w:r>
          </w:p>
        </w:tc>
      </w:tr>
      <w:tr w:rsidR="00D4749A" w:rsidRPr="008C7781" w14:paraId="61F1C772" w14:textId="77777777" w:rsidTr="003E5A84">
        <w:trPr>
          <w:trHeight w:val="975"/>
        </w:trPr>
        <w:tc>
          <w:tcPr>
            <w:tcW w:w="195" w:type="pct"/>
            <w:shd w:val="clear" w:color="auto" w:fill="auto"/>
            <w:vAlign w:val="center"/>
            <w:hideMark/>
          </w:tcPr>
          <w:p w14:paraId="65DCB318" w14:textId="77777777" w:rsidR="00D4749A" w:rsidRPr="008C7781" w:rsidRDefault="00D4749A" w:rsidP="006D0B51">
            <w:pPr>
              <w:spacing w:after="120" w:line="240" w:lineRule="auto"/>
              <w:contextualSpacing/>
              <w:rPr>
                <w:rFonts w:cs="Arial"/>
                <w:szCs w:val="20"/>
              </w:rPr>
            </w:pPr>
            <w:r w:rsidRPr="008C7781">
              <w:rPr>
                <w:rFonts w:cs="Arial"/>
                <w:szCs w:val="20"/>
              </w:rPr>
              <w:t>29</w:t>
            </w:r>
          </w:p>
        </w:tc>
        <w:tc>
          <w:tcPr>
            <w:tcW w:w="825" w:type="pct"/>
            <w:vMerge/>
            <w:vAlign w:val="center"/>
            <w:hideMark/>
          </w:tcPr>
          <w:p w14:paraId="5ECF8F23"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5BB30F60" w14:textId="5751A2A5" w:rsidR="00D4749A" w:rsidRPr="00E05173" w:rsidRDefault="00107493" w:rsidP="002B08E1">
            <w:pPr>
              <w:spacing w:after="0" w:line="240" w:lineRule="auto"/>
              <w:contextualSpacing/>
              <w:rPr>
                <w:rFonts w:ascii="Calibri" w:hAnsi="Calibri" w:cs="Calibri"/>
                <w:sz w:val="22"/>
                <w:szCs w:val="22"/>
                <w:u w:val="single"/>
              </w:rPr>
            </w:pPr>
            <w:hyperlink r:id="rId60" w:anchor="RANGE!D197" w:history="1">
              <w:r w:rsidR="00D4749A" w:rsidRPr="00E05173">
                <w:t>Sch 1 Part 2 Table 2 (Item 2.2.3)</w:t>
              </w:r>
            </w:hyperlink>
          </w:p>
        </w:tc>
        <w:tc>
          <w:tcPr>
            <w:tcW w:w="2502" w:type="pct"/>
            <w:shd w:val="clear" w:color="auto" w:fill="auto"/>
            <w:vAlign w:val="center"/>
            <w:hideMark/>
          </w:tcPr>
          <w:p w14:paraId="7F61B1A9" w14:textId="250ED038" w:rsidR="00D4749A" w:rsidRPr="008C7781" w:rsidRDefault="00D4749A" w:rsidP="002B08E1">
            <w:pPr>
              <w:spacing w:after="0" w:line="240" w:lineRule="auto"/>
              <w:contextualSpacing/>
              <w:rPr>
                <w:rFonts w:cs="Arial"/>
                <w:szCs w:val="20"/>
              </w:rPr>
            </w:pPr>
            <w:r w:rsidRPr="008C7781">
              <w:rPr>
                <w:rFonts w:cs="Arial"/>
                <w:szCs w:val="20"/>
              </w:rPr>
              <w:t xml:space="preserve">Considering each frequency assignment requested in an application under section 99 of the Radiocommunications Act for the issue of a land mobile licence (ambulatory station) or a land mobile licence (ambulatory system) </w:t>
            </w:r>
            <w:r w:rsidRPr="008C7781">
              <w:rPr>
                <w:rFonts w:cs="Arial"/>
                <w:szCs w:val="20"/>
              </w:rPr>
              <w:lastRenderedPageBreak/>
              <w:t>where the application is not accompanied by a frequency assignment certificate issued by an accredited person</w:t>
            </w:r>
            <w:r>
              <w:rPr>
                <w:rFonts w:cs="Arial"/>
                <w:szCs w:val="20"/>
              </w:rPr>
              <w:t>.</w:t>
            </w:r>
          </w:p>
        </w:tc>
        <w:tc>
          <w:tcPr>
            <w:tcW w:w="686" w:type="pct"/>
            <w:shd w:val="clear" w:color="auto" w:fill="auto"/>
            <w:vAlign w:val="center"/>
            <w:hideMark/>
          </w:tcPr>
          <w:p w14:paraId="61E98DCA" w14:textId="77777777" w:rsidR="00D4749A" w:rsidRPr="008C7781" w:rsidRDefault="00D4749A" w:rsidP="002B08E1">
            <w:pPr>
              <w:spacing w:after="0" w:line="240" w:lineRule="auto"/>
              <w:contextualSpacing/>
              <w:jc w:val="right"/>
              <w:rPr>
                <w:rFonts w:cs="Arial"/>
                <w:szCs w:val="20"/>
              </w:rPr>
            </w:pPr>
            <w:r w:rsidRPr="008C7781">
              <w:rPr>
                <w:rFonts w:cs="Arial"/>
                <w:szCs w:val="20"/>
              </w:rPr>
              <w:lastRenderedPageBreak/>
              <w:t>$471.00 per spectrum access</w:t>
            </w:r>
          </w:p>
        </w:tc>
      </w:tr>
      <w:tr w:rsidR="00D4749A" w:rsidRPr="008C7781" w14:paraId="765E1C0D" w14:textId="77777777" w:rsidTr="003E5A84">
        <w:trPr>
          <w:trHeight w:val="1120"/>
        </w:trPr>
        <w:tc>
          <w:tcPr>
            <w:tcW w:w="195" w:type="pct"/>
            <w:shd w:val="clear" w:color="auto" w:fill="auto"/>
            <w:vAlign w:val="center"/>
            <w:hideMark/>
          </w:tcPr>
          <w:p w14:paraId="137D43B2" w14:textId="77777777" w:rsidR="00D4749A" w:rsidRPr="008C7781" w:rsidRDefault="00D4749A" w:rsidP="006D0B51">
            <w:pPr>
              <w:spacing w:after="120" w:line="240" w:lineRule="auto"/>
              <w:contextualSpacing/>
              <w:rPr>
                <w:rFonts w:cs="Arial"/>
                <w:szCs w:val="20"/>
              </w:rPr>
            </w:pPr>
            <w:r w:rsidRPr="008C7781">
              <w:rPr>
                <w:rFonts w:cs="Arial"/>
                <w:szCs w:val="20"/>
              </w:rPr>
              <w:t>30</w:t>
            </w:r>
          </w:p>
        </w:tc>
        <w:tc>
          <w:tcPr>
            <w:tcW w:w="825" w:type="pct"/>
            <w:vMerge/>
            <w:vAlign w:val="center"/>
            <w:hideMark/>
          </w:tcPr>
          <w:p w14:paraId="479AD0FD"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9506523" w14:textId="71D974F9" w:rsidR="00D4749A" w:rsidRPr="00E05173" w:rsidRDefault="00107493" w:rsidP="002B08E1">
            <w:pPr>
              <w:spacing w:after="0" w:line="240" w:lineRule="auto"/>
              <w:contextualSpacing/>
              <w:rPr>
                <w:rFonts w:ascii="Calibri" w:hAnsi="Calibri" w:cs="Calibri"/>
                <w:sz w:val="22"/>
                <w:szCs w:val="22"/>
                <w:u w:val="single"/>
              </w:rPr>
            </w:pPr>
            <w:hyperlink r:id="rId61" w:anchor="RANGE!D98" w:history="1">
              <w:r w:rsidR="00D4749A" w:rsidRPr="00E05173">
                <w:t>Sch 1 Part 2 Table 2 (Item 2.2.6 (d))</w:t>
              </w:r>
            </w:hyperlink>
          </w:p>
        </w:tc>
        <w:tc>
          <w:tcPr>
            <w:tcW w:w="2502" w:type="pct"/>
            <w:shd w:val="clear" w:color="auto" w:fill="auto"/>
            <w:vAlign w:val="center"/>
            <w:hideMark/>
          </w:tcPr>
          <w:p w14:paraId="088637FE"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w:t>
            </w:r>
            <w:r w:rsidRPr="002137C1">
              <w:t>assignment</w:t>
            </w:r>
            <w:r w:rsidRPr="008C7781">
              <w:rPr>
                <w:szCs w:val="20"/>
              </w:rPr>
              <w:t xml:space="preserve"> certificate issued by an accredited person: </w:t>
            </w:r>
          </w:p>
          <w:p w14:paraId="3C44A06B" w14:textId="4077052B" w:rsidR="00D4749A" w:rsidRPr="008C7781" w:rsidRDefault="00D4749A" w:rsidP="002B08E1">
            <w:pPr>
              <w:pStyle w:val="Bulletlevel1"/>
              <w:numPr>
                <w:ilvl w:val="0"/>
                <w:numId w:val="0"/>
              </w:numPr>
              <w:spacing w:after="0" w:line="240" w:lineRule="auto"/>
              <w:contextualSpacing/>
            </w:pPr>
            <w:r w:rsidRPr="008C7781">
              <w:t>(d) land mobile licence (paging system - interior paging)</w:t>
            </w:r>
            <w:r>
              <w:t>.</w:t>
            </w:r>
          </w:p>
        </w:tc>
        <w:tc>
          <w:tcPr>
            <w:tcW w:w="686" w:type="pct"/>
            <w:shd w:val="clear" w:color="auto" w:fill="auto"/>
            <w:vAlign w:val="center"/>
            <w:hideMark/>
          </w:tcPr>
          <w:p w14:paraId="2FCB0542"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spectrum access</w:t>
            </w:r>
          </w:p>
        </w:tc>
      </w:tr>
      <w:tr w:rsidR="00D4749A" w:rsidRPr="008C7781" w14:paraId="14C8C5BF" w14:textId="77777777" w:rsidTr="003E5A84">
        <w:trPr>
          <w:trHeight w:val="1152"/>
        </w:trPr>
        <w:tc>
          <w:tcPr>
            <w:tcW w:w="195" w:type="pct"/>
            <w:shd w:val="clear" w:color="auto" w:fill="auto"/>
            <w:vAlign w:val="center"/>
            <w:hideMark/>
          </w:tcPr>
          <w:p w14:paraId="1367200D" w14:textId="77777777" w:rsidR="00D4749A" w:rsidRPr="008C7781" w:rsidRDefault="00D4749A" w:rsidP="006D0B51">
            <w:pPr>
              <w:spacing w:after="120" w:line="240" w:lineRule="auto"/>
              <w:contextualSpacing/>
              <w:rPr>
                <w:rFonts w:cs="Arial"/>
                <w:szCs w:val="20"/>
              </w:rPr>
            </w:pPr>
            <w:r w:rsidRPr="008C7781">
              <w:rPr>
                <w:rFonts w:cs="Arial"/>
                <w:szCs w:val="20"/>
              </w:rPr>
              <w:t>31</w:t>
            </w:r>
          </w:p>
        </w:tc>
        <w:tc>
          <w:tcPr>
            <w:tcW w:w="825" w:type="pct"/>
            <w:vMerge/>
            <w:vAlign w:val="center"/>
            <w:hideMark/>
          </w:tcPr>
          <w:p w14:paraId="764559FA"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5D99C20E" w14:textId="3E6956EA" w:rsidR="00D4749A" w:rsidRPr="00E05173" w:rsidRDefault="00107493" w:rsidP="002B08E1">
            <w:pPr>
              <w:spacing w:after="0" w:line="240" w:lineRule="auto"/>
              <w:contextualSpacing/>
              <w:rPr>
                <w:rFonts w:ascii="Calibri" w:hAnsi="Calibri" w:cs="Calibri"/>
                <w:sz w:val="22"/>
                <w:szCs w:val="22"/>
                <w:u w:val="single"/>
              </w:rPr>
            </w:pPr>
            <w:hyperlink r:id="rId62" w:anchor="RANGE!D98" w:history="1">
              <w:r w:rsidR="00D4749A" w:rsidRPr="00E05173">
                <w:t>Sch 1 Part 2 Table 2 (Item 2.2.6 (c))</w:t>
              </w:r>
            </w:hyperlink>
          </w:p>
        </w:tc>
        <w:tc>
          <w:tcPr>
            <w:tcW w:w="2502" w:type="pct"/>
            <w:shd w:val="clear" w:color="auto" w:fill="auto"/>
            <w:vAlign w:val="center"/>
            <w:hideMark/>
          </w:tcPr>
          <w:p w14:paraId="3791DA88" w14:textId="310E21C8"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t>
            </w:r>
            <w:r w:rsidRPr="00E13C34">
              <w:t>where</w:t>
            </w:r>
            <w:r w:rsidRPr="008C7781">
              <w:rPr>
                <w:szCs w:val="20"/>
              </w:rPr>
              <w:t xml:space="preserve"> the application is not accompanied by a frequency assignment certificate issued by an accredited person: </w:t>
            </w:r>
          </w:p>
          <w:p w14:paraId="6EB68533" w14:textId="66A548ED"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(c) </w:t>
            </w:r>
            <w:r w:rsidRPr="001952AB">
              <w:t>land</w:t>
            </w:r>
            <w:r w:rsidRPr="008C7781">
              <w:rPr>
                <w:szCs w:val="20"/>
              </w:rPr>
              <w:t xml:space="preserve"> mobile licence (paging system - exterior)</w:t>
            </w:r>
            <w:r>
              <w:rPr>
                <w:szCs w:val="20"/>
              </w:rPr>
              <w:t>.</w:t>
            </w:r>
          </w:p>
        </w:tc>
        <w:tc>
          <w:tcPr>
            <w:tcW w:w="686" w:type="pct"/>
            <w:shd w:val="clear" w:color="auto" w:fill="auto"/>
            <w:vAlign w:val="center"/>
            <w:hideMark/>
          </w:tcPr>
          <w:p w14:paraId="6B20E7DE" w14:textId="77777777" w:rsidR="00D4749A" w:rsidRPr="008910E3" w:rsidRDefault="00D4749A" w:rsidP="002B08E1">
            <w:pPr>
              <w:spacing w:after="0" w:line="240" w:lineRule="auto"/>
              <w:contextualSpacing/>
              <w:jc w:val="right"/>
              <w:rPr>
                <w:rFonts w:cs="Arial"/>
                <w:szCs w:val="20"/>
              </w:rPr>
            </w:pPr>
            <w:r w:rsidRPr="008910E3">
              <w:rPr>
                <w:rFonts w:cs="Arial"/>
                <w:szCs w:val="20"/>
              </w:rPr>
              <w:t>$490.00 per spectrum access</w:t>
            </w:r>
          </w:p>
        </w:tc>
      </w:tr>
      <w:tr w:rsidR="00D4749A" w:rsidRPr="008C7781" w14:paraId="25F9E4EC" w14:textId="77777777" w:rsidTr="003E5A84">
        <w:trPr>
          <w:trHeight w:val="1130"/>
        </w:trPr>
        <w:tc>
          <w:tcPr>
            <w:tcW w:w="195" w:type="pct"/>
            <w:shd w:val="clear" w:color="auto" w:fill="auto"/>
            <w:vAlign w:val="center"/>
            <w:hideMark/>
          </w:tcPr>
          <w:p w14:paraId="7556DE64" w14:textId="77777777" w:rsidR="00D4749A" w:rsidRPr="008C7781" w:rsidRDefault="00D4749A" w:rsidP="006D0B51">
            <w:pPr>
              <w:spacing w:after="120" w:line="240" w:lineRule="auto"/>
              <w:contextualSpacing/>
              <w:rPr>
                <w:rFonts w:cs="Arial"/>
                <w:szCs w:val="20"/>
              </w:rPr>
            </w:pPr>
            <w:r w:rsidRPr="008C7781">
              <w:rPr>
                <w:rFonts w:cs="Arial"/>
                <w:szCs w:val="20"/>
              </w:rPr>
              <w:t>32</w:t>
            </w:r>
          </w:p>
        </w:tc>
        <w:tc>
          <w:tcPr>
            <w:tcW w:w="825" w:type="pct"/>
            <w:vMerge/>
            <w:vAlign w:val="center"/>
            <w:hideMark/>
          </w:tcPr>
          <w:p w14:paraId="209E9066"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E166C72" w14:textId="6A381C8E" w:rsidR="00D4749A" w:rsidRPr="00E05173" w:rsidRDefault="00107493" w:rsidP="002B08E1">
            <w:pPr>
              <w:spacing w:after="0" w:line="240" w:lineRule="auto"/>
              <w:contextualSpacing/>
              <w:rPr>
                <w:rFonts w:ascii="Calibri" w:hAnsi="Calibri" w:cs="Calibri"/>
                <w:sz w:val="22"/>
                <w:szCs w:val="22"/>
                <w:u w:val="single"/>
              </w:rPr>
            </w:pPr>
            <w:hyperlink r:id="rId63" w:anchor="RANGE!D98" w:history="1">
              <w:r w:rsidR="00D4749A" w:rsidRPr="00E05173">
                <w:t>Sch 1 Part 2 Table 2 (Item 2.2.6 (b))</w:t>
              </w:r>
            </w:hyperlink>
          </w:p>
        </w:tc>
        <w:tc>
          <w:tcPr>
            <w:tcW w:w="2502" w:type="pct"/>
            <w:shd w:val="clear" w:color="auto" w:fill="auto"/>
            <w:vAlign w:val="center"/>
            <w:hideMark/>
          </w:tcPr>
          <w:p w14:paraId="4AD02C28" w14:textId="6DEBA34E"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w:t>
            </w:r>
            <w:r w:rsidRPr="002137C1">
              <w:t>assignment</w:t>
            </w:r>
            <w:r w:rsidRPr="008C7781">
              <w:rPr>
                <w:szCs w:val="20"/>
              </w:rPr>
              <w:t xml:space="preserve"> certificate issued by an accredited person: </w:t>
            </w:r>
          </w:p>
          <w:p w14:paraId="3D4B57FC" w14:textId="7F850B99" w:rsidR="00D4749A" w:rsidRPr="008C7781" w:rsidRDefault="00D4749A" w:rsidP="002B08E1">
            <w:pPr>
              <w:pStyle w:val="Bulletlevel1"/>
              <w:numPr>
                <w:ilvl w:val="0"/>
                <w:numId w:val="0"/>
              </w:numPr>
              <w:spacing w:after="0" w:line="240" w:lineRule="auto"/>
              <w:contextualSpacing/>
              <w:rPr>
                <w:szCs w:val="20"/>
              </w:rPr>
            </w:pPr>
            <w:r w:rsidRPr="008C7781">
              <w:rPr>
                <w:szCs w:val="20"/>
              </w:rPr>
              <w:br w:type="page"/>
              <w:t xml:space="preserve">(b) land </w:t>
            </w:r>
            <w:r w:rsidRPr="001952AB">
              <w:t>mobile</w:t>
            </w:r>
            <w:r w:rsidRPr="008C7781">
              <w:rPr>
                <w:szCs w:val="20"/>
              </w:rPr>
              <w:t xml:space="preserve"> licence (PABX cordless telephone service)</w:t>
            </w:r>
            <w:r>
              <w:rPr>
                <w:szCs w:val="20"/>
              </w:rPr>
              <w:t>.</w:t>
            </w:r>
          </w:p>
        </w:tc>
        <w:tc>
          <w:tcPr>
            <w:tcW w:w="686" w:type="pct"/>
            <w:shd w:val="clear" w:color="auto" w:fill="auto"/>
            <w:vAlign w:val="center"/>
            <w:hideMark/>
          </w:tcPr>
          <w:p w14:paraId="0E7B4115"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spectrum access</w:t>
            </w:r>
          </w:p>
        </w:tc>
      </w:tr>
      <w:tr w:rsidR="00D4749A" w:rsidRPr="008C7781" w14:paraId="717E2388" w14:textId="77777777" w:rsidTr="003E5A84">
        <w:trPr>
          <w:trHeight w:val="849"/>
        </w:trPr>
        <w:tc>
          <w:tcPr>
            <w:tcW w:w="195" w:type="pct"/>
            <w:shd w:val="clear" w:color="auto" w:fill="auto"/>
            <w:vAlign w:val="center"/>
            <w:hideMark/>
          </w:tcPr>
          <w:p w14:paraId="7ED0050D" w14:textId="77777777" w:rsidR="00D4749A" w:rsidRPr="008C7781" w:rsidRDefault="00D4749A" w:rsidP="006D0B51">
            <w:pPr>
              <w:spacing w:after="120" w:line="240" w:lineRule="auto"/>
              <w:contextualSpacing/>
              <w:rPr>
                <w:rFonts w:cs="Arial"/>
                <w:szCs w:val="20"/>
              </w:rPr>
            </w:pPr>
            <w:r w:rsidRPr="008C7781">
              <w:rPr>
                <w:rFonts w:cs="Arial"/>
                <w:szCs w:val="20"/>
              </w:rPr>
              <w:t>33</w:t>
            </w:r>
          </w:p>
        </w:tc>
        <w:tc>
          <w:tcPr>
            <w:tcW w:w="825" w:type="pct"/>
            <w:vMerge/>
            <w:vAlign w:val="center"/>
            <w:hideMark/>
          </w:tcPr>
          <w:p w14:paraId="0D5EC354"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07782DE2" w14:textId="05AC73B8" w:rsidR="00D4749A" w:rsidRPr="00E05173" w:rsidRDefault="00107493" w:rsidP="002B08E1">
            <w:pPr>
              <w:spacing w:after="0" w:line="240" w:lineRule="auto"/>
              <w:contextualSpacing/>
              <w:rPr>
                <w:rFonts w:ascii="Calibri" w:hAnsi="Calibri" w:cs="Calibri"/>
                <w:sz w:val="22"/>
                <w:szCs w:val="22"/>
                <w:u w:val="single"/>
              </w:rPr>
            </w:pPr>
            <w:hyperlink r:id="rId64" w:anchor="RANGE!D98" w:history="1">
              <w:r w:rsidR="00D4749A" w:rsidRPr="00E05173">
                <w:t>Sch 1 Part 2 Table 2 (Item 2.2.15 (a))</w:t>
              </w:r>
            </w:hyperlink>
          </w:p>
        </w:tc>
        <w:tc>
          <w:tcPr>
            <w:tcW w:w="2502" w:type="pct"/>
            <w:shd w:val="clear" w:color="auto" w:fill="auto"/>
            <w:vAlign w:val="center"/>
            <w:hideMark/>
          </w:tcPr>
          <w:p w14:paraId="411DDC52"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w:t>
            </w:r>
            <w:r w:rsidRPr="002137C1">
              <w:t>certificate</w:t>
            </w:r>
            <w:r w:rsidRPr="008C7781">
              <w:rPr>
                <w:szCs w:val="20"/>
              </w:rPr>
              <w:t xml:space="preserve"> issued by an accredited person: </w:t>
            </w:r>
          </w:p>
          <w:p w14:paraId="2884EBB4" w14:textId="55A0C739" w:rsidR="00D4749A" w:rsidRPr="008C7781" w:rsidRDefault="00D4749A" w:rsidP="002B08E1">
            <w:pPr>
              <w:pStyle w:val="Bulletlevel1"/>
              <w:numPr>
                <w:ilvl w:val="0"/>
                <w:numId w:val="0"/>
              </w:numPr>
              <w:spacing w:after="0" w:line="240" w:lineRule="auto"/>
              <w:ind w:left="295" w:hanging="295"/>
              <w:contextualSpacing/>
            </w:pPr>
            <w:r w:rsidRPr="008C7781">
              <w:t>(a) maritime coast licence (major coast A station)</w:t>
            </w:r>
            <w:r>
              <w:t>.</w:t>
            </w:r>
          </w:p>
        </w:tc>
        <w:tc>
          <w:tcPr>
            <w:tcW w:w="686" w:type="pct"/>
            <w:shd w:val="clear" w:color="auto" w:fill="auto"/>
            <w:vAlign w:val="center"/>
            <w:hideMark/>
          </w:tcPr>
          <w:p w14:paraId="0E531F80"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licence</w:t>
            </w:r>
          </w:p>
        </w:tc>
      </w:tr>
      <w:tr w:rsidR="00D4749A" w:rsidRPr="008C7781" w14:paraId="1680BA86" w14:textId="77777777" w:rsidTr="003E5A84">
        <w:trPr>
          <w:trHeight w:val="1091"/>
        </w:trPr>
        <w:tc>
          <w:tcPr>
            <w:tcW w:w="195" w:type="pct"/>
            <w:shd w:val="clear" w:color="auto" w:fill="auto"/>
            <w:vAlign w:val="center"/>
            <w:hideMark/>
          </w:tcPr>
          <w:p w14:paraId="0F25FC10" w14:textId="77777777" w:rsidR="00D4749A" w:rsidRPr="008C7781" w:rsidRDefault="00D4749A" w:rsidP="006D0B51">
            <w:pPr>
              <w:spacing w:after="120" w:line="240" w:lineRule="auto"/>
              <w:contextualSpacing/>
              <w:rPr>
                <w:rFonts w:cs="Arial"/>
                <w:szCs w:val="20"/>
              </w:rPr>
            </w:pPr>
            <w:r w:rsidRPr="008C7781">
              <w:rPr>
                <w:rFonts w:cs="Arial"/>
                <w:szCs w:val="20"/>
              </w:rPr>
              <w:t>34</w:t>
            </w:r>
          </w:p>
        </w:tc>
        <w:tc>
          <w:tcPr>
            <w:tcW w:w="825" w:type="pct"/>
            <w:vMerge/>
            <w:vAlign w:val="center"/>
            <w:hideMark/>
          </w:tcPr>
          <w:p w14:paraId="3F43BBC4"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248732C2" w14:textId="43DFFE2F" w:rsidR="00D4749A" w:rsidRPr="00E05173" w:rsidRDefault="00107493" w:rsidP="002B08E1">
            <w:pPr>
              <w:spacing w:after="0" w:line="240" w:lineRule="auto"/>
              <w:contextualSpacing/>
              <w:rPr>
                <w:rFonts w:ascii="Calibri" w:hAnsi="Calibri" w:cs="Calibri"/>
                <w:sz w:val="22"/>
                <w:szCs w:val="22"/>
                <w:u w:val="single"/>
              </w:rPr>
            </w:pPr>
            <w:hyperlink r:id="rId65" w:anchor="RANGE!D98" w:history="1">
              <w:r w:rsidR="00D4749A" w:rsidRPr="00E05173">
                <w:t>Sch 1 Part 2 Table 2 (Item 2.2.6 (e))</w:t>
              </w:r>
            </w:hyperlink>
          </w:p>
        </w:tc>
        <w:tc>
          <w:tcPr>
            <w:tcW w:w="2502" w:type="pct"/>
            <w:shd w:val="clear" w:color="auto" w:fill="auto"/>
            <w:vAlign w:val="center"/>
            <w:hideMark/>
          </w:tcPr>
          <w:p w14:paraId="1A4D9187" w14:textId="2E1AE884"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71B30D2C" w14:textId="343647AA" w:rsidR="00D4749A" w:rsidRPr="008C7781" w:rsidRDefault="00D4749A" w:rsidP="002B08E1">
            <w:pPr>
              <w:pStyle w:val="Bulletlevel1"/>
              <w:numPr>
                <w:ilvl w:val="0"/>
                <w:numId w:val="0"/>
              </w:numPr>
              <w:spacing w:after="0" w:line="240" w:lineRule="auto"/>
              <w:ind w:left="295" w:hanging="295"/>
              <w:contextualSpacing/>
            </w:pPr>
            <w:r w:rsidRPr="008C7781">
              <w:t>(</w:t>
            </w:r>
            <w:r>
              <w:t>e</w:t>
            </w:r>
            <w:r w:rsidRPr="008C7781">
              <w:t>)</w:t>
            </w:r>
            <w:r>
              <w:t xml:space="preserve"> </w:t>
            </w:r>
            <w:r w:rsidRPr="008C7781">
              <w:t>maritime coast licence (limited coast assigned system)</w:t>
            </w:r>
            <w:r>
              <w:t>.</w:t>
            </w:r>
          </w:p>
        </w:tc>
        <w:tc>
          <w:tcPr>
            <w:tcW w:w="686" w:type="pct"/>
            <w:shd w:val="clear" w:color="auto" w:fill="auto"/>
            <w:vAlign w:val="center"/>
            <w:hideMark/>
          </w:tcPr>
          <w:p w14:paraId="7D0D42DF"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spectrum access</w:t>
            </w:r>
          </w:p>
        </w:tc>
      </w:tr>
      <w:tr w:rsidR="00D4749A" w:rsidRPr="008C7781" w14:paraId="2D9CE0CD" w14:textId="77777777" w:rsidTr="003E5A84">
        <w:trPr>
          <w:trHeight w:val="967"/>
        </w:trPr>
        <w:tc>
          <w:tcPr>
            <w:tcW w:w="195" w:type="pct"/>
            <w:shd w:val="clear" w:color="auto" w:fill="auto"/>
            <w:vAlign w:val="center"/>
            <w:hideMark/>
          </w:tcPr>
          <w:p w14:paraId="63805AAE"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35</w:t>
            </w:r>
          </w:p>
        </w:tc>
        <w:tc>
          <w:tcPr>
            <w:tcW w:w="825" w:type="pct"/>
            <w:vMerge/>
            <w:vAlign w:val="center"/>
            <w:hideMark/>
          </w:tcPr>
          <w:p w14:paraId="4E23ACCC"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49A8FFB3" w14:textId="03272E97" w:rsidR="00D4749A" w:rsidRPr="00E05173" w:rsidRDefault="00107493" w:rsidP="002B08E1">
            <w:pPr>
              <w:spacing w:after="0" w:line="240" w:lineRule="auto"/>
              <w:contextualSpacing/>
              <w:rPr>
                <w:rFonts w:ascii="Calibri" w:hAnsi="Calibri" w:cs="Calibri"/>
                <w:sz w:val="22"/>
                <w:szCs w:val="22"/>
                <w:u w:val="single"/>
              </w:rPr>
            </w:pPr>
            <w:hyperlink r:id="rId66" w:anchor="RANGE!D98" w:history="1">
              <w:r w:rsidR="00D4749A" w:rsidRPr="00E05173">
                <w:t>Sch 1 Part 2 Table 2 (Item 2.2.15 (b))</w:t>
              </w:r>
            </w:hyperlink>
          </w:p>
        </w:tc>
        <w:tc>
          <w:tcPr>
            <w:tcW w:w="2502" w:type="pct"/>
            <w:shd w:val="clear" w:color="auto" w:fill="auto"/>
            <w:vAlign w:val="center"/>
            <w:hideMark/>
          </w:tcPr>
          <w:p w14:paraId="1F30037A" w14:textId="77777777" w:rsidR="00D4749A" w:rsidRDefault="00D4749A" w:rsidP="0023759E">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issued by an accredited person:  </w:t>
            </w:r>
          </w:p>
          <w:p w14:paraId="73665DF3" w14:textId="062B5D83"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(b) maritime coast </w:t>
            </w:r>
            <w:r w:rsidRPr="001952AB">
              <w:t>licence</w:t>
            </w:r>
            <w:r w:rsidRPr="008C7781">
              <w:rPr>
                <w:szCs w:val="20"/>
              </w:rPr>
              <w:t xml:space="preserve"> (major coast B station)</w:t>
            </w:r>
            <w:r>
              <w:rPr>
                <w:szCs w:val="20"/>
              </w:rPr>
              <w:t>.</w:t>
            </w:r>
          </w:p>
        </w:tc>
        <w:tc>
          <w:tcPr>
            <w:tcW w:w="686" w:type="pct"/>
            <w:shd w:val="clear" w:color="auto" w:fill="auto"/>
            <w:vAlign w:val="center"/>
            <w:hideMark/>
          </w:tcPr>
          <w:p w14:paraId="392F3102"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licence</w:t>
            </w:r>
          </w:p>
        </w:tc>
      </w:tr>
      <w:tr w:rsidR="00D4749A" w:rsidRPr="008C7781" w14:paraId="67A8EFA4" w14:textId="77777777" w:rsidTr="003E5A84">
        <w:trPr>
          <w:trHeight w:val="883"/>
        </w:trPr>
        <w:tc>
          <w:tcPr>
            <w:tcW w:w="195" w:type="pct"/>
            <w:shd w:val="clear" w:color="auto" w:fill="auto"/>
            <w:vAlign w:val="center"/>
            <w:hideMark/>
          </w:tcPr>
          <w:p w14:paraId="7668D217" w14:textId="77777777" w:rsidR="00D4749A" w:rsidRPr="008C7781" w:rsidRDefault="00D4749A" w:rsidP="006D0B51">
            <w:pPr>
              <w:spacing w:after="120" w:line="240" w:lineRule="auto"/>
              <w:contextualSpacing/>
              <w:rPr>
                <w:rFonts w:cs="Arial"/>
                <w:szCs w:val="20"/>
              </w:rPr>
            </w:pPr>
            <w:r w:rsidRPr="008C7781">
              <w:rPr>
                <w:rFonts w:cs="Arial"/>
                <w:szCs w:val="20"/>
              </w:rPr>
              <w:t>36</w:t>
            </w:r>
          </w:p>
        </w:tc>
        <w:tc>
          <w:tcPr>
            <w:tcW w:w="825" w:type="pct"/>
            <w:vMerge/>
            <w:vAlign w:val="center"/>
            <w:hideMark/>
          </w:tcPr>
          <w:p w14:paraId="2E50B059"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688A00B3" w14:textId="1132FE59" w:rsidR="00D4749A" w:rsidRPr="00E05173" w:rsidRDefault="00107493" w:rsidP="002B08E1">
            <w:pPr>
              <w:spacing w:after="0" w:line="240" w:lineRule="auto"/>
              <w:contextualSpacing/>
              <w:rPr>
                <w:rFonts w:ascii="Calibri" w:hAnsi="Calibri" w:cs="Calibri"/>
                <w:sz w:val="22"/>
                <w:szCs w:val="22"/>
                <w:u w:val="single"/>
              </w:rPr>
            </w:pPr>
            <w:hyperlink r:id="rId67" w:anchor="RANGE!D98" w:history="1">
              <w:r w:rsidR="00D4749A" w:rsidRPr="00E05173">
                <w:t>Sch 1 Part 2 Table 2 (Item 2.2.15 (d))</w:t>
              </w:r>
            </w:hyperlink>
          </w:p>
        </w:tc>
        <w:tc>
          <w:tcPr>
            <w:tcW w:w="2502" w:type="pct"/>
            <w:shd w:val="clear" w:color="auto" w:fill="auto"/>
            <w:vAlign w:val="center"/>
            <w:hideMark/>
          </w:tcPr>
          <w:p w14:paraId="14D9F112"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w:t>
            </w:r>
            <w:r w:rsidRPr="002137C1">
              <w:t>issued</w:t>
            </w:r>
            <w:r w:rsidRPr="008C7781">
              <w:rPr>
                <w:szCs w:val="20"/>
              </w:rPr>
              <w:t xml:space="preserve"> by an accredited person: </w:t>
            </w:r>
          </w:p>
          <w:p w14:paraId="1149BFFA" w14:textId="70ABCDAD"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(d) maritime ship licence (ship station class B assigned)</w:t>
            </w:r>
            <w:r>
              <w:rPr>
                <w:szCs w:val="20"/>
              </w:rPr>
              <w:t>.</w:t>
            </w:r>
          </w:p>
        </w:tc>
        <w:tc>
          <w:tcPr>
            <w:tcW w:w="686" w:type="pct"/>
            <w:shd w:val="clear" w:color="auto" w:fill="auto"/>
            <w:vAlign w:val="center"/>
            <w:hideMark/>
          </w:tcPr>
          <w:p w14:paraId="55569157"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licence</w:t>
            </w:r>
          </w:p>
        </w:tc>
      </w:tr>
      <w:tr w:rsidR="00D4749A" w:rsidRPr="008C7781" w14:paraId="318F0EB5" w14:textId="77777777" w:rsidTr="003E5A84">
        <w:trPr>
          <w:trHeight w:val="983"/>
        </w:trPr>
        <w:tc>
          <w:tcPr>
            <w:tcW w:w="195" w:type="pct"/>
            <w:shd w:val="clear" w:color="auto" w:fill="auto"/>
            <w:vAlign w:val="center"/>
            <w:hideMark/>
          </w:tcPr>
          <w:p w14:paraId="56FE491C" w14:textId="77777777" w:rsidR="00D4749A" w:rsidRPr="008C7781" w:rsidRDefault="00D4749A" w:rsidP="006D0B51">
            <w:pPr>
              <w:spacing w:after="120" w:line="240" w:lineRule="auto"/>
              <w:contextualSpacing/>
              <w:rPr>
                <w:rFonts w:cs="Arial"/>
                <w:szCs w:val="20"/>
              </w:rPr>
            </w:pPr>
            <w:r w:rsidRPr="008C7781">
              <w:rPr>
                <w:rFonts w:cs="Arial"/>
                <w:szCs w:val="20"/>
              </w:rPr>
              <w:t>37</w:t>
            </w:r>
          </w:p>
        </w:tc>
        <w:tc>
          <w:tcPr>
            <w:tcW w:w="825" w:type="pct"/>
            <w:vMerge/>
            <w:vAlign w:val="center"/>
            <w:hideMark/>
          </w:tcPr>
          <w:p w14:paraId="74478B8A"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7C11B33" w14:textId="6C54453E" w:rsidR="00D4749A" w:rsidRPr="00E05173" w:rsidRDefault="00107493" w:rsidP="002B08E1">
            <w:pPr>
              <w:spacing w:after="0" w:line="240" w:lineRule="auto"/>
              <w:contextualSpacing/>
              <w:rPr>
                <w:rFonts w:ascii="Calibri" w:hAnsi="Calibri" w:cs="Calibri"/>
                <w:sz w:val="22"/>
                <w:szCs w:val="22"/>
                <w:u w:val="single"/>
              </w:rPr>
            </w:pPr>
            <w:hyperlink r:id="rId68" w:anchor="RANGE!D98" w:history="1">
              <w:r w:rsidR="00D4749A" w:rsidRPr="00E05173">
                <w:t>Sch 1 Part 2 Table 2 (Item 2.2.15 (e))</w:t>
              </w:r>
            </w:hyperlink>
          </w:p>
        </w:tc>
        <w:tc>
          <w:tcPr>
            <w:tcW w:w="2502" w:type="pct"/>
            <w:shd w:val="clear" w:color="auto" w:fill="auto"/>
            <w:vAlign w:val="center"/>
            <w:hideMark/>
          </w:tcPr>
          <w:p w14:paraId="0A68CDA9"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w:t>
            </w:r>
            <w:r w:rsidRPr="002137C1">
              <w:t>issued</w:t>
            </w:r>
            <w:r w:rsidRPr="008C7781">
              <w:rPr>
                <w:szCs w:val="20"/>
              </w:rPr>
              <w:t xml:space="preserve"> by an accredited person: </w:t>
            </w:r>
          </w:p>
          <w:p w14:paraId="463D6D49" w14:textId="06E77DF2" w:rsidR="00D4749A" w:rsidRPr="008C7781" w:rsidRDefault="00D4749A" w:rsidP="002B08E1">
            <w:pPr>
              <w:pStyle w:val="Bulletlevel1"/>
              <w:numPr>
                <w:ilvl w:val="0"/>
                <w:numId w:val="0"/>
              </w:numPr>
              <w:spacing w:after="0" w:line="240" w:lineRule="auto"/>
              <w:ind w:left="295" w:hanging="295"/>
              <w:contextualSpacing/>
              <w:rPr>
                <w:szCs w:val="20"/>
              </w:rPr>
            </w:pPr>
            <w:r w:rsidRPr="008C7781">
              <w:rPr>
                <w:szCs w:val="20"/>
              </w:rPr>
              <w:t xml:space="preserve">(e) </w:t>
            </w:r>
            <w:r w:rsidRPr="001952AB">
              <w:t>maritime</w:t>
            </w:r>
            <w:r w:rsidRPr="008C7781">
              <w:rPr>
                <w:szCs w:val="20"/>
              </w:rPr>
              <w:t xml:space="preserve"> ship licence (ship station class C assigned)</w:t>
            </w:r>
            <w:r>
              <w:rPr>
                <w:szCs w:val="20"/>
              </w:rPr>
              <w:t>.</w:t>
            </w:r>
          </w:p>
        </w:tc>
        <w:tc>
          <w:tcPr>
            <w:tcW w:w="686" w:type="pct"/>
            <w:shd w:val="clear" w:color="auto" w:fill="auto"/>
            <w:vAlign w:val="center"/>
            <w:hideMark/>
          </w:tcPr>
          <w:p w14:paraId="3D9669CE"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licence</w:t>
            </w:r>
          </w:p>
        </w:tc>
      </w:tr>
      <w:tr w:rsidR="00D4749A" w:rsidRPr="008C7781" w14:paraId="5D56298E" w14:textId="77777777" w:rsidTr="003E5A84">
        <w:trPr>
          <w:trHeight w:val="20"/>
        </w:trPr>
        <w:tc>
          <w:tcPr>
            <w:tcW w:w="195" w:type="pct"/>
            <w:shd w:val="clear" w:color="auto" w:fill="auto"/>
            <w:vAlign w:val="center"/>
            <w:hideMark/>
          </w:tcPr>
          <w:p w14:paraId="5833FDD5" w14:textId="77777777" w:rsidR="00D4749A" w:rsidRPr="008C7781" w:rsidRDefault="00D4749A" w:rsidP="006D0B51">
            <w:pPr>
              <w:keepNext/>
              <w:keepLines/>
              <w:spacing w:after="120" w:line="240" w:lineRule="auto"/>
              <w:contextualSpacing/>
              <w:rPr>
                <w:rFonts w:cs="Arial"/>
                <w:szCs w:val="20"/>
              </w:rPr>
            </w:pPr>
            <w:r w:rsidRPr="008C7781">
              <w:rPr>
                <w:rFonts w:cs="Arial"/>
                <w:szCs w:val="20"/>
              </w:rPr>
              <w:t>38</w:t>
            </w:r>
          </w:p>
        </w:tc>
        <w:tc>
          <w:tcPr>
            <w:tcW w:w="825" w:type="pct"/>
            <w:vMerge/>
            <w:vAlign w:val="center"/>
            <w:hideMark/>
          </w:tcPr>
          <w:p w14:paraId="5D9DCA8A" w14:textId="77777777" w:rsidR="00D4749A" w:rsidRPr="005E1BCD" w:rsidRDefault="00D4749A" w:rsidP="006D0B51">
            <w:pPr>
              <w:keepNext/>
              <w:keepLines/>
              <w:spacing w:after="120" w:line="240" w:lineRule="auto"/>
              <w:contextualSpacing/>
              <w:rPr>
                <w:rFonts w:cs="Arial"/>
                <w:b/>
                <w:bCs/>
                <w:szCs w:val="20"/>
              </w:rPr>
            </w:pPr>
          </w:p>
        </w:tc>
        <w:tc>
          <w:tcPr>
            <w:tcW w:w="792" w:type="pct"/>
            <w:shd w:val="clear" w:color="auto" w:fill="auto"/>
            <w:vAlign w:val="center"/>
            <w:hideMark/>
          </w:tcPr>
          <w:p w14:paraId="096FFB22" w14:textId="77F1531B" w:rsidR="00D4749A" w:rsidRPr="00E05173" w:rsidRDefault="00107493" w:rsidP="002B08E1">
            <w:pPr>
              <w:keepNext/>
              <w:keepLines/>
              <w:spacing w:after="0" w:line="240" w:lineRule="auto"/>
              <w:contextualSpacing/>
              <w:rPr>
                <w:rFonts w:ascii="Calibri" w:hAnsi="Calibri" w:cs="Calibri"/>
                <w:sz w:val="22"/>
                <w:szCs w:val="22"/>
                <w:u w:val="single"/>
              </w:rPr>
            </w:pPr>
            <w:hyperlink r:id="rId69" w:anchor="RANGE!D117" w:history="1">
              <w:r w:rsidR="00D4749A" w:rsidRPr="00E05173">
                <w:t>Sch 1 Part 2 Table 2 (Item 2.2.14 (b))</w:t>
              </w:r>
            </w:hyperlink>
          </w:p>
        </w:tc>
        <w:tc>
          <w:tcPr>
            <w:tcW w:w="2502" w:type="pct"/>
            <w:shd w:val="clear" w:color="auto" w:fill="auto"/>
            <w:vAlign w:val="center"/>
            <w:hideMark/>
          </w:tcPr>
          <w:p w14:paraId="35E94DEF"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issued by </w:t>
            </w:r>
            <w:r w:rsidRPr="002137C1">
              <w:t>an</w:t>
            </w:r>
            <w:r w:rsidRPr="008C7781">
              <w:rPr>
                <w:szCs w:val="20"/>
              </w:rPr>
              <w:t xml:space="preserve"> accredited person: </w:t>
            </w:r>
          </w:p>
          <w:p w14:paraId="28020984" w14:textId="38531810" w:rsidR="00D4749A" w:rsidRPr="008C7781" w:rsidRDefault="00D4749A" w:rsidP="002B08E1">
            <w:pPr>
              <w:keepNext/>
              <w:keepLines/>
              <w:spacing w:after="0" w:line="240" w:lineRule="auto"/>
              <w:contextualSpacing/>
              <w:rPr>
                <w:rFonts w:cs="Arial"/>
                <w:szCs w:val="20"/>
              </w:rPr>
            </w:pPr>
            <w:r w:rsidRPr="008C7781">
              <w:rPr>
                <w:rFonts w:cs="Arial"/>
                <w:szCs w:val="20"/>
              </w:rPr>
              <w:t>(b) outpost licence (outpost assigned station)</w:t>
            </w:r>
            <w:r>
              <w:rPr>
                <w:rFonts w:cs="Arial"/>
                <w:szCs w:val="20"/>
              </w:rPr>
              <w:t>.</w:t>
            </w:r>
          </w:p>
        </w:tc>
        <w:tc>
          <w:tcPr>
            <w:tcW w:w="686" w:type="pct"/>
            <w:shd w:val="clear" w:color="auto" w:fill="auto"/>
            <w:vAlign w:val="center"/>
            <w:hideMark/>
          </w:tcPr>
          <w:p w14:paraId="7133CF56" w14:textId="77777777" w:rsidR="00D4749A" w:rsidRPr="008C7781" w:rsidRDefault="00D4749A" w:rsidP="002B08E1">
            <w:pPr>
              <w:keepNext/>
              <w:keepLines/>
              <w:spacing w:after="0" w:line="240" w:lineRule="auto"/>
              <w:contextualSpacing/>
              <w:jc w:val="right"/>
              <w:rPr>
                <w:rFonts w:cs="Arial"/>
                <w:szCs w:val="20"/>
              </w:rPr>
            </w:pPr>
            <w:r w:rsidRPr="008C7781">
              <w:rPr>
                <w:rFonts w:cs="Arial"/>
                <w:szCs w:val="20"/>
              </w:rPr>
              <w:t>$482.00 per licence</w:t>
            </w:r>
          </w:p>
        </w:tc>
      </w:tr>
      <w:tr w:rsidR="00D4749A" w:rsidRPr="008C7781" w14:paraId="69DEFA12" w14:textId="77777777" w:rsidTr="003E5A84">
        <w:trPr>
          <w:trHeight w:val="1183"/>
        </w:trPr>
        <w:tc>
          <w:tcPr>
            <w:tcW w:w="195" w:type="pct"/>
            <w:shd w:val="clear" w:color="auto" w:fill="auto"/>
            <w:vAlign w:val="center"/>
            <w:hideMark/>
          </w:tcPr>
          <w:p w14:paraId="4D85260B" w14:textId="77777777" w:rsidR="00D4749A" w:rsidRPr="008C7781" w:rsidRDefault="00D4749A" w:rsidP="005849A5">
            <w:pPr>
              <w:spacing w:after="0" w:line="240" w:lineRule="auto"/>
              <w:contextualSpacing/>
              <w:rPr>
                <w:rFonts w:cs="Arial"/>
                <w:szCs w:val="20"/>
              </w:rPr>
            </w:pPr>
            <w:r w:rsidRPr="008C7781">
              <w:rPr>
                <w:rFonts w:cs="Arial"/>
                <w:szCs w:val="20"/>
              </w:rPr>
              <w:t>39</w:t>
            </w:r>
          </w:p>
        </w:tc>
        <w:tc>
          <w:tcPr>
            <w:tcW w:w="825" w:type="pct"/>
            <w:vMerge/>
            <w:vAlign w:val="center"/>
            <w:hideMark/>
          </w:tcPr>
          <w:p w14:paraId="08115EB3"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D6A9F51" w14:textId="000E2F1E" w:rsidR="00D4749A" w:rsidRPr="00E05173" w:rsidRDefault="00107493" w:rsidP="002B08E1">
            <w:pPr>
              <w:spacing w:after="0" w:line="240" w:lineRule="auto"/>
              <w:contextualSpacing/>
              <w:rPr>
                <w:rFonts w:ascii="Calibri" w:hAnsi="Calibri" w:cs="Calibri"/>
                <w:sz w:val="22"/>
                <w:szCs w:val="22"/>
                <w:u w:val="single"/>
              </w:rPr>
            </w:pPr>
            <w:hyperlink r:id="rId70" w:anchor="RANGE!D117" w:history="1">
              <w:r w:rsidR="00D4749A" w:rsidRPr="00E05173">
                <w:t>Sch 1 Part 2 Table 2 (Item 2.2.5 (c))</w:t>
              </w:r>
            </w:hyperlink>
          </w:p>
        </w:tc>
        <w:tc>
          <w:tcPr>
            <w:tcW w:w="2502" w:type="pct"/>
            <w:shd w:val="clear" w:color="auto" w:fill="auto"/>
            <w:vAlign w:val="center"/>
            <w:hideMark/>
          </w:tcPr>
          <w:p w14:paraId="2FAF8ED1" w14:textId="731807A9"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1E6EB94D" w14:textId="7BEADBBF" w:rsidR="00D4749A" w:rsidRPr="008C7781" w:rsidRDefault="00D4749A" w:rsidP="002B08E1">
            <w:pPr>
              <w:spacing w:after="0" w:line="240" w:lineRule="auto"/>
              <w:contextualSpacing/>
              <w:rPr>
                <w:rFonts w:cs="Arial"/>
                <w:szCs w:val="20"/>
              </w:rPr>
            </w:pPr>
            <w:r w:rsidRPr="008C7781">
              <w:rPr>
                <w:rFonts w:cs="Arial"/>
                <w:szCs w:val="20"/>
              </w:rPr>
              <w:t>(c) radiodetermination licence</w:t>
            </w:r>
            <w:r>
              <w:rPr>
                <w:rFonts w:cs="Arial"/>
                <w:szCs w:val="20"/>
              </w:rPr>
              <w:t>.</w:t>
            </w:r>
          </w:p>
        </w:tc>
        <w:tc>
          <w:tcPr>
            <w:tcW w:w="686" w:type="pct"/>
            <w:shd w:val="clear" w:color="auto" w:fill="auto"/>
            <w:vAlign w:val="center"/>
            <w:hideMark/>
          </w:tcPr>
          <w:p w14:paraId="18C76E68" w14:textId="77777777" w:rsidR="00D4749A" w:rsidRPr="008C7781" w:rsidRDefault="00D4749A" w:rsidP="002B08E1">
            <w:pPr>
              <w:spacing w:after="0" w:line="240" w:lineRule="auto"/>
              <w:contextualSpacing/>
              <w:jc w:val="right"/>
              <w:rPr>
                <w:rFonts w:cs="Arial"/>
                <w:szCs w:val="20"/>
              </w:rPr>
            </w:pPr>
            <w:r w:rsidRPr="008C7781">
              <w:rPr>
                <w:rFonts w:cs="Arial"/>
                <w:szCs w:val="20"/>
              </w:rPr>
              <w:t>$482.00 per spectrum access</w:t>
            </w:r>
          </w:p>
        </w:tc>
      </w:tr>
      <w:tr w:rsidR="00D4749A" w:rsidRPr="008C7781" w14:paraId="6D8FC70B" w14:textId="77777777" w:rsidTr="003E5A84">
        <w:trPr>
          <w:trHeight w:val="889"/>
        </w:trPr>
        <w:tc>
          <w:tcPr>
            <w:tcW w:w="195" w:type="pct"/>
            <w:shd w:val="clear" w:color="auto" w:fill="auto"/>
            <w:vAlign w:val="center"/>
            <w:hideMark/>
          </w:tcPr>
          <w:p w14:paraId="2A2C64E6" w14:textId="77777777" w:rsidR="00D4749A" w:rsidRPr="008C7781" w:rsidRDefault="00D4749A" w:rsidP="005849A5">
            <w:pPr>
              <w:spacing w:after="0" w:line="240" w:lineRule="auto"/>
              <w:contextualSpacing/>
              <w:rPr>
                <w:rFonts w:cs="Arial"/>
                <w:szCs w:val="20"/>
              </w:rPr>
            </w:pPr>
            <w:r w:rsidRPr="008C7781">
              <w:rPr>
                <w:rFonts w:cs="Arial"/>
                <w:szCs w:val="20"/>
              </w:rPr>
              <w:t>40</w:t>
            </w:r>
          </w:p>
        </w:tc>
        <w:tc>
          <w:tcPr>
            <w:tcW w:w="825" w:type="pct"/>
            <w:vMerge/>
            <w:vAlign w:val="center"/>
            <w:hideMark/>
          </w:tcPr>
          <w:p w14:paraId="042795AA"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DA54085" w14:textId="3B325290" w:rsidR="00D4749A" w:rsidRPr="00E05173" w:rsidRDefault="00107493" w:rsidP="002B08E1">
            <w:pPr>
              <w:spacing w:after="0" w:line="240" w:lineRule="auto"/>
              <w:contextualSpacing/>
              <w:rPr>
                <w:rFonts w:ascii="Calibri" w:hAnsi="Calibri" w:cs="Calibri"/>
                <w:sz w:val="22"/>
                <w:szCs w:val="22"/>
                <w:u w:val="single"/>
              </w:rPr>
            </w:pPr>
            <w:hyperlink r:id="rId71" w:anchor="RANGE!D136" w:history="1">
              <w:r w:rsidR="00D4749A" w:rsidRPr="00E05173">
                <w:t>Sch 1 Part 2 Table 2 (Item 2.2.8)</w:t>
              </w:r>
            </w:hyperlink>
          </w:p>
        </w:tc>
        <w:tc>
          <w:tcPr>
            <w:tcW w:w="2502" w:type="pct"/>
            <w:shd w:val="clear" w:color="auto" w:fill="auto"/>
            <w:vAlign w:val="center"/>
            <w:hideMark/>
          </w:tcPr>
          <w:p w14:paraId="47A91D23" w14:textId="33B8C911" w:rsidR="00D4749A" w:rsidRPr="008C7781" w:rsidRDefault="00D4749A" w:rsidP="002B08E1">
            <w:pPr>
              <w:spacing w:after="0" w:line="240" w:lineRule="auto"/>
              <w:contextualSpacing/>
              <w:rPr>
                <w:rFonts w:cs="Arial"/>
                <w:szCs w:val="20"/>
              </w:rPr>
            </w:pPr>
            <w:r w:rsidRPr="008C7781">
              <w:rPr>
                <w:rFonts w:cs="Arial"/>
                <w:szCs w:val="20"/>
              </w:rPr>
              <w:t>Considering each frequency assignment requested in an application under section 99 of the Radiocommunications Act for the issue of a scientific licence (scientific assigned station), where the application is not accompanied by a frequency assignment certificate issued by an accredited person</w:t>
            </w:r>
            <w:r>
              <w:rPr>
                <w:rFonts w:cs="Arial"/>
                <w:szCs w:val="20"/>
              </w:rPr>
              <w:t>.</w:t>
            </w:r>
          </w:p>
        </w:tc>
        <w:tc>
          <w:tcPr>
            <w:tcW w:w="686" w:type="pct"/>
            <w:shd w:val="clear" w:color="auto" w:fill="auto"/>
            <w:vAlign w:val="center"/>
            <w:hideMark/>
          </w:tcPr>
          <w:p w14:paraId="3DCF9411" w14:textId="77777777" w:rsidR="00D4749A" w:rsidRPr="008C7781" w:rsidRDefault="00D4749A" w:rsidP="002B08E1">
            <w:pPr>
              <w:spacing w:after="0" w:line="240" w:lineRule="auto"/>
              <w:contextualSpacing/>
              <w:jc w:val="right"/>
              <w:rPr>
                <w:rFonts w:cs="Arial"/>
                <w:szCs w:val="20"/>
              </w:rPr>
            </w:pPr>
            <w:r w:rsidRPr="008C7781">
              <w:rPr>
                <w:rFonts w:cs="Arial"/>
                <w:szCs w:val="20"/>
              </w:rPr>
              <w:t>$520.00 per spectrum access</w:t>
            </w:r>
          </w:p>
        </w:tc>
      </w:tr>
      <w:tr w:rsidR="00D4749A" w:rsidRPr="008C7781" w14:paraId="277AC171" w14:textId="77777777" w:rsidTr="002B08E1">
        <w:trPr>
          <w:trHeight w:val="20"/>
        </w:trPr>
        <w:tc>
          <w:tcPr>
            <w:tcW w:w="195" w:type="pct"/>
            <w:shd w:val="clear" w:color="auto" w:fill="auto"/>
            <w:vAlign w:val="center"/>
            <w:hideMark/>
          </w:tcPr>
          <w:p w14:paraId="3FD3EEE0"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41</w:t>
            </w:r>
          </w:p>
        </w:tc>
        <w:tc>
          <w:tcPr>
            <w:tcW w:w="825" w:type="pct"/>
            <w:vMerge/>
            <w:vAlign w:val="center"/>
            <w:hideMark/>
          </w:tcPr>
          <w:p w14:paraId="407FE735"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05D5C24F" w14:textId="14962ECA" w:rsidR="00D4749A" w:rsidRPr="00E05173" w:rsidRDefault="00107493" w:rsidP="006D0B51">
            <w:pPr>
              <w:spacing w:after="120" w:line="240" w:lineRule="auto"/>
              <w:contextualSpacing/>
              <w:rPr>
                <w:rFonts w:ascii="Calibri" w:hAnsi="Calibri" w:cs="Calibri"/>
                <w:sz w:val="22"/>
                <w:szCs w:val="22"/>
                <w:u w:val="single"/>
              </w:rPr>
            </w:pPr>
            <w:hyperlink r:id="rId72" w:anchor="RANGE!D157" w:history="1">
              <w:r w:rsidR="00D4749A" w:rsidRPr="00E05173">
                <w:t>Sch 1 Part 2 Table 2 (Item 2.2.18 (a))</w:t>
              </w:r>
            </w:hyperlink>
          </w:p>
        </w:tc>
        <w:tc>
          <w:tcPr>
            <w:tcW w:w="2502" w:type="pct"/>
            <w:shd w:val="clear" w:color="auto" w:fill="auto"/>
            <w:vAlign w:val="center"/>
            <w:hideMark/>
          </w:tcPr>
          <w:p w14:paraId="304E1CE2" w14:textId="77777777" w:rsidR="00D4749A" w:rsidRDefault="00D4749A" w:rsidP="0023759E">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w:t>
            </w:r>
            <w:r w:rsidRPr="002137C1">
              <w:t>issued</w:t>
            </w:r>
            <w:r w:rsidRPr="008C7781">
              <w:rPr>
                <w:szCs w:val="20"/>
              </w:rPr>
              <w:t xml:space="preserve"> by an accredited person: </w:t>
            </w:r>
          </w:p>
          <w:p w14:paraId="748C134F" w14:textId="743FDA6C" w:rsidR="00D4749A" w:rsidRPr="008C7781" w:rsidRDefault="00D4749A" w:rsidP="002B08E1">
            <w:pPr>
              <w:spacing w:after="0" w:line="240" w:lineRule="auto"/>
              <w:contextualSpacing/>
              <w:rPr>
                <w:rFonts w:cs="Arial"/>
                <w:szCs w:val="20"/>
              </w:rPr>
            </w:pPr>
            <w:r w:rsidRPr="008C7781">
              <w:rPr>
                <w:rFonts w:cs="Arial"/>
                <w:szCs w:val="20"/>
              </w:rPr>
              <w:t>(a) space licence</w:t>
            </w:r>
            <w:r>
              <w:rPr>
                <w:rFonts w:cs="Arial"/>
                <w:szCs w:val="20"/>
              </w:rPr>
              <w:t>.</w:t>
            </w:r>
          </w:p>
        </w:tc>
        <w:tc>
          <w:tcPr>
            <w:tcW w:w="686" w:type="pct"/>
            <w:shd w:val="clear" w:color="auto" w:fill="auto"/>
            <w:vAlign w:val="center"/>
            <w:hideMark/>
          </w:tcPr>
          <w:p w14:paraId="3CCDA9E5" w14:textId="77777777" w:rsidR="00D4749A" w:rsidRPr="008C7781" w:rsidRDefault="00D4749A" w:rsidP="006D0B51">
            <w:pPr>
              <w:spacing w:after="120" w:line="240" w:lineRule="auto"/>
              <w:contextualSpacing/>
              <w:rPr>
                <w:rFonts w:cs="Arial"/>
                <w:szCs w:val="20"/>
              </w:rPr>
            </w:pPr>
            <w:r w:rsidRPr="008C7781">
              <w:rPr>
                <w:rFonts w:cs="Arial"/>
                <w:szCs w:val="20"/>
              </w:rPr>
              <w:t>$576.00 per licence</w:t>
            </w:r>
          </w:p>
        </w:tc>
      </w:tr>
      <w:tr w:rsidR="00D4749A" w:rsidRPr="008C7781" w14:paraId="17D6ADC8" w14:textId="77777777" w:rsidTr="003E5A84">
        <w:trPr>
          <w:trHeight w:val="933"/>
        </w:trPr>
        <w:tc>
          <w:tcPr>
            <w:tcW w:w="195" w:type="pct"/>
            <w:shd w:val="clear" w:color="auto" w:fill="auto"/>
            <w:vAlign w:val="center"/>
            <w:hideMark/>
          </w:tcPr>
          <w:p w14:paraId="2B5BC2FA" w14:textId="77777777" w:rsidR="00D4749A" w:rsidRPr="008C7781" w:rsidRDefault="00D4749A" w:rsidP="002B08E1">
            <w:pPr>
              <w:spacing w:after="0" w:line="240" w:lineRule="auto"/>
              <w:contextualSpacing/>
              <w:rPr>
                <w:rFonts w:cs="Arial"/>
                <w:szCs w:val="20"/>
              </w:rPr>
            </w:pPr>
            <w:r w:rsidRPr="008C7781">
              <w:rPr>
                <w:rFonts w:cs="Arial"/>
                <w:szCs w:val="20"/>
              </w:rPr>
              <w:t>42</w:t>
            </w:r>
          </w:p>
        </w:tc>
        <w:tc>
          <w:tcPr>
            <w:tcW w:w="825" w:type="pct"/>
            <w:vMerge/>
            <w:vAlign w:val="center"/>
            <w:hideMark/>
          </w:tcPr>
          <w:p w14:paraId="7A53A9C3"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6A49FD6" w14:textId="608DBFA4" w:rsidR="00D4749A" w:rsidRPr="00E05173" w:rsidRDefault="00107493" w:rsidP="002B08E1">
            <w:pPr>
              <w:spacing w:after="0" w:line="240" w:lineRule="auto"/>
              <w:contextualSpacing/>
              <w:rPr>
                <w:rFonts w:ascii="Calibri" w:hAnsi="Calibri" w:cs="Calibri"/>
                <w:sz w:val="22"/>
                <w:szCs w:val="22"/>
                <w:u w:val="single"/>
              </w:rPr>
            </w:pPr>
            <w:hyperlink r:id="rId73" w:anchor="RANGE!D157" w:history="1">
              <w:r w:rsidR="00D4749A" w:rsidRPr="00E05173">
                <w:t>Sch 1 Part 2 Table 2 (Item 2.2.18 (b))</w:t>
              </w:r>
            </w:hyperlink>
          </w:p>
        </w:tc>
        <w:tc>
          <w:tcPr>
            <w:tcW w:w="2502" w:type="pct"/>
            <w:shd w:val="clear" w:color="auto" w:fill="auto"/>
            <w:vAlign w:val="center"/>
            <w:hideMark/>
          </w:tcPr>
          <w:p w14:paraId="2E139EDB"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issued by an accredited person: </w:t>
            </w:r>
          </w:p>
          <w:p w14:paraId="2494DAA4" w14:textId="75EFBD36" w:rsidR="00D4749A" w:rsidRPr="008C7781" w:rsidRDefault="00D4749A" w:rsidP="006D0B51">
            <w:pPr>
              <w:spacing w:after="120" w:line="240" w:lineRule="auto"/>
              <w:contextualSpacing/>
              <w:rPr>
                <w:rFonts w:cs="Arial"/>
                <w:szCs w:val="20"/>
              </w:rPr>
            </w:pPr>
            <w:r w:rsidRPr="008C7781">
              <w:rPr>
                <w:rFonts w:cs="Arial"/>
                <w:szCs w:val="20"/>
              </w:rPr>
              <w:t>(b) space receive licence</w:t>
            </w:r>
            <w:r>
              <w:rPr>
                <w:rFonts w:cs="Arial"/>
                <w:szCs w:val="20"/>
              </w:rPr>
              <w:t>.</w:t>
            </w:r>
          </w:p>
        </w:tc>
        <w:tc>
          <w:tcPr>
            <w:tcW w:w="686" w:type="pct"/>
            <w:shd w:val="clear" w:color="auto" w:fill="auto"/>
            <w:vAlign w:val="center"/>
            <w:hideMark/>
          </w:tcPr>
          <w:p w14:paraId="7D948FD4" w14:textId="77777777" w:rsidR="00D4749A" w:rsidRPr="008C7781" w:rsidRDefault="00D4749A" w:rsidP="002B08E1">
            <w:pPr>
              <w:spacing w:after="0" w:line="240" w:lineRule="auto"/>
              <w:contextualSpacing/>
              <w:jc w:val="right"/>
              <w:rPr>
                <w:rFonts w:cs="Arial"/>
                <w:szCs w:val="20"/>
              </w:rPr>
            </w:pPr>
            <w:r w:rsidRPr="008C7781">
              <w:rPr>
                <w:rFonts w:cs="Arial"/>
                <w:szCs w:val="20"/>
              </w:rPr>
              <w:t>$576.00 per licence</w:t>
            </w:r>
          </w:p>
        </w:tc>
      </w:tr>
      <w:tr w:rsidR="00D4749A" w:rsidRPr="008C7781" w14:paraId="5D0054EC" w14:textId="77777777" w:rsidTr="003E5A84">
        <w:trPr>
          <w:trHeight w:val="1130"/>
        </w:trPr>
        <w:tc>
          <w:tcPr>
            <w:tcW w:w="195" w:type="pct"/>
            <w:shd w:val="clear" w:color="auto" w:fill="auto"/>
            <w:vAlign w:val="center"/>
            <w:hideMark/>
          </w:tcPr>
          <w:p w14:paraId="21D58642" w14:textId="77777777" w:rsidR="00D4749A" w:rsidRPr="008C7781" w:rsidRDefault="00D4749A" w:rsidP="002B08E1">
            <w:pPr>
              <w:spacing w:after="0" w:line="240" w:lineRule="auto"/>
              <w:contextualSpacing/>
              <w:rPr>
                <w:rFonts w:cs="Arial"/>
                <w:szCs w:val="20"/>
              </w:rPr>
            </w:pPr>
            <w:r w:rsidRPr="008C7781">
              <w:rPr>
                <w:rFonts w:cs="Arial"/>
                <w:szCs w:val="20"/>
              </w:rPr>
              <w:t>43</w:t>
            </w:r>
          </w:p>
        </w:tc>
        <w:tc>
          <w:tcPr>
            <w:tcW w:w="825" w:type="pct"/>
            <w:vMerge/>
            <w:vAlign w:val="center"/>
            <w:hideMark/>
          </w:tcPr>
          <w:p w14:paraId="178C5916"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E4262ED" w14:textId="38FDE2A0" w:rsidR="00D4749A" w:rsidRPr="00E05173" w:rsidRDefault="00107493" w:rsidP="002B08E1">
            <w:pPr>
              <w:spacing w:after="0" w:line="240" w:lineRule="auto"/>
              <w:contextualSpacing/>
              <w:rPr>
                <w:rFonts w:ascii="Calibri" w:hAnsi="Calibri" w:cs="Calibri"/>
                <w:sz w:val="22"/>
                <w:szCs w:val="22"/>
                <w:u w:val="single"/>
              </w:rPr>
            </w:pPr>
            <w:hyperlink r:id="rId74" w:anchor="RANGE!D98" w:history="1">
              <w:r w:rsidR="00D4749A" w:rsidRPr="00E05173">
                <w:t>Sch 1 Part 2 Table 2 (Item 2.2.15 (c))</w:t>
              </w:r>
            </w:hyperlink>
          </w:p>
        </w:tc>
        <w:tc>
          <w:tcPr>
            <w:tcW w:w="2502" w:type="pct"/>
            <w:shd w:val="clear" w:color="auto" w:fill="auto"/>
            <w:vAlign w:val="center"/>
            <w:hideMark/>
          </w:tcPr>
          <w:p w14:paraId="707387A3" w14:textId="77777777" w:rsidR="00D4749A" w:rsidRDefault="00D4749A" w:rsidP="002137C1">
            <w:pPr>
              <w:pStyle w:val="Paragraphbeforelist"/>
              <w:spacing w:line="240" w:lineRule="auto"/>
              <w:contextualSpacing/>
              <w:rPr>
                <w:szCs w:val="20"/>
              </w:rPr>
            </w:pPr>
            <w:r w:rsidRPr="008C7781">
              <w:rPr>
                <w:szCs w:val="20"/>
              </w:rPr>
              <w:t xml:space="preserve">Considering an application under section 99 of the Radiocommunications Act for the issue of any of the following licences and issuing it (if applicable), where the application is not accompanied by a frequency assignment certificate </w:t>
            </w:r>
            <w:r w:rsidRPr="002137C1">
              <w:t>issued</w:t>
            </w:r>
            <w:r w:rsidRPr="008C7781">
              <w:rPr>
                <w:szCs w:val="20"/>
              </w:rPr>
              <w:t xml:space="preserve"> by an accredited person: </w:t>
            </w:r>
          </w:p>
          <w:p w14:paraId="53DA184E" w14:textId="32E1BFE0" w:rsidR="00D4749A" w:rsidRPr="008C7781" w:rsidRDefault="00D4749A" w:rsidP="0023759E">
            <w:pPr>
              <w:spacing w:after="0" w:line="240" w:lineRule="auto"/>
              <w:contextualSpacing/>
              <w:rPr>
                <w:rFonts w:cs="Arial"/>
                <w:szCs w:val="20"/>
              </w:rPr>
            </w:pPr>
            <w:r w:rsidRPr="008C7781">
              <w:rPr>
                <w:rFonts w:cs="Arial"/>
                <w:szCs w:val="20"/>
              </w:rPr>
              <w:t xml:space="preserve">(c) major </w:t>
            </w:r>
            <w:proofErr w:type="gramStart"/>
            <w:r w:rsidRPr="008C7781">
              <w:rPr>
                <w:rFonts w:cs="Arial"/>
                <w:szCs w:val="20"/>
              </w:rPr>
              <w:t>coast</w:t>
            </w:r>
            <w:proofErr w:type="gramEnd"/>
            <w:r w:rsidRPr="008C7781">
              <w:rPr>
                <w:rFonts w:cs="Arial"/>
                <w:szCs w:val="20"/>
              </w:rPr>
              <w:t xml:space="preserve"> receive licence</w:t>
            </w:r>
            <w:r>
              <w:rPr>
                <w:rFonts w:cs="Arial"/>
                <w:szCs w:val="20"/>
              </w:rPr>
              <w:t>.</w:t>
            </w:r>
          </w:p>
        </w:tc>
        <w:tc>
          <w:tcPr>
            <w:tcW w:w="686" w:type="pct"/>
            <w:shd w:val="clear" w:color="auto" w:fill="auto"/>
            <w:vAlign w:val="center"/>
            <w:hideMark/>
          </w:tcPr>
          <w:p w14:paraId="70E34C10" w14:textId="77777777" w:rsidR="00D4749A" w:rsidRPr="008C7781" w:rsidRDefault="00D4749A" w:rsidP="002B08E1">
            <w:pPr>
              <w:spacing w:after="0" w:line="240" w:lineRule="auto"/>
              <w:contextualSpacing/>
              <w:jc w:val="right"/>
              <w:rPr>
                <w:rFonts w:cs="Arial"/>
                <w:szCs w:val="20"/>
              </w:rPr>
            </w:pPr>
            <w:r w:rsidRPr="008C7781">
              <w:rPr>
                <w:rFonts w:cs="Arial"/>
                <w:szCs w:val="20"/>
              </w:rPr>
              <w:t>$490.00 per licence</w:t>
            </w:r>
          </w:p>
        </w:tc>
      </w:tr>
      <w:tr w:rsidR="00D4749A" w:rsidRPr="008C7781" w14:paraId="5524FC9E" w14:textId="77777777" w:rsidTr="003E5A84">
        <w:trPr>
          <w:trHeight w:val="756"/>
        </w:trPr>
        <w:tc>
          <w:tcPr>
            <w:tcW w:w="195" w:type="pct"/>
            <w:shd w:val="clear" w:color="auto" w:fill="auto"/>
            <w:vAlign w:val="center"/>
            <w:hideMark/>
          </w:tcPr>
          <w:p w14:paraId="70C6C8FC" w14:textId="77777777" w:rsidR="00D4749A" w:rsidRPr="008C7781" w:rsidRDefault="00D4749A" w:rsidP="002B08E1">
            <w:pPr>
              <w:spacing w:after="0" w:line="240" w:lineRule="auto"/>
              <w:contextualSpacing/>
              <w:rPr>
                <w:rFonts w:cs="Arial"/>
                <w:szCs w:val="20"/>
              </w:rPr>
            </w:pPr>
            <w:r w:rsidRPr="008C7781">
              <w:rPr>
                <w:rFonts w:cs="Arial"/>
                <w:szCs w:val="20"/>
              </w:rPr>
              <w:t>44</w:t>
            </w:r>
          </w:p>
        </w:tc>
        <w:tc>
          <w:tcPr>
            <w:tcW w:w="825" w:type="pct"/>
            <w:vMerge/>
            <w:vAlign w:val="center"/>
            <w:hideMark/>
          </w:tcPr>
          <w:p w14:paraId="151950EE"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074264CD" w14:textId="7EEBEB1D" w:rsidR="00D4749A" w:rsidRPr="00E05173" w:rsidRDefault="00107493" w:rsidP="002B08E1">
            <w:pPr>
              <w:spacing w:after="0" w:line="240" w:lineRule="auto"/>
              <w:contextualSpacing/>
              <w:rPr>
                <w:rFonts w:ascii="Calibri" w:hAnsi="Calibri" w:cs="Calibri"/>
                <w:sz w:val="22"/>
                <w:szCs w:val="22"/>
                <w:u w:val="single"/>
              </w:rPr>
            </w:pPr>
            <w:hyperlink r:id="rId75" w:anchor="RANGE!D42" w:history="1">
              <w:r w:rsidR="00D4749A" w:rsidRPr="00E05173">
                <w:t>Sch 1 Part 2 Table 2 (Item 2.2.17)</w:t>
              </w:r>
            </w:hyperlink>
          </w:p>
        </w:tc>
        <w:tc>
          <w:tcPr>
            <w:tcW w:w="2502" w:type="pct"/>
            <w:shd w:val="clear" w:color="auto" w:fill="auto"/>
            <w:vAlign w:val="center"/>
            <w:hideMark/>
          </w:tcPr>
          <w:p w14:paraId="1921B1A4" w14:textId="77777777" w:rsidR="00D4749A" w:rsidRPr="008C7781" w:rsidRDefault="00D4749A" w:rsidP="006D0B51">
            <w:pPr>
              <w:spacing w:after="120" w:line="240" w:lineRule="auto"/>
              <w:contextualSpacing/>
              <w:rPr>
                <w:rFonts w:cs="Arial"/>
                <w:szCs w:val="20"/>
              </w:rPr>
            </w:pPr>
            <w:r w:rsidRPr="008C7781">
              <w:rPr>
                <w:rFonts w:cs="Arial"/>
                <w:szCs w:val="20"/>
              </w:rPr>
              <w:t>Considering an application under section 99 of the Radiocommunications Act for the issue of an earth receive licence and issuing it (if applicable), where the application is not accompanied by a frequency assignment certificate issued by an accredited person.</w:t>
            </w:r>
          </w:p>
        </w:tc>
        <w:tc>
          <w:tcPr>
            <w:tcW w:w="686" w:type="pct"/>
            <w:shd w:val="clear" w:color="auto" w:fill="auto"/>
            <w:vAlign w:val="center"/>
            <w:hideMark/>
          </w:tcPr>
          <w:p w14:paraId="3CA897A7" w14:textId="77777777" w:rsidR="00D4749A" w:rsidRPr="008C7781" w:rsidRDefault="00D4749A" w:rsidP="002B08E1">
            <w:pPr>
              <w:spacing w:after="0" w:line="240" w:lineRule="auto"/>
              <w:contextualSpacing/>
              <w:jc w:val="right"/>
              <w:rPr>
                <w:rFonts w:cs="Arial"/>
                <w:szCs w:val="20"/>
              </w:rPr>
            </w:pPr>
            <w:r w:rsidRPr="008C7781">
              <w:rPr>
                <w:rFonts w:cs="Arial"/>
                <w:szCs w:val="20"/>
              </w:rPr>
              <w:t>$546.00 per licence</w:t>
            </w:r>
          </w:p>
        </w:tc>
      </w:tr>
      <w:tr w:rsidR="00D4749A" w:rsidRPr="008C7781" w14:paraId="22A74655" w14:textId="77777777" w:rsidTr="003E5A84">
        <w:trPr>
          <w:trHeight w:val="977"/>
        </w:trPr>
        <w:tc>
          <w:tcPr>
            <w:tcW w:w="195" w:type="pct"/>
            <w:shd w:val="clear" w:color="auto" w:fill="auto"/>
            <w:vAlign w:val="center"/>
            <w:hideMark/>
          </w:tcPr>
          <w:p w14:paraId="06FC199C" w14:textId="77777777" w:rsidR="00D4749A" w:rsidRPr="008C7781" w:rsidRDefault="00D4749A" w:rsidP="002B08E1">
            <w:pPr>
              <w:spacing w:after="0" w:line="240" w:lineRule="auto"/>
              <w:contextualSpacing/>
              <w:rPr>
                <w:rFonts w:cs="Arial"/>
                <w:szCs w:val="20"/>
              </w:rPr>
            </w:pPr>
            <w:r w:rsidRPr="008C7781">
              <w:rPr>
                <w:rFonts w:cs="Arial"/>
                <w:szCs w:val="20"/>
              </w:rPr>
              <w:t>45</w:t>
            </w:r>
          </w:p>
        </w:tc>
        <w:tc>
          <w:tcPr>
            <w:tcW w:w="825" w:type="pct"/>
            <w:vMerge/>
            <w:vAlign w:val="center"/>
            <w:hideMark/>
          </w:tcPr>
          <w:p w14:paraId="106F31D8"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14D7D97A" w14:textId="3BA7B351" w:rsidR="00D4749A" w:rsidRPr="00E05173" w:rsidRDefault="00107493" w:rsidP="002B08E1">
            <w:pPr>
              <w:spacing w:after="0" w:line="240" w:lineRule="auto"/>
              <w:contextualSpacing/>
              <w:rPr>
                <w:rFonts w:ascii="Calibri" w:hAnsi="Calibri" w:cs="Calibri"/>
                <w:sz w:val="22"/>
                <w:szCs w:val="22"/>
                <w:u w:val="single"/>
              </w:rPr>
            </w:pPr>
            <w:hyperlink r:id="rId76" w:anchor="RANGE!D2" w:history="1">
              <w:r w:rsidR="00D4749A" w:rsidRPr="00E05173">
                <w:t>Sch 1 Part 2 Table 2 (Item 2.2.7 (b))</w:t>
              </w:r>
            </w:hyperlink>
          </w:p>
        </w:tc>
        <w:tc>
          <w:tcPr>
            <w:tcW w:w="2502" w:type="pct"/>
            <w:shd w:val="clear" w:color="auto" w:fill="auto"/>
            <w:vAlign w:val="center"/>
            <w:hideMark/>
          </w:tcPr>
          <w:p w14:paraId="1FF59A8E" w14:textId="7BFD2A3D"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assignment </w:t>
            </w:r>
            <w:r w:rsidRPr="002137C1">
              <w:t>certificate</w:t>
            </w:r>
            <w:r w:rsidRPr="008C7781">
              <w:rPr>
                <w:szCs w:val="20"/>
              </w:rPr>
              <w:t xml:space="preserve"> issued by an accredited person: </w:t>
            </w:r>
          </w:p>
          <w:p w14:paraId="37BEE507" w14:textId="3A4A701B" w:rsidR="00D4749A" w:rsidRPr="008C7781" w:rsidRDefault="00D4749A" w:rsidP="005849A5">
            <w:pPr>
              <w:pStyle w:val="Bulletlevel1"/>
              <w:numPr>
                <w:ilvl w:val="0"/>
                <w:numId w:val="0"/>
              </w:numPr>
              <w:spacing w:after="0" w:line="240" w:lineRule="auto"/>
              <w:ind w:left="295" w:hanging="295"/>
              <w:contextualSpacing/>
            </w:pPr>
            <w:r w:rsidRPr="008C7781">
              <w:t>(b) fixed receive licence</w:t>
            </w:r>
            <w:r>
              <w:t>.</w:t>
            </w:r>
          </w:p>
        </w:tc>
        <w:tc>
          <w:tcPr>
            <w:tcW w:w="686" w:type="pct"/>
            <w:shd w:val="clear" w:color="auto" w:fill="auto"/>
            <w:vAlign w:val="center"/>
            <w:hideMark/>
          </w:tcPr>
          <w:p w14:paraId="316510DD" w14:textId="77777777" w:rsidR="00D4749A" w:rsidRPr="008C7781" w:rsidRDefault="00D4749A" w:rsidP="002B08E1">
            <w:pPr>
              <w:spacing w:after="0" w:line="240" w:lineRule="auto"/>
              <w:contextualSpacing/>
              <w:jc w:val="right"/>
              <w:rPr>
                <w:rFonts w:cs="Arial"/>
                <w:szCs w:val="20"/>
              </w:rPr>
            </w:pPr>
            <w:r w:rsidRPr="008C7781">
              <w:rPr>
                <w:rFonts w:cs="Arial"/>
                <w:szCs w:val="20"/>
              </w:rPr>
              <w:t>$500.00 per spectrum access</w:t>
            </w:r>
          </w:p>
        </w:tc>
      </w:tr>
      <w:tr w:rsidR="00D4749A" w:rsidRPr="008C7781" w14:paraId="0119AE5B" w14:textId="77777777" w:rsidTr="003E5A84">
        <w:trPr>
          <w:trHeight w:val="570"/>
        </w:trPr>
        <w:tc>
          <w:tcPr>
            <w:tcW w:w="195" w:type="pct"/>
            <w:shd w:val="clear" w:color="auto" w:fill="auto"/>
            <w:vAlign w:val="center"/>
            <w:hideMark/>
          </w:tcPr>
          <w:p w14:paraId="0641FEE1" w14:textId="77777777" w:rsidR="00D4749A" w:rsidRPr="008C7781" w:rsidRDefault="00D4749A" w:rsidP="002B08E1">
            <w:pPr>
              <w:spacing w:after="0" w:line="240" w:lineRule="auto"/>
              <w:contextualSpacing/>
              <w:rPr>
                <w:rFonts w:cs="Arial"/>
                <w:szCs w:val="20"/>
              </w:rPr>
            </w:pPr>
            <w:r w:rsidRPr="008C7781">
              <w:rPr>
                <w:rFonts w:cs="Arial"/>
                <w:szCs w:val="20"/>
              </w:rPr>
              <w:t>46</w:t>
            </w:r>
          </w:p>
        </w:tc>
        <w:tc>
          <w:tcPr>
            <w:tcW w:w="825" w:type="pct"/>
            <w:vMerge/>
            <w:vAlign w:val="center"/>
            <w:hideMark/>
          </w:tcPr>
          <w:p w14:paraId="2CDBA29B"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00F9D5E0" w14:textId="2B9706F7" w:rsidR="00D4749A" w:rsidRPr="00E05173" w:rsidRDefault="00107493" w:rsidP="002B08E1">
            <w:pPr>
              <w:spacing w:after="0" w:line="240" w:lineRule="auto"/>
              <w:contextualSpacing/>
              <w:rPr>
                <w:rFonts w:ascii="Calibri" w:hAnsi="Calibri" w:cs="Calibri"/>
                <w:sz w:val="22"/>
                <w:szCs w:val="22"/>
                <w:u w:val="single"/>
              </w:rPr>
            </w:pPr>
            <w:hyperlink r:id="rId77" w:anchor="RANGE!D24" w:history="1">
              <w:r w:rsidR="00D4749A" w:rsidRPr="00E05173">
                <w:t>Sch 1 Part 3 Table 1 (Item 3.1.1)</w:t>
              </w:r>
            </w:hyperlink>
          </w:p>
        </w:tc>
        <w:tc>
          <w:tcPr>
            <w:tcW w:w="2502" w:type="pct"/>
            <w:shd w:val="clear" w:color="auto" w:fill="auto"/>
            <w:vAlign w:val="center"/>
            <w:hideMark/>
          </w:tcPr>
          <w:p w14:paraId="0B8EA362" w14:textId="23B30DDB" w:rsidR="00D4749A" w:rsidRPr="008C7781" w:rsidRDefault="00D4749A" w:rsidP="005849A5">
            <w:pPr>
              <w:spacing w:after="0" w:line="240" w:lineRule="auto"/>
              <w:contextualSpacing/>
              <w:rPr>
                <w:rFonts w:cs="Arial"/>
                <w:szCs w:val="20"/>
              </w:rPr>
            </w:pPr>
            <w:r w:rsidRPr="008C7781">
              <w:rPr>
                <w:rFonts w:cs="Arial"/>
                <w:szCs w:val="20"/>
              </w:rPr>
              <w:t xml:space="preserve">Consideration of an application for a provisional international broadcasting certificate made under section 131AE of Radiocommunications </w:t>
            </w:r>
            <w:proofErr w:type="gramStart"/>
            <w:r w:rsidRPr="008C7781">
              <w:rPr>
                <w:rFonts w:cs="Arial"/>
                <w:szCs w:val="20"/>
              </w:rPr>
              <w:t>Act, and</w:t>
            </w:r>
            <w:proofErr w:type="gramEnd"/>
            <w:r w:rsidRPr="008C7781">
              <w:rPr>
                <w:rFonts w:cs="Arial"/>
                <w:szCs w:val="20"/>
              </w:rPr>
              <w:t xml:space="preserve"> issuing it if applicable</w:t>
            </w:r>
            <w:r>
              <w:rPr>
                <w:rFonts w:cs="Arial"/>
                <w:szCs w:val="20"/>
              </w:rPr>
              <w:t>.</w:t>
            </w:r>
          </w:p>
        </w:tc>
        <w:tc>
          <w:tcPr>
            <w:tcW w:w="686" w:type="pct"/>
            <w:shd w:val="clear" w:color="auto" w:fill="auto"/>
            <w:vAlign w:val="center"/>
            <w:hideMark/>
          </w:tcPr>
          <w:p w14:paraId="7A1E9222" w14:textId="77777777" w:rsidR="00D4749A" w:rsidRPr="008C7781" w:rsidRDefault="00D4749A" w:rsidP="002B08E1">
            <w:pPr>
              <w:spacing w:after="0" w:line="240" w:lineRule="auto"/>
              <w:contextualSpacing/>
              <w:jc w:val="right"/>
              <w:rPr>
                <w:rFonts w:cs="Arial"/>
                <w:szCs w:val="20"/>
              </w:rPr>
            </w:pPr>
            <w:r w:rsidRPr="008C7781">
              <w:rPr>
                <w:rFonts w:cs="Arial"/>
                <w:szCs w:val="20"/>
              </w:rPr>
              <w:t>$113.00</w:t>
            </w:r>
          </w:p>
        </w:tc>
      </w:tr>
      <w:tr w:rsidR="00D4749A" w:rsidRPr="008C7781" w14:paraId="79CE5B2A" w14:textId="77777777" w:rsidTr="003E5A84">
        <w:trPr>
          <w:trHeight w:val="2689"/>
        </w:trPr>
        <w:tc>
          <w:tcPr>
            <w:tcW w:w="195" w:type="pct"/>
            <w:shd w:val="clear" w:color="auto" w:fill="auto"/>
            <w:vAlign w:val="center"/>
            <w:hideMark/>
          </w:tcPr>
          <w:p w14:paraId="514296A7"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47</w:t>
            </w:r>
          </w:p>
        </w:tc>
        <w:tc>
          <w:tcPr>
            <w:tcW w:w="825" w:type="pct"/>
            <w:vMerge/>
            <w:vAlign w:val="center"/>
            <w:hideMark/>
          </w:tcPr>
          <w:p w14:paraId="029A5AFC"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6A11F81" w14:textId="5BF2F1B8" w:rsidR="00D4749A" w:rsidRPr="00E05173" w:rsidRDefault="00107493" w:rsidP="005849A5">
            <w:pPr>
              <w:spacing w:after="0" w:line="240" w:lineRule="auto"/>
              <w:contextualSpacing/>
              <w:rPr>
                <w:rFonts w:ascii="Calibri" w:hAnsi="Calibri" w:cs="Calibri"/>
                <w:sz w:val="22"/>
                <w:szCs w:val="22"/>
                <w:u w:val="single"/>
              </w:rPr>
            </w:pPr>
            <w:hyperlink r:id="rId78" w:anchor="RANGE!D2" w:history="1">
              <w:r w:rsidR="00D4749A" w:rsidRPr="00E05173">
                <w:t>Sch 1 Part 2 Table 2 (Item 2.2.11)</w:t>
              </w:r>
            </w:hyperlink>
          </w:p>
        </w:tc>
        <w:tc>
          <w:tcPr>
            <w:tcW w:w="2502" w:type="pct"/>
            <w:shd w:val="clear" w:color="auto" w:fill="auto"/>
            <w:vAlign w:val="center"/>
            <w:hideMark/>
          </w:tcPr>
          <w:p w14:paraId="02022538" w14:textId="77777777" w:rsidR="00D4749A" w:rsidRDefault="00D4749A" w:rsidP="002137C1">
            <w:pPr>
              <w:pStyle w:val="Paragraphbeforelist"/>
              <w:spacing w:line="240" w:lineRule="auto"/>
              <w:contextualSpacing/>
              <w:rPr>
                <w:szCs w:val="20"/>
              </w:rPr>
            </w:pPr>
            <w:r w:rsidRPr="008C7781">
              <w:rPr>
                <w:szCs w:val="20"/>
              </w:rPr>
              <w:t>Considering an application for the issue of an assigned apparatus licence under section 99 of the Radiocommunications Act (other than a licence referred to in item 2.2.12) and issuing it (if applicable), where:</w:t>
            </w:r>
          </w:p>
          <w:p w14:paraId="20AB5A72" w14:textId="54BB7EB8" w:rsidR="00D4749A" w:rsidRDefault="00D4749A" w:rsidP="005849A5">
            <w:pPr>
              <w:pStyle w:val="Bulletlevel1"/>
              <w:numPr>
                <w:ilvl w:val="0"/>
                <w:numId w:val="0"/>
              </w:numPr>
              <w:spacing w:line="240" w:lineRule="auto"/>
              <w:ind w:left="295" w:hanging="295"/>
            </w:pPr>
            <w:r w:rsidRPr="008C7781">
              <w:t>(a) the application is not accompanied by a frequency assignment certificate;</w:t>
            </w:r>
          </w:p>
          <w:p w14:paraId="3573F287" w14:textId="37F93A8D" w:rsidR="00D4749A" w:rsidRDefault="00D4749A" w:rsidP="005849A5">
            <w:pPr>
              <w:pStyle w:val="Bulletlevel1"/>
              <w:numPr>
                <w:ilvl w:val="0"/>
                <w:numId w:val="0"/>
              </w:numPr>
              <w:spacing w:line="240" w:lineRule="auto"/>
              <w:ind w:left="295" w:hanging="295"/>
            </w:pPr>
            <w:r w:rsidRPr="008C7781">
              <w:t xml:space="preserve">(b) the application is one of a group of 2 or more applications all of which relate to an event with a duration of less than 2 weeks; </w:t>
            </w:r>
          </w:p>
          <w:p w14:paraId="6362F607" w14:textId="6F4807AA" w:rsidR="00D4749A" w:rsidRDefault="00D4749A" w:rsidP="005849A5">
            <w:pPr>
              <w:pStyle w:val="Bulletlevel1"/>
              <w:numPr>
                <w:ilvl w:val="0"/>
                <w:numId w:val="0"/>
              </w:numPr>
              <w:spacing w:line="240" w:lineRule="auto"/>
              <w:ind w:left="295" w:hanging="295"/>
            </w:pPr>
            <w:r w:rsidRPr="008C7781">
              <w:t>(c) all the applications in the group are made at the same time;</w:t>
            </w:r>
          </w:p>
          <w:p w14:paraId="4B2BF9C2" w14:textId="395AF9CC" w:rsidR="00D4749A" w:rsidRDefault="00D4749A" w:rsidP="005849A5">
            <w:pPr>
              <w:pStyle w:val="Bulletlevel1"/>
              <w:numPr>
                <w:ilvl w:val="0"/>
                <w:numId w:val="0"/>
              </w:numPr>
              <w:spacing w:line="240" w:lineRule="auto"/>
              <w:ind w:left="295" w:hanging="295"/>
            </w:pPr>
            <w:r w:rsidRPr="008C7781">
              <w:t>(d) all the applications are processed using an abridged frequency coordination procedure; and</w:t>
            </w:r>
          </w:p>
          <w:p w14:paraId="615F144B" w14:textId="722DD675" w:rsidR="00D4749A" w:rsidRDefault="00D4749A" w:rsidP="005849A5">
            <w:pPr>
              <w:pStyle w:val="Bulletlevel1"/>
              <w:numPr>
                <w:ilvl w:val="0"/>
                <w:numId w:val="0"/>
              </w:numPr>
              <w:spacing w:line="240" w:lineRule="auto"/>
              <w:ind w:left="295" w:hanging="295"/>
            </w:pPr>
            <w:r w:rsidRPr="008C7781">
              <w:t>(e) the licences are to be issued on the basis that the use of the licences:</w:t>
            </w:r>
          </w:p>
          <w:p w14:paraId="4194E200" w14:textId="20B8AA20" w:rsidR="00D4749A" w:rsidRDefault="00D4749A" w:rsidP="005849A5">
            <w:pPr>
              <w:pStyle w:val="Bulletlevel2"/>
              <w:numPr>
                <w:ilvl w:val="0"/>
                <w:numId w:val="0"/>
              </w:numPr>
              <w:spacing w:line="240" w:lineRule="auto"/>
              <w:ind w:left="845" w:hanging="544"/>
            </w:pPr>
            <w:r w:rsidRPr="008C7781">
              <w:t>(</w:t>
            </w:r>
            <w:proofErr w:type="spellStart"/>
            <w:r w:rsidRPr="008C7781">
              <w:t>i</w:t>
            </w:r>
            <w:proofErr w:type="spellEnd"/>
            <w:r w:rsidRPr="008C7781">
              <w:t>) is not to cause interference, and</w:t>
            </w:r>
          </w:p>
          <w:p w14:paraId="1E428D48" w14:textId="49DDB379" w:rsidR="00D4749A" w:rsidRPr="008C7781" w:rsidRDefault="00D4749A" w:rsidP="005849A5">
            <w:pPr>
              <w:pStyle w:val="Bulletlevel2"/>
              <w:numPr>
                <w:ilvl w:val="0"/>
                <w:numId w:val="0"/>
              </w:numPr>
              <w:spacing w:after="0" w:line="240" w:lineRule="auto"/>
              <w:ind w:left="845" w:hanging="544"/>
              <w:contextualSpacing/>
            </w:pPr>
            <w:r w:rsidRPr="008C7781">
              <w:t>(ii) will not be afforded protection from interference caused by other services</w:t>
            </w:r>
            <w:r>
              <w:t>.</w:t>
            </w:r>
          </w:p>
        </w:tc>
        <w:tc>
          <w:tcPr>
            <w:tcW w:w="686" w:type="pct"/>
            <w:shd w:val="clear" w:color="auto" w:fill="auto"/>
            <w:vAlign w:val="center"/>
            <w:hideMark/>
          </w:tcPr>
          <w:p w14:paraId="7A32BF78" w14:textId="77777777" w:rsidR="00D4749A" w:rsidRPr="008C7781" w:rsidRDefault="00D4749A" w:rsidP="005849A5">
            <w:pPr>
              <w:spacing w:after="0" w:line="240" w:lineRule="auto"/>
              <w:contextualSpacing/>
              <w:jc w:val="right"/>
              <w:rPr>
                <w:rFonts w:cs="Arial"/>
                <w:szCs w:val="20"/>
              </w:rPr>
            </w:pPr>
            <w:r w:rsidRPr="008C7781">
              <w:rPr>
                <w:rFonts w:cs="Arial"/>
                <w:szCs w:val="20"/>
              </w:rPr>
              <w:t>$500.00 per licence</w:t>
            </w:r>
          </w:p>
        </w:tc>
      </w:tr>
      <w:tr w:rsidR="00D4749A" w:rsidRPr="008C7781" w14:paraId="78854F0E" w14:textId="77777777" w:rsidTr="003E5A84">
        <w:trPr>
          <w:trHeight w:val="3139"/>
        </w:trPr>
        <w:tc>
          <w:tcPr>
            <w:tcW w:w="195" w:type="pct"/>
            <w:shd w:val="clear" w:color="auto" w:fill="auto"/>
            <w:vAlign w:val="center"/>
            <w:hideMark/>
          </w:tcPr>
          <w:p w14:paraId="7C8C54B0" w14:textId="77777777" w:rsidR="00D4749A" w:rsidRPr="008C7781" w:rsidRDefault="00D4749A" w:rsidP="006D0B51">
            <w:pPr>
              <w:spacing w:after="120" w:line="240" w:lineRule="auto"/>
              <w:contextualSpacing/>
              <w:rPr>
                <w:rFonts w:cs="Arial"/>
                <w:szCs w:val="20"/>
              </w:rPr>
            </w:pPr>
            <w:r w:rsidRPr="008C7781">
              <w:rPr>
                <w:rFonts w:cs="Arial"/>
                <w:szCs w:val="20"/>
              </w:rPr>
              <w:t>48</w:t>
            </w:r>
          </w:p>
        </w:tc>
        <w:tc>
          <w:tcPr>
            <w:tcW w:w="825" w:type="pct"/>
            <w:vMerge/>
            <w:vAlign w:val="center"/>
            <w:hideMark/>
          </w:tcPr>
          <w:p w14:paraId="2E99DCA6"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5FB297C2" w14:textId="122FFE55" w:rsidR="00D4749A" w:rsidRPr="00E05173" w:rsidRDefault="00107493" w:rsidP="005849A5">
            <w:pPr>
              <w:spacing w:after="0" w:line="240" w:lineRule="auto"/>
              <w:contextualSpacing/>
              <w:rPr>
                <w:rFonts w:ascii="Calibri" w:hAnsi="Calibri" w:cs="Calibri"/>
                <w:sz w:val="22"/>
                <w:szCs w:val="22"/>
                <w:u w:val="single"/>
              </w:rPr>
            </w:pPr>
            <w:hyperlink r:id="rId79" w:anchor="RANGE!D2" w:history="1">
              <w:r w:rsidR="00D4749A" w:rsidRPr="00E05173">
                <w:t>Sch 1 Part 2 Table 2 (Item 2.2.12)</w:t>
              </w:r>
            </w:hyperlink>
          </w:p>
        </w:tc>
        <w:tc>
          <w:tcPr>
            <w:tcW w:w="2502" w:type="pct"/>
            <w:shd w:val="clear" w:color="auto" w:fill="auto"/>
            <w:vAlign w:val="center"/>
            <w:hideMark/>
          </w:tcPr>
          <w:p w14:paraId="702BA315" w14:textId="77777777" w:rsidR="00D4749A" w:rsidRDefault="00D4749A" w:rsidP="002137C1">
            <w:pPr>
              <w:pStyle w:val="Paragraphbeforelist"/>
              <w:spacing w:line="240" w:lineRule="auto"/>
              <w:contextualSpacing/>
              <w:rPr>
                <w:szCs w:val="20"/>
              </w:rPr>
            </w:pPr>
            <w:r w:rsidRPr="008C7781">
              <w:rPr>
                <w:szCs w:val="20"/>
              </w:rPr>
              <w:t>Considering an application for the issue of an assigned apparatus licence under section 99 of the Radiocommunications Act and issuing it (if applicable), where:</w:t>
            </w:r>
          </w:p>
          <w:p w14:paraId="3DD864C8" w14:textId="593B0917" w:rsidR="00D4749A" w:rsidRDefault="00D4749A" w:rsidP="005849A5">
            <w:pPr>
              <w:pStyle w:val="Bulletlevel1"/>
              <w:numPr>
                <w:ilvl w:val="0"/>
                <w:numId w:val="0"/>
              </w:numPr>
              <w:spacing w:line="240" w:lineRule="auto"/>
              <w:ind w:left="295" w:hanging="295"/>
            </w:pPr>
            <w:r w:rsidRPr="008C7781">
              <w:t>(a) the application is not accompanied by a frequency assignment certificate;</w:t>
            </w:r>
          </w:p>
          <w:p w14:paraId="28178E3D" w14:textId="48D892EB" w:rsidR="00D4749A" w:rsidRDefault="00D4749A" w:rsidP="005849A5">
            <w:pPr>
              <w:pStyle w:val="Bulletlevel1"/>
              <w:numPr>
                <w:ilvl w:val="0"/>
                <w:numId w:val="0"/>
              </w:numPr>
              <w:spacing w:line="240" w:lineRule="auto"/>
              <w:ind w:left="295" w:hanging="295"/>
            </w:pPr>
            <w:r w:rsidRPr="008C7781">
              <w:t xml:space="preserve">(b) the application is one of a group of 2 or more applications all of which relate to military or other defence manoeuvres involving simulated wartime operations carried out to train and evaluate personnel, that happen for a period of not more than 3 months; </w:t>
            </w:r>
          </w:p>
          <w:p w14:paraId="45AE71F0" w14:textId="378919DD" w:rsidR="00D4749A" w:rsidRDefault="00D4749A" w:rsidP="005849A5">
            <w:pPr>
              <w:pStyle w:val="Bulletlevel1"/>
              <w:numPr>
                <w:ilvl w:val="0"/>
                <w:numId w:val="0"/>
              </w:numPr>
              <w:spacing w:line="240" w:lineRule="auto"/>
              <w:ind w:left="295" w:hanging="295"/>
            </w:pPr>
            <w:r w:rsidRPr="008C7781">
              <w:t>(c) all applications in the group are made at the same time;</w:t>
            </w:r>
          </w:p>
          <w:p w14:paraId="258460B0" w14:textId="21B1FA9E" w:rsidR="00D4749A" w:rsidRDefault="00D4749A" w:rsidP="005849A5">
            <w:pPr>
              <w:pStyle w:val="Bulletlevel1"/>
              <w:numPr>
                <w:ilvl w:val="0"/>
                <w:numId w:val="0"/>
              </w:numPr>
              <w:spacing w:line="240" w:lineRule="auto"/>
              <w:ind w:left="295" w:hanging="295"/>
            </w:pPr>
            <w:r w:rsidRPr="008C7781">
              <w:t>(d) all the applications are processed using an abridged frequency coordination procedure; and</w:t>
            </w:r>
          </w:p>
          <w:p w14:paraId="6174C3F1" w14:textId="43E8563E" w:rsidR="00D4749A" w:rsidRPr="008C7781" w:rsidRDefault="00D4749A" w:rsidP="005849A5">
            <w:pPr>
              <w:pStyle w:val="Bulletlevel1"/>
              <w:numPr>
                <w:ilvl w:val="0"/>
                <w:numId w:val="0"/>
              </w:numPr>
              <w:spacing w:after="0" w:line="240" w:lineRule="auto"/>
              <w:ind w:left="295" w:hanging="295"/>
              <w:contextualSpacing/>
            </w:pPr>
            <w:r w:rsidRPr="008C7781">
              <w:t xml:space="preserve">(e) the licences are to be issued on the basis that the use of the licences is not to cause </w:t>
            </w:r>
            <w:proofErr w:type="gramStart"/>
            <w:r w:rsidRPr="008C7781">
              <w:t>interference, and</w:t>
            </w:r>
            <w:proofErr w:type="gramEnd"/>
            <w:r w:rsidRPr="008C7781">
              <w:t xml:space="preserve"> will not be afforded protection from interference caused by other services</w:t>
            </w:r>
            <w:r>
              <w:t>.</w:t>
            </w:r>
            <w:r w:rsidRPr="008C7781">
              <w:t xml:space="preserve">   </w:t>
            </w:r>
          </w:p>
        </w:tc>
        <w:tc>
          <w:tcPr>
            <w:tcW w:w="686" w:type="pct"/>
            <w:shd w:val="clear" w:color="auto" w:fill="auto"/>
            <w:vAlign w:val="center"/>
            <w:hideMark/>
          </w:tcPr>
          <w:p w14:paraId="578DE5EB" w14:textId="77777777" w:rsidR="00D4749A" w:rsidRPr="008C7781" w:rsidRDefault="00D4749A" w:rsidP="005849A5">
            <w:pPr>
              <w:spacing w:after="0" w:line="240" w:lineRule="auto"/>
              <w:contextualSpacing/>
              <w:jc w:val="right"/>
              <w:rPr>
                <w:rFonts w:cs="Arial"/>
                <w:szCs w:val="20"/>
              </w:rPr>
            </w:pPr>
            <w:r w:rsidRPr="008C7781">
              <w:rPr>
                <w:rFonts w:cs="Arial"/>
                <w:szCs w:val="20"/>
              </w:rPr>
              <w:t>$500.00 per licence</w:t>
            </w:r>
          </w:p>
        </w:tc>
      </w:tr>
      <w:tr w:rsidR="00D4749A" w:rsidRPr="008C7781" w14:paraId="3B8DB5BC" w14:textId="77777777" w:rsidTr="003E5A84">
        <w:trPr>
          <w:trHeight w:val="279"/>
        </w:trPr>
        <w:tc>
          <w:tcPr>
            <w:tcW w:w="195" w:type="pct"/>
            <w:shd w:val="clear" w:color="auto" w:fill="auto"/>
            <w:vAlign w:val="center"/>
            <w:hideMark/>
          </w:tcPr>
          <w:p w14:paraId="2D36C34C" w14:textId="77777777" w:rsidR="00D4749A" w:rsidRPr="008C7781" w:rsidRDefault="00D4749A" w:rsidP="006D0B51">
            <w:pPr>
              <w:spacing w:after="120" w:line="240" w:lineRule="auto"/>
              <w:contextualSpacing/>
              <w:rPr>
                <w:rFonts w:cs="Arial"/>
                <w:szCs w:val="20"/>
              </w:rPr>
            </w:pPr>
            <w:r w:rsidRPr="008C7781">
              <w:rPr>
                <w:rFonts w:cs="Arial"/>
                <w:szCs w:val="20"/>
              </w:rPr>
              <w:t>49</w:t>
            </w:r>
          </w:p>
        </w:tc>
        <w:tc>
          <w:tcPr>
            <w:tcW w:w="825" w:type="pct"/>
            <w:vMerge/>
            <w:vAlign w:val="center"/>
            <w:hideMark/>
          </w:tcPr>
          <w:p w14:paraId="28EF1427"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76E4D1F7" w14:textId="563CB83A" w:rsidR="00D4749A" w:rsidRPr="00E05173" w:rsidRDefault="00107493" w:rsidP="005849A5">
            <w:pPr>
              <w:spacing w:after="0" w:line="240" w:lineRule="auto"/>
              <w:contextualSpacing/>
              <w:rPr>
                <w:rFonts w:ascii="Calibri" w:hAnsi="Calibri" w:cs="Calibri"/>
                <w:sz w:val="22"/>
                <w:szCs w:val="22"/>
                <w:u w:val="single"/>
              </w:rPr>
            </w:pPr>
            <w:hyperlink r:id="rId80" w:anchor="RANGE!E2" w:history="1">
              <w:r w:rsidR="00D4749A" w:rsidRPr="00E05173">
                <w:t>Sch 1 Part 2 Table 3 (Item 2.3.1)</w:t>
              </w:r>
            </w:hyperlink>
          </w:p>
        </w:tc>
        <w:tc>
          <w:tcPr>
            <w:tcW w:w="2502" w:type="pct"/>
            <w:shd w:val="clear" w:color="auto" w:fill="auto"/>
            <w:vAlign w:val="center"/>
            <w:hideMark/>
          </w:tcPr>
          <w:p w14:paraId="4357DA9B" w14:textId="18285123" w:rsidR="00D4749A" w:rsidRPr="008C7781" w:rsidRDefault="00D4749A" w:rsidP="005849A5">
            <w:pPr>
              <w:spacing w:after="0" w:line="240" w:lineRule="auto"/>
              <w:contextualSpacing/>
              <w:rPr>
                <w:rFonts w:cs="Arial"/>
                <w:szCs w:val="20"/>
              </w:rPr>
            </w:pPr>
            <w:r w:rsidRPr="008C7781">
              <w:rPr>
                <w:rFonts w:cs="Arial"/>
                <w:szCs w:val="20"/>
              </w:rPr>
              <w:t>Considering an application to participate in a price-based allocation of an HPON licence in accordance with the HPON Determination</w:t>
            </w:r>
            <w:r w:rsidR="005849A5">
              <w:rPr>
                <w:rFonts w:cs="Arial"/>
                <w:szCs w:val="20"/>
              </w:rPr>
              <w:t>.</w:t>
            </w:r>
          </w:p>
        </w:tc>
        <w:tc>
          <w:tcPr>
            <w:tcW w:w="686" w:type="pct"/>
            <w:shd w:val="clear" w:color="auto" w:fill="auto"/>
            <w:vAlign w:val="center"/>
            <w:hideMark/>
          </w:tcPr>
          <w:p w14:paraId="1C6A391D" w14:textId="77777777" w:rsidR="00D4749A" w:rsidRPr="008C7781" w:rsidRDefault="00D4749A" w:rsidP="005849A5">
            <w:pPr>
              <w:spacing w:after="0" w:line="240" w:lineRule="auto"/>
              <w:contextualSpacing/>
              <w:jc w:val="right"/>
              <w:rPr>
                <w:rFonts w:cs="Arial"/>
                <w:szCs w:val="20"/>
              </w:rPr>
            </w:pPr>
            <w:r w:rsidRPr="008C7781">
              <w:rPr>
                <w:rFonts w:cs="Arial"/>
                <w:szCs w:val="20"/>
              </w:rPr>
              <w:t>$471.00</w:t>
            </w:r>
          </w:p>
        </w:tc>
      </w:tr>
      <w:tr w:rsidR="00D4749A" w:rsidRPr="008C7781" w14:paraId="5E662A82" w14:textId="77777777" w:rsidTr="003E5A84">
        <w:trPr>
          <w:trHeight w:val="1123"/>
        </w:trPr>
        <w:tc>
          <w:tcPr>
            <w:tcW w:w="195" w:type="pct"/>
            <w:shd w:val="clear" w:color="auto" w:fill="auto"/>
            <w:vAlign w:val="center"/>
            <w:hideMark/>
          </w:tcPr>
          <w:p w14:paraId="4681C710" w14:textId="77777777" w:rsidR="00D4749A" w:rsidRPr="008C7781" w:rsidRDefault="00D4749A" w:rsidP="006D0B51">
            <w:pPr>
              <w:spacing w:after="120" w:line="240" w:lineRule="auto"/>
              <w:contextualSpacing/>
              <w:rPr>
                <w:rFonts w:cs="Arial"/>
                <w:szCs w:val="20"/>
              </w:rPr>
            </w:pPr>
            <w:r w:rsidRPr="008C7781">
              <w:rPr>
                <w:rFonts w:cs="Arial"/>
                <w:szCs w:val="20"/>
              </w:rPr>
              <w:lastRenderedPageBreak/>
              <w:t>50</w:t>
            </w:r>
          </w:p>
        </w:tc>
        <w:tc>
          <w:tcPr>
            <w:tcW w:w="825" w:type="pct"/>
            <w:vMerge/>
            <w:vAlign w:val="center"/>
            <w:hideMark/>
          </w:tcPr>
          <w:p w14:paraId="7BBE7B83" w14:textId="77777777" w:rsidR="00D4749A" w:rsidRPr="005E1BCD" w:rsidRDefault="00D4749A" w:rsidP="006D0B51">
            <w:pPr>
              <w:spacing w:after="120" w:line="240" w:lineRule="auto"/>
              <w:contextualSpacing/>
              <w:rPr>
                <w:rFonts w:cs="Arial"/>
                <w:b/>
                <w:bCs/>
                <w:szCs w:val="20"/>
              </w:rPr>
            </w:pPr>
          </w:p>
        </w:tc>
        <w:tc>
          <w:tcPr>
            <w:tcW w:w="792" w:type="pct"/>
            <w:shd w:val="clear" w:color="auto" w:fill="auto"/>
            <w:vAlign w:val="center"/>
            <w:hideMark/>
          </w:tcPr>
          <w:p w14:paraId="55955476" w14:textId="72746F7F" w:rsidR="00D4749A" w:rsidRPr="00E05173" w:rsidRDefault="00107493" w:rsidP="005849A5">
            <w:pPr>
              <w:spacing w:after="0" w:line="240" w:lineRule="auto"/>
              <w:contextualSpacing/>
              <w:rPr>
                <w:rFonts w:ascii="Calibri" w:hAnsi="Calibri" w:cs="Calibri"/>
                <w:sz w:val="22"/>
                <w:szCs w:val="22"/>
                <w:u w:val="single"/>
              </w:rPr>
            </w:pPr>
            <w:hyperlink r:id="rId81" w:anchor="RANGE!D2" w:history="1">
              <w:r w:rsidR="00D4749A" w:rsidRPr="00E05173">
                <w:t>Sch 1 Part 2 Table 2 (Item 2.2.7 (c))</w:t>
              </w:r>
            </w:hyperlink>
          </w:p>
        </w:tc>
        <w:tc>
          <w:tcPr>
            <w:tcW w:w="2502" w:type="pct"/>
            <w:shd w:val="clear" w:color="auto" w:fill="auto"/>
            <w:vAlign w:val="center"/>
            <w:hideMark/>
          </w:tcPr>
          <w:p w14:paraId="73E4C018" w14:textId="77777777" w:rsidR="00D4749A" w:rsidRDefault="00D4749A" w:rsidP="002137C1">
            <w:pPr>
              <w:pStyle w:val="Paragraphbeforelist"/>
              <w:spacing w:line="240" w:lineRule="auto"/>
              <w:contextualSpacing/>
              <w:rPr>
                <w:szCs w:val="20"/>
              </w:rPr>
            </w:pPr>
            <w:r w:rsidRPr="008C7781">
              <w:rPr>
                <w:szCs w:val="20"/>
              </w:rPr>
              <w:t xml:space="preserve">Considering each frequency assignment requested in an application under section 99 of the Radiocommunications Act for the issue of any of the following licences, where the application is not accompanied by a frequency </w:t>
            </w:r>
            <w:r w:rsidRPr="002137C1">
              <w:t>assignment</w:t>
            </w:r>
            <w:r w:rsidRPr="008C7781">
              <w:rPr>
                <w:szCs w:val="20"/>
              </w:rPr>
              <w:t xml:space="preserve"> </w:t>
            </w:r>
            <w:r w:rsidRPr="00CC61BA">
              <w:t>certificate</w:t>
            </w:r>
            <w:r w:rsidRPr="008C7781">
              <w:rPr>
                <w:szCs w:val="20"/>
              </w:rPr>
              <w:t xml:space="preserve"> issued by an accredited person: </w:t>
            </w:r>
          </w:p>
          <w:p w14:paraId="5CD62714" w14:textId="43415001" w:rsidR="00D4749A" w:rsidRPr="008C7781" w:rsidRDefault="00D4749A" w:rsidP="005849A5">
            <w:pPr>
              <w:pStyle w:val="Bulletlevel1"/>
              <w:numPr>
                <w:ilvl w:val="0"/>
                <w:numId w:val="0"/>
              </w:numPr>
              <w:spacing w:after="0" w:line="240" w:lineRule="auto"/>
              <w:ind w:left="295" w:hanging="295"/>
              <w:contextualSpacing/>
              <w:rPr>
                <w:szCs w:val="20"/>
              </w:rPr>
            </w:pPr>
            <w:r w:rsidRPr="008C7781">
              <w:rPr>
                <w:szCs w:val="20"/>
              </w:rPr>
              <w:t>(c) broadcasting licence (high frequency)</w:t>
            </w:r>
            <w:r>
              <w:rPr>
                <w:szCs w:val="20"/>
              </w:rPr>
              <w:t>.</w:t>
            </w:r>
          </w:p>
        </w:tc>
        <w:tc>
          <w:tcPr>
            <w:tcW w:w="686" w:type="pct"/>
            <w:shd w:val="clear" w:color="auto" w:fill="auto"/>
            <w:vAlign w:val="center"/>
            <w:hideMark/>
          </w:tcPr>
          <w:p w14:paraId="1EA61FE8" w14:textId="77777777" w:rsidR="00D4749A" w:rsidRPr="008C7781" w:rsidRDefault="00D4749A" w:rsidP="005849A5">
            <w:pPr>
              <w:spacing w:after="0" w:line="240" w:lineRule="auto"/>
              <w:contextualSpacing/>
              <w:jc w:val="right"/>
              <w:rPr>
                <w:rFonts w:cs="Arial"/>
                <w:szCs w:val="20"/>
              </w:rPr>
            </w:pPr>
            <w:r w:rsidRPr="008C7781">
              <w:rPr>
                <w:rFonts w:cs="Arial"/>
                <w:szCs w:val="20"/>
              </w:rPr>
              <w:t>$500.00 per spectrum access</w:t>
            </w:r>
          </w:p>
        </w:tc>
      </w:tr>
      <w:tr w:rsidR="00D62C86" w:rsidRPr="008C7781" w14:paraId="7390B23C" w14:textId="77777777" w:rsidTr="00801472">
        <w:trPr>
          <w:trHeight w:val="1938"/>
        </w:trPr>
        <w:tc>
          <w:tcPr>
            <w:tcW w:w="195" w:type="pct"/>
            <w:tcBorders>
              <w:bottom w:val="single" w:sz="4" w:space="0" w:color="000000"/>
            </w:tcBorders>
            <w:shd w:val="clear" w:color="auto" w:fill="auto"/>
            <w:vAlign w:val="center"/>
            <w:hideMark/>
          </w:tcPr>
          <w:p w14:paraId="1079A35B" w14:textId="77777777" w:rsidR="00D62C86" w:rsidRPr="008C7781" w:rsidRDefault="00D62C86" w:rsidP="006D0B51">
            <w:pPr>
              <w:spacing w:after="120" w:line="240" w:lineRule="auto"/>
              <w:contextualSpacing/>
              <w:rPr>
                <w:rFonts w:cs="Arial"/>
                <w:szCs w:val="20"/>
              </w:rPr>
            </w:pPr>
            <w:r w:rsidRPr="008C7781">
              <w:rPr>
                <w:rFonts w:cs="Arial"/>
                <w:szCs w:val="20"/>
              </w:rPr>
              <w:t>51</w:t>
            </w:r>
          </w:p>
        </w:tc>
        <w:tc>
          <w:tcPr>
            <w:tcW w:w="825" w:type="pct"/>
            <w:vMerge w:val="restart"/>
            <w:tcBorders>
              <w:bottom w:val="single" w:sz="4" w:space="0" w:color="000000"/>
            </w:tcBorders>
            <w:shd w:val="clear" w:color="auto" w:fill="auto"/>
            <w:vAlign w:val="center"/>
            <w:hideMark/>
          </w:tcPr>
          <w:p w14:paraId="257CA3A4" w14:textId="77777777" w:rsidR="00D62C86" w:rsidRPr="005E1BCD" w:rsidRDefault="00D62C86" w:rsidP="006D0B51">
            <w:pPr>
              <w:spacing w:after="120" w:line="240" w:lineRule="auto"/>
              <w:contextualSpacing/>
              <w:rPr>
                <w:rFonts w:cs="Arial"/>
                <w:b/>
                <w:bCs/>
                <w:szCs w:val="20"/>
              </w:rPr>
            </w:pPr>
            <w:r w:rsidRPr="005E1BCD">
              <w:rPr>
                <w:rFonts w:cs="Arial"/>
                <w:b/>
                <w:bCs/>
                <w:szCs w:val="20"/>
              </w:rPr>
              <w:t>Non-assigned licences</w:t>
            </w:r>
            <w:r w:rsidRPr="008C7781">
              <w:rPr>
                <w:rFonts w:cs="Arial"/>
                <w:szCs w:val="20"/>
              </w:rPr>
              <w:t> </w:t>
            </w:r>
          </w:p>
        </w:tc>
        <w:tc>
          <w:tcPr>
            <w:tcW w:w="792" w:type="pct"/>
            <w:tcBorders>
              <w:bottom w:val="single" w:sz="4" w:space="0" w:color="000000"/>
            </w:tcBorders>
            <w:shd w:val="clear" w:color="auto" w:fill="auto"/>
            <w:vAlign w:val="center"/>
          </w:tcPr>
          <w:p w14:paraId="399E8C4A" w14:textId="0232094A" w:rsidR="00D62C86" w:rsidRPr="00E05173" w:rsidRDefault="00107493" w:rsidP="005849A5">
            <w:pPr>
              <w:spacing w:after="0" w:line="240" w:lineRule="auto"/>
              <w:contextualSpacing/>
              <w:rPr>
                <w:rFonts w:ascii="Calibri" w:hAnsi="Calibri" w:cs="Calibri"/>
                <w:sz w:val="22"/>
                <w:szCs w:val="22"/>
                <w:u w:val="single"/>
              </w:rPr>
            </w:pPr>
            <w:hyperlink r:id="rId82" w:anchor="RANGE!D2" w:history="1">
              <w:r w:rsidR="00D62C86" w:rsidRPr="00E05173">
                <w:t>Sch 1 Part 2 Table 5 (Item 2.5.1 (a))</w:t>
              </w:r>
            </w:hyperlink>
          </w:p>
        </w:tc>
        <w:tc>
          <w:tcPr>
            <w:tcW w:w="2502" w:type="pct"/>
            <w:tcBorders>
              <w:bottom w:val="single" w:sz="4" w:space="0" w:color="000000"/>
            </w:tcBorders>
            <w:shd w:val="clear" w:color="auto" w:fill="auto"/>
            <w:vAlign w:val="center"/>
          </w:tcPr>
          <w:p w14:paraId="03503583" w14:textId="77777777" w:rsidR="00D62C86" w:rsidRDefault="00D62C86" w:rsidP="002137C1">
            <w:pPr>
              <w:pStyle w:val="Paragraphbeforelist"/>
              <w:spacing w:line="240" w:lineRule="auto"/>
              <w:contextualSpacing/>
            </w:pPr>
            <w:r w:rsidRPr="008C7781">
              <w:t>Considering an application for the issue of any of the following non</w:t>
            </w:r>
            <w:r>
              <w:t>-</w:t>
            </w:r>
            <w:r w:rsidRPr="008C7781">
              <w:t>assigned apparatus licences and issuing the licence (if applicable):</w:t>
            </w:r>
          </w:p>
          <w:p w14:paraId="3721A534" w14:textId="77777777" w:rsidR="00D62C86" w:rsidRDefault="00D62C86" w:rsidP="005849A5">
            <w:pPr>
              <w:pStyle w:val="Bulletlevel1"/>
              <w:numPr>
                <w:ilvl w:val="0"/>
                <w:numId w:val="0"/>
              </w:numPr>
              <w:spacing w:line="240" w:lineRule="auto"/>
              <w:ind w:left="295" w:hanging="295"/>
              <w:rPr>
                <w:szCs w:val="20"/>
              </w:rPr>
            </w:pPr>
            <w:r w:rsidRPr="008C7781">
              <w:rPr>
                <w:szCs w:val="20"/>
              </w:rPr>
              <w:br w:type="page"/>
              <w:t xml:space="preserve">(a) an </w:t>
            </w:r>
            <w:r w:rsidRPr="00CC61BA">
              <w:t>amateur</w:t>
            </w:r>
            <w:r w:rsidRPr="008C7781">
              <w:rPr>
                <w:szCs w:val="20"/>
              </w:rPr>
              <w:t xml:space="preserve"> licence where the applicant holds any of the following kinds of certificates of proficiency:</w:t>
            </w:r>
          </w:p>
          <w:p w14:paraId="20CB81BA" w14:textId="77777777" w:rsidR="00D62C86" w:rsidRDefault="00D62C86" w:rsidP="005849A5">
            <w:pPr>
              <w:pStyle w:val="Bulletlevel2"/>
              <w:numPr>
                <w:ilvl w:val="0"/>
                <w:numId w:val="0"/>
              </w:numPr>
              <w:spacing w:line="240" w:lineRule="auto"/>
              <w:ind w:left="845" w:hanging="544"/>
            </w:pPr>
            <w:r w:rsidRPr="008C7781">
              <w:br w:type="page"/>
              <w:t>(</w:t>
            </w:r>
            <w:proofErr w:type="spellStart"/>
            <w:r w:rsidRPr="008C7781">
              <w:t>i</w:t>
            </w:r>
            <w:proofErr w:type="spellEnd"/>
            <w:r w:rsidRPr="008C7781">
              <w:t>) Amateur Operator’s Certificate of Proficiency (Advanced);</w:t>
            </w:r>
          </w:p>
          <w:p w14:paraId="3A3C9224" w14:textId="77777777" w:rsidR="00D62C86" w:rsidRDefault="00D62C86" w:rsidP="005849A5">
            <w:pPr>
              <w:pStyle w:val="Bulletlevel2"/>
              <w:numPr>
                <w:ilvl w:val="0"/>
                <w:numId w:val="0"/>
              </w:numPr>
              <w:spacing w:line="240" w:lineRule="auto"/>
              <w:ind w:left="845" w:hanging="544"/>
            </w:pPr>
            <w:r w:rsidRPr="008C7781">
              <w:br w:type="page"/>
              <w:t>(ii) Amateur Operator’s Certificate of Proficiency (Standard);</w:t>
            </w:r>
            <w:r w:rsidRPr="008C7781">
              <w:br w:type="page"/>
            </w:r>
          </w:p>
          <w:p w14:paraId="1278D830" w14:textId="547DA0ED" w:rsidR="00D62C86" w:rsidRPr="008C7781" w:rsidRDefault="00D62C86" w:rsidP="005849A5">
            <w:pPr>
              <w:pStyle w:val="Bulletlevel2"/>
              <w:numPr>
                <w:ilvl w:val="0"/>
                <w:numId w:val="0"/>
              </w:numPr>
              <w:spacing w:after="0" w:line="240" w:lineRule="auto"/>
              <w:ind w:left="845" w:hanging="544"/>
              <w:contextualSpacing/>
            </w:pPr>
            <w:r w:rsidRPr="008C7781">
              <w:t>(iii) Amateur Operator’s Certificate of Proficiency (Foundation)</w:t>
            </w:r>
            <w:r>
              <w:t>.</w:t>
            </w:r>
          </w:p>
        </w:tc>
        <w:tc>
          <w:tcPr>
            <w:tcW w:w="686" w:type="pct"/>
            <w:tcBorders>
              <w:bottom w:val="single" w:sz="4" w:space="0" w:color="000000"/>
            </w:tcBorders>
            <w:shd w:val="clear" w:color="auto" w:fill="auto"/>
            <w:vAlign w:val="center"/>
          </w:tcPr>
          <w:p w14:paraId="410A7318" w14:textId="213F705F"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5E1A96EB" w14:textId="77777777" w:rsidTr="003E5A84">
        <w:trPr>
          <w:trHeight w:val="658"/>
        </w:trPr>
        <w:tc>
          <w:tcPr>
            <w:tcW w:w="195" w:type="pct"/>
            <w:shd w:val="clear" w:color="auto" w:fill="auto"/>
            <w:vAlign w:val="center"/>
            <w:hideMark/>
          </w:tcPr>
          <w:p w14:paraId="4E29D0B7" w14:textId="77777777" w:rsidR="00D62C86" w:rsidRPr="008C7781" w:rsidRDefault="00D62C86" w:rsidP="006D0B51">
            <w:pPr>
              <w:spacing w:after="120" w:line="240" w:lineRule="auto"/>
              <w:contextualSpacing/>
              <w:rPr>
                <w:rFonts w:cs="Arial"/>
                <w:szCs w:val="20"/>
              </w:rPr>
            </w:pPr>
            <w:r w:rsidRPr="008C7781">
              <w:rPr>
                <w:rFonts w:cs="Arial"/>
                <w:szCs w:val="20"/>
              </w:rPr>
              <w:t>52</w:t>
            </w:r>
          </w:p>
        </w:tc>
        <w:tc>
          <w:tcPr>
            <w:tcW w:w="825" w:type="pct"/>
            <w:vMerge/>
            <w:vAlign w:val="center"/>
            <w:hideMark/>
          </w:tcPr>
          <w:p w14:paraId="3538D652" w14:textId="77777777" w:rsidR="00D62C86" w:rsidRPr="005E1BCD" w:rsidRDefault="00D62C86" w:rsidP="006D0B51">
            <w:pPr>
              <w:spacing w:after="120" w:line="240" w:lineRule="auto"/>
              <w:contextualSpacing/>
              <w:rPr>
                <w:rFonts w:cs="Arial"/>
                <w:b/>
                <w:bCs/>
                <w:szCs w:val="20"/>
              </w:rPr>
            </w:pPr>
          </w:p>
        </w:tc>
        <w:tc>
          <w:tcPr>
            <w:tcW w:w="792" w:type="pct"/>
            <w:shd w:val="clear" w:color="auto" w:fill="auto"/>
            <w:vAlign w:val="center"/>
            <w:hideMark/>
          </w:tcPr>
          <w:p w14:paraId="6082D976" w14:textId="72939204" w:rsidR="00D62C86" w:rsidRPr="00E05173" w:rsidRDefault="00107493" w:rsidP="005849A5">
            <w:pPr>
              <w:spacing w:after="0" w:line="240" w:lineRule="auto"/>
              <w:contextualSpacing/>
              <w:rPr>
                <w:rFonts w:ascii="Calibri" w:hAnsi="Calibri" w:cs="Calibri"/>
                <w:sz w:val="22"/>
                <w:szCs w:val="22"/>
                <w:u w:val="single"/>
              </w:rPr>
            </w:pPr>
            <w:hyperlink r:id="rId83" w:anchor="RANGE!D11" w:history="1">
              <w:r w:rsidR="00D62C86" w:rsidRPr="00E05173">
                <w:t>Sch 1 Part 2 Table 5 (Item 2.5.1 (</w:t>
              </w:r>
              <w:r w:rsidR="00D62C86" w:rsidRPr="00E05173" w:rsidDel="001F5DC7">
                <w:t>b</w:t>
              </w:r>
              <w:r w:rsidR="00D62C86" w:rsidRPr="00E05173">
                <w:t>))</w:t>
              </w:r>
            </w:hyperlink>
          </w:p>
        </w:tc>
        <w:tc>
          <w:tcPr>
            <w:tcW w:w="2502" w:type="pct"/>
            <w:shd w:val="clear" w:color="auto" w:fill="auto"/>
            <w:vAlign w:val="center"/>
            <w:hideMark/>
          </w:tcPr>
          <w:p w14:paraId="4FB5EE56" w14:textId="77777777" w:rsidR="00D62C86" w:rsidRDefault="00D62C86" w:rsidP="002137C1">
            <w:pPr>
              <w:pStyle w:val="Paragraphbeforelist"/>
              <w:spacing w:line="240" w:lineRule="auto"/>
              <w:contextualSpacing/>
              <w:rPr>
                <w:szCs w:val="20"/>
              </w:rPr>
            </w:pPr>
            <w:r w:rsidRPr="008C7781">
              <w:rPr>
                <w:szCs w:val="20"/>
              </w:rPr>
              <w:t>Considering an application for the issue of any of the following non</w:t>
            </w:r>
            <w:r>
              <w:rPr>
                <w:szCs w:val="20"/>
              </w:rPr>
              <w:t>-</w:t>
            </w:r>
            <w:r w:rsidRPr="008C7781">
              <w:rPr>
                <w:szCs w:val="20"/>
              </w:rPr>
              <w:t xml:space="preserve">assigned apparatus </w:t>
            </w:r>
            <w:r w:rsidRPr="00CC61BA">
              <w:t>licences</w:t>
            </w:r>
            <w:r w:rsidRPr="008C7781">
              <w:rPr>
                <w:szCs w:val="20"/>
              </w:rPr>
              <w:t xml:space="preserve"> and issuing </w:t>
            </w:r>
            <w:r w:rsidRPr="002137C1">
              <w:t>the</w:t>
            </w:r>
            <w:r w:rsidRPr="008C7781">
              <w:rPr>
                <w:szCs w:val="20"/>
              </w:rPr>
              <w:t xml:space="preserve"> licence (if applicable): </w:t>
            </w:r>
          </w:p>
          <w:p w14:paraId="16DD5D42" w14:textId="4EA473F5" w:rsidR="00D62C86" w:rsidRPr="008C7781" w:rsidRDefault="00D62C86" w:rsidP="005849A5">
            <w:pPr>
              <w:pStyle w:val="Bulletlevel1"/>
              <w:numPr>
                <w:ilvl w:val="0"/>
                <w:numId w:val="0"/>
              </w:numPr>
              <w:spacing w:after="0" w:line="240" w:lineRule="auto"/>
              <w:ind w:left="295" w:hanging="295"/>
              <w:contextualSpacing/>
            </w:pPr>
            <w:r w:rsidRPr="008C7781">
              <w:t>(</w:t>
            </w:r>
            <w:r>
              <w:t>b</w:t>
            </w:r>
            <w:r w:rsidRPr="008C7781">
              <w:t>) maritime coast licence (</w:t>
            </w:r>
            <w:r w:rsidRPr="00CC61BA">
              <w:t>limited</w:t>
            </w:r>
            <w:r w:rsidRPr="008C7781">
              <w:t xml:space="preserve"> coast n</w:t>
            </w:r>
            <w:r w:rsidRPr="006A6A15">
              <w:t>on-as</w:t>
            </w:r>
            <w:r w:rsidRPr="008C7781">
              <w:t>signed station)</w:t>
            </w:r>
            <w:r>
              <w:t>.</w:t>
            </w:r>
            <w:r w:rsidRPr="008C7781">
              <w:t xml:space="preserve"> </w:t>
            </w:r>
          </w:p>
        </w:tc>
        <w:tc>
          <w:tcPr>
            <w:tcW w:w="686" w:type="pct"/>
            <w:shd w:val="clear" w:color="auto" w:fill="auto"/>
            <w:vAlign w:val="center"/>
            <w:hideMark/>
          </w:tcPr>
          <w:p w14:paraId="454F7B34" w14:textId="6776C026"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78A5730A" w14:textId="77777777" w:rsidTr="003E5A84">
        <w:trPr>
          <w:trHeight w:val="668"/>
        </w:trPr>
        <w:tc>
          <w:tcPr>
            <w:tcW w:w="195" w:type="pct"/>
            <w:shd w:val="clear" w:color="auto" w:fill="auto"/>
            <w:vAlign w:val="center"/>
            <w:hideMark/>
          </w:tcPr>
          <w:p w14:paraId="3D1C9641" w14:textId="77777777" w:rsidR="00D62C86" w:rsidRPr="008C7781" w:rsidRDefault="00D62C86" w:rsidP="006D0B51">
            <w:pPr>
              <w:spacing w:after="120" w:line="240" w:lineRule="auto"/>
              <w:contextualSpacing/>
              <w:rPr>
                <w:rFonts w:cs="Arial"/>
                <w:szCs w:val="20"/>
              </w:rPr>
            </w:pPr>
            <w:r w:rsidRPr="008C7781">
              <w:rPr>
                <w:rFonts w:cs="Arial"/>
                <w:szCs w:val="20"/>
              </w:rPr>
              <w:t>53</w:t>
            </w:r>
          </w:p>
        </w:tc>
        <w:tc>
          <w:tcPr>
            <w:tcW w:w="825" w:type="pct"/>
            <w:vMerge/>
            <w:vAlign w:val="center"/>
            <w:hideMark/>
          </w:tcPr>
          <w:p w14:paraId="0CBD1023" w14:textId="77777777" w:rsidR="00D62C86" w:rsidRPr="005E1BCD" w:rsidRDefault="00D62C86" w:rsidP="006D0B51">
            <w:pPr>
              <w:spacing w:after="120" w:line="240" w:lineRule="auto"/>
              <w:contextualSpacing/>
              <w:rPr>
                <w:rFonts w:cs="Arial"/>
                <w:b/>
                <w:bCs/>
                <w:szCs w:val="20"/>
              </w:rPr>
            </w:pPr>
          </w:p>
        </w:tc>
        <w:tc>
          <w:tcPr>
            <w:tcW w:w="792" w:type="pct"/>
            <w:shd w:val="clear" w:color="auto" w:fill="auto"/>
            <w:vAlign w:val="center"/>
            <w:hideMark/>
          </w:tcPr>
          <w:p w14:paraId="4C20BDFF" w14:textId="4CD41135" w:rsidR="00D62C86" w:rsidRPr="00E05173" w:rsidRDefault="00107493" w:rsidP="005849A5">
            <w:pPr>
              <w:spacing w:after="0" w:line="240" w:lineRule="auto"/>
              <w:contextualSpacing/>
              <w:rPr>
                <w:rFonts w:ascii="Calibri" w:hAnsi="Calibri" w:cs="Calibri"/>
                <w:sz w:val="22"/>
                <w:szCs w:val="22"/>
                <w:u w:val="single"/>
              </w:rPr>
            </w:pPr>
            <w:hyperlink r:id="rId84" w:anchor="RANGE!D11" w:history="1">
              <w:r w:rsidR="00D62C86" w:rsidRPr="00E05173">
                <w:t>Sch 1 Part 2 Table 5 (Item 2.5.1 (</w:t>
              </w:r>
              <w:r w:rsidR="00D62C86">
                <w:t>c</w:t>
              </w:r>
              <w:r w:rsidR="00D62C86" w:rsidRPr="00E05173">
                <w:t>))</w:t>
              </w:r>
            </w:hyperlink>
          </w:p>
        </w:tc>
        <w:tc>
          <w:tcPr>
            <w:tcW w:w="2502" w:type="pct"/>
            <w:shd w:val="clear" w:color="auto" w:fill="auto"/>
            <w:vAlign w:val="center"/>
            <w:hideMark/>
          </w:tcPr>
          <w:p w14:paraId="697A9D51" w14:textId="77777777" w:rsidR="00D62C86" w:rsidRDefault="00D62C86" w:rsidP="002137C1">
            <w:pPr>
              <w:pStyle w:val="Paragraphbeforelist"/>
              <w:spacing w:line="240" w:lineRule="auto"/>
              <w:contextualSpacing/>
              <w:rPr>
                <w:szCs w:val="20"/>
              </w:rPr>
            </w:pPr>
            <w:r w:rsidRPr="008C7781">
              <w:rPr>
                <w:szCs w:val="20"/>
              </w:rPr>
              <w:t xml:space="preserve">Considering an </w:t>
            </w:r>
            <w:r w:rsidRPr="00CC61BA">
              <w:t>application</w:t>
            </w:r>
            <w:r w:rsidRPr="008C7781">
              <w:rPr>
                <w:szCs w:val="20"/>
              </w:rPr>
              <w:t xml:space="preserve"> for the issue of any of the following non</w:t>
            </w:r>
            <w:r>
              <w:rPr>
                <w:szCs w:val="20"/>
              </w:rPr>
              <w:t>-</w:t>
            </w:r>
            <w:r w:rsidRPr="008C7781">
              <w:rPr>
                <w:szCs w:val="20"/>
              </w:rPr>
              <w:t xml:space="preserve">assigned </w:t>
            </w:r>
            <w:r w:rsidRPr="002137C1">
              <w:t>apparatus</w:t>
            </w:r>
            <w:r w:rsidRPr="008C7781">
              <w:rPr>
                <w:szCs w:val="20"/>
              </w:rPr>
              <w:t xml:space="preserve"> licences and issuing the licence (if applicable): </w:t>
            </w:r>
          </w:p>
          <w:p w14:paraId="1F25AAB8" w14:textId="1011F750" w:rsidR="00D62C86" w:rsidRPr="008C7781" w:rsidRDefault="00D62C86" w:rsidP="005849A5">
            <w:pPr>
              <w:pStyle w:val="Bulletlevel1"/>
              <w:numPr>
                <w:ilvl w:val="0"/>
                <w:numId w:val="0"/>
              </w:numPr>
              <w:spacing w:after="0" w:line="240" w:lineRule="auto"/>
              <w:ind w:left="295" w:hanging="295"/>
              <w:contextualSpacing/>
              <w:rPr>
                <w:szCs w:val="20"/>
              </w:rPr>
            </w:pPr>
            <w:r w:rsidRPr="008C7781">
              <w:rPr>
                <w:szCs w:val="20"/>
              </w:rPr>
              <w:t>(</w:t>
            </w:r>
            <w:r>
              <w:rPr>
                <w:szCs w:val="20"/>
              </w:rPr>
              <w:t>c</w:t>
            </w:r>
            <w:r w:rsidRPr="008C7781">
              <w:rPr>
                <w:szCs w:val="20"/>
              </w:rPr>
              <w:t xml:space="preserve">) </w:t>
            </w:r>
            <w:r w:rsidRPr="00CC61BA">
              <w:t>maritime</w:t>
            </w:r>
            <w:r w:rsidRPr="008C7781">
              <w:rPr>
                <w:szCs w:val="20"/>
              </w:rPr>
              <w:t xml:space="preserve"> coast </w:t>
            </w:r>
            <w:r w:rsidRPr="00CC61BA">
              <w:t>licence</w:t>
            </w:r>
            <w:r w:rsidRPr="008C7781">
              <w:rPr>
                <w:szCs w:val="20"/>
              </w:rPr>
              <w:t xml:space="preserve"> (limited coast marine rescue station)</w:t>
            </w:r>
            <w:r>
              <w:rPr>
                <w:szCs w:val="20"/>
              </w:rPr>
              <w:t>.</w:t>
            </w:r>
            <w:r w:rsidRPr="008C7781">
              <w:rPr>
                <w:szCs w:val="20"/>
              </w:rPr>
              <w:t xml:space="preserve"> </w:t>
            </w:r>
          </w:p>
        </w:tc>
        <w:tc>
          <w:tcPr>
            <w:tcW w:w="686" w:type="pct"/>
            <w:shd w:val="clear" w:color="auto" w:fill="auto"/>
            <w:vAlign w:val="center"/>
            <w:hideMark/>
          </w:tcPr>
          <w:p w14:paraId="03130879" w14:textId="3A04C767" w:rsidR="00D62C86" w:rsidRPr="008C7781" w:rsidRDefault="00D62C86" w:rsidP="005849A5">
            <w:pPr>
              <w:spacing w:after="0" w:line="240" w:lineRule="auto"/>
              <w:contextualSpacing/>
              <w:jc w:val="right"/>
              <w:rPr>
                <w:rFonts w:cs="Arial"/>
                <w:szCs w:val="20"/>
              </w:rPr>
            </w:pPr>
            <w:r w:rsidRPr="00337E3A">
              <w:rPr>
                <w:rFonts w:cs="Arial"/>
                <w:szCs w:val="20"/>
              </w:rPr>
              <w:t>$36.00</w:t>
            </w:r>
          </w:p>
        </w:tc>
      </w:tr>
      <w:tr w:rsidR="00D62C86" w:rsidRPr="008C7781" w14:paraId="4B794FCF" w14:textId="77777777" w:rsidTr="003E5A84">
        <w:trPr>
          <w:trHeight w:val="738"/>
        </w:trPr>
        <w:tc>
          <w:tcPr>
            <w:tcW w:w="195" w:type="pct"/>
            <w:shd w:val="clear" w:color="auto" w:fill="auto"/>
            <w:vAlign w:val="center"/>
          </w:tcPr>
          <w:p w14:paraId="7123CD62" w14:textId="613A7406" w:rsidR="00D62C86" w:rsidRPr="00337E3A" w:rsidRDefault="00D62C86" w:rsidP="006D0B51">
            <w:pPr>
              <w:spacing w:after="120" w:line="240" w:lineRule="auto"/>
              <w:contextualSpacing/>
              <w:rPr>
                <w:rFonts w:cs="Arial"/>
                <w:szCs w:val="20"/>
              </w:rPr>
            </w:pPr>
            <w:r w:rsidRPr="00337E3A">
              <w:rPr>
                <w:rFonts w:cs="Arial"/>
                <w:szCs w:val="20"/>
              </w:rPr>
              <w:t>54</w:t>
            </w:r>
          </w:p>
        </w:tc>
        <w:tc>
          <w:tcPr>
            <w:tcW w:w="825" w:type="pct"/>
            <w:vMerge/>
            <w:vAlign w:val="center"/>
          </w:tcPr>
          <w:p w14:paraId="058B1E9E" w14:textId="77777777" w:rsidR="00D62C86" w:rsidRPr="00337E3A" w:rsidRDefault="00D62C86" w:rsidP="006D0B51">
            <w:pPr>
              <w:spacing w:after="120" w:line="240" w:lineRule="auto"/>
              <w:contextualSpacing/>
              <w:rPr>
                <w:rFonts w:cs="Arial"/>
                <w:b/>
                <w:bCs/>
                <w:szCs w:val="20"/>
              </w:rPr>
            </w:pPr>
          </w:p>
        </w:tc>
        <w:tc>
          <w:tcPr>
            <w:tcW w:w="792" w:type="pct"/>
            <w:shd w:val="clear" w:color="auto" w:fill="auto"/>
            <w:vAlign w:val="center"/>
          </w:tcPr>
          <w:p w14:paraId="45224A2C" w14:textId="7CABB875" w:rsidR="00D62C86" w:rsidRPr="00E05173" w:rsidRDefault="00D62C86" w:rsidP="005849A5">
            <w:pPr>
              <w:spacing w:after="0" w:line="240" w:lineRule="auto"/>
              <w:contextualSpacing/>
            </w:pPr>
            <w:r w:rsidRPr="00E05173">
              <w:rPr>
                <w:rFonts w:cs="Arial"/>
                <w:szCs w:val="20"/>
              </w:rPr>
              <w:t>Sch 1 Part 2 Table 5 (Item 2.5.1 (</w:t>
            </w:r>
            <w:r>
              <w:rPr>
                <w:rFonts w:cs="Arial"/>
                <w:szCs w:val="20"/>
              </w:rPr>
              <w:t>d</w:t>
            </w:r>
            <w:r w:rsidRPr="00E05173">
              <w:rPr>
                <w:rFonts w:cs="Arial"/>
                <w:szCs w:val="20"/>
              </w:rPr>
              <w:t>))</w:t>
            </w:r>
          </w:p>
        </w:tc>
        <w:tc>
          <w:tcPr>
            <w:tcW w:w="2502" w:type="pct"/>
            <w:shd w:val="clear" w:color="auto" w:fill="auto"/>
            <w:vAlign w:val="center"/>
          </w:tcPr>
          <w:p w14:paraId="139A2B0A" w14:textId="77777777" w:rsidR="00D62C86" w:rsidRDefault="00D62C86" w:rsidP="002137C1">
            <w:pPr>
              <w:pStyle w:val="Paragraphbeforelist"/>
              <w:spacing w:line="240" w:lineRule="auto"/>
              <w:contextualSpacing/>
              <w:rPr>
                <w:szCs w:val="20"/>
              </w:rPr>
            </w:pPr>
            <w:r w:rsidRPr="00337E3A">
              <w:rPr>
                <w:szCs w:val="20"/>
              </w:rPr>
              <w:t>Considering an application for the issue of any of the following non</w:t>
            </w:r>
            <w:r>
              <w:rPr>
                <w:szCs w:val="20"/>
              </w:rPr>
              <w:t>-</w:t>
            </w:r>
            <w:r w:rsidRPr="00337E3A">
              <w:rPr>
                <w:szCs w:val="20"/>
              </w:rPr>
              <w:t xml:space="preserve">assigned apparatus </w:t>
            </w:r>
            <w:r w:rsidRPr="002137C1">
              <w:t>licences</w:t>
            </w:r>
            <w:r w:rsidRPr="00337E3A">
              <w:rPr>
                <w:szCs w:val="20"/>
              </w:rPr>
              <w:t xml:space="preserve"> and issuing the licence (if applicable): </w:t>
            </w:r>
          </w:p>
          <w:p w14:paraId="4F844B5B" w14:textId="2190C426" w:rsidR="00D62C86" w:rsidRPr="00337E3A" w:rsidRDefault="00D62C86" w:rsidP="005849A5">
            <w:pPr>
              <w:pStyle w:val="Bulletlevel1"/>
              <w:numPr>
                <w:ilvl w:val="0"/>
                <w:numId w:val="0"/>
              </w:numPr>
              <w:spacing w:after="0" w:line="240" w:lineRule="auto"/>
              <w:ind w:left="295" w:hanging="295"/>
              <w:contextualSpacing/>
              <w:rPr>
                <w:szCs w:val="20"/>
              </w:rPr>
            </w:pPr>
            <w:r w:rsidRPr="00337E3A">
              <w:rPr>
                <w:szCs w:val="20"/>
              </w:rPr>
              <w:t>(</w:t>
            </w:r>
            <w:r>
              <w:rPr>
                <w:szCs w:val="20"/>
              </w:rPr>
              <w:t>d</w:t>
            </w:r>
            <w:r w:rsidRPr="00337E3A">
              <w:rPr>
                <w:szCs w:val="20"/>
              </w:rPr>
              <w:t xml:space="preserve">) </w:t>
            </w:r>
            <w:r w:rsidRPr="00CC61BA">
              <w:t>outpost</w:t>
            </w:r>
            <w:r w:rsidRPr="00337E3A">
              <w:rPr>
                <w:szCs w:val="20"/>
              </w:rPr>
              <w:t xml:space="preserve"> </w:t>
            </w:r>
            <w:r w:rsidRPr="00CC61BA">
              <w:t>licence</w:t>
            </w:r>
            <w:r w:rsidRPr="00337E3A">
              <w:rPr>
                <w:szCs w:val="20"/>
              </w:rPr>
              <w:t xml:space="preserve"> (outpost non</w:t>
            </w:r>
            <w:r>
              <w:rPr>
                <w:szCs w:val="20"/>
              </w:rPr>
              <w:t>-</w:t>
            </w:r>
            <w:r w:rsidRPr="00337E3A">
              <w:rPr>
                <w:szCs w:val="20"/>
              </w:rPr>
              <w:t>assigned station)</w:t>
            </w:r>
            <w:r>
              <w:rPr>
                <w:szCs w:val="20"/>
              </w:rPr>
              <w:t>.</w:t>
            </w:r>
          </w:p>
        </w:tc>
        <w:tc>
          <w:tcPr>
            <w:tcW w:w="686" w:type="pct"/>
            <w:shd w:val="clear" w:color="auto" w:fill="auto"/>
            <w:vAlign w:val="center"/>
          </w:tcPr>
          <w:p w14:paraId="214BC5F1" w14:textId="1FA2E328" w:rsidR="00D62C86" w:rsidRPr="00337E3A"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3C7B2632" w14:textId="77777777" w:rsidTr="003E5A84">
        <w:trPr>
          <w:trHeight w:val="726"/>
        </w:trPr>
        <w:tc>
          <w:tcPr>
            <w:tcW w:w="195" w:type="pct"/>
            <w:shd w:val="clear" w:color="auto" w:fill="auto"/>
            <w:vAlign w:val="center"/>
            <w:hideMark/>
          </w:tcPr>
          <w:p w14:paraId="7E3B2C99" w14:textId="585A372E" w:rsidR="00D62C86" w:rsidRPr="008C7781" w:rsidRDefault="00D62C86" w:rsidP="006D0B51">
            <w:pPr>
              <w:spacing w:after="120" w:line="240" w:lineRule="auto"/>
              <w:contextualSpacing/>
              <w:rPr>
                <w:rFonts w:cs="Arial"/>
                <w:szCs w:val="20"/>
              </w:rPr>
            </w:pPr>
            <w:r w:rsidRPr="008C7781">
              <w:rPr>
                <w:rFonts w:cs="Arial"/>
                <w:szCs w:val="20"/>
              </w:rPr>
              <w:t>5</w:t>
            </w:r>
            <w:r>
              <w:rPr>
                <w:rFonts w:cs="Arial"/>
                <w:szCs w:val="20"/>
              </w:rPr>
              <w:t>5</w:t>
            </w:r>
          </w:p>
        </w:tc>
        <w:tc>
          <w:tcPr>
            <w:tcW w:w="825" w:type="pct"/>
            <w:vMerge/>
            <w:vAlign w:val="center"/>
            <w:hideMark/>
          </w:tcPr>
          <w:p w14:paraId="3F2AE2BE" w14:textId="77777777" w:rsidR="00D62C86" w:rsidRPr="005E1BCD" w:rsidRDefault="00D62C86" w:rsidP="006D0B51">
            <w:pPr>
              <w:spacing w:after="120" w:line="240" w:lineRule="auto"/>
              <w:contextualSpacing/>
              <w:rPr>
                <w:rFonts w:cs="Arial"/>
                <w:b/>
                <w:bCs/>
                <w:szCs w:val="20"/>
              </w:rPr>
            </w:pPr>
          </w:p>
        </w:tc>
        <w:tc>
          <w:tcPr>
            <w:tcW w:w="792" w:type="pct"/>
            <w:shd w:val="clear" w:color="auto" w:fill="auto"/>
            <w:vAlign w:val="center"/>
            <w:hideMark/>
          </w:tcPr>
          <w:p w14:paraId="6B4961EC" w14:textId="3DE8E125" w:rsidR="00D62C86" w:rsidRPr="00E05173" w:rsidRDefault="00107493" w:rsidP="005849A5">
            <w:pPr>
              <w:spacing w:after="0" w:line="240" w:lineRule="auto"/>
              <w:contextualSpacing/>
              <w:rPr>
                <w:rFonts w:ascii="Calibri" w:hAnsi="Calibri" w:cs="Calibri"/>
                <w:sz w:val="22"/>
                <w:szCs w:val="22"/>
                <w:u w:val="single"/>
              </w:rPr>
            </w:pPr>
            <w:hyperlink r:id="rId85" w:anchor="RANGE!D11" w:history="1">
              <w:r w:rsidR="00D62C86" w:rsidRPr="00E05173">
                <w:t>Sch 1 Part 2 Table 5 (Item 2.5.1 (</w:t>
              </w:r>
              <w:r w:rsidR="00D62C86" w:rsidRPr="00E05173" w:rsidDel="001F5DC7">
                <w:t>e</w:t>
              </w:r>
              <w:r w:rsidR="00D62C86" w:rsidRPr="00E05173">
                <w:t>))</w:t>
              </w:r>
            </w:hyperlink>
          </w:p>
        </w:tc>
        <w:tc>
          <w:tcPr>
            <w:tcW w:w="2502" w:type="pct"/>
            <w:shd w:val="clear" w:color="auto" w:fill="auto"/>
            <w:vAlign w:val="center"/>
            <w:hideMark/>
          </w:tcPr>
          <w:p w14:paraId="3E460C34" w14:textId="77777777" w:rsidR="00D62C86" w:rsidRDefault="00D62C86" w:rsidP="002137C1">
            <w:pPr>
              <w:pStyle w:val="Paragraphbeforelist"/>
              <w:spacing w:line="240" w:lineRule="auto"/>
              <w:contextualSpacing/>
              <w:rPr>
                <w:szCs w:val="20"/>
              </w:rPr>
            </w:pPr>
            <w:r w:rsidRPr="008C7781">
              <w:rPr>
                <w:szCs w:val="20"/>
              </w:rPr>
              <w:t>Considering an application for the issue of any of the following non</w:t>
            </w:r>
            <w:r>
              <w:rPr>
                <w:szCs w:val="20"/>
              </w:rPr>
              <w:t>-</w:t>
            </w:r>
            <w:r w:rsidRPr="008C7781">
              <w:rPr>
                <w:szCs w:val="20"/>
              </w:rPr>
              <w:t xml:space="preserve">assigned apparatus </w:t>
            </w:r>
            <w:r w:rsidRPr="002137C1">
              <w:t>licences</w:t>
            </w:r>
            <w:r w:rsidRPr="008C7781">
              <w:rPr>
                <w:szCs w:val="20"/>
              </w:rPr>
              <w:t xml:space="preserve"> and issuing the </w:t>
            </w:r>
            <w:r w:rsidRPr="00CC61BA">
              <w:t>licence</w:t>
            </w:r>
            <w:r w:rsidRPr="008C7781">
              <w:rPr>
                <w:szCs w:val="20"/>
              </w:rPr>
              <w:t xml:space="preserve"> (if applicable):  </w:t>
            </w:r>
          </w:p>
          <w:p w14:paraId="793E7ED6" w14:textId="2D38F5C1" w:rsidR="00D62C86" w:rsidRPr="008C7781" w:rsidRDefault="00D62C86" w:rsidP="005849A5">
            <w:pPr>
              <w:pStyle w:val="Bulletlevel1"/>
              <w:numPr>
                <w:ilvl w:val="0"/>
                <w:numId w:val="0"/>
              </w:numPr>
              <w:spacing w:after="0" w:line="240" w:lineRule="auto"/>
              <w:ind w:left="295" w:hanging="295"/>
              <w:contextualSpacing/>
              <w:rPr>
                <w:szCs w:val="20"/>
              </w:rPr>
            </w:pPr>
            <w:r w:rsidRPr="008C7781">
              <w:rPr>
                <w:szCs w:val="20"/>
              </w:rPr>
              <w:t>(</w:t>
            </w:r>
            <w:r>
              <w:rPr>
                <w:szCs w:val="20"/>
              </w:rPr>
              <w:t>e</w:t>
            </w:r>
            <w:r w:rsidRPr="008C7781">
              <w:rPr>
                <w:szCs w:val="20"/>
              </w:rPr>
              <w:t xml:space="preserve">) </w:t>
            </w:r>
            <w:r w:rsidRPr="00CC61BA">
              <w:t>scientific</w:t>
            </w:r>
            <w:r w:rsidRPr="008C7781">
              <w:rPr>
                <w:szCs w:val="20"/>
              </w:rPr>
              <w:t xml:space="preserve"> </w:t>
            </w:r>
            <w:r w:rsidRPr="00CC61BA">
              <w:t>licence</w:t>
            </w:r>
            <w:r w:rsidRPr="008C7781">
              <w:rPr>
                <w:szCs w:val="20"/>
              </w:rPr>
              <w:t xml:space="preserve"> (scientific non</w:t>
            </w:r>
            <w:r>
              <w:rPr>
                <w:szCs w:val="20"/>
              </w:rPr>
              <w:t>-</w:t>
            </w:r>
            <w:r w:rsidRPr="008C7781">
              <w:rPr>
                <w:szCs w:val="20"/>
              </w:rPr>
              <w:t>assigned station)</w:t>
            </w:r>
            <w:r>
              <w:rPr>
                <w:szCs w:val="20"/>
              </w:rPr>
              <w:t>.</w:t>
            </w:r>
          </w:p>
        </w:tc>
        <w:tc>
          <w:tcPr>
            <w:tcW w:w="686" w:type="pct"/>
            <w:shd w:val="clear" w:color="auto" w:fill="auto"/>
            <w:vAlign w:val="center"/>
            <w:hideMark/>
          </w:tcPr>
          <w:p w14:paraId="6D94CB5B" w14:textId="0E0CC275"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56CA06CD" w14:textId="77777777" w:rsidTr="003E5A84">
        <w:trPr>
          <w:trHeight w:val="728"/>
        </w:trPr>
        <w:tc>
          <w:tcPr>
            <w:tcW w:w="195" w:type="pct"/>
            <w:shd w:val="clear" w:color="auto" w:fill="auto"/>
            <w:vAlign w:val="center"/>
            <w:hideMark/>
          </w:tcPr>
          <w:p w14:paraId="5B752B06" w14:textId="64506AEA" w:rsidR="00D62C86" w:rsidRPr="008C7781" w:rsidRDefault="00D62C86" w:rsidP="006D0B51">
            <w:pPr>
              <w:spacing w:after="120" w:line="240" w:lineRule="auto"/>
              <w:contextualSpacing/>
              <w:rPr>
                <w:rFonts w:cs="Arial"/>
                <w:szCs w:val="20"/>
              </w:rPr>
            </w:pPr>
            <w:r w:rsidRPr="008C7781">
              <w:rPr>
                <w:rFonts w:cs="Arial"/>
                <w:szCs w:val="20"/>
              </w:rPr>
              <w:t>5</w:t>
            </w:r>
            <w:r>
              <w:rPr>
                <w:rFonts w:cs="Arial"/>
                <w:szCs w:val="20"/>
              </w:rPr>
              <w:t>6</w:t>
            </w:r>
          </w:p>
        </w:tc>
        <w:tc>
          <w:tcPr>
            <w:tcW w:w="825" w:type="pct"/>
            <w:vMerge/>
            <w:vAlign w:val="center"/>
            <w:hideMark/>
          </w:tcPr>
          <w:p w14:paraId="39006BC2" w14:textId="77777777" w:rsidR="00D62C86" w:rsidRPr="005E1BCD" w:rsidRDefault="00D62C86" w:rsidP="006D0B51">
            <w:pPr>
              <w:spacing w:after="120" w:line="240" w:lineRule="auto"/>
              <w:contextualSpacing/>
              <w:rPr>
                <w:rFonts w:cs="Arial"/>
                <w:b/>
                <w:bCs/>
                <w:szCs w:val="20"/>
              </w:rPr>
            </w:pPr>
          </w:p>
        </w:tc>
        <w:tc>
          <w:tcPr>
            <w:tcW w:w="792" w:type="pct"/>
            <w:shd w:val="clear" w:color="auto" w:fill="auto"/>
            <w:vAlign w:val="center"/>
            <w:hideMark/>
          </w:tcPr>
          <w:p w14:paraId="6032BE80" w14:textId="5E8F6FD8" w:rsidR="00D62C86" w:rsidRPr="00E05173" w:rsidRDefault="00107493" w:rsidP="005849A5">
            <w:pPr>
              <w:spacing w:after="0" w:line="240" w:lineRule="auto"/>
              <w:contextualSpacing/>
              <w:rPr>
                <w:rFonts w:ascii="Calibri" w:hAnsi="Calibri" w:cs="Calibri"/>
                <w:sz w:val="22"/>
                <w:szCs w:val="22"/>
                <w:u w:val="single"/>
              </w:rPr>
            </w:pPr>
            <w:hyperlink r:id="rId86" w:anchor="RANGE!D11" w:history="1">
              <w:r w:rsidR="00D62C86" w:rsidRPr="00E05173">
                <w:t>Sch 1 Part 2 Table 5 (Item 2.5.1 (</w:t>
              </w:r>
              <w:r w:rsidR="00D62C86">
                <w:t>f</w:t>
              </w:r>
              <w:r w:rsidR="00D62C86" w:rsidRPr="00E05173">
                <w:t>))</w:t>
              </w:r>
            </w:hyperlink>
          </w:p>
        </w:tc>
        <w:tc>
          <w:tcPr>
            <w:tcW w:w="2502" w:type="pct"/>
            <w:shd w:val="clear" w:color="auto" w:fill="auto"/>
            <w:vAlign w:val="center"/>
            <w:hideMark/>
          </w:tcPr>
          <w:p w14:paraId="572ED93A" w14:textId="77777777" w:rsidR="00D62C86" w:rsidRDefault="00D62C86" w:rsidP="002137C1">
            <w:pPr>
              <w:pStyle w:val="Paragraphbeforelist"/>
              <w:spacing w:line="240" w:lineRule="auto"/>
              <w:contextualSpacing/>
              <w:rPr>
                <w:szCs w:val="20"/>
              </w:rPr>
            </w:pPr>
            <w:r w:rsidRPr="008C7781">
              <w:rPr>
                <w:szCs w:val="20"/>
              </w:rPr>
              <w:t>Considering an application for the issue of any of the following non</w:t>
            </w:r>
            <w:r>
              <w:rPr>
                <w:szCs w:val="20"/>
              </w:rPr>
              <w:t>-</w:t>
            </w:r>
            <w:r w:rsidRPr="008C7781">
              <w:rPr>
                <w:szCs w:val="20"/>
              </w:rPr>
              <w:t xml:space="preserve">assigned apparatus </w:t>
            </w:r>
            <w:r w:rsidRPr="002137C1">
              <w:t>licences</w:t>
            </w:r>
            <w:r w:rsidRPr="008C7781">
              <w:rPr>
                <w:szCs w:val="20"/>
              </w:rPr>
              <w:t xml:space="preserve"> and issuing the </w:t>
            </w:r>
            <w:r w:rsidRPr="00CC61BA">
              <w:t>licence</w:t>
            </w:r>
            <w:r w:rsidRPr="008C7781">
              <w:rPr>
                <w:szCs w:val="20"/>
              </w:rPr>
              <w:t xml:space="preserve"> (if applicable): </w:t>
            </w:r>
          </w:p>
          <w:p w14:paraId="15C32A37" w14:textId="79B261BB" w:rsidR="00D62C86" w:rsidRPr="008C7781" w:rsidRDefault="00D62C86" w:rsidP="005849A5">
            <w:pPr>
              <w:pStyle w:val="Bulletlevel1"/>
              <w:numPr>
                <w:ilvl w:val="0"/>
                <w:numId w:val="0"/>
              </w:numPr>
              <w:spacing w:after="0" w:line="240" w:lineRule="auto"/>
              <w:ind w:left="295" w:hanging="295"/>
              <w:contextualSpacing/>
              <w:rPr>
                <w:szCs w:val="20"/>
              </w:rPr>
            </w:pPr>
            <w:r w:rsidRPr="008C7781">
              <w:rPr>
                <w:szCs w:val="20"/>
              </w:rPr>
              <w:t>(</w:t>
            </w:r>
            <w:r>
              <w:rPr>
                <w:szCs w:val="20"/>
              </w:rPr>
              <w:t>f</w:t>
            </w:r>
            <w:r w:rsidRPr="008C7781">
              <w:rPr>
                <w:szCs w:val="20"/>
              </w:rPr>
              <w:t>) maritime ship licence (ship station class B non</w:t>
            </w:r>
            <w:r>
              <w:rPr>
                <w:szCs w:val="20"/>
              </w:rPr>
              <w:t>-</w:t>
            </w:r>
            <w:r w:rsidRPr="008C7781">
              <w:rPr>
                <w:szCs w:val="20"/>
              </w:rPr>
              <w:t>assigned)</w:t>
            </w:r>
            <w:r>
              <w:rPr>
                <w:szCs w:val="20"/>
              </w:rPr>
              <w:t>.</w:t>
            </w:r>
          </w:p>
        </w:tc>
        <w:tc>
          <w:tcPr>
            <w:tcW w:w="686" w:type="pct"/>
            <w:shd w:val="clear" w:color="auto" w:fill="auto"/>
            <w:vAlign w:val="center"/>
            <w:hideMark/>
          </w:tcPr>
          <w:p w14:paraId="7B37412A" w14:textId="1973B295"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0E6D8EAF" w14:textId="77777777" w:rsidTr="00F325E7">
        <w:trPr>
          <w:trHeight w:val="728"/>
        </w:trPr>
        <w:tc>
          <w:tcPr>
            <w:tcW w:w="195" w:type="pct"/>
            <w:shd w:val="clear" w:color="auto" w:fill="auto"/>
            <w:vAlign w:val="center"/>
          </w:tcPr>
          <w:p w14:paraId="6D9CC06F" w14:textId="7FFB8A98" w:rsidR="00D62C86" w:rsidRPr="008C7781" w:rsidRDefault="00D62C86" w:rsidP="007F0C05">
            <w:pPr>
              <w:spacing w:after="120" w:line="240" w:lineRule="auto"/>
              <w:contextualSpacing/>
              <w:rPr>
                <w:rFonts w:cs="Arial"/>
                <w:szCs w:val="20"/>
              </w:rPr>
            </w:pPr>
            <w:r>
              <w:rPr>
                <w:rFonts w:cs="Arial"/>
                <w:szCs w:val="20"/>
              </w:rPr>
              <w:lastRenderedPageBreak/>
              <w:t>57</w:t>
            </w:r>
          </w:p>
        </w:tc>
        <w:tc>
          <w:tcPr>
            <w:tcW w:w="825" w:type="pct"/>
            <w:vMerge/>
            <w:vAlign w:val="center"/>
          </w:tcPr>
          <w:p w14:paraId="318F4CE0" w14:textId="77777777" w:rsidR="00D62C86" w:rsidRPr="005E1BCD" w:rsidRDefault="00D62C86" w:rsidP="007F0C05">
            <w:pPr>
              <w:spacing w:after="120" w:line="240" w:lineRule="auto"/>
              <w:contextualSpacing/>
              <w:rPr>
                <w:rFonts w:cs="Arial"/>
                <w:b/>
                <w:bCs/>
                <w:szCs w:val="20"/>
              </w:rPr>
            </w:pPr>
          </w:p>
        </w:tc>
        <w:tc>
          <w:tcPr>
            <w:tcW w:w="792" w:type="pct"/>
            <w:shd w:val="clear" w:color="auto" w:fill="auto"/>
          </w:tcPr>
          <w:p w14:paraId="6184EC3D" w14:textId="040E419A" w:rsidR="00D62C86" w:rsidRDefault="00107493" w:rsidP="005849A5">
            <w:pPr>
              <w:spacing w:after="0" w:line="240" w:lineRule="auto"/>
              <w:contextualSpacing/>
            </w:pPr>
            <w:hyperlink r:id="rId87" w:anchor="RANGE!D20" w:history="1">
              <w:r w:rsidR="00D62C86" w:rsidRPr="00E05173">
                <w:t>Sch 1 Part 2 Table 5 (Item 2.5.1 (</w:t>
              </w:r>
              <w:r w:rsidR="00D62C86">
                <w:t>g</w:t>
              </w:r>
              <w:r w:rsidR="00D62C86" w:rsidRPr="00E05173">
                <w:t>))</w:t>
              </w:r>
            </w:hyperlink>
          </w:p>
        </w:tc>
        <w:tc>
          <w:tcPr>
            <w:tcW w:w="2502" w:type="pct"/>
            <w:shd w:val="clear" w:color="auto" w:fill="auto"/>
          </w:tcPr>
          <w:p w14:paraId="353E9385" w14:textId="77777777" w:rsidR="00D62C86" w:rsidRDefault="00D62C86" w:rsidP="005849A5">
            <w:pPr>
              <w:pStyle w:val="Paragraphbeforelist"/>
              <w:spacing w:line="240" w:lineRule="auto"/>
              <w:rPr>
                <w:szCs w:val="20"/>
              </w:rPr>
            </w:pPr>
            <w:r w:rsidRPr="008C7781">
              <w:rPr>
                <w:szCs w:val="20"/>
              </w:rPr>
              <w:t>Considering an application for the issue of any of the following non</w:t>
            </w:r>
            <w:r>
              <w:rPr>
                <w:szCs w:val="20"/>
              </w:rPr>
              <w:t>-</w:t>
            </w:r>
            <w:r w:rsidRPr="008C7781">
              <w:rPr>
                <w:szCs w:val="20"/>
              </w:rPr>
              <w:t xml:space="preserve">assigned </w:t>
            </w:r>
            <w:r w:rsidRPr="002137C1">
              <w:t>apparatus</w:t>
            </w:r>
            <w:r w:rsidRPr="008C7781">
              <w:rPr>
                <w:szCs w:val="20"/>
              </w:rPr>
              <w:t xml:space="preserve"> licences and </w:t>
            </w:r>
            <w:r w:rsidRPr="00CC61BA">
              <w:t>issuing</w:t>
            </w:r>
            <w:r w:rsidRPr="008C7781">
              <w:rPr>
                <w:szCs w:val="20"/>
              </w:rPr>
              <w:t xml:space="preserve"> the licence (if applicable): </w:t>
            </w:r>
          </w:p>
          <w:p w14:paraId="4367C936" w14:textId="3CAE28A3" w:rsidR="00D62C86" w:rsidRPr="008C7781" w:rsidRDefault="00D62C86" w:rsidP="005849A5">
            <w:pPr>
              <w:pStyle w:val="Paragraphbeforelist"/>
              <w:spacing w:after="0" w:line="240" w:lineRule="auto"/>
              <w:contextualSpacing/>
              <w:rPr>
                <w:szCs w:val="20"/>
              </w:rPr>
            </w:pPr>
            <w:r w:rsidRPr="008C7781">
              <w:rPr>
                <w:szCs w:val="20"/>
              </w:rPr>
              <w:t>(</w:t>
            </w:r>
            <w:r>
              <w:rPr>
                <w:szCs w:val="20"/>
              </w:rPr>
              <w:t>g</w:t>
            </w:r>
            <w:r w:rsidRPr="008C7781">
              <w:rPr>
                <w:szCs w:val="20"/>
              </w:rPr>
              <w:t xml:space="preserve">) maritime ship licence (ship station class </w:t>
            </w:r>
            <w:r>
              <w:rPr>
                <w:szCs w:val="20"/>
              </w:rPr>
              <w:t>C</w:t>
            </w:r>
            <w:r w:rsidRPr="008C7781">
              <w:rPr>
                <w:szCs w:val="20"/>
              </w:rPr>
              <w:t xml:space="preserve"> n</w:t>
            </w:r>
            <w:r w:rsidRPr="006A6A15">
              <w:rPr>
                <w:szCs w:val="20"/>
              </w:rPr>
              <w:t>on-as</w:t>
            </w:r>
            <w:r w:rsidRPr="008C7781">
              <w:rPr>
                <w:szCs w:val="20"/>
              </w:rPr>
              <w:t>signed)</w:t>
            </w:r>
            <w:r>
              <w:rPr>
                <w:szCs w:val="20"/>
              </w:rPr>
              <w:t>.</w:t>
            </w:r>
            <w:r w:rsidRPr="008C7781">
              <w:rPr>
                <w:szCs w:val="20"/>
              </w:rPr>
              <w:t xml:space="preserve"> </w:t>
            </w:r>
          </w:p>
        </w:tc>
        <w:tc>
          <w:tcPr>
            <w:tcW w:w="686" w:type="pct"/>
            <w:shd w:val="clear" w:color="auto" w:fill="auto"/>
            <w:vAlign w:val="center"/>
          </w:tcPr>
          <w:p w14:paraId="7F9EE96A" w14:textId="351BA945"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760C1454" w14:textId="77777777" w:rsidTr="003E5A84">
        <w:trPr>
          <w:trHeight w:val="728"/>
        </w:trPr>
        <w:tc>
          <w:tcPr>
            <w:tcW w:w="195" w:type="pct"/>
            <w:shd w:val="clear" w:color="auto" w:fill="auto"/>
            <w:vAlign w:val="center"/>
          </w:tcPr>
          <w:p w14:paraId="69E56607" w14:textId="75CFFCA8" w:rsidR="00D62C86" w:rsidRPr="008C7781" w:rsidRDefault="00D62C86" w:rsidP="007F0C05">
            <w:pPr>
              <w:spacing w:after="120" w:line="240" w:lineRule="auto"/>
              <w:contextualSpacing/>
              <w:rPr>
                <w:rFonts w:cs="Arial"/>
                <w:szCs w:val="20"/>
              </w:rPr>
            </w:pPr>
            <w:r>
              <w:rPr>
                <w:rFonts w:cs="Arial"/>
                <w:szCs w:val="20"/>
              </w:rPr>
              <w:t>58</w:t>
            </w:r>
          </w:p>
        </w:tc>
        <w:tc>
          <w:tcPr>
            <w:tcW w:w="825" w:type="pct"/>
            <w:vMerge/>
            <w:vAlign w:val="center"/>
          </w:tcPr>
          <w:p w14:paraId="2087FA9A" w14:textId="77777777" w:rsidR="00D62C86" w:rsidRPr="005E1BCD" w:rsidRDefault="00D62C86" w:rsidP="007F0C05">
            <w:pPr>
              <w:spacing w:after="120" w:line="240" w:lineRule="auto"/>
              <w:contextualSpacing/>
              <w:rPr>
                <w:rFonts w:cs="Arial"/>
                <w:b/>
                <w:bCs/>
                <w:szCs w:val="20"/>
              </w:rPr>
            </w:pPr>
          </w:p>
        </w:tc>
        <w:tc>
          <w:tcPr>
            <w:tcW w:w="792" w:type="pct"/>
            <w:shd w:val="clear" w:color="auto" w:fill="auto"/>
            <w:vAlign w:val="center"/>
          </w:tcPr>
          <w:p w14:paraId="1BA5BA8B" w14:textId="31768D01" w:rsidR="00D62C86" w:rsidRDefault="00107493" w:rsidP="005849A5">
            <w:pPr>
              <w:spacing w:after="0" w:line="240" w:lineRule="auto"/>
              <w:contextualSpacing/>
            </w:pPr>
            <w:hyperlink r:id="rId88" w:anchor="RANGE!D20" w:history="1">
              <w:r w:rsidR="00D62C86" w:rsidRPr="00E05173">
                <w:t>Sch 1 Part 2 Table 5 (Item 2.5.1 (</w:t>
              </w:r>
              <w:r w:rsidR="00D62C86">
                <w:t>h</w:t>
              </w:r>
              <w:r w:rsidR="00D62C86" w:rsidRPr="00E05173">
                <w:t>))</w:t>
              </w:r>
            </w:hyperlink>
          </w:p>
        </w:tc>
        <w:tc>
          <w:tcPr>
            <w:tcW w:w="2502" w:type="pct"/>
            <w:shd w:val="clear" w:color="auto" w:fill="auto"/>
            <w:vAlign w:val="center"/>
          </w:tcPr>
          <w:p w14:paraId="7C22EF91" w14:textId="77777777" w:rsidR="00D62C86" w:rsidRDefault="00D62C86" w:rsidP="005849A5">
            <w:pPr>
              <w:pStyle w:val="Paragraphbeforelist"/>
              <w:spacing w:line="240" w:lineRule="auto"/>
              <w:rPr>
                <w:szCs w:val="20"/>
              </w:rPr>
            </w:pPr>
            <w:r w:rsidRPr="008C7781">
              <w:rPr>
                <w:szCs w:val="20"/>
              </w:rPr>
              <w:t xml:space="preserve">Considering an application for the </w:t>
            </w:r>
            <w:r w:rsidRPr="00CC61BA">
              <w:t>issue</w:t>
            </w:r>
            <w:r w:rsidRPr="008C7781">
              <w:rPr>
                <w:szCs w:val="20"/>
              </w:rPr>
              <w:t xml:space="preserve"> of any of the following non</w:t>
            </w:r>
            <w:r>
              <w:rPr>
                <w:szCs w:val="20"/>
              </w:rPr>
              <w:t>-</w:t>
            </w:r>
            <w:r w:rsidRPr="008C7781">
              <w:rPr>
                <w:szCs w:val="20"/>
              </w:rPr>
              <w:t xml:space="preserve">assigned apparatus licences and </w:t>
            </w:r>
            <w:r w:rsidRPr="002137C1">
              <w:t>issuing</w:t>
            </w:r>
            <w:r w:rsidRPr="008C7781">
              <w:rPr>
                <w:szCs w:val="20"/>
              </w:rPr>
              <w:t xml:space="preserve"> the licence (if applicable): </w:t>
            </w:r>
          </w:p>
          <w:p w14:paraId="3FF21CBF" w14:textId="634D7C31" w:rsidR="00D62C86" w:rsidRPr="008C7781" w:rsidRDefault="00D62C86" w:rsidP="005849A5">
            <w:pPr>
              <w:pStyle w:val="Paragraphbeforelist"/>
              <w:spacing w:after="0" w:line="240" w:lineRule="auto"/>
              <w:contextualSpacing/>
              <w:rPr>
                <w:szCs w:val="20"/>
              </w:rPr>
            </w:pPr>
            <w:r w:rsidRPr="008C7781">
              <w:rPr>
                <w:szCs w:val="20"/>
              </w:rPr>
              <w:t>(</w:t>
            </w:r>
            <w:r>
              <w:rPr>
                <w:szCs w:val="20"/>
              </w:rPr>
              <w:t>h</w:t>
            </w:r>
            <w:r w:rsidRPr="008C7781">
              <w:rPr>
                <w:szCs w:val="20"/>
              </w:rPr>
              <w:t xml:space="preserve">) fixed </w:t>
            </w:r>
            <w:r w:rsidRPr="00CC61BA">
              <w:t>licence</w:t>
            </w:r>
            <w:r w:rsidRPr="008C7781">
              <w:rPr>
                <w:szCs w:val="20"/>
              </w:rPr>
              <w:t xml:space="preserve"> (sound outside broadcast station)</w:t>
            </w:r>
            <w:r>
              <w:rPr>
                <w:szCs w:val="20"/>
              </w:rPr>
              <w:t>.</w:t>
            </w:r>
          </w:p>
        </w:tc>
        <w:tc>
          <w:tcPr>
            <w:tcW w:w="686" w:type="pct"/>
            <w:shd w:val="clear" w:color="auto" w:fill="auto"/>
            <w:vAlign w:val="center"/>
          </w:tcPr>
          <w:p w14:paraId="46459258" w14:textId="2EA26102"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3AF6670B" w14:textId="77777777" w:rsidTr="003E5A84">
        <w:trPr>
          <w:trHeight w:val="728"/>
        </w:trPr>
        <w:tc>
          <w:tcPr>
            <w:tcW w:w="195" w:type="pct"/>
            <w:shd w:val="clear" w:color="auto" w:fill="auto"/>
            <w:vAlign w:val="center"/>
          </w:tcPr>
          <w:p w14:paraId="65C72E6F" w14:textId="0D4CAEA2" w:rsidR="00D62C86" w:rsidRPr="008C7781" w:rsidRDefault="00D62C86" w:rsidP="007F0C05">
            <w:pPr>
              <w:spacing w:after="120" w:line="240" w:lineRule="auto"/>
              <w:contextualSpacing/>
              <w:rPr>
                <w:rFonts w:cs="Arial"/>
                <w:szCs w:val="20"/>
              </w:rPr>
            </w:pPr>
            <w:r>
              <w:rPr>
                <w:rFonts w:cs="Arial"/>
                <w:szCs w:val="20"/>
              </w:rPr>
              <w:t>59</w:t>
            </w:r>
          </w:p>
        </w:tc>
        <w:tc>
          <w:tcPr>
            <w:tcW w:w="825" w:type="pct"/>
            <w:vMerge/>
            <w:vAlign w:val="center"/>
          </w:tcPr>
          <w:p w14:paraId="254D474C" w14:textId="77777777" w:rsidR="00D62C86" w:rsidRPr="005E1BCD" w:rsidRDefault="00D62C86" w:rsidP="007F0C05">
            <w:pPr>
              <w:spacing w:after="120" w:line="240" w:lineRule="auto"/>
              <w:contextualSpacing/>
              <w:rPr>
                <w:rFonts w:cs="Arial"/>
                <w:b/>
                <w:bCs/>
                <w:szCs w:val="20"/>
              </w:rPr>
            </w:pPr>
          </w:p>
        </w:tc>
        <w:tc>
          <w:tcPr>
            <w:tcW w:w="792" w:type="pct"/>
            <w:shd w:val="clear" w:color="auto" w:fill="auto"/>
            <w:vAlign w:val="center"/>
          </w:tcPr>
          <w:p w14:paraId="20B4E276" w14:textId="2C0C1BD5" w:rsidR="00D62C86" w:rsidRDefault="00107493" w:rsidP="005849A5">
            <w:pPr>
              <w:spacing w:after="0" w:line="240" w:lineRule="auto"/>
              <w:contextualSpacing/>
            </w:pPr>
            <w:hyperlink r:id="rId89" w:anchor="RANGE!D11" w:history="1">
              <w:r w:rsidR="00D62C86" w:rsidRPr="00E05173">
                <w:t>Sch 1 Part 2 Table 5 (Item 2.5.1 (</w:t>
              </w:r>
              <w:r w:rsidR="00D62C86">
                <w:t>i</w:t>
              </w:r>
              <w:r w:rsidR="00D62C86" w:rsidRPr="00E05173">
                <w:t>))</w:t>
              </w:r>
            </w:hyperlink>
          </w:p>
        </w:tc>
        <w:tc>
          <w:tcPr>
            <w:tcW w:w="2502" w:type="pct"/>
            <w:shd w:val="clear" w:color="auto" w:fill="auto"/>
            <w:vAlign w:val="center"/>
          </w:tcPr>
          <w:p w14:paraId="26705136" w14:textId="77777777" w:rsidR="00D62C86" w:rsidRDefault="00D62C86" w:rsidP="005849A5">
            <w:pPr>
              <w:pStyle w:val="Paragraphbeforelist"/>
              <w:spacing w:line="240" w:lineRule="auto"/>
              <w:rPr>
                <w:szCs w:val="20"/>
              </w:rPr>
            </w:pPr>
            <w:r w:rsidRPr="008C7781">
              <w:rPr>
                <w:szCs w:val="20"/>
              </w:rPr>
              <w:t xml:space="preserve">Considering an application for the issue </w:t>
            </w:r>
            <w:r w:rsidRPr="00CC61BA">
              <w:t>of</w:t>
            </w:r>
            <w:r w:rsidRPr="008C7781">
              <w:rPr>
                <w:szCs w:val="20"/>
              </w:rPr>
              <w:t xml:space="preserve"> any of the following non</w:t>
            </w:r>
            <w:r>
              <w:rPr>
                <w:szCs w:val="20"/>
              </w:rPr>
              <w:t>-</w:t>
            </w:r>
            <w:r w:rsidRPr="008C7781">
              <w:rPr>
                <w:szCs w:val="20"/>
              </w:rPr>
              <w:t xml:space="preserve">assigned apparatus </w:t>
            </w:r>
            <w:r w:rsidRPr="002137C1">
              <w:t>licences</w:t>
            </w:r>
            <w:r w:rsidRPr="008C7781">
              <w:rPr>
                <w:szCs w:val="20"/>
              </w:rPr>
              <w:t xml:space="preserve"> and issuing the licence (if applicable): </w:t>
            </w:r>
          </w:p>
          <w:p w14:paraId="56609704" w14:textId="3DE84308" w:rsidR="00D62C86" w:rsidRPr="008C7781" w:rsidRDefault="00D62C86" w:rsidP="00801472">
            <w:pPr>
              <w:pStyle w:val="Paragraphbeforelist"/>
              <w:spacing w:after="0" w:line="240" w:lineRule="auto"/>
              <w:contextualSpacing/>
              <w:rPr>
                <w:szCs w:val="20"/>
              </w:rPr>
            </w:pPr>
            <w:r w:rsidRPr="008C7781">
              <w:rPr>
                <w:szCs w:val="20"/>
              </w:rPr>
              <w:t>(</w:t>
            </w:r>
            <w:proofErr w:type="spellStart"/>
            <w:r>
              <w:rPr>
                <w:szCs w:val="20"/>
              </w:rPr>
              <w:t>i</w:t>
            </w:r>
            <w:proofErr w:type="spellEnd"/>
            <w:r w:rsidRPr="008C7781">
              <w:rPr>
                <w:szCs w:val="20"/>
              </w:rPr>
              <w:t xml:space="preserve">) </w:t>
            </w:r>
            <w:r w:rsidRPr="00CC61BA">
              <w:t>fixed</w:t>
            </w:r>
            <w:r w:rsidRPr="008C7781">
              <w:rPr>
                <w:szCs w:val="20"/>
              </w:rPr>
              <w:t xml:space="preserve"> licence (</w:t>
            </w:r>
            <w:r w:rsidRPr="00CC61BA">
              <w:t>temporary</w:t>
            </w:r>
            <w:r w:rsidRPr="008C7781">
              <w:rPr>
                <w:szCs w:val="20"/>
              </w:rPr>
              <w:t xml:space="preserve"> fixed link station)</w:t>
            </w:r>
            <w:r>
              <w:rPr>
                <w:szCs w:val="20"/>
              </w:rPr>
              <w:t>.</w:t>
            </w:r>
          </w:p>
        </w:tc>
        <w:tc>
          <w:tcPr>
            <w:tcW w:w="686" w:type="pct"/>
            <w:shd w:val="clear" w:color="auto" w:fill="auto"/>
            <w:vAlign w:val="center"/>
          </w:tcPr>
          <w:p w14:paraId="528E5F9A" w14:textId="12606F83" w:rsidR="00D62C86" w:rsidRPr="008C7781" w:rsidRDefault="00D62C86" w:rsidP="005849A5">
            <w:pPr>
              <w:spacing w:after="0" w:line="240" w:lineRule="auto"/>
              <w:contextualSpacing/>
              <w:jc w:val="right"/>
              <w:rPr>
                <w:rFonts w:cs="Arial"/>
                <w:szCs w:val="20"/>
              </w:rPr>
            </w:pPr>
            <w:r w:rsidRPr="008C7781">
              <w:rPr>
                <w:rFonts w:cs="Arial"/>
                <w:szCs w:val="20"/>
              </w:rPr>
              <w:t>$36.00</w:t>
            </w:r>
          </w:p>
        </w:tc>
      </w:tr>
      <w:tr w:rsidR="00D62C86" w:rsidRPr="008C7781" w14:paraId="1C40D22C" w14:textId="77777777" w:rsidTr="0023759E">
        <w:trPr>
          <w:trHeight w:val="243"/>
        </w:trPr>
        <w:tc>
          <w:tcPr>
            <w:tcW w:w="195" w:type="pct"/>
            <w:shd w:val="clear" w:color="auto" w:fill="auto"/>
            <w:vAlign w:val="center"/>
          </w:tcPr>
          <w:p w14:paraId="1D6A396E" w14:textId="66B9ED66" w:rsidR="00D62C86" w:rsidRPr="008C7781" w:rsidRDefault="00D62C86" w:rsidP="00D62C86">
            <w:pPr>
              <w:spacing w:after="120" w:line="240" w:lineRule="auto"/>
              <w:contextualSpacing/>
              <w:rPr>
                <w:rFonts w:cs="Arial"/>
                <w:szCs w:val="20"/>
              </w:rPr>
            </w:pPr>
            <w:r>
              <w:rPr>
                <w:rFonts w:cs="Arial"/>
                <w:szCs w:val="20"/>
              </w:rPr>
              <w:t>60</w:t>
            </w:r>
          </w:p>
        </w:tc>
        <w:tc>
          <w:tcPr>
            <w:tcW w:w="825" w:type="pct"/>
            <w:vMerge w:val="restart"/>
            <w:vAlign w:val="center"/>
          </w:tcPr>
          <w:p w14:paraId="0F29E8B6" w14:textId="75A93FBC" w:rsidR="00D62C86" w:rsidRPr="005E1BCD" w:rsidRDefault="00D62C86" w:rsidP="00D62C86">
            <w:pPr>
              <w:spacing w:after="120" w:line="240" w:lineRule="auto"/>
              <w:contextualSpacing/>
              <w:rPr>
                <w:rFonts w:cs="Arial"/>
                <w:b/>
                <w:bCs/>
                <w:szCs w:val="20"/>
              </w:rPr>
            </w:pPr>
            <w:r>
              <w:rPr>
                <w:rFonts w:cs="Arial"/>
                <w:b/>
                <w:bCs/>
                <w:szCs w:val="20"/>
              </w:rPr>
              <w:t>Renewals</w:t>
            </w:r>
          </w:p>
        </w:tc>
        <w:tc>
          <w:tcPr>
            <w:tcW w:w="792" w:type="pct"/>
            <w:shd w:val="clear" w:color="auto" w:fill="auto"/>
            <w:vAlign w:val="center"/>
          </w:tcPr>
          <w:p w14:paraId="55D146FD" w14:textId="5AEC0E2C" w:rsidR="00D62C86" w:rsidRDefault="00107493" w:rsidP="00D62C86">
            <w:pPr>
              <w:spacing w:after="120" w:line="240" w:lineRule="auto"/>
              <w:contextualSpacing/>
            </w:pPr>
            <w:hyperlink r:id="rId90" w:anchor="RANGE!D3" w:history="1">
              <w:r w:rsidR="00D62C86" w:rsidRPr="00F44B7C">
                <w:t>Sch 1 Part 2 Table 6 (Item 2.6.1)</w:t>
              </w:r>
            </w:hyperlink>
          </w:p>
        </w:tc>
        <w:tc>
          <w:tcPr>
            <w:tcW w:w="2502" w:type="pct"/>
            <w:shd w:val="clear" w:color="auto" w:fill="auto"/>
            <w:vAlign w:val="center"/>
          </w:tcPr>
          <w:p w14:paraId="2CE89C35" w14:textId="77777777" w:rsidR="00D62C86" w:rsidRPr="00F44B7C" w:rsidRDefault="00D62C86" w:rsidP="002137C1">
            <w:pPr>
              <w:pStyle w:val="Paragraphbeforelist"/>
              <w:spacing w:line="240" w:lineRule="auto"/>
              <w:contextualSpacing/>
              <w:rPr>
                <w:szCs w:val="20"/>
              </w:rPr>
            </w:pPr>
            <w:r w:rsidRPr="00F44B7C">
              <w:rPr>
                <w:szCs w:val="20"/>
              </w:rPr>
              <w:t xml:space="preserve">Considering an application for the renewal of an assigned apparatus or a non-assigned </w:t>
            </w:r>
            <w:r w:rsidRPr="00F44B7C">
              <w:t>apparatus</w:t>
            </w:r>
            <w:r w:rsidRPr="00F44B7C">
              <w:rPr>
                <w:szCs w:val="20"/>
              </w:rPr>
              <w:t xml:space="preserve"> licence that does not include a renewal statement or a renewal application period statement and renewing it (if applicable), where: </w:t>
            </w:r>
          </w:p>
          <w:p w14:paraId="72BD5825" w14:textId="77777777" w:rsidR="00D62C86" w:rsidRPr="00F44B7C" w:rsidRDefault="00D62C86" w:rsidP="005849A5">
            <w:pPr>
              <w:pStyle w:val="Bulletlevel1"/>
              <w:numPr>
                <w:ilvl w:val="0"/>
                <w:numId w:val="0"/>
              </w:numPr>
              <w:spacing w:line="240" w:lineRule="auto"/>
              <w:ind w:left="295" w:hanging="295"/>
            </w:pPr>
            <w:r w:rsidRPr="00F44B7C">
              <w:br w:type="page"/>
              <w:t xml:space="preserve">(a) the application for renewal; </w:t>
            </w:r>
          </w:p>
          <w:p w14:paraId="64EB7ACD" w14:textId="77777777" w:rsidR="00D62C86" w:rsidRPr="00F44B7C" w:rsidRDefault="00D62C86" w:rsidP="005849A5">
            <w:pPr>
              <w:pStyle w:val="Bulletlevel1"/>
              <w:numPr>
                <w:ilvl w:val="0"/>
                <w:numId w:val="0"/>
              </w:numPr>
              <w:spacing w:line="240" w:lineRule="auto"/>
              <w:ind w:left="295" w:hanging="295"/>
            </w:pPr>
            <w:r w:rsidRPr="00F44B7C">
              <w:br w:type="page"/>
              <w:t>(b) payment of the charge specified in column 3; and</w:t>
            </w:r>
          </w:p>
          <w:p w14:paraId="38D2F1F3" w14:textId="77777777" w:rsidR="00D62C86" w:rsidRPr="00F44B7C" w:rsidRDefault="00D62C86" w:rsidP="005849A5">
            <w:pPr>
              <w:pStyle w:val="Bulletlevel1"/>
              <w:numPr>
                <w:ilvl w:val="0"/>
                <w:numId w:val="0"/>
              </w:numPr>
              <w:spacing w:line="240" w:lineRule="auto"/>
              <w:ind w:left="295" w:hanging="295"/>
            </w:pPr>
            <w:r w:rsidRPr="00F44B7C">
              <w:br w:type="page"/>
              <w:t>(c) payment of the tax imposed on the issue of the licence under a Tax Act;</w:t>
            </w:r>
            <w:r w:rsidRPr="00F44B7C">
              <w:br w:type="page"/>
              <w:t xml:space="preserve"> are received while the licence is in force or within 60 days after the expiry date of the licence:</w:t>
            </w:r>
          </w:p>
          <w:p w14:paraId="0F98CB33" w14:textId="77777777" w:rsidR="00D62C86" w:rsidRPr="00F44B7C" w:rsidRDefault="00D62C86" w:rsidP="005849A5">
            <w:pPr>
              <w:pStyle w:val="Bulletlevel1"/>
              <w:numPr>
                <w:ilvl w:val="0"/>
                <w:numId w:val="0"/>
              </w:numPr>
              <w:spacing w:line="240" w:lineRule="auto"/>
              <w:ind w:left="295" w:hanging="295"/>
            </w:pPr>
            <w:r w:rsidRPr="00F44B7C">
              <w:br w:type="page"/>
              <w:t xml:space="preserve">(d) in the case of a fixed receive licence — for each frequency assigned, or requested for assignment, for the purpose of reception; </w:t>
            </w:r>
          </w:p>
          <w:p w14:paraId="73B827C9" w14:textId="77777777" w:rsidR="00D62C86" w:rsidRPr="00F44B7C" w:rsidRDefault="00D62C86" w:rsidP="005849A5">
            <w:pPr>
              <w:pStyle w:val="Bulletlevel1"/>
              <w:numPr>
                <w:ilvl w:val="0"/>
                <w:numId w:val="0"/>
              </w:numPr>
              <w:spacing w:line="240" w:lineRule="auto"/>
              <w:ind w:left="295" w:hanging="295"/>
            </w:pPr>
            <w:r w:rsidRPr="00F44B7C">
              <w:br w:type="page"/>
              <w:t xml:space="preserve">(e) in the case of a broadcasting licence for the operation of a broadcast service station — per licence; </w:t>
            </w:r>
          </w:p>
          <w:p w14:paraId="7ADB3610" w14:textId="77777777" w:rsidR="00D62C86" w:rsidRPr="00F44B7C" w:rsidRDefault="00D62C86" w:rsidP="005849A5">
            <w:pPr>
              <w:pStyle w:val="Bulletlevel1"/>
              <w:numPr>
                <w:ilvl w:val="0"/>
                <w:numId w:val="0"/>
              </w:numPr>
              <w:spacing w:line="240" w:lineRule="auto"/>
              <w:ind w:left="295" w:hanging="295"/>
            </w:pPr>
            <w:r w:rsidRPr="00F44B7C">
              <w:br w:type="page"/>
              <w:t xml:space="preserve">(f) in the case of a fixed licence (point to point (self-coordinated)) station — per licence; </w:t>
            </w:r>
          </w:p>
          <w:p w14:paraId="46B60151" w14:textId="77777777" w:rsidR="00D62C86" w:rsidRPr="00F44B7C" w:rsidRDefault="00D62C86" w:rsidP="005849A5">
            <w:pPr>
              <w:pStyle w:val="Bulletlevel1"/>
              <w:numPr>
                <w:ilvl w:val="0"/>
                <w:numId w:val="0"/>
              </w:numPr>
              <w:spacing w:line="240" w:lineRule="auto"/>
              <w:ind w:left="295" w:hanging="295"/>
            </w:pPr>
            <w:r w:rsidRPr="00F44B7C">
              <w:br w:type="page"/>
              <w:t xml:space="preserve">(g) in the case of a fixed licence (point to point (5.8 GHz band) station) — per licence; </w:t>
            </w:r>
            <w:r w:rsidRPr="00F44B7C">
              <w:br w:type="page"/>
            </w:r>
          </w:p>
          <w:p w14:paraId="4F5D63DB" w14:textId="77777777" w:rsidR="00D62C86" w:rsidRPr="00F44B7C" w:rsidRDefault="00D62C86" w:rsidP="005849A5">
            <w:pPr>
              <w:pStyle w:val="Bulletlevel1"/>
              <w:numPr>
                <w:ilvl w:val="0"/>
                <w:numId w:val="0"/>
              </w:numPr>
              <w:spacing w:line="240" w:lineRule="auto"/>
              <w:ind w:left="295" w:hanging="295"/>
            </w:pPr>
            <w:r w:rsidRPr="00F44B7C">
              <w:t xml:space="preserve">(h) in the case of PTS licence (PMTS Class B) or PTS licence (PMTS Class C) – per licence; </w:t>
            </w:r>
            <w:r w:rsidRPr="00F44B7C">
              <w:br w:type="page"/>
            </w:r>
          </w:p>
          <w:p w14:paraId="4CCCA3D2" w14:textId="5403A85C" w:rsidR="00D62C86" w:rsidRPr="00F44B7C" w:rsidRDefault="00D62C86" w:rsidP="00D62C86">
            <w:pPr>
              <w:pStyle w:val="Bulletlevel1"/>
              <w:numPr>
                <w:ilvl w:val="0"/>
                <w:numId w:val="0"/>
              </w:numPr>
              <w:spacing w:after="120" w:line="240" w:lineRule="auto"/>
              <w:ind w:left="295" w:hanging="295"/>
              <w:contextualSpacing/>
            </w:pPr>
            <w:r w:rsidRPr="00F44B7C">
              <w:t>(</w:t>
            </w:r>
            <w:proofErr w:type="spellStart"/>
            <w:r w:rsidRPr="00F44B7C">
              <w:t>i</w:t>
            </w:r>
            <w:proofErr w:type="spellEnd"/>
            <w:r w:rsidRPr="00F44B7C">
              <w:t xml:space="preserve">) for any other assigned licence </w:t>
            </w:r>
            <w:r w:rsidR="005849A5">
              <w:t>–</w:t>
            </w:r>
            <w:r w:rsidRPr="00F44B7C">
              <w:t xml:space="preserve"> for each frequency assigned, or requested for assignment, for the purpose of transmission; and</w:t>
            </w:r>
            <w:r w:rsidRPr="00F44B7C">
              <w:br w:type="page"/>
              <w:t xml:space="preserve">(j) for any other non-assigned licence – per licence. </w:t>
            </w:r>
          </w:p>
          <w:p w14:paraId="589D2C94" w14:textId="61B59245" w:rsidR="00D62C86" w:rsidRPr="008C7781" w:rsidRDefault="00D62C86" w:rsidP="005849A5">
            <w:pPr>
              <w:pStyle w:val="Paragraphbeforelist"/>
              <w:spacing w:after="0" w:line="240" w:lineRule="auto"/>
              <w:contextualSpacing/>
              <w:rPr>
                <w:szCs w:val="20"/>
              </w:rPr>
            </w:pPr>
            <w:r w:rsidRPr="00F44B7C">
              <w:rPr>
                <w:szCs w:val="20"/>
              </w:rPr>
              <w:lastRenderedPageBreak/>
              <w:br w:type="page"/>
            </w:r>
            <w:r w:rsidRPr="00F44B7C">
              <w:rPr>
                <w:szCs w:val="20"/>
              </w:rPr>
              <w:br w:type="page"/>
            </w:r>
            <w:r w:rsidRPr="00F44B7C">
              <w:rPr>
                <w:sz w:val="16"/>
                <w:szCs w:val="16"/>
              </w:rPr>
              <w:t>Note: Subsection 129(10) of the Radiocommunications Act specifies the circumstances in which an application for renewal is deemed to have been made.</w:t>
            </w:r>
          </w:p>
        </w:tc>
        <w:tc>
          <w:tcPr>
            <w:tcW w:w="686" w:type="pct"/>
            <w:shd w:val="clear" w:color="auto" w:fill="auto"/>
            <w:vAlign w:val="center"/>
          </w:tcPr>
          <w:p w14:paraId="20C40D59" w14:textId="0DB938E3" w:rsidR="00D62C86" w:rsidRPr="008C7781" w:rsidRDefault="00D62C86" w:rsidP="005849A5">
            <w:pPr>
              <w:spacing w:after="0" w:line="240" w:lineRule="auto"/>
              <w:contextualSpacing/>
              <w:jc w:val="right"/>
              <w:rPr>
                <w:rFonts w:cs="Arial"/>
                <w:szCs w:val="20"/>
              </w:rPr>
            </w:pPr>
            <w:r w:rsidRPr="00F44B7C">
              <w:rPr>
                <w:rFonts w:cs="Arial"/>
                <w:szCs w:val="20"/>
              </w:rPr>
              <w:lastRenderedPageBreak/>
              <w:t>$4.00</w:t>
            </w:r>
          </w:p>
        </w:tc>
      </w:tr>
      <w:tr w:rsidR="00D62C86" w:rsidRPr="008C7781" w14:paraId="6D3AF4E1" w14:textId="77777777" w:rsidTr="003E5A84">
        <w:trPr>
          <w:trHeight w:val="728"/>
        </w:trPr>
        <w:tc>
          <w:tcPr>
            <w:tcW w:w="195" w:type="pct"/>
            <w:shd w:val="clear" w:color="auto" w:fill="auto"/>
            <w:vAlign w:val="center"/>
          </w:tcPr>
          <w:p w14:paraId="3D63A704" w14:textId="7C35F81B" w:rsidR="00D62C86" w:rsidRPr="008C7781" w:rsidRDefault="00D62C86" w:rsidP="00D62C86">
            <w:pPr>
              <w:spacing w:after="120" w:line="240" w:lineRule="auto"/>
              <w:contextualSpacing/>
              <w:rPr>
                <w:rFonts w:cs="Arial"/>
                <w:szCs w:val="20"/>
              </w:rPr>
            </w:pPr>
            <w:r>
              <w:rPr>
                <w:rFonts w:cs="Arial"/>
                <w:szCs w:val="20"/>
              </w:rPr>
              <w:t>61</w:t>
            </w:r>
          </w:p>
        </w:tc>
        <w:tc>
          <w:tcPr>
            <w:tcW w:w="825" w:type="pct"/>
            <w:vMerge/>
            <w:vAlign w:val="center"/>
          </w:tcPr>
          <w:p w14:paraId="330B0A96" w14:textId="77777777" w:rsidR="00D62C86" w:rsidRPr="005E1BCD" w:rsidRDefault="00D62C86" w:rsidP="00D62C86">
            <w:pPr>
              <w:spacing w:after="120" w:line="240" w:lineRule="auto"/>
              <w:contextualSpacing/>
              <w:rPr>
                <w:rFonts w:cs="Arial"/>
                <w:b/>
                <w:bCs/>
                <w:szCs w:val="20"/>
              </w:rPr>
            </w:pPr>
          </w:p>
        </w:tc>
        <w:tc>
          <w:tcPr>
            <w:tcW w:w="792" w:type="pct"/>
            <w:shd w:val="clear" w:color="auto" w:fill="auto"/>
            <w:vAlign w:val="center"/>
          </w:tcPr>
          <w:p w14:paraId="49A1F6EE" w14:textId="43495EF9" w:rsidR="00D62C86" w:rsidRDefault="00107493" w:rsidP="005849A5">
            <w:pPr>
              <w:spacing w:after="0" w:line="240" w:lineRule="auto"/>
              <w:contextualSpacing/>
            </w:pPr>
            <w:hyperlink r:id="rId91" w:anchor="RANGE!D52" w:history="1">
              <w:r w:rsidR="00D62C86" w:rsidRPr="00E05173">
                <w:t>Sch 1 Part 2 Table 6 (Item 2.6.2)</w:t>
              </w:r>
            </w:hyperlink>
          </w:p>
        </w:tc>
        <w:tc>
          <w:tcPr>
            <w:tcW w:w="2502" w:type="pct"/>
            <w:shd w:val="clear" w:color="auto" w:fill="auto"/>
            <w:vAlign w:val="center"/>
          </w:tcPr>
          <w:p w14:paraId="70CD3FE2" w14:textId="77777777" w:rsidR="00D62C86" w:rsidRDefault="00D62C86" w:rsidP="00D62C86">
            <w:pPr>
              <w:spacing w:after="120" w:line="240" w:lineRule="auto"/>
              <w:contextualSpacing/>
              <w:rPr>
                <w:rFonts w:cs="Arial"/>
                <w:szCs w:val="20"/>
              </w:rPr>
            </w:pPr>
            <w:r w:rsidRPr="008C7781">
              <w:rPr>
                <w:rFonts w:cs="Arial"/>
                <w:szCs w:val="20"/>
              </w:rPr>
              <w:t>Considering an application for the renewal of an assigned apparatus or a non</w:t>
            </w:r>
            <w:r>
              <w:rPr>
                <w:rFonts w:cs="Arial"/>
                <w:szCs w:val="20"/>
              </w:rPr>
              <w:t>-</w:t>
            </w:r>
            <w:r w:rsidRPr="008C7781">
              <w:rPr>
                <w:rFonts w:cs="Arial"/>
                <w:szCs w:val="20"/>
              </w:rPr>
              <w:t>assigned apparatus licence that includes a renewal statement or a renewal application period statement and renewing it (if applicable)</w:t>
            </w:r>
            <w:r>
              <w:rPr>
                <w:rFonts w:cs="Arial"/>
                <w:szCs w:val="20"/>
              </w:rPr>
              <w:t>.</w:t>
            </w:r>
          </w:p>
          <w:p w14:paraId="658AEB84" w14:textId="0D18C19B" w:rsidR="00D62C86" w:rsidRPr="008C7781" w:rsidRDefault="00D62C86" w:rsidP="005849A5">
            <w:pPr>
              <w:pStyle w:val="Paragraphbeforelist"/>
              <w:spacing w:after="0" w:line="240" w:lineRule="auto"/>
              <w:contextualSpacing/>
              <w:rPr>
                <w:szCs w:val="20"/>
              </w:rPr>
            </w:pPr>
            <w:r w:rsidRPr="008C7781">
              <w:rPr>
                <w:sz w:val="16"/>
                <w:szCs w:val="16"/>
              </w:rPr>
              <w:t>Note: Subsection 129(10) of the Radiocommunications Act specifies the circumstances in which an application for renewal is deemed to have been made.</w:t>
            </w:r>
          </w:p>
        </w:tc>
        <w:tc>
          <w:tcPr>
            <w:tcW w:w="686" w:type="pct"/>
            <w:shd w:val="clear" w:color="auto" w:fill="auto"/>
            <w:vAlign w:val="center"/>
          </w:tcPr>
          <w:p w14:paraId="1D7A05BD" w14:textId="09C81E92" w:rsidR="00D62C86" w:rsidRPr="008C7781" w:rsidRDefault="00D62C86" w:rsidP="005849A5">
            <w:pPr>
              <w:spacing w:after="0" w:line="240" w:lineRule="auto"/>
              <w:contextualSpacing/>
              <w:jc w:val="right"/>
              <w:rPr>
                <w:rFonts w:cs="Arial"/>
                <w:szCs w:val="20"/>
              </w:rPr>
            </w:pPr>
            <w:r w:rsidRPr="008C7781">
              <w:rPr>
                <w:rFonts w:cs="Arial"/>
                <w:szCs w:val="20"/>
              </w:rPr>
              <w:t>Hourly rate</w:t>
            </w:r>
          </w:p>
        </w:tc>
      </w:tr>
      <w:tr w:rsidR="00D62C86" w:rsidRPr="008C7781" w14:paraId="524A9772" w14:textId="77777777" w:rsidTr="003E5A84">
        <w:trPr>
          <w:trHeight w:val="728"/>
        </w:trPr>
        <w:tc>
          <w:tcPr>
            <w:tcW w:w="195" w:type="pct"/>
            <w:shd w:val="clear" w:color="auto" w:fill="auto"/>
            <w:vAlign w:val="center"/>
          </w:tcPr>
          <w:p w14:paraId="36EEDB3B" w14:textId="068B4D9B" w:rsidR="00D62C86" w:rsidRPr="008C7781" w:rsidRDefault="00D62C86" w:rsidP="00D62C86">
            <w:pPr>
              <w:spacing w:after="120" w:line="240" w:lineRule="auto"/>
              <w:contextualSpacing/>
              <w:rPr>
                <w:rFonts w:cs="Arial"/>
                <w:szCs w:val="20"/>
              </w:rPr>
            </w:pPr>
            <w:r>
              <w:rPr>
                <w:rFonts w:cs="Arial"/>
                <w:szCs w:val="20"/>
              </w:rPr>
              <w:t>62</w:t>
            </w:r>
          </w:p>
        </w:tc>
        <w:tc>
          <w:tcPr>
            <w:tcW w:w="825" w:type="pct"/>
            <w:vAlign w:val="center"/>
          </w:tcPr>
          <w:p w14:paraId="045D2BAC" w14:textId="77777777" w:rsidR="00D62C86" w:rsidRPr="005E1BCD" w:rsidRDefault="00D62C86" w:rsidP="00D62C86">
            <w:pPr>
              <w:spacing w:after="120" w:line="240" w:lineRule="auto"/>
              <w:contextualSpacing/>
              <w:rPr>
                <w:rFonts w:cs="Arial"/>
                <w:b/>
                <w:bCs/>
                <w:szCs w:val="20"/>
              </w:rPr>
            </w:pPr>
          </w:p>
        </w:tc>
        <w:tc>
          <w:tcPr>
            <w:tcW w:w="792" w:type="pct"/>
            <w:shd w:val="clear" w:color="auto" w:fill="auto"/>
            <w:vAlign w:val="center"/>
          </w:tcPr>
          <w:p w14:paraId="056112AC" w14:textId="18CCCE66" w:rsidR="00D62C86" w:rsidRDefault="00107493" w:rsidP="005849A5">
            <w:pPr>
              <w:spacing w:after="0" w:line="240" w:lineRule="auto"/>
              <w:contextualSpacing/>
            </w:pPr>
            <w:hyperlink r:id="rId92" w:anchor="RANGE!D2" w:history="1">
              <w:r w:rsidR="00D62C86" w:rsidRPr="00DA1A72">
                <w:t>Sch 1 Part 7 Table 2 (Item 7.2.1)</w:t>
              </w:r>
            </w:hyperlink>
          </w:p>
        </w:tc>
        <w:tc>
          <w:tcPr>
            <w:tcW w:w="2502" w:type="pct"/>
            <w:shd w:val="clear" w:color="auto" w:fill="auto"/>
            <w:vAlign w:val="center"/>
          </w:tcPr>
          <w:p w14:paraId="7815F1E6" w14:textId="0416D72E" w:rsidR="00D62C86" w:rsidRPr="008C7781" w:rsidRDefault="00D62C86" w:rsidP="005849A5">
            <w:pPr>
              <w:pStyle w:val="Paragraphbeforelist"/>
              <w:spacing w:after="0" w:line="240" w:lineRule="auto"/>
              <w:contextualSpacing/>
              <w:rPr>
                <w:szCs w:val="20"/>
              </w:rPr>
            </w:pPr>
            <w:r w:rsidRPr="00DA1A72">
              <w:rPr>
                <w:szCs w:val="20"/>
              </w:rPr>
              <w:t>The provision of radiofrequency assignment and licensing services, including the issuing of licences not otherwise specified in this instrument.</w:t>
            </w:r>
          </w:p>
        </w:tc>
        <w:tc>
          <w:tcPr>
            <w:tcW w:w="686" w:type="pct"/>
            <w:shd w:val="clear" w:color="auto" w:fill="auto"/>
            <w:vAlign w:val="center"/>
          </w:tcPr>
          <w:p w14:paraId="7CEE0534" w14:textId="7B49B50E" w:rsidR="00D62C86" w:rsidRPr="008C7781" w:rsidRDefault="00D62C86" w:rsidP="005849A5">
            <w:pPr>
              <w:spacing w:after="0" w:line="240" w:lineRule="auto"/>
              <w:contextualSpacing/>
              <w:jc w:val="right"/>
              <w:rPr>
                <w:rFonts w:cs="Arial"/>
                <w:szCs w:val="20"/>
              </w:rPr>
            </w:pPr>
            <w:r w:rsidRPr="008C7781">
              <w:rPr>
                <w:rFonts w:cs="Arial"/>
                <w:szCs w:val="20"/>
              </w:rPr>
              <w:t>Hourly rate</w:t>
            </w:r>
          </w:p>
        </w:tc>
      </w:tr>
      <w:tr w:rsidR="00D62C86" w:rsidRPr="008C7781" w14:paraId="07FEEF31" w14:textId="77777777" w:rsidTr="003E5A84">
        <w:trPr>
          <w:trHeight w:val="728"/>
        </w:trPr>
        <w:tc>
          <w:tcPr>
            <w:tcW w:w="195" w:type="pct"/>
            <w:shd w:val="clear" w:color="auto" w:fill="auto"/>
            <w:vAlign w:val="center"/>
          </w:tcPr>
          <w:p w14:paraId="242E47A4" w14:textId="24FBF658" w:rsidR="00D62C86" w:rsidRPr="008C7781" w:rsidRDefault="00D62C86" w:rsidP="00D62C86">
            <w:pPr>
              <w:spacing w:after="120" w:line="240" w:lineRule="auto"/>
              <w:contextualSpacing/>
              <w:rPr>
                <w:rFonts w:cs="Arial"/>
                <w:szCs w:val="20"/>
              </w:rPr>
            </w:pPr>
            <w:r>
              <w:rPr>
                <w:rFonts w:cs="Arial"/>
                <w:szCs w:val="20"/>
              </w:rPr>
              <w:t>63</w:t>
            </w:r>
          </w:p>
        </w:tc>
        <w:tc>
          <w:tcPr>
            <w:tcW w:w="825" w:type="pct"/>
            <w:vMerge w:val="restart"/>
            <w:vAlign w:val="center"/>
          </w:tcPr>
          <w:p w14:paraId="1E7F12E1" w14:textId="7C1EE5D1" w:rsidR="00D62C86" w:rsidRPr="005E1BCD" w:rsidRDefault="00D62C86" w:rsidP="00D62C86">
            <w:pPr>
              <w:spacing w:after="120" w:line="240" w:lineRule="auto"/>
              <w:contextualSpacing/>
              <w:rPr>
                <w:rFonts w:cs="Arial"/>
                <w:b/>
                <w:bCs/>
                <w:szCs w:val="20"/>
              </w:rPr>
            </w:pPr>
            <w:r w:rsidRPr="00DA1A72">
              <w:rPr>
                <w:rFonts w:cs="Arial"/>
                <w:b/>
                <w:bCs/>
                <w:szCs w:val="20"/>
              </w:rPr>
              <w:t>General radiocommunications services </w:t>
            </w:r>
          </w:p>
        </w:tc>
        <w:tc>
          <w:tcPr>
            <w:tcW w:w="792" w:type="pct"/>
            <w:shd w:val="clear" w:color="auto" w:fill="auto"/>
            <w:vAlign w:val="center"/>
          </w:tcPr>
          <w:p w14:paraId="0C041357" w14:textId="3E25836C" w:rsidR="00D62C86" w:rsidRDefault="00107493" w:rsidP="005849A5">
            <w:pPr>
              <w:spacing w:after="0" w:line="240" w:lineRule="auto"/>
              <w:contextualSpacing/>
            </w:pPr>
            <w:hyperlink r:id="rId93" w:anchor="RANGE!D13" w:history="1">
              <w:r w:rsidR="00D62C86" w:rsidRPr="00E05173">
                <w:t>Sch 1 Part 7 Table 2 (Item 7.2.2)</w:t>
              </w:r>
            </w:hyperlink>
          </w:p>
        </w:tc>
        <w:tc>
          <w:tcPr>
            <w:tcW w:w="2502" w:type="pct"/>
            <w:shd w:val="clear" w:color="auto" w:fill="auto"/>
            <w:vAlign w:val="center"/>
          </w:tcPr>
          <w:p w14:paraId="402F8D6B" w14:textId="77777777" w:rsidR="00D62C86" w:rsidRDefault="00D62C86" w:rsidP="002137C1">
            <w:pPr>
              <w:pStyle w:val="Paragraphbeforelist"/>
              <w:spacing w:line="240" w:lineRule="auto"/>
              <w:contextualSpacing/>
              <w:rPr>
                <w:szCs w:val="20"/>
              </w:rPr>
            </w:pPr>
            <w:r w:rsidRPr="008C7781">
              <w:rPr>
                <w:szCs w:val="20"/>
              </w:rPr>
              <w:t>The provision of technical radiofrequency services, other than:</w:t>
            </w:r>
          </w:p>
          <w:p w14:paraId="7B51163D" w14:textId="77777777" w:rsidR="00D62C86" w:rsidRDefault="00D62C86" w:rsidP="005849A5">
            <w:pPr>
              <w:pStyle w:val="Bulletlevel1"/>
              <w:numPr>
                <w:ilvl w:val="0"/>
                <w:numId w:val="0"/>
              </w:numPr>
              <w:spacing w:line="240" w:lineRule="auto"/>
              <w:ind w:left="295" w:hanging="295"/>
            </w:pPr>
            <w:r w:rsidRPr="008C7781">
              <w:t>(a) services requiring field officers; and</w:t>
            </w:r>
          </w:p>
          <w:p w14:paraId="70CF103A" w14:textId="77777777" w:rsidR="00D62C86" w:rsidRDefault="00D62C86" w:rsidP="005849A5">
            <w:pPr>
              <w:pStyle w:val="Bulletlevel1"/>
              <w:numPr>
                <w:ilvl w:val="0"/>
                <w:numId w:val="0"/>
              </w:numPr>
              <w:spacing w:line="240" w:lineRule="auto"/>
              <w:ind w:left="295" w:hanging="295"/>
            </w:pPr>
            <w:r w:rsidRPr="008C7781">
              <w:t>(b) the performance of the ACMA’s additional functions under paragraph 11(1)(c) of the ACMA Act; and</w:t>
            </w:r>
          </w:p>
          <w:p w14:paraId="13669CAB" w14:textId="52AE7AD4" w:rsidR="00D62C86" w:rsidRPr="008C7781" w:rsidRDefault="00D62C86" w:rsidP="0023759E">
            <w:pPr>
              <w:pStyle w:val="Bulletlevel1"/>
              <w:numPr>
                <w:ilvl w:val="0"/>
                <w:numId w:val="0"/>
              </w:numPr>
              <w:spacing w:after="0" w:line="240" w:lineRule="auto"/>
              <w:ind w:left="295" w:hanging="295"/>
              <w:rPr>
                <w:szCs w:val="20"/>
              </w:rPr>
            </w:pPr>
            <w:r w:rsidRPr="008C7781">
              <w:t>(c) services to trace the location of an emergency position indicating radio beacon station (EPIRB)</w:t>
            </w:r>
            <w:r>
              <w:t>.</w:t>
            </w:r>
          </w:p>
        </w:tc>
        <w:tc>
          <w:tcPr>
            <w:tcW w:w="686" w:type="pct"/>
            <w:shd w:val="clear" w:color="auto" w:fill="auto"/>
            <w:vAlign w:val="center"/>
          </w:tcPr>
          <w:p w14:paraId="6294F81A" w14:textId="0AAAF74D" w:rsidR="00D62C86" w:rsidRPr="008C7781" w:rsidRDefault="00D62C86" w:rsidP="005849A5">
            <w:pPr>
              <w:spacing w:after="0" w:line="240" w:lineRule="auto"/>
              <w:contextualSpacing/>
              <w:jc w:val="right"/>
              <w:rPr>
                <w:rFonts w:cs="Arial"/>
                <w:szCs w:val="20"/>
              </w:rPr>
            </w:pPr>
            <w:r w:rsidRPr="008C7781">
              <w:rPr>
                <w:rFonts w:cs="Arial"/>
                <w:szCs w:val="20"/>
              </w:rPr>
              <w:t>Hourly rate</w:t>
            </w:r>
          </w:p>
        </w:tc>
      </w:tr>
      <w:tr w:rsidR="00D62C86" w:rsidRPr="008C7781" w14:paraId="632CE0D9" w14:textId="77777777" w:rsidTr="005849A5">
        <w:trPr>
          <w:trHeight w:val="230"/>
        </w:trPr>
        <w:tc>
          <w:tcPr>
            <w:tcW w:w="195" w:type="pct"/>
            <w:shd w:val="clear" w:color="auto" w:fill="auto"/>
            <w:vAlign w:val="center"/>
          </w:tcPr>
          <w:p w14:paraId="43B9EA51" w14:textId="3FB84F9C" w:rsidR="00D62C86" w:rsidRPr="008C7781" w:rsidRDefault="00D62C86" w:rsidP="005849A5">
            <w:pPr>
              <w:spacing w:after="0" w:line="240" w:lineRule="auto"/>
              <w:contextualSpacing/>
              <w:rPr>
                <w:rFonts w:cs="Arial"/>
                <w:szCs w:val="20"/>
              </w:rPr>
            </w:pPr>
            <w:r>
              <w:rPr>
                <w:rFonts w:cs="Arial"/>
                <w:szCs w:val="20"/>
              </w:rPr>
              <w:t>64</w:t>
            </w:r>
          </w:p>
        </w:tc>
        <w:tc>
          <w:tcPr>
            <w:tcW w:w="825" w:type="pct"/>
            <w:vMerge/>
            <w:vAlign w:val="center"/>
          </w:tcPr>
          <w:p w14:paraId="4E5F06E8" w14:textId="77777777" w:rsidR="00D62C86" w:rsidRPr="005E1BCD" w:rsidRDefault="00D62C86" w:rsidP="00D62C86">
            <w:pPr>
              <w:spacing w:after="120" w:line="240" w:lineRule="auto"/>
              <w:contextualSpacing/>
              <w:rPr>
                <w:rFonts w:cs="Arial"/>
                <w:b/>
                <w:bCs/>
                <w:szCs w:val="20"/>
              </w:rPr>
            </w:pPr>
          </w:p>
        </w:tc>
        <w:tc>
          <w:tcPr>
            <w:tcW w:w="792" w:type="pct"/>
            <w:shd w:val="clear" w:color="auto" w:fill="auto"/>
            <w:vAlign w:val="center"/>
          </w:tcPr>
          <w:p w14:paraId="2E98D82F" w14:textId="5BDE081B" w:rsidR="00D62C86" w:rsidRDefault="00107493" w:rsidP="005849A5">
            <w:pPr>
              <w:spacing w:after="0" w:line="240" w:lineRule="auto"/>
              <w:contextualSpacing/>
            </w:pPr>
            <w:hyperlink r:id="rId94" w:anchor="RANGE!D34" w:history="1">
              <w:r w:rsidR="00D62C86" w:rsidRPr="00E05173">
                <w:t>Sch 1 Part 7 Table 2 (Item 7.2.3)</w:t>
              </w:r>
            </w:hyperlink>
          </w:p>
        </w:tc>
        <w:tc>
          <w:tcPr>
            <w:tcW w:w="2502" w:type="pct"/>
            <w:shd w:val="clear" w:color="auto" w:fill="auto"/>
            <w:vAlign w:val="center"/>
          </w:tcPr>
          <w:p w14:paraId="6FE9EA6B" w14:textId="77777777" w:rsidR="00D62C86" w:rsidRDefault="00D62C86" w:rsidP="002137C1">
            <w:pPr>
              <w:pStyle w:val="Paragraphbeforelist"/>
              <w:spacing w:line="240" w:lineRule="auto"/>
              <w:contextualSpacing/>
              <w:rPr>
                <w:szCs w:val="20"/>
              </w:rPr>
            </w:pPr>
            <w:r w:rsidRPr="008C7781">
              <w:rPr>
                <w:szCs w:val="20"/>
              </w:rPr>
              <w:t>The provision of technical radiofrequency services requiring field officers, other than:</w:t>
            </w:r>
          </w:p>
          <w:p w14:paraId="7BD2F950" w14:textId="77777777" w:rsidR="00D62C86" w:rsidRPr="00DA1A72" w:rsidRDefault="00D62C86" w:rsidP="005849A5">
            <w:pPr>
              <w:pStyle w:val="Bulletlevel1"/>
              <w:numPr>
                <w:ilvl w:val="0"/>
                <w:numId w:val="0"/>
              </w:numPr>
              <w:spacing w:line="240" w:lineRule="auto"/>
              <w:ind w:left="295" w:hanging="295"/>
            </w:pPr>
            <w:r w:rsidRPr="008C7781">
              <w:rPr>
                <w:szCs w:val="20"/>
              </w:rPr>
              <w:t xml:space="preserve">(a) </w:t>
            </w:r>
            <w:r w:rsidRPr="00DA1A72">
              <w:t>the performance of the ACMA’s additional functions under paragraph 11(1)(c) of the ACMA Act; and</w:t>
            </w:r>
          </w:p>
          <w:p w14:paraId="38AA5E1D" w14:textId="67B3685F" w:rsidR="00D62C86" w:rsidRPr="008C7781" w:rsidRDefault="00D62C86" w:rsidP="0023759E">
            <w:pPr>
              <w:pStyle w:val="Bulletlevel1"/>
              <w:numPr>
                <w:ilvl w:val="0"/>
                <w:numId w:val="0"/>
              </w:numPr>
              <w:spacing w:after="0" w:line="240" w:lineRule="auto"/>
              <w:ind w:left="295" w:hanging="295"/>
              <w:rPr>
                <w:szCs w:val="20"/>
              </w:rPr>
            </w:pPr>
            <w:r w:rsidRPr="00DA1A72">
              <w:t>(b)</w:t>
            </w:r>
            <w:r w:rsidRPr="008C7781">
              <w:rPr>
                <w:szCs w:val="20"/>
              </w:rPr>
              <w:t xml:space="preserve"> services to trace the location of an emergency position indicating radio beacon </w:t>
            </w:r>
            <w:r w:rsidRPr="0023759E">
              <w:t>station</w:t>
            </w:r>
            <w:r w:rsidRPr="008C7781">
              <w:rPr>
                <w:szCs w:val="20"/>
              </w:rPr>
              <w:t xml:space="preserve"> (EPIRB)</w:t>
            </w:r>
            <w:r>
              <w:rPr>
                <w:szCs w:val="20"/>
              </w:rPr>
              <w:t>.</w:t>
            </w:r>
          </w:p>
        </w:tc>
        <w:tc>
          <w:tcPr>
            <w:tcW w:w="686" w:type="pct"/>
            <w:shd w:val="clear" w:color="auto" w:fill="auto"/>
            <w:vAlign w:val="center"/>
          </w:tcPr>
          <w:p w14:paraId="7AE94C9B" w14:textId="68B7FD85" w:rsidR="00D62C86" w:rsidRPr="008C7781" w:rsidRDefault="00D62C86" w:rsidP="005849A5">
            <w:pPr>
              <w:spacing w:after="0" w:line="240" w:lineRule="auto"/>
              <w:contextualSpacing/>
              <w:jc w:val="right"/>
              <w:rPr>
                <w:rFonts w:cs="Arial"/>
                <w:szCs w:val="20"/>
              </w:rPr>
            </w:pPr>
            <w:r w:rsidRPr="008C7781">
              <w:rPr>
                <w:rFonts w:cs="Arial"/>
                <w:szCs w:val="20"/>
              </w:rPr>
              <w:t>Special hourly rate A</w:t>
            </w:r>
          </w:p>
        </w:tc>
      </w:tr>
      <w:tr w:rsidR="00D62C86" w:rsidRPr="008C7781" w14:paraId="283E5B0A" w14:textId="77777777" w:rsidTr="005849A5">
        <w:trPr>
          <w:trHeight w:val="423"/>
        </w:trPr>
        <w:tc>
          <w:tcPr>
            <w:tcW w:w="195" w:type="pct"/>
            <w:shd w:val="clear" w:color="auto" w:fill="auto"/>
            <w:vAlign w:val="center"/>
          </w:tcPr>
          <w:p w14:paraId="4A8DCB5D" w14:textId="311792A2" w:rsidR="00D62C86" w:rsidRPr="008C7781" w:rsidRDefault="00D62C86" w:rsidP="005849A5">
            <w:pPr>
              <w:spacing w:after="0" w:line="240" w:lineRule="auto"/>
              <w:contextualSpacing/>
              <w:rPr>
                <w:rFonts w:cs="Arial"/>
                <w:szCs w:val="20"/>
              </w:rPr>
            </w:pPr>
            <w:r>
              <w:rPr>
                <w:rFonts w:cs="Arial"/>
                <w:szCs w:val="20"/>
              </w:rPr>
              <w:t>65</w:t>
            </w:r>
          </w:p>
        </w:tc>
        <w:tc>
          <w:tcPr>
            <w:tcW w:w="825" w:type="pct"/>
            <w:vMerge/>
            <w:vAlign w:val="center"/>
          </w:tcPr>
          <w:p w14:paraId="3CBF9E47" w14:textId="77777777" w:rsidR="00D62C86" w:rsidRPr="005E1BCD" w:rsidRDefault="00D62C86" w:rsidP="00D62C86">
            <w:pPr>
              <w:spacing w:after="120" w:line="240" w:lineRule="auto"/>
              <w:contextualSpacing/>
              <w:rPr>
                <w:rFonts w:cs="Arial"/>
                <w:b/>
                <w:bCs/>
                <w:szCs w:val="20"/>
              </w:rPr>
            </w:pPr>
          </w:p>
        </w:tc>
        <w:tc>
          <w:tcPr>
            <w:tcW w:w="792" w:type="pct"/>
            <w:shd w:val="clear" w:color="auto" w:fill="auto"/>
            <w:vAlign w:val="center"/>
          </w:tcPr>
          <w:p w14:paraId="1E27EE6D" w14:textId="7585BE91" w:rsidR="00D62C86" w:rsidRDefault="00107493" w:rsidP="005849A5">
            <w:pPr>
              <w:spacing w:after="0" w:line="240" w:lineRule="auto"/>
            </w:pPr>
            <w:hyperlink r:id="rId95" w:anchor="RANGE!D203" w:history="1">
              <w:r w:rsidR="00D62C86" w:rsidRPr="00E05173">
                <w:t>Sch 1 Part 7 Table 2 (Item 7.2.4)</w:t>
              </w:r>
            </w:hyperlink>
          </w:p>
        </w:tc>
        <w:tc>
          <w:tcPr>
            <w:tcW w:w="2502" w:type="pct"/>
            <w:shd w:val="clear" w:color="auto" w:fill="auto"/>
            <w:vAlign w:val="center"/>
          </w:tcPr>
          <w:p w14:paraId="7CF27CE6" w14:textId="26ECA60E" w:rsidR="00D62C86" w:rsidRPr="008C7781" w:rsidRDefault="00D62C86" w:rsidP="005849A5">
            <w:pPr>
              <w:pStyle w:val="Paragraphbeforelist"/>
              <w:spacing w:after="0" w:line="240" w:lineRule="auto"/>
              <w:rPr>
                <w:szCs w:val="20"/>
              </w:rPr>
            </w:pPr>
            <w:r w:rsidRPr="008C7781">
              <w:rPr>
                <w:szCs w:val="20"/>
              </w:rPr>
              <w:t>The provision of technical radiofrequency services to trace the location of an emergency position indicating radio beacon station (EPIRB)</w:t>
            </w:r>
            <w:r>
              <w:rPr>
                <w:szCs w:val="20"/>
              </w:rPr>
              <w:t>.</w:t>
            </w:r>
          </w:p>
        </w:tc>
        <w:tc>
          <w:tcPr>
            <w:tcW w:w="686" w:type="pct"/>
            <w:shd w:val="clear" w:color="auto" w:fill="auto"/>
            <w:vAlign w:val="center"/>
          </w:tcPr>
          <w:p w14:paraId="7DAE7152" w14:textId="5FAB37C8" w:rsidR="00D62C86" w:rsidRPr="008C7781" w:rsidRDefault="00D62C86" w:rsidP="005849A5">
            <w:pPr>
              <w:spacing w:after="0" w:line="240" w:lineRule="auto"/>
              <w:jc w:val="right"/>
              <w:rPr>
                <w:rFonts w:cs="Arial"/>
                <w:szCs w:val="20"/>
              </w:rPr>
            </w:pPr>
            <w:r w:rsidRPr="008C7781">
              <w:rPr>
                <w:rFonts w:cs="Arial"/>
                <w:szCs w:val="20"/>
              </w:rPr>
              <w:t xml:space="preserve">Special hourly rate A </w:t>
            </w:r>
          </w:p>
        </w:tc>
      </w:tr>
      <w:tr w:rsidR="002A01FA" w:rsidRPr="008C7781" w14:paraId="1338F0E3" w14:textId="77777777" w:rsidTr="003E5A84">
        <w:trPr>
          <w:trHeight w:val="728"/>
        </w:trPr>
        <w:tc>
          <w:tcPr>
            <w:tcW w:w="195" w:type="pct"/>
            <w:shd w:val="clear" w:color="auto" w:fill="auto"/>
            <w:vAlign w:val="center"/>
          </w:tcPr>
          <w:p w14:paraId="70E9774E" w14:textId="161FDA68" w:rsidR="002A01FA" w:rsidRPr="008C7781" w:rsidRDefault="002A01FA" w:rsidP="0008068B">
            <w:pPr>
              <w:spacing w:after="120" w:line="240" w:lineRule="auto"/>
              <w:contextualSpacing/>
              <w:rPr>
                <w:rFonts w:cs="Arial"/>
                <w:szCs w:val="20"/>
              </w:rPr>
            </w:pPr>
            <w:r>
              <w:rPr>
                <w:rFonts w:cs="Arial"/>
                <w:szCs w:val="20"/>
              </w:rPr>
              <w:t>66</w:t>
            </w:r>
          </w:p>
        </w:tc>
        <w:tc>
          <w:tcPr>
            <w:tcW w:w="825" w:type="pct"/>
            <w:vMerge w:val="restart"/>
            <w:vAlign w:val="center"/>
          </w:tcPr>
          <w:p w14:paraId="4792DF2D" w14:textId="4B8441E3" w:rsidR="002A01FA" w:rsidRPr="005E1BCD" w:rsidRDefault="002A01FA" w:rsidP="0008068B">
            <w:pPr>
              <w:spacing w:after="120" w:line="240" w:lineRule="auto"/>
              <w:contextualSpacing/>
              <w:rPr>
                <w:rFonts w:cs="Arial"/>
                <w:b/>
                <w:bCs/>
                <w:szCs w:val="20"/>
              </w:rPr>
            </w:pPr>
            <w:r w:rsidRPr="005E1BCD">
              <w:rPr>
                <w:rFonts w:cs="Arial"/>
                <w:b/>
                <w:bCs/>
                <w:szCs w:val="20"/>
              </w:rPr>
              <w:t>Miscellaneous</w:t>
            </w:r>
          </w:p>
        </w:tc>
        <w:tc>
          <w:tcPr>
            <w:tcW w:w="792" w:type="pct"/>
            <w:shd w:val="clear" w:color="auto" w:fill="auto"/>
            <w:vAlign w:val="center"/>
          </w:tcPr>
          <w:p w14:paraId="6888944B" w14:textId="73F2FF5A" w:rsidR="002A01FA" w:rsidRPr="005849A5" w:rsidRDefault="002A01FA" w:rsidP="005849A5">
            <w:pPr>
              <w:spacing w:after="0" w:line="240" w:lineRule="auto"/>
              <w:rPr>
                <w:rFonts w:cs="Arial"/>
                <w:szCs w:val="20"/>
              </w:rPr>
            </w:pPr>
            <w:r w:rsidRPr="005849A5">
              <w:rPr>
                <w:rFonts w:cs="Arial"/>
                <w:szCs w:val="20"/>
              </w:rPr>
              <w:t>Sch 1 Part 2 Table 8 (Item 2.8.1)</w:t>
            </w:r>
          </w:p>
        </w:tc>
        <w:tc>
          <w:tcPr>
            <w:tcW w:w="2502" w:type="pct"/>
            <w:shd w:val="clear" w:color="auto" w:fill="auto"/>
            <w:vAlign w:val="center"/>
          </w:tcPr>
          <w:p w14:paraId="5AADDE02" w14:textId="4C3B1E06" w:rsidR="002A01FA" w:rsidRPr="008C7781" w:rsidRDefault="002A01FA" w:rsidP="005849A5">
            <w:pPr>
              <w:pStyle w:val="Paragraphbeforelist"/>
              <w:spacing w:after="0" w:line="240" w:lineRule="auto"/>
              <w:rPr>
                <w:szCs w:val="20"/>
              </w:rPr>
            </w:pPr>
            <w:r w:rsidRPr="008C7781">
              <w:rPr>
                <w:szCs w:val="20"/>
              </w:rPr>
              <w:t xml:space="preserve">Consideration of an application for the transfer of one or more apparatus licences under section 131AA of the Radiocommunications </w:t>
            </w:r>
            <w:proofErr w:type="gramStart"/>
            <w:r w:rsidRPr="008C7781">
              <w:rPr>
                <w:szCs w:val="20"/>
              </w:rPr>
              <w:t>Act, and</w:t>
            </w:r>
            <w:proofErr w:type="gramEnd"/>
            <w:r w:rsidRPr="008C7781">
              <w:rPr>
                <w:szCs w:val="20"/>
              </w:rPr>
              <w:t xml:space="preserve"> transferring the licence if applicable</w:t>
            </w:r>
            <w:r>
              <w:rPr>
                <w:szCs w:val="20"/>
              </w:rPr>
              <w:t>.</w:t>
            </w:r>
          </w:p>
        </w:tc>
        <w:tc>
          <w:tcPr>
            <w:tcW w:w="686" w:type="pct"/>
            <w:shd w:val="clear" w:color="auto" w:fill="auto"/>
            <w:vAlign w:val="center"/>
          </w:tcPr>
          <w:p w14:paraId="5B2AC79E" w14:textId="12FBAF9D" w:rsidR="002A01FA" w:rsidRPr="008C7781" w:rsidRDefault="002A01FA" w:rsidP="005849A5">
            <w:pPr>
              <w:spacing w:after="0" w:line="240" w:lineRule="auto"/>
              <w:jc w:val="right"/>
              <w:rPr>
                <w:rFonts w:cs="Arial"/>
                <w:szCs w:val="20"/>
              </w:rPr>
            </w:pPr>
            <w:r w:rsidRPr="008C7781">
              <w:rPr>
                <w:rFonts w:cs="Arial"/>
                <w:szCs w:val="20"/>
              </w:rPr>
              <w:t>$94.00</w:t>
            </w:r>
          </w:p>
        </w:tc>
      </w:tr>
      <w:tr w:rsidR="002A01FA" w:rsidRPr="008C7781" w14:paraId="7C450D2D" w14:textId="77777777" w:rsidTr="005849A5">
        <w:trPr>
          <w:trHeight w:val="303"/>
        </w:trPr>
        <w:tc>
          <w:tcPr>
            <w:tcW w:w="195" w:type="pct"/>
            <w:shd w:val="clear" w:color="auto" w:fill="auto"/>
            <w:vAlign w:val="center"/>
          </w:tcPr>
          <w:p w14:paraId="03B4C7CA" w14:textId="5F0A8020" w:rsidR="002A01FA" w:rsidRPr="008C7781" w:rsidRDefault="002A01FA" w:rsidP="005849A5">
            <w:pPr>
              <w:spacing w:after="0" w:line="240" w:lineRule="auto"/>
              <w:contextualSpacing/>
              <w:rPr>
                <w:rFonts w:cs="Arial"/>
                <w:szCs w:val="20"/>
              </w:rPr>
            </w:pPr>
            <w:r>
              <w:rPr>
                <w:rFonts w:cs="Arial"/>
                <w:szCs w:val="20"/>
              </w:rPr>
              <w:t>67</w:t>
            </w:r>
          </w:p>
        </w:tc>
        <w:tc>
          <w:tcPr>
            <w:tcW w:w="825" w:type="pct"/>
            <w:vMerge/>
            <w:vAlign w:val="center"/>
          </w:tcPr>
          <w:p w14:paraId="49614ECC" w14:textId="77777777" w:rsidR="002A01FA" w:rsidRPr="005E1BCD" w:rsidRDefault="002A01FA" w:rsidP="0008068B">
            <w:pPr>
              <w:spacing w:after="120" w:line="240" w:lineRule="auto"/>
              <w:contextualSpacing/>
              <w:rPr>
                <w:rFonts w:cs="Arial"/>
                <w:b/>
                <w:bCs/>
                <w:szCs w:val="20"/>
              </w:rPr>
            </w:pPr>
          </w:p>
        </w:tc>
        <w:tc>
          <w:tcPr>
            <w:tcW w:w="792" w:type="pct"/>
            <w:shd w:val="clear" w:color="auto" w:fill="auto"/>
            <w:vAlign w:val="center"/>
          </w:tcPr>
          <w:p w14:paraId="3518CDB7" w14:textId="5C8CCEEF" w:rsidR="002A01FA" w:rsidRDefault="00107493" w:rsidP="005849A5">
            <w:pPr>
              <w:spacing w:after="0" w:line="240" w:lineRule="auto"/>
            </w:pPr>
            <w:hyperlink r:id="rId96" w:anchor="RANGE!E2" w:history="1">
              <w:r w:rsidR="002A01FA" w:rsidRPr="00E05173">
                <w:t>Sch 1 Part 7 Table 4 (Item 7.4.1)</w:t>
              </w:r>
            </w:hyperlink>
          </w:p>
        </w:tc>
        <w:tc>
          <w:tcPr>
            <w:tcW w:w="2502" w:type="pct"/>
            <w:shd w:val="clear" w:color="auto" w:fill="auto"/>
            <w:vAlign w:val="center"/>
          </w:tcPr>
          <w:p w14:paraId="1398A4A6" w14:textId="20EB89CF" w:rsidR="002A01FA" w:rsidRPr="008C7781" w:rsidRDefault="002A01FA" w:rsidP="005849A5">
            <w:pPr>
              <w:pStyle w:val="Paragraphbeforelist"/>
              <w:spacing w:after="0" w:line="240" w:lineRule="auto"/>
              <w:rPr>
                <w:szCs w:val="20"/>
              </w:rPr>
            </w:pPr>
            <w:r w:rsidRPr="008C7781">
              <w:rPr>
                <w:szCs w:val="20"/>
              </w:rPr>
              <w:t>Considering the establishment of a credit account without proceeding to establish the account</w:t>
            </w:r>
            <w:r>
              <w:rPr>
                <w:szCs w:val="20"/>
              </w:rPr>
              <w:t>.</w:t>
            </w:r>
          </w:p>
        </w:tc>
        <w:tc>
          <w:tcPr>
            <w:tcW w:w="686" w:type="pct"/>
            <w:shd w:val="clear" w:color="auto" w:fill="auto"/>
            <w:vAlign w:val="center"/>
          </w:tcPr>
          <w:p w14:paraId="61F12C80" w14:textId="07127BA8" w:rsidR="002A01FA" w:rsidRPr="008C7781" w:rsidRDefault="002A01FA" w:rsidP="005849A5">
            <w:pPr>
              <w:spacing w:after="0" w:line="240" w:lineRule="auto"/>
              <w:jc w:val="right"/>
              <w:rPr>
                <w:rFonts w:cs="Arial"/>
                <w:szCs w:val="20"/>
              </w:rPr>
            </w:pPr>
            <w:r w:rsidRPr="008C7781">
              <w:rPr>
                <w:rFonts w:cs="Arial"/>
                <w:szCs w:val="20"/>
              </w:rPr>
              <w:t>$161.70</w:t>
            </w:r>
          </w:p>
        </w:tc>
      </w:tr>
      <w:tr w:rsidR="002A01FA" w:rsidRPr="008C7781" w14:paraId="0DD565E0" w14:textId="77777777" w:rsidTr="005849A5">
        <w:trPr>
          <w:trHeight w:val="529"/>
        </w:trPr>
        <w:tc>
          <w:tcPr>
            <w:tcW w:w="195" w:type="pct"/>
            <w:shd w:val="clear" w:color="auto" w:fill="auto"/>
            <w:vAlign w:val="center"/>
          </w:tcPr>
          <w:p w14:paraId="194D5376" w14:textId="30E23C3E" w:rsidR="002A01FA" w:rsidRPr="008C7781" w:rsidRDefault="002A01FA" w:rsidP="0008068B">
            <w:pPr>
              <w:spacing w:after="120" w:line="240" w:lineRule="auto"/>
              <w:contextualSpacing/>
              <w:rPr>
                <w:rFonts w:cs="Arial"/>
                <w:szCs w:val="20"/>
              </w:rPr>
            </w:pPr>
            <w:r>
              <w:rPr>
                <w:rFonts w:cs="Arial"/>
                <w:szCs w:val="20"/>
              </w:rPr>
              <w:lastRenderedPageBreak/>
              <w:t>68</w:t>
            </w:r>
          </w:p>
        </w:tc>
        <w:tc>
          <w:tcPr>
            <w:tcW w:w="825" w:type="pct"/>
            <w:vMerge/>
            <w:vAlign w:val="center"/>
          </w:tcPr>
          <w:p w14:paraId="46878B71" w14:textId="77777777" w:rsidR="002A01FA" w:rsidRPr="005E1BCD" w:rsidRDefault="002A01FA" w:rsidP="0008068B">
            <w:pPr>
              <w:spacing w:after="120" w:line="240" w:lineRule="auto"/>
              <w:contextualSpacing/>
              <w:rPr>
                <w:rFonts w:cs="Arial"/>
                <w:b/>
                <w:bCs/>
                <w:szCs w:val="20"/>
              </w:rPr>
            </w:pPr>
          </w:p>
        </w:tc>
        <w:tc>
          <w:tcPr>
            <w:tcW w:w="792" w:type="pct"/>
            <w:shd w:val="clear" w:color="auto" w:fill="auto"/>
            <w:vAlign w:val="center"/>
          </w:tcPr>
          <w:p w14:paraId="58FD4305" w14:textId="6B1E8B02" w:rsidR="002A01FA" w:rsidRDefault="00107493" w:rsidP="005849A5">
            <w:pPr>
              <w:spacing w:after="0" w:line="240" w:lineRule="auto"/>
            </w:pPr>
            <w:hyperlink r:id="rId97" w:anchor="RANGE!E202" w:history="1">
              <w:r w:rsidR="002A01FA" w:rsidRPr="00E05173">
                <w:t>Sch 1 Part 7 Table 3 (Item 7.3.1)</w:t>
              </w:r>
            </w:hyperlink>
          </w:p>
        </w:tc>
        <w:tc>
          <w:tcPr>
            <w:tcW w:w="2502" w:type="pct"/>
            <w:shd w:val="clear" w:color="auto" w:fill="auto"/>
            <w:vAlign w:val="center"/>
          </w:tcPr>
          <w:p w14:paraId="0700EFE9" w14:textId="0DC7C7A9" w:rsidR="002A01FA" w:rsidRPr="008C7781" w:rsidRDefault="002A01FA" w:rsidP="005849A5">
            <w:pPr>
              <w:pStyle w:val="Paragraphbeforelist"/>
              <w:spacing w:after="0" w:line="240" w:lineRule="auto"/>
              <w:rPr>
                <w:szCs w:val="20"/>
              </w:rPr>
            </w:pPr>
            <w:r w:rsidRPr="008C7781">
              <w:rPr>
                <w:szCs w:val="20"/>
              </w:rPr>
              <w:t xml:space="preserve">Assessing an application for a General Licensing Accreditation under the Accreditation </w:t>
            </w:r>
            <w:proofErr w:type="gramStart"/>
            <w:r w:rsidRPr="008C7781">
              <w:rPr>
                <w:szCs w:val="20"/>
              </w:rPr>
              <w:t>Rules, and</w:t>
            </w:r>
            <w:proofErr w:type="gramEnd"/>
            <w:r w:rsidRPr="008C7781">
              <w:rPr>
                <w:szCs w:val="20"/>
              </w:rPr>
              <w:t xml:space="preserve"> giving the accreditation if applicable</w:t>
            </w:r>
            <w:r>
              <w:rPr>
                <w:szCs w:val="20"/>
              </w:rPr>
              <w:t>.</w:t>
            </w:r>
            <w:r w:rsidRPr="008C7781">
              <w:rPr>
                <w:szCs w:val="20"/>
              </w:rPr>
              <w:t xml:space="preserve"> </w:t>
            </w:r>
          </w:p>
        </w:tc>
        <w:tc>
          <w:tcPr>
            <w:tcW w:w="686" w:type="pct"/>
            <w:shd w:val="clear" w:color="auto" w:fill="auto"/>
            <w:vAlign w:val="center"/>
          </w:tcPr>
          <w:p w14:paraId="4A006FFF" w14:textId="444362A7" w:rsidR="002A01FA" w:rsidRPr="008C7781" w:rsidRDefault="002A01FA" w:rsidP="005849A5">
            <w:pPr>
              <w:spacing w:after="0" w:line="240" w:lineRule="auto"/>
              <w:jc w:val="right"/>
              <w:rPr>
                <w:rFonts w:cs="Arial"/>
                <w:szCs w:val="20"/>
              </w:rPr>
            </w:pPr>
            <w:r w:rsidRPr="008C7781">
              <w:rPr>
                <w:rFonts w:cs="Arial"/>
                <w:szCs w:val="20"/>
              </w:rPr>
              <w:t>$546.00</w:t>
            </w:r>
          </w:p>
        </w:tc>
      </w:tr>
      <w:tr w:rsidR="002A01FA" w:rsidRPr="008C7781" w14:paraId="213D9965" w14:textId="77777777" w:rsidTr="005849A5">
        <w:trPr>
          <w:trHeight w:val="365"/>
        </w:trPr>
        <w:tc>
          <w:tcPr>
            <w:tcW w:w="195" w:type="pct"/>
            <w:shd w:val="clear" w:color="auto" w:fill="auto"/>
            <w:vAlign w:val="center"/>
          </w:tcPr>
          <w:p w14:paraId="26F4812E" w14:textId="722DF096" w:rsidR="002A01FA" w:rsidRPr="008C7781" w:rsidRDefault="002A01FA" w:rsidP="005849A5">
            <w:pPr>
              <w:spacing w:after="0" w:line="240" w:lineRule="auto"/>
              <w:contextualSpacing/>
              <w:rPr>
                <w:rFonts w:cs="Arial"/>
                <w:szCs w:val="20"/>
              </w:rPr>
            </w:pPr>
            <w:r>
              <w:rPr>
                <w:rFonts w:cs="Arial"/>
                <w:szCs w:val="20"/>
              </w:rPr>
              <w:t>69</w:t>
            </w:r>
          </w:p>
        </w:tc>
        <w:tc>
          <w:tcPr>
            <w:tcW w:w="825" w:type="pct"/>
            <w:vMerge/>
            <w:vAlign w:val="center"/>
          </w:tcPr>
          <w:p w14:paraId="0D0C8E11" w14:textId="77777777" w:rsidR="002A01FA" w:rsidRPr="005E1BCD" w:rsidRDefault="002A01FA" w:rsidP="0008068B">
            <w:pPr>
              <w:spacing w:after="120" w:line="240" w:lineRule="auto"/>
              <w:contextualSpacing/>
              <w:rPr>
                <w:rFonts w:cs="Arial"/>
                <w:b/>
                <w:bCs/>
                <w:szCs w:val="20"/>
              </w:rPr>
            </w:pPr>
          </w:p>
        </w:tc>
        <w:tc>
          <w:tcPr>
            <w:tcW w:w="792" w:type="pct"/>
            <w:shd w:val="clear" w:color="auto" w:fill="auto"/>
            <w:vAlign w:val="center"/>
          </w:tcPr>
          <w:p w14:paraId="35B2D92D" w14:textId="682C8CB6" w:rsidR="002A01FA" w:rsidRDefault="00107493" w:rsidP="005849A5">
            <w:pPr>
              <w:spacing w:after="0" w:line="240" w:lineRule="auto"/>
            </w:pPr>
            <w:hyperlink r:id="rId98" w:anchor="RANGE!E218" w:history="1">
              <w:r w:rsidR="002A01FA" w:rsidRPr="00E05173">
                <w:t>Sch 1 Part 7 Table 3 (Item 7.3.2)</w:t>
              </w:r>
            </w:hyperlink>
          </w:p>
        </w:tc>
        <w:tc>
          <w:tcPr>
            <w:tcW w:w="2502" w:type="pct"/>
            <w:shd w:val="clear" w:color="auto" w:fill="auto"/>
            <w:vAlign w:val="center"/>
          </w:tcPr>
          <w:p w14:paraId="29425343" w14:textId="101F1F7A" w:rsidR="002A01FA" w:rsidRPr="008C7781" w:rsidRDefault="002A01FA" w:rsidP="005849A5">
            <w:pPr>
              <w:pStyle w:val="Paragraphbeforelist"/>
              <w:spacing w:after="0" w:line="240" w:lineRule="auto"/>
              <w:rPr>
                <w:szCs w:val="20"/>
              </w:rPr>
            </w:pPr>
            <w:r w:rsidRPr="008C7781">
              <w:rPr>
                <w:szCs w:val="20"/>
              </w:rPr>
              <w:t xml:space="preserve">Assessing an application for a Specific Licensing Accreditation under the Accreditation </w:t>
            </w:r>
            <w:proofErr w:type="gramStart"/>
            <w:r w:rsidRPr="008C7781">
              <w:rPr>
                <w:szCs w:val="20"/>
              </w:rPr>
              <w:t>Rules, and</w:t>
            </w:r>
            <w:proofErr w:type="gramEnd"/>
            <w:r w:rsidRPr="008C7781">
              <w:rPr>
                <w:szCs w:val="20"/>
              </w:rPr>
              <w:t xml:space="preserve"> giving the accreditation if applicable</w:t>
            </w:r>
            <w:r>
              <w:rPr>
                <w:szCs w:val="20"/>
              </w:rPr>
              <w:t>.</w:t>
            </w:r>
            <w:r w:rsidRPr="008C7781">
              <w:rPr>
                <w:szCs w:val="20"/>
              </w:rPr>
              <w:t xml:space="preserve"> </w:t>
            </w:r>
          </w:p>
        </w:tc>
        <w:tc>
          <w:tcPr>
            <w:tcW w:w="686" w:type="pct"/>
            <w:shd w:val="clear" w:color="auto" w:fill="auto"/>
            <w:vAlign w:val="center"/>
          </w:tcPr>
          <w:p w14:paraId="708108DA" w14:textId="15073A61" w:rsidR="002A01FA" w:rsidRPr="008C7781" w:rsidRDefault="002A01FA" w:rsidP="005849A5">
            <w:pPr>
              <w:spacing w:after="0" w:line="240" w:lineRule="auto"/>
              <w:jc w:val="right"/>
              <w:rPr>
                <w:rFonts w:cs="Arial"/>
                <w:szCs w:val="20"/>
              </w:rPr>
            </w:pPr>
            <w:r w:rsidRPr="008C7781">
              <w:rPr>
                <w:rFonts w:cs="Arial"/>
                <w:szCs w:val="20"/>
              </w:rPr>
              <w:t>$286.00</w:t>
            </w:r>
          </w:p>
        </w:tc>
      </w:tr>
      <w:tr w:rsidR="002A01FA" w:rsidRPr="008C7781" w14:paraId="4FC49D10" w14:textId="77777777" w:rsidTr="005849A5">
        <w:trPr>
          <w:trHeight w:val="303"/>
        </w:trPr>
        <w:tc>
          <w:tcPr>
            <w:tcW w:w="195" w:type="pct"/>
            <w:shd w:val="clear" w:color="auto" w:fill="auto"/>
            <w:vAlign w:val="center"/>
          </w:tcPr>
          <w:p w14:paraId="75809C1E" w14:textId="67739111" w:rsidR="002A01FA" w:rsidRPr="008C7781" w:rsidRDefault="002A01FA" w:rsidP="005849A5">
            <w:pPr>
              <w:spacing w:after="0" w:line="240" w:lineRule="auto"/>
              <w:contextualSpacing/>
              <w:rPr>
                <w:rFonts w:cs="Arial"/>
                <w:szCs w:val="20"/>
              </w:rPr>
            </w:pPr>
            <w:r>
              <w:rPr>
                <w:rFonts w:cs="Arial"/>
                <w:szCs w:val="20"/>
              </w:rPr>
              <w:t>70</w:t>
            </w:r>
          </w:p>
        </w:tc>
        <w:tc>
          <w:tcPr>
            <w:tcW w:w="825" w:type="pct"/>
            <w:vMerge/>
            <w:vAlign w:val="center"/>
          </w:tcPr>
          <w:p w14:paraId="61F22388" w14:textId="77777777" w:rsidR="002A01FA" w:rsidRPr="005E1BCD" w:rsidRDefault="002A01FA" w:rsidP="0008068B">
            <w:pPr>
              <w:spacing w:after="120" w:line="240" w:lineRule="auto"/>
              <w:contextualSpacing/>
              <w:rPr>
                <w:rFonts w:cs="Arial"/>
                <w:b/>
                <w:bCs/>
                <w:szCs w:val="20"/>
              </w:rPr>
            </w:pPr>
          </w:p>
        </w:tc>
        <w:tc>
          <w:tcPr>
            <w:tcW w:w="792" w:type="pct"/>
            <w:shd w:val="clear" w:color="auto" w:fill="auto"/>
            <w:vAlign w:val="center"/>
          </w:tcPr>
          <w:p w14:paraId="214A0355" w14:textId="51575169" w:rsidR="002A01FA" w:rsidRDefault="00107493" w:rsidP="005849A5">
            <w:pPr>
              <w:spacing w:after="0" w:line="240" w:lineRule="auto"/>
            </w:pPr>
            <w:hyperlink r:id="rId99" w:anchor="RANGE!E57" w:history="1">
              <w:r w:rsidR="002A01FA" w:rsidRPr="00E05173">
                <w:t>Sch 1 Part 7 Table 2 (Item 7.2.5)</w:t>
              </w:r>
            </w:hyperlink>
          </w:p>
        </w:tc>
        <w:tc>
          <w:tcPr>
            <w:tcW w:w="2502" w:type="pct"/>
            <w:shd w:val="clear" w:color="auto" w:fill="auto"/>
            <w:vAlign w:val="center"/>
          </w:tcPr>
          <w:p w14:paraId="2F6E8F13" w14:textId="1DDB0F80" w:rsidR="002A01FA" w:rsidRPr="008C7781" w:rsidRDefault="002A01FA" w:rsidP="005849A5">
            <w:pPr>
              <w:pStyle w:val="Paragraphbeforelist"/>
              <w:spacing w:after="0" w:line="240" w:lineRule="auto"/>
              <w:rPr>
                <w:szCs w:val="20"/>
              </w:rPr>
            </w:pPr>
            <w:r w:rsidRPr="008C7781">
              <w:rPr>
                <w:szCs w:val="20"/>
              </w:rPr>
              <w:t>Supply of an adjacent services listing</w:t>
            </w:r>
            <w:r>
              <w:rPr>
                <w:szCs w:val="20"/>
              </w:rPr>
              <w:t>.</w:t>
            </w:r>
          </w:p>
        </w:tc>
        <w:tc>
          <w:tcPr>
            <w:tcW w:w="686" w:type="pct"/>
            <w:shd w:val="clear" w:color="auto" w:fill="auto"/>
            <w:vAlign w:val="center"/>
          </w:tcPr>
          <w:p w14:paraId="3F739269" w14:textId="77EE599E" w:rsidR="002A01FA" w:rsidRPr="008C7781" w:rsidRDefault="002A01FA" w:rsidP="005849A5">
            <w:pPr>
              <w:spacing w:after="0" w:line="240" w:lineRule="auto"/>
              <w:jc w:val="right"/>
              <w:rPr>
                <w:rFonts w:cs="Arial"/>
                <w:szCs w:val="20"/>
              </w:rPr>
            </w:pPr>
            <w:r w:rsidRPr="008C7781">
              <w:rPr>
                <w:rFonts w:cs="Arial"/>
                <w:szCs w:val="20"/>
              </w:rPr>
              <w:t>Hourly rate</w:t>
            </w:r>
          </w:p>
        </w:tc>
      </w:tr>
      <w:tr w:rsidR="002A01FA" w:rsidRPr="008C7781" w14:paraId="06CEE858" w14:textId="77777777" w:rsidTr="005849A5">
        <w:trPr>
          <w:trHeight w:val="227"/>
        </w:trPr>
        <w:tc>
          <w:tcPr>
            <w:tcW w:w="195" w:type="pct"/>
            <w:shd w:val="clear" w:color="auto" w:fill="auto"/>
            <w:vAlign w:val="center"/>
          </w:tcPr>
          <w:p w14:paraId="18956EAD" w14:textId="57912CA4" w:rsidR="002A01FA" w:rsidRPr="008C7781" w:rsidRDefault="002A01FA" w:rsidP="005849A5">
            <w:pPr>
              <w:spacing w:after="0" w:line="240" w:lineRule="auto"/>
              <w:contextualSpacing/>
              <w:rPr>
                <w:rFonts w:cs="Arial"/>
                <w:szCs w:val="20"/>
              </w:rPr>
            </w:pPr>
            <w:r>
              <w:rPr>
                <w:rFonts w:cs="Arial"/>
                <w:szCs w:val="20"/>
              </w:rPr>
              <w:t>71</w:t>
            </w:r>
          </w:p>
        </w:tc>
        <w:tc>
          <w:tcPr>
            <w:tcW w:w="825" w:type="pct"/>
            <w:vMerge/>
            <w:vAlign w:val="center"/>
          </w:tcPr>
          <w:p w14:paraId="37C3A8FB" w14:textId="77777777" w:rsidR="002A01FA" w:rsidRPr="005E1BCD" w:rsidRDefault="002A01FA" w:rsidP="0008068B">
            <w:pPr>
              <w:spacing w:after="120" w:line="240" w:lineRule="auto"/>
              <w:contextualSpacing/>
              <w:rPr>
                <w:rFonts w:cs="Arial"/>
                <w:b/>
                <w:bCs/>
                <w:szCs w:val="20"/>
              </w:rPr>
            </w:pPr>
          </w:p>
        </w:tc>
        <w:tc>
          <w:tcPr>
            <w:tcW w:w="792" w:type="pct"/>
            <w:shd w:val="clear" w:color="auto" w:fill="auto"/>
            <w:vAlign w:val="center"/>
          </w:tcPr>
          <w:p w14:paraId="68367F9F" w14:textId="0DF1047A" w:rsidR="002A01FA" w:rsidRDefault="00107493" w:rsidP="005849A5">
            <w:pPr>
              <w:spacing w:after="0" w:line="240" w:lineRule="auto"/>
            </w:pPr>
            <w:hyperlink r:id="rId100" w:anchor="RANGE!E69" w:history="1">
              <w:r w:rsidR="002A01FA" w:rsidRPr="00E05173">
                <w:t>Sch 1 Part 7 Table 2 (Item 7.2.6)</w:t>
              </w:r>
            </w:hyperlink>
          </w:p>
        </w:tc>
        <w:tc>
          <w:tcPr>
            <w:tcW w:w="2502" w:type="pct"/>
            <w:shd w:val="clear" w:color="auto" w:fill="auto"/>
            <w:vAlign w:val="center"/>
          </w:tcPr>
          <w:p w14:paraId="0DCAD9D2" w14:textId="72457C62" w:rsidR="002A01FA" w:rsidRPr="008C7781" w:rsidRDefault="002A01FA" w:rsidP="005849A5">
            <w:pPr>
              <w:pStyle w:val="Paragraphbeforelist"/>
              <w:spacing w:after="0" w:line="240" w:lineRule="auto"/>
              <w:rPr>
                <w:szCs w:val="20"/>
              </w:rPr>
            </w:pPr>
            <w:r w:rsidRPr="008C7781">
              <w:rPr>
                <w:szCs w:val="20"/>
              </w:rPr>
              <w:t>Supply of a frequency scan report</w:t>
            </w:r>
            <w:r>
              <w:rPr>
                <w:szCs w:val="20"/>
              </w:rPr>
              <w:t>.</w:t>
            </w:r>
          </w:p>
        </w:tc>
        <w:tc>
          <w:tcPr>
            <w:tcW w:w="686" w:type="pct"/>
            <w:shd w:val="clear" w:color="auto" w:fill="auto"/>
            <w:vAlign w:val="center"/>
          </w:tcPr>
          <w:p w14:paraId="3A1305B6" w14:textId="6EC1A10D" w:rsidR="002A01FA" w:rsidRPr="008C7781" w:rsidRDefault="002A01FA" w:rsidP="005849A5">
            <w:pPr>
              <w:spacing w:after="0" w:line="240" w:lineRule="auto"/>
              <w:jc w:val="right"/>
              <w:rPr>
                <w:rFonts w:cs="Arial"/>
                <w:szCs w:val="20"/>
              </w:rPr>
            </w:pPr>
            <w:r w:rsidRPr="008C7781">
              <w:rPr>
                <w:rFonts w:cs="Arial"/>
                <w:szCs w:val="20"/>
              </w:rPr>
              <w:t xml:space="preserve">Hourly </w:t>
            </w:r>
            <w:r>
              <w:rPr>
                <w:rFonts w:cs="Arial"/>
                <w:szCs w:val="20"/>
              </w:rPr>
              <w:t>r</w:t>
            </w:r>
            <w:r w:rsidRPr="008C7781">
              <w:rPr>
                <w:rFonts w:cs="Arial"/>
                <w:szCs w:val="20"/>
              </w:rPr>
              <w:t>ate</w:t>
            </w:r>
          </w:p>
        </w:tc>
      </w:tr>
      <w:tr w:rsidR="002A01FA" w:rsidRPr="008C7781" w14:paraId="507315CC" w14:textId="77777777" w:rsidTr="003E5A84">
        <w:trPr>
          <w:trHeight w:val="728"/>
        </w:trPr>
        <w:tc>
          <w:tcPr>
            <w:tcW w:w="195" w:type="pct"/>
            <w:shd w:val="clear" w:color="auto" w:fill="auto"/>
            <w:vAlign w:val="center"/>
          </w:tcPr>
          <w:p w14:paraId="22B021E8" w14:textId="009B76D0" w:rsidR="002A01FA" w:rsidRDefault="002A01FA" w:rsidP="002A01FA">
            <w:pPr>
              <w:spacing w:after="120" w:line="240" w:lineRule="auto"/>
              <w:contextualSpacing/>
              <w:rPr>
                <w:rFonts w:cs="Arial"/>
                <w:szCs w:val="20"/>
              </w:rPr>
            </w:pPr>
            <w:r>
              <w:rPr>
                <w:rFonts w:cs="Arial"/>
                <w:szCs w:val="20"/>
              </w:rPr>
              <w:t>72</w:t>
            </w:r>
          </w:p>
        </w:tc>
        <w:tc>
          <w:tcPr>
            <w:tcW w:w="825" w:type="pct"/>
            <w:vMerge/>
            <w:vAlign w:val="center"/>
          </w:tcPr>
          <w:p w14:paraId="5A118324"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6CE0EF51" w14:textId="0BB3E850" w:rsidR="002A01FA" w:rsidRDefault="00107493" w:rsidP="002A01FA">
            <w:pPr>
              <w:spacing w:after="120" w:line="240" w:lineRule="auto"/>
              <w:contextualSpacing/>
            </w:pPr>
            <w:hyperlink r:id="rId101" w:anchor="RANGE!D203" w:history="1">
              <w:r w:rsidR="002A01FA" w:rsidRPr="00E05173">
                <w:t>Sch 1 Part 7 Table 2 (Item 7.2.7)</w:t>
              </w:r>
            </w:hyperlink>
          </w:p>
        </w:tc>
        <w:tc>
          <w:tcPr>
            <w:tcW w:w="2502" w:type="pct"/>
            <w:shd w:val="clear" w:color="auto" w:fill="auto"/>
            <w:vAlign w:val="center"/>
          </w:tcPr>
          <w:p w14:paraId="0FE3FE89" w14:textId="77777777" w:rsidR="002A01FA" w:rsidRPr="00B15FB6" w:rsidRDefault="002A01FA" w:rsidP="002137C1">
            <w:pPr>
              <w:pStyle w:val="Paragraphbeforelist"/>
              <w:spacing w:line="240" w:lineRule="auto"/>
              <w:contextualSpacing/>
              <w:rPr>
                <w:szCs w:val="20"/>
              </w:rPr>
            </w:pPr>
            <w:r w:rsidRPr="00B15FB6">
              <w:rPr>
                <w:szCs w:val="20"/>
              </w:rPr>
              <w:t xml:space="preserve">Investigating the cause of interference to: </w:t>
            </w:r>
          </w:p>
          <w:p w14:paraId="38A88D76" w14:textId="77777777" w:rsidR="002A01FA" w:rsidRPr="00B15FB6" w:rsidRDefault="002A01FA" w:rsidP="005849A5">
            <w:pPr>
              <w:pStyle w:val="Bulletlevel1"/>
              <w:numPr>
                <w:ilvl w:val="0"/>
                <w:numId w:val="0"/>
              </w:numPr>
              <w:spacing w:line="240" w:lineRule="auto"/>
              <w:ind w:left="295" w:hanging="295"/>
            </w:pPr>
            <w:r w:rsidRPr="00B15FB6">
              <w:t>(a) radio or television broadcasting reception; or</w:t>
            </w:r>
          </w:p>
          <w:p w14:paraId="3547AA7B" w14:textId="77777777" w:rsidR="002A01FA" w:rsidRPr="00B15FB6" w:rsidRDefault="002A01FA" w:rsidP="005849A5">
            <w:pPr>
              <w:pStyle w:val="Bulletlevel1"/>
              <w:numPr>
                <w:ilvl w:val="0"/>
                <w:numId w:val="0"/>
              </w:numPr>
              <w:spacing w:line="240" w:lineRule="auto"/>
              <w:ind w:left="295" w:hanging="295"/>
            </w:pPr>
            <w:r w:rsidRPr="00B15FB6">
              <w:t>(b) the operation of a radiocommunications device; in circumstances where:</w:t>
            </w:r>
          </w:p>
          <w:p w14:paraId="1963F685" w14:textId="77777777" w:rsidR="002A01FA" w:rsidRPr="00B15FB6" w:rsidRDefault="002A01FA" w:rsidP="005849A5">
            <w:pPr>
              <w:pStyle w:val="Bulletlevel1"/>
              <w:numPr>
                <w:ilvl w:val="0"/>
                <w:numId w:val="0"/>
              </w:numPr>
              <w:spacing w:line="240" w:lineRule="auto"/>
              <w:ind w:left="295" w:hanging="295"/>
            </w:pPr>
            <w:r w:rsidRPr="00B15FB6">
              <w:t>(c) the source of the interference is wholly or mainly under the control of the person making the complaint about the interference (the complainant); and</w:t>
            </w:r>
          </w:p>
          <w:p w14:paraId="0C49DE34" w14:textId="2AF50AE2" w:rsidR="002A01FA" w:rsidRPr="008C7781" w:rsidRDefault="002A01FA" w:rsidP="0023759E">
            <w:pPr>
              <w:pStyle w:val="Bulletlevel1"/>
              <w:numPr>
                <w:ilvl w:val="0"/>
                <w:numId w:val="0"/>
              </w:numPr>
              <w:spacing w:after="0" w:line="240" w:lineRule="auto"/>
              <w:ind w:left="295" w:hanging="295"/>
              <w:rPr>
                <w:szCs w:val="20"/>
              </w:rPr>
            </w:pPr>
            <w:r w:rsidRPr="00B15FB6">
              <w:t>(d) the complainant has the necessary skills or expertise to diagnose the source of the interference.</w:t>
            </w:r>
          </w:p>
        </w:tc>
        <w:tc>
          <w:tcPr>
            <w:tcW w:w="686" w:type="pct"/>
            <w:shd w:val="clear" w:color="auto" w:fill="auto"/>
            <w:vAlign w:val="center"/>
          </w:tcPr>
          <w:p w14:paraId="08DE3A66" w14:textId="02C30CFB" w:rsidR="002A01FA" w:rsidRPr="008C7781" w:rsidRDefault="002A01FA" w:rsidP="002A01FA">
            <w:pPr>
              <w:spacing w:after="120" w:line="240" w:lineRule="auto"/>
              <w:contextualSpacing/>
              <w:jc w:val="right"/>
              <w:rPr>
                <w:rFonts w:cs="Arial"/>
                <w:szCs w:val="20"/>
              </w:rPr>
            </w:pPr>
            <w:r w:rsidRPr="008C7781">
              <w:rPr>
                <w:rFonts w:cs="Arial"/>
                <w:szCs w:val="20"/>
              </w:rPr>
              <w:t>Special hourly rate</w:t>
            </w:r>
            <w:r w:rsidR="00B76E2E">
              <w:rPr>
                <w:rFonts w:cs="Arial"/>
                <w:szCs w:val="20"/>
              </w:rPr>
              <w:t> </w:t>
            </w:r>
            <w:r w:rsidRPr="008C7781">
              <w:rPr>
                <w:rFonts w:cs="Arial"/>
                <w:szCs w:val="20"/>
              </w:rPr>
              <w:t>A</w:t>
            </w:r>
          </w:p>
        </w:tc>
      </w:tr>
      <w:tr w:rsidR="002A01FA" w:rsidRPr="008C7781" w14:paraId="38204629" w14:textId="77777777" w:rsidTr="005849A5">
        <w:trPr>
          <w:trHeight w:val="373"/>
        </w:trPr>
        <w:tc>
          <w:tcPr>
            <w:tcW w:w="195" w:type="pct"/>
            <w:shd w:val="clear" w:color="auto" w:fill="auto"/>
            <w:vAlign w:val="center"/>
          </w:tcPr>
          <w:p w14:paraId="02A2B988" w14:textId="6729B6E4" w:rsidR="002A01FA" w:rsidRDefault="002A01FA" w:rsidP="005849A5">
            <w:pPr>
              <w:spacing w:after="0" w:line="240" w:lineRule="auto"/>
              <w:contextualSpacing/>
              <w:rPr>
                <w:rFonts w:cs="Arial"/>
                <w:szCs w:val="20"/>
              </w:rPr>
            </w:pPr>
            <w:r>
              <w:rPr>
                <w:rFonts w:cs="Arial"/>
                <w:szCs w:val="20"/>
              </w:rPr>
              <w:t>73</w:t>
            </w:r>
          </w:p>
        </w:tc>
        <w:tc>
          <w:tcPr>
            <w:tcW w:w="825" w:type="pct"/>
            <w:vMerge/>
            <w:vAlign w:val="center"/>
          </w:tcPr>
          <w:p w14:paraId="37B453EC"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1C046373" w14:textId="01347A15" w:rsidR="002A01FA" w:rsidRDefault="00107493" w:rsidP="005849A5">
            <w:pPr>
              <w:spacing w:after="0" w:line="240" w:lineRule="auto"/>
              <w:contextualSpacing/>
            </w:pPr>
            <w:hyperlink r:id="rId102" w:anchor="RANGE!H13" w:history="1">
              <w:r w:rsidR="002A01FA" w:rsidRPr="00E05173">
                <w:t>Sch 1 Part 7 Table 4 (Item 7.4.2)</w:t>
              </w:r>
            </w:hyperlink>
          </w:p>
        </w:tc>
        <w:tc>
          <w:tcPr>
            <w:tcW w:w="2502" w:type="pct"/>
            <w:shd w:val="clear" w:color="auto" w:fill="auto"/>
            <w:vAlign w:val="center"/>
          </w:tcPr>
          <w:p w14:paraId="6F67EDAB" w14:textId="553C3093" w:rsidR="002A01FA" w:rsidRPr="008C7781" w:rsidRDefault="002A01FA" w:rsidP="005849A5">
            <w:pPr>
              <w:pStyle w:val="Paragraphbeforelist"/>
              <w:spacing w:after="0" w:line="240" w:lineRule="auto"/>
              <w:contextualSpacing/>
              <w:rPr>
                <w:szCs w:val="20"/>
              </w:rPr>
            </w:pPr>
            <w:r w:rsidRPr="008C7781">
              <w:rPr>
                <w:szCs w:val="20"/>
              </w:rPr>
              <w:t>Establishment of a credit account</w:t>
            </w:r>
            <w:r>
              <w:rPr>
                <w:szCs w:val="20"/>
              </w:rPr>
              <w:t>.</w:t>
            </w:r>
            <w:r w:rsidRPr="008C7781">
              <w:rPr>
                <w:szCs w:val="20"/>
              </w:rPr>
              <w:t xml:space="preserve">  </w:t>
            </w:r>
          </w:p>
        </w:tc>
        <w:tc>
          <w:tcPr>
            <w:tcW w:w="686" w:type="pct"/>
            <w:shd w:val="clear" w:color="auto" w:fill="auto"/>
            <w:vAlign w:val="center"/>
          </w:tcPr>
          <w:p w14:paraId="0115B07C" w14:textId="0120530C" w:rsidR="002A01FA" w:rsidRPr="008C7781" w:rsidRDefault="002A01FA" w:rsidP="005849A5">
            <w:pPr>
              <w:spacing w:after="0" w:line="240" w:lineRule="auto"/>
              <w:contextualSpacing/>
              <w:jc w:val="right"/>
              <w:rPr>
                <w:rFonts w:cs="Arial"/>
                <w:szCs w:val="20"/>
              </w:rPr>
            </w:pPr>
            <w:r w:rsidRPr="008C7781">
              <w:rPr>
                <w:rFonts w:cs="Arial"/>
                <w:szCs w:val="20"/>
              </w:rPr>
              <w:t>$285.00</w:t>
            </w:r>
          </w:p>
        </w:tc>
      </w:tr>
      <w:tr w:rsidR="002A01FA" w:rsidRPr="008C7781" w14:paraId="0B28D562" w14:textId="77777777" w:rsidTr="003E5A84">
        <w:trPr>
          <w:trHeight w:val="728"/>
        </w:trPr>
        <w:tc>
          <w:tcPr>
            <w:tcW w:w="195" w:type="pct"/>
            <w:shd w:val="clear" w:color="auto" w:fill="auto"/>
            <w:vAlign w:val="center"/>
          </w:tcPr>
          <w:p w14:paraId="2B06AEFF" w14:textId="465A44E9" w:rsidR="002A01FA" w:rsidRDefault="002A01FA" w:rsidP="005849A5">
            <w:pPr>
              <w:spacing w:after="0" w:line="240" w:lineRule="auto"/>
              <w:contextualSpacing/>
              <w:rPr>
                <w:rFonts w:cs="Arial"/>
                <w:szCs w:val="20"/>
              </w:rPr>
            </w:pPr>
            <w:r>
              <w:rPr>
                <w:rFonts w:cs="Arial"/>
                <w:szCs w:val="20"/>
              </w:rPr>
              <w:t>74</w:t>
            </w:r>
          </w:p>
        </w:tc>
        <w:tc>
          <w:tcPr>
            <w:tcW w:w="825" w:type="pct"/>
            <w:vMerge/>
            <w:vAlign w:val="center"/>
          </w:tcPr>
          <w:p w14:paraId="3A743C23"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1833D9D8" w14:textId="501E918E" w:rsidR="002A01FA" w:rsidRDefault="00107493" w:rsidP="005849A5">
            <w:pPr>
              <w:spacing w:after="0" w:line="240" w:lineRule="auto"/>
              <w:contextualSpacing/>
            </w:pPr>
            <w:hyperlink r:id="rId103" w:anchor="RANGE!E26" w:history="1">
              <w:r w:rsidR="002A01FA" w:rsidRPr="00E05173">
                <w:t>Sch 1 Part 7 Table 4 (Item 7.4.3)</w:t>
              </w:r>
            </w:hyperlink>
          </w:p>
        </w:tc>
        <w:tc>
          <w:tcPr>
            <w:tcW w:w="2502" w:type="pct"/>
            <w:shd w:val="clear" w:color="auto" w:fill="auto"/>
            <w:vAlign w:val="center"/>
          </w:tcPr>
          <w:p w14:paraId="1838DFC1" w14:textId="3FC2D625" w:rsidR="002A01FA" w:rsidRPr="008C7781" w:rsidRDefault="002A01FA" w:rsidP="005849A5">
            <w:pPr>
              <w:pStyle w:val="Paragraphbeforelist"/>
              <w:spacing w:after="0" w:line="240" w:lineRule="auto"/>
              <w:contextualSpacing/>
              <w:rPr>
                <w:szCs w:val="20"/>
              </w:rPr>
            </w:pPr>
            <w:r w:rsidRPr="008C7781">
              <w:rPr>
                <w:szCs w:val="20"/>
              </w:rPr>
              <w:t>Annual fee for the maintenance of a credit account including provision of monthly statements and answering basic account enquiries (one per month) (annual base maintenance fee) – where the account has been established and maintained for the whole of a financial year</w:t>
            </w:r>
            <w:r>
              <w:rPr>
                <w:szCs w:val="20"/>
              </w:rPr>
              <w:t>.</w:t>
            </w:r>
          </w:p>
        </w:tc>
        <w:tc>
          <w:tcPr>
            <w:tcW w:w="686" w:type="pct"/>
            <w:shd w:val="clear" w:color="auto" w:fill="auto"/>
            <w:vAlign w:val="center"/>
          </w:tcPr>
          <w:p w14:paraId="58ECB000" w14:textId="309E1B6A" w:rsidR="002A01FA" w:rsidRPr="008C7781" w:rsidRDefault="002A01FA" w:rsidP="005849A5">
            <w:pPr>
              <w:spacing w:after="0" w:line="240" w:lineRule="auto"/>
              <w:contextualSpacing/>
              <w:jc w:val="right"/>
              <w:rPr>
                <w:rFonts w:cs="Arial"/>
                <w:szCs w:val="20"/>
              </w:rPr>
            </w:pPr>
            <w:r w:rsidRPr="008C7781">
              <w:rPr>
                <w:rFonts w:cs="Arial"/>
                <w:szCs w:val="20"/>
              </w:rPr>
              <w:t>$715.00</w:t>
            </w:r>
          </w:p>
        </w:tc>
      </w:tr>
      <w:tr w:rsidR="002A01FA" w:rsidRPr="008C7781" w14:paraId="1F648F6D" w14:textId="77777777" w:rsidTr="003E5A84">
        <w:trPr>
          <w:trHeight w:val="728"/>
        </w:trPr>
        <w:tc>
          <w:tcPr>
            <w:tcW w:w="195" w:type="pct"/>
            <w:shd w:val="clear" w:color="auto" w:fill="auto"/>
            <w:vAlign w:val="center"/>
          </w:tcPr>
          <w:p w14:paraId="7A8320C5" w14:textId="10127C29" w:rsidR="002A01FA" w:rsidRDefault="002A01FA" w:rsidP="005849A5">
            <w:pPr>
              <w:spacing w:after="0" w:line="240" w:lineRule="auto"/>
              <w:contextualSpacing/>
              <w:rPr>
                <w:rFonts w:cs="Arial"/>
                <w:szCs w:val="20"/>
              </w:rPr>
            </w:pPr>
            <w:r>
              <w:rPr>
                <w:rFonts w:cs="Arial"/>
                <w:szCs w:val="20"/>
              </w:rPr>
              <w:t>75</w:t>
            </w:r>
          </w:p>
        </w:tc>
        <w:tc>
          <w:tcPr>
            <w:tcW w:w="825" w:type="pct"/>
            <w:vMerge/>
            <w:vAlign w:val="center"/>
          </w:tcPr>
          <w:p w14:paraId="138D2A91"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29A6C00A" w14:textId="3C8E8068" w:rsidR="002A01FA" w:rsidRDefault="00107493" w:rsidP="0023759E">
            <w:pPr>
              <w:spacing w:after="0" w:line="240" w:lineRule="auto"/>
              <w:contextualSpacing/>
            </w:pPr>
            <w:hyperlink r:id="rId104" w:anchor="RANGE!E26" w:history="1">
              <w:r w:rsidR="002A01FA" w:rsidRPr="00E05173">
                <w:t>Sch 1 Part 7 Table 4 (Item 7.4.4)</w:t>
              </w:r>
            </w:hyperlink>
          </w:p>
        </w:tc>
        <w:tc>
          <w:tcPr>
            <w:tcW w:w="2502" w:type="pct"/>
            <w:shd w:val="clear" w:color="auto" w:fill="auto"/>
            <w:vAlign w:val="center"/>
          </w:tcPr>
          <w:p w14:paraId="7D21FE6B" w14:textId="41E0F9E3" w:rsidR="002A01FA" w:rsidRPr="008C7781" w:rsidRDefault="002A01FA" w:rsidP="0023759E">
            <w:pPr>
              <w:pStyle w:val="Paragraphbeforelist"/>
              <w:spacing w:after="0" w:line="240" w:lineRule="auto"/>
              <w:contextualSpacing/>
              <w:rPr>
                <w:szCs w:val="20"/>
              </w:rPr>
            </w:pPr>
            <w:r w:rsidRPr="008C7781">
              <w:rPr>
                <w:szCs w:val="20"/>
              </w:rPr>
              <w:t>Annual base maintenance fee</w:t>
            </w:r>
            <w:r>
              <w:rPr>
                <w:szCs w:val="20"/>
              </w:rPr>
              <w:t xml:space="preserve"> </w:t>
            </w:r>
            <w:r w:rsidRPr="008C7781">
              <w:rPr>
                <w:szCs w:val="20"/>
              </w:rPr>
              <w:t>– where the account has been established and maintained for only a part of a financial year</w:t>
            </w:r>
            <w:r>
              <w:rPr>
                <w:szCs w:val="20"/>
              </w:rPr>
              <w:t>.</w:t>
            </w:r>
          </w:p>
        </w:tc>
        <w:tc>
          <w:tcPr>
            <w:tcW w:w="686" w:type="pct"/>
            <w:shd w:val="clear" w:color="auto" w:fill="auto"/>
            <w:vAlign w:val="center"/>
          </w:tcPr>
          <w:p w14:paraId="1C2A5751" w14:textId="6EDF46B7" w:rsidR="002A01FA" w:rsidRPr="008C7781" w:rsidRDefault="002A01FA" w:rsidP="005849A5">
            <w:pPr>
              <w:spacing w:after="0" w:line="240" w:lineRule="auto"/>
              <w:contextualSpacing/>
              <w:jc w:val="right"/>
              <w:rPr>
                <w:rFonts w:cs="Arial"/>
                <w:szCs w:val="20"/>
              </w:rPr>
            </w:pPr>
            <w:r w:rsidRPr="008C7781">
              <w:rPr>
                <w:rFonts w:cs="Arial"/>
                <w:szCs w:val="20"/>
              </w:rPr>
              <w:t xml:space="preserve">For each portion of the financial year for which the credit account is maintained – the proportion of $715 equal to the proportion of the </w:t>
            </w:r>
            <w:r w:rsidRPr="008C7781">
              <w:rPr>
                <w:rFonts w:cs="Arial"/>
                <w:szCs w:val="20"/>
              </w:rPr>
              <w:lastRenderedPageBreak/>
              <w:t>financial year for which the credit account is maintained, rounded in accordance with section 16</w:t>
            </w:r>
            <w:r>
              <w:rPr>
                <w:rFonts w:cs="Arial"/>
                <w:szCs w:val="20"/>
              </w:rPr>
              <w:t>.</w:t>
            </w:r>
          </w:p>
        </w:tc>
      </w:tr>
      <w:tr w:rsidR="002A01FA" w:rsidRPr="008C7781" w14:paraId="0EC3CC69" w14:textId="77777777" w:rsidTr="00801472">
        <w:trPr>
          <w:trHeight w:val="237"/>
        </w:trPr>
        <w:tc>
          <w:tcPr>
            <w:tcW w:w="195" w:type="pct"/>
            <w:shd w:val="clear" w:color="auto" w:fill="auto"/>
            <w:vAlign w:val="center"/>
          </w:tcPr>
          <w:p w14:paraId="04D672D4" w14:textId="3031D862" w:rsidR="002A01FA" w:rsidRDefault="002A01FA" w:rsidP="005849A5">
            <w:pPr>
              <w:spacing w:after="0" w:line="240" w:lineRule="auto"/>
              <w:contextualSpacing/>
              <w:rPr>
                <w:rFonts w:cs="Arial"/>
                <w:szCs w:val="20"/>
              </w:rPr>
            </w:pPr>
            <w:r>
              <w:rPr>
                <w:rFonts w:cs="Arial"/>
                <w:szCs w:val="20"/>
              </w:rPr>
              <w:lastRenderedPageBreak/>
              <w:t>76</w:t>
            </w:r>
          </w:p>
        </w:tc>
        <w:tc>
          <w:tcPr>
            <w:tcW w:w="825" w:type="pct"/>
            <w:vMerge/>
            <w:vAlign w:val="center"/>
          </w:tcPr>
          <w:p w14:paraId="31FFD4DB"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3E95A4FC" w14:textId="06A8BEBD" w:rsidR="002A01FA" w:rsidRDefault="00107493" w:rsidP="005849A5">
            <w:pPr>
              <w:spacing w:after="0" w:line="240" w:lineRule="auto"/>
              <w:contextualSpacing/>
            </w:pPr>
            <w:hyperlink r:id="rId105" w:anchor="RANGE!D52" w:history="1">
              <w:r w:rsidR="002A01FA" w:rsidRPr="00E05173">
                <w:t>Sch 1 Part 7 Table 4 (Item 7.4.5)</w:t>
              </w:r>
            </w:hyperlink>
          </w:p>
        </w:tc>
        <w:tc>
          <w:tcPr>
            <w:tcW w:w="2502" w:type="pct"/>
            <w:shd w:val="clear" w:color="auto" w:fill="auto"/>
            <w:vAlign w:val="center"/>
          </w:tcPr>
          <w:p w14:paraId="0DE71FB5" w14:textId="12AA0DA3" w:rsidR="002A01FA" w:rsidRPr="008C7781" w:rsidRDefault="002A01FA" w:rsidP="0023759E">
            <w:pPr>
              <w:pStyle w:val="Paragraphbeforelist"/>
              <w:spacing w:after="0" w:line="240" w:lineRule="auto"/>
              <w:contextualSpacing/>
              <w:rPr>
                <w:szCs w:val="20"/>
              </w:rPr>
            </w:pPr>
            <w:r w:rsidRPr="008C7781">
              <w:rPr>
                <w:szCs w:val="20"/>
              </w:rPr>
              <w:t>Providing support services for credit account holders in addition to services covered by the annual base maintenance fee</w:t>
            </w:r>
            <w:r>
              <w:rPr>
                <w:szCs w:val="20"/>
              </w:rPr>
              <w:t>.</w:t>
            </w:r>
          </w:p>
        </w:tc>
        <w:tc>
          <w:tcPr>
            <w:tcW w:w="686" w:type="pct"/>
            <w:shd w:val="clear" w:color="auto" w:fill="auto"/>
            <w:vAlign w:val="center"/>
          </w:tcPr>
          <w:p w14:paraId="76B81328" w14:textId="20D9E9CD" w:rsidR="002A01FA" w:rsidRPr="008C7781" w:rsidRDefault="002A01FA" w:rsidP="005849A5">
            <w:pPr>
              <w:spacing w:after="0" w:line="240" w:lineRule="auto"/>
              <w:contextualSpacing/>
              <w:jc w:val="right"/>
              <w:rPr>
                <w:rFonts w:cs="Arial"/>
                <w:szCs w:val="20"/>
              </w:rPr>
            </w:pPr>
            <w:r w:rsidRPr="008C7781">
              <w:rPr>
                <w:rFonts w:cs="Arial"/>
                <w:szCs w:val="20"/>
              </w:rPr>
              <w:t>Hourly rate</w:t>
            </w:r>
          </w:p>
        </w:tc>
      </w:tr>
      <w:tr w:rsidR="002A01FA" w:rsidRPr="008C7781" w14:paraId="7BA2B0D1" w14:textId="77777777" w:rsidTr="00801472">
        <w:trPr>
          <w:trHeight w:val="332"/>
        </w:trPr>
        <w:tc>
          <w:tcPr>
            <w:tcW w:w="195" w:type="pct"/>
            <w:shd w:val="clear" w:color="auto" w:fill="auto"/>
            <w:vAlign w:val="center"/>
          </w:tcPr>
          <w:p w14:paraId="33A1C5B1" w14:textId="4FB61BDA" w:rsidR="002A01FA" w:rsidRDefault="002A01FA" w:rsidP="005849A5">
            <w:pPr>
              <w:spacing w:after="0" w:line="240" w:lineRule="auto"/>
              <w:contextualSpacing/>
              <w:rPr>
                <w:rFonts w:cs="Arial"/>
                <w:szCs w:val="20"/>
              </w:rPr>
            </w:pPr>
            <w:r>
              <w:rPr>
                <w:rFonts w:cs="Arial"/>
                <w:szCs w:val="20"/>
              </w:rPr>
              <w:t>77</w:t>
            </w:r>
          </w:p>
        </w:tc>
        <w:tc>
          <w:tcPr>
            <w:tcW w:w="825" w:type="pct"/>
            <w:vMerge w:val="restart"/>
            <w:vAlign w:val="center"/>
          </w:tcPr>
          <w:p w14:paraId="6029E992" w14:textId="3C871FCD" w:rsidR="002A01FA" w:rsidRPr="005E1BCD" w:rsidRDefault="002A01FA" w:rsidP="002A01FA">
            <w:pPr>
              <w:spacing w:after="120" w:line="240" w:lineRule="auto"/>
              <w:contextualSpacing/>
              <w:rPr>
                <w:rFonts w:cs="Arial"/>
                <w:b/>
                <w:bCs/>
                <w:szCs w:val="20"/>
              </w:rPr>
            </w:pPr>
            <w:r>
              <w:rPr>
                <w:rFonts w:cs="Arial"/>
                <w:b/>
                <w:bCs/>
                <w:szCs w:val="20"/>
              </w:rPr>
              <w:t>Spectrum licences</w:t>
            </w:r>
          </w:p>
        </w:tc>
        <w:tc>
          <w:tcPr>
            <w:tcW w:w="792" w:type="pct"/>
            <w:shd w:val="clear" w:color="auto" w:fill="auto"/>
            <w:vAlign w:val="center"/>
          </w:tcPr>
          <w:p w14:paraId="42F270D0" w14:textId="28F7CEBF" w:rsidR="002A01FA" w:rsidRDefault="00107493" w:rsidP="005849A5">
            <w:pPr>
              <w:spacing w:after="0" w:line="240" w:lineRule="auto"/>
              <w:contextualSpacing/>
            </w:pPr>
            <w:hyperlink r:id="rId106" w:anchor="RANGE!D52" w:history="1">
              <w:r w:rsidR="002A01FA" w:rsidRPr="00E05173">
                <w:t>Sch 1 Part 5 Table 1 (Item 5.1.1)</w:t>
              </w:r>
            </w:hyperlink>
          </w:p>
        </w:tc>
        <w:tc>
          <w:tcPr>
            <w:tcW w:w="2502" w:type="pct"/>
            <w:shd w:val="clear" w:color="auto" w:fill="auto"/>
            <w:vAlign w:val="center"/>
          </w:tcPr>
          <w:p w14:paraId="69DEAF2E" w14:textId="45C34509" w:rsidR="002A01FA" w:rsidRPr="008C7781" w:rsidRDefault="002A01FA" w:rsidP="0023759E">
            <w:pPr>
              <w:pStyle w:val="Paragraphbeforelist"/>
              <w:spacing w:after="0" w:line="240" w:lineRule="auto"/>
              <w:contextualSpacing/>
              <w:rPr>
                <w:szCs w:val="20"/>
              </w:rPr>
            </w:pPr>
            <w:r w:rsidRPr="008C7781">
              <w:rPr>
                <w:szCs w:val="20"/>
              </w:rPr>
              <w:t xml:space="preserve">Considering a request to vary a spectrum licence under section 72 of the Radiocommunications </w:t>
            </w:r>
            <w:proofErr w:type="gramStart"/>
            <w:r w:rsidRPr="008C7781">
              <w:rPr>
                <w:szCs w:val="20"/>
              </w:rPr>
              <w:t>Act, and</w:t>
            </w:r>
            <w:proofErr w:type="gramEnd"/>
            <w:r w:rsidRPr="008C7781">
              <w:rPr>
                <w:szCs w:val="20"/>
              </w:rPr>
              <w:t xml:space="preserve"> varying it if applicable</w:t>
            </w:r>
            <w:r>
              <w:rPr>
                <w:szCs w:val="20"/>
              </w:rPr>
              <w:t>.</w:t>
            </w:r>
          </w:p>
        </w:tc>
        <w:tc>
          <w:tcPr>
            <w:tcW w:w="686" w:type="pct"/>
            <w:shd w:val="clear" w:color="auto" w:fill="auto"/>
            <w:vAlign w:val="center"/>
          </w:tcPr>
          <w:p w14:paraId="1EF36CD4" w14:textId="6F3C4754" w:rsidR="002A01FA" w:rsidRPr="008C7781" w:rsidRDefault="002A01FA" w:rsidP="005849A5">
            <w:pPr>
              <w:spacing w:after="0" w:line="240" w:lineRule="auto"/>
              <w:contextualSpacing/>
              <w:jc w:val="right"/>
              <w:rPr>
                <w:rFonts w:cs="Arial"/>
                <w:szCs w:val="20"/>
              </w:rPr>
            </w:pPr>
            <w:r w:rsidRPr="008C7781">
              <w:rPr>
                <w:rFonts w:cs="Arial"/>
                <w:szCs w:val="20"/>
              </w:rPr>
              <w:t>Hourly rate</w:t>
            </w:r>
          </w:p>
        </w:tc>
      </w:tr>
      <w:tr w:rsidR="002A01FA" w:rsidRPr="008C7781" w14:paraId="72CDBA3D" w14:textId="77777777" w:rsidTr="00801472">
        <w:trPr>
          <w:trHeight w:val="230"/>
        </w:trPr>
        <w:tc>
          <w:tcPr>
            <w:tcW w:w="195" w:type="pct"/>
            <w:shd w:val="clear" w:color="auto" w:fill="auto"/>
            <w:vAlign w:val="center"/>
          </w:tcPr>
          <w:p w14:paraId="0EC8D706" w14:textId="1382C9BC" w:rsidR="002A01FA" w:rsidRDefault="002A01FA" w:rsidP="005849A5">
            <w:pPr>
              <w:spacing w:after="0" w:line="240" w:lineRule="auto"/>
              <w:contextualSpacing/>
              <w:rPr>
                <w:rFonts w:cs="Arial"/>
                <w:szCs w:val="20"/>
              </w:rPr>
            </w:pPr>
            <w:r>
              <w:rPr>
                <w:rFonts w:cs="Arial"/>
                <w:szCs w:val="20"/>
              </w:rPr>
              <w:t>78</w:t>
            </w:r>
          </w:p>
        </w:tc>
        <w:tc>
          <w:tcPr>
            <w:tcW w:w="825" w:type="pct"/>
            <w:vMerge/>
            <w:vAlign w:val="center"/>
          </w:tcPr>
          <w:p w14:paraId="49EDAB24"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3DCB6A22" w14:textId="76895248" w:rsidR="002A01FA" w:rsidRDefault="00107493" w:rsidP="005849A5">
            <w:pPr>
              <w:spacing w:after="0" w:line="240" w:lineRule="auto"/>
              <w:contextualSpacing/>
            </w:pPr>
            <w:hyperlink r:id="rId107" w:anchor="RANGE!E2" w:history="1">
              <w:r w:rsidR="002A01FA" w:rsidRPr="00E05173">
                <w:t>Sch 1 Part 5 Table 1 (Item 5.1.2)</w:t>
              </w:r>
            </w:hyperlink>
          </w:p>
        </w:tc>
        <w:tc>
          <w:tcPr>
            <w:tcW w:w="2502" w:type="pct"/>
            <w:shd w:val="clear" w:color="auto" w:fill="auto"/>
            <w:vAlign w:val="center"/>
          </w:tcPr>
          <w:p w14:paraId="3FB35CF7" w14:textId="0D267C3C" w:rsidR="002A01FA" w:rsidRPr="008C7781" w:rsidRDefault="002A01FA" w:rsidP="00801472">
            <w:pPr>
              <w:pStyle w:val="Paragraphbeforelist"/>
              <w:spacing w:after="0" w:line="240" w:lineRule="auto"/>
              <w:contextualSpacing/>
              <w:rPr>
                <w:szCs w:val="20"/>
              </w:rPr>
            </w:pPr>
            <w:r w:rsidRPr="008C7781">
              <w:rPr>
                <w:szCs w:val="20"/>
              </w:rPr>
              <w:t xml:space="preserve">Processing registration of an assignment of all or part of a spectrum licence under section 86 of the Radiocommunications Act, including doing anything the ACMA considers necessary or convenient to do </w:t>
            </w:r>
            <w:proofErr w:type="gramStart"/>
            <w:r w:rsidRPr="008C7781">
              <w:rPr>
                <w:szCs w:val="20"/>
              </w:rPr>
              <w:t>in order to</w:t>
            </w:r>
            <w:proofErr w:type="gramEnd"/>
            <w:r w:rsidRPr="008C7781">
              <w:rPr>
                <w:szCs w:val="20"/>
              </w:rPr>
              <w:t xml:space="preserve"> give effect to the assignment in accordance with section 87 of the Radiocommunications Act</w:t>
            </w:r>
            <w:r>
              <w:rPr>
                <w:szCs w:val="20"/>
              </w:rPr>
              <w:t>.</w:t>
            </w:r>
            <w:r w:rsidRPr="008C7781">
              <w:rPr>
                <w:szCs w:val="20"/>
              </w:rPr>
              <w:t xml:space="preserve"> </w:t>
            </w:r>
          </w:p>
        </w:tc>
        <w:tc>
          <w:tcPr>
            <w:tcW w:w="686" w:type="pct"/>
            <w:shd w:val="clear" w:color="auto" w:fill="auto"/>
            <w:vAlign w:val="center"/>
          </w:tcPr>
          <w:p w14:paraId="5F023590" w14:textId="1878C8D0" w:rsidR="002A01FA" w:rsidRPr="008C7781" w:rsidRDefault="002A01FA" w:rsidP="005849A5">
            <w:pPr>
              <w:spacing w:after="0" w:line="240" w:lineRule="auto"/>
              <w:contextualSpacing/>
              <w:jc w:val="right"/>
              <w:rPr>
                <w:rFonts w:cs="Arial"/>
                <w:szCs w:val="20"/>
              </w:rPr>
            </w:pPr>
            <w:r w:rsidRPr="008C7781">
              <w:rPr>
                <w:rFonts w:cs="Arial"/>
                <w:szCs w:val="20"/>
              </w:rPr>
              <w:t>$38.00</w:t>
            </w:r>
          </w:p>
        </w:tc>
      </w:tr>
      <w:tr w:rsidR="002A01FA" w:rsidRPr="008C7781" w14:paraId="4B3034E5" w14:textId="77777777" w:rsidTr="003E5A84">
        <w:trPr>
          <w:trHeight w:val="728"/>
        </w:trPr>
        <w:tc>
          <w:tcPr>
            <w:tcW w:w="195" w:type="pct"/>
            <w:shd w:val="clear" w:color="auto" w:fill="auto"/>
            <w:vAlign w:val="center"/>
          </w:tcPr>
          <w:p w14:paraId="48BC98A7" w14:textId="113BA551" w:rsidR="002A01FA" w:rsidRDefault="002A01FA" w:rsidP="00801472">
            <w:pPr>
              <w:spacing w:after="0" w:line="240" w:lineRule="auto"/>
              <w:contextualSpacing/>
              <w:rPr>
                <w:rFonts w:cs="Arial"/>
                <w:szCs w:val="20"/>
              </w:rPr>
            </w:pPr>
            <w:r>
              <w:rPr>
                <w:rFonts w:cs="Arial"/>
                <w:szCs w:val="20"/>
              </w:rPr>
              <w:t>79</w:t>
            </w:r>
          </w:p>
        </w:tc>
        <w:tc>
          <w:tcPr>
            <w:tcW w:w="825" w:type="pct"/>
            <w:vMerge w:val="restart"/>
            <w:vAlign w:val="center"/>
          </w:tcPr>
          <w:p w14:paraId="0639130B" w14:textId="57B7C67A" w:rsidR="002A01FA" w:rsidRPr="005E1BCD" w:rsidRDefault="002A01FA" w:rsidP="002A01FA">
            <w:pPr>
              <w:spacing w:after="120" w:line="240" w:lineRule="auto"/>
              <w:contextualSpacing/>
              <w:rPr>
                <w:rFonts w:cs="Arial"/>
                <w:b/>
                <w:bCs/>
                <w:szCs w:val="20"/>
              </w:rPr>
            </w:pPr>
            <w:r w:rsidRPr="005E1BCD">
              <w:rPr>
                <w:rFonts w:cs="Arial"/>
                <w:b/>
                <w:bCs/>
                <w:szCs w:val="20"/>
              </w:rPr>
              <w:t>PTS licences</w:t>
            </w:r>
            <w:r w:rsidRPr="008C7781">
              <w:rPr>
                <w:rFonts w:cs="Arial"/>
                <w:szCs w:val="20"/>
              </w:rPr>
              <w:t> </w:t>
            </w:r>
          </w:p>
        </w:tc>
        <w:tc>
          <w:tcPr>
            <w:tcW w:w="792" w:type="pct"/>
            <w:shd w:val="clear" w:color="auto" w:fill="auto"/>
            <w:vAlign w:val="center"/>
          </w:tcPr>
          <w:p w14:paraId="569C2E57" w14:textId="68CA306C" w:rsidR="002A01FA" w:rsidRDefault="00107493" w:rsidP="00801472">
            <w:pPr>
              <w:spacing w:after="0" w:line="240" w:lineRule="auto"/>
              <w:contextualSpacing/>
            </w:pPr>
            <w:hyperlink r:id="rId108" w:anchor="RANGE!D61" w:history="1">
              <w:r w:rsidR="002A01FA" w:rsidRPr="00E05173">
                <w:t>Sch 1 Part 2 Table 2 (Item 2.2.13 (a))</w:t>
              </w:r>
            </w:hyperlink>
          </w:p>
        </w:tc>
        <w:tc>
          <w:tcPr>
            <w:tcW w:w="2502" w:type="pct"/>
            <w:shd w:val="clear" w:color="auto" w:fill="auto"/>
            <w:vAlign w:val="center"/>
          </w:tcPr>
          <w:p w14:paraId="2FB08E94" w14:textId="77777777" w:rsidR="002A01FA" w:rsidRDefault="002A01FA" w:rsidP="00801472">
            <w:pPr>
              <w:pStyle w:val="Paragraphbeforelist"/>
              <w:spacing w:line="240" w:lineRule="auto"/>
            </w:pPr>
            <w:r w:rsidRPr="008C7781">
              <w:t xml:space="preserve">Considering an application under section 99 of the Radiocommunications Act for the issue of any of the following licences, and issuing it (if applicable), where the application is not accompanied by a frequency assignment certificate </w:t>
            </w:r>
            <w:r w:rsidRPr="002137C1">
              <w:rPr>
                <w:szCs w:val="20"/>
              </w:rPr>
              <w:t>issued</w:t>
            </w:r>
            <w:r w:rsidRPr="008C7781">
              <w:t xml:space="preserve"> by an accredited person: </w:t>
            </w:r>
          </w:p>
          <w:p w14:paraId="40AA92ED" w14:textId="235A9A76" w:rsidR="002A01FA" w:rsidRPr="008C7781" w:rsidRDefault="002A01FA" w:rsidP="00801472">
            <w:pPr>
              <w:pStyle w:val="Paragraphbeforelist"/>
              <w:spacing w:after="0" w:line="240" w:lineRule="auto"/>
              <w:contextualSpacing/>
              <w:rPr>
                <w:szCs w:val="20"/>
              </w:rPr>
            </w:pPr>
            <w:r w:rsidRPr="008C7781">
              <w:t>(a) PTS licence (PMTS Class B)</w:t>
            </w:r>
            <w:r>
              <w:t>.</w:t>
            </w:r>
          </w:p>
        </w:tc>
        <w:tc>
          <w:tcPr>
            <w:tcW w:w="686" w:type="pct"/>
            <w:shd w:val="clear" w:color="auto" w:fill="auto"/>
            <w:vAlign w:val="center"/>
          </w:tcPr>
          <w:p w14:paraId="6AD36756" w14:textId="65E45A69" w:rsidR="002A01FA" w:rsidRPr="008C7781" w:rsidRDefault="002A01FA" w:rsidP="00801472">
            <w:pPr>
              <w:spacing w:after="0" w:line="240" w:lineRule="auto"/>
              <w:contextualSpacing/>
              <w:jc w:val="right"/>
              <w:rPr>
                <w:rFonts w:cs="Arial"/>
                <w:szCs w:val="20"/>
              </w:rPr>
            </w:pPr>
            <w:r w:rsidRPr="008C7781">
              <w:rPr>
                <w:rFonts w:cs="Arial"/>
                <w:szCs w:val="20"/>
              </w:rPr>
              <w:t>$471.00 per licence</w:t>
            </w:r>
          </w:p>
        </w:tc>
      </w:tr>
      <w:tr w:rsidR="002A01FA" w:rsidRPr="008C7781" w14:paraId="2E56CA94" w14:textId="77777777" w:rsidTr="003E5A84">
        <w:trPr>
          <w:trHeight w:val="728"/>
        </w:trPr>
        <w:tc>
          <w:tcPr>
            <w:tcW w:w="195" w:type="pct"/>
            <w:shd w:val="clear" w:color="auto" w:fill="auto"/>
            <w:vAlign w:val="center"/>
          </w:tcPr>
          <w:p w14:paraId="5CECBB3A" w14:textId="09BA75D0" w:rsidR="002A01FA" w:rsidRDefault="002A01FA" w:rsidP="00801472">
            <w:pPr>
              <w:spacing w:after="0" w:line="240" w:lineRule="auto"/>
              <w:contextualSpacing/>
              <w:rPr>
                <w:rFonts w:cs="Arial"/>
                <w:szCs w:val="20"/>
              </w:rPr>
            </w:pPr>
            <w:r>
              <w:rPr>
                <w:rFonts w:cs="Arial"/>
                <w:szCs w:val="20"/>
              </w:rPr>
              <w:t>80</w:t>
            </w:r>
          </w:p>
        </w:tc>
        <w:tc>
          <w:tcPr>
            <w:tcW w:w="825" w:type="pct"/>
            <w:vMerge/>
            <w:vAlign w:val="center"/>
          </w:tcPr>
          <w:p w14:paraId="00D775F1"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64D4582B" w14:textId="046D5B2B" w:rsidR="002A01FA" w:rsidRDefault="00107493" w:rsidP="00801472">
            <w:pPr>
              <w:spacing w:after="0" w:line="240" w:lineRule="auto"/>
              <w:contextualSpacing/>
            </w:pPr>
            <w:hyperlink r:id="rId109" w:anchor="RANGE!D61" w:history="1">
              <w:r w:rsidR="002A01FA" w:rsidRPr="00E05173">
                <w:t>Sch 1 Part 2 Table 2 (Item 2.2.13 (b))</w:t>
              </w:r>
            </w:hyperlink>
          </w:p>
        </w:tc>
        <w:tc>
          <w:tcPr>
            <w:tcW w:w="2502" w:type="pct"/>
            <w:shd w:val="clear" w:color="auto" w:fill="auto"/>
            <w:vAlign w:val="center"/>
          </w:tcPr>
          <w:p w14:paraId="724F3F1C" w14:textId="77777777" w:rsidR="002A01FA" w:rsidRDefault="002A01FA" w:rsidP="00801472">
            <w:pPr>
              <w:pStyle w:val="Paragraphbeforelist"/>
              <w:spacing w:line="240" w:lineRule="auto"/>
              <w:rPr>
                <w:szCs w:val="20"/>
              </w:rPr>
            </w:pPr>
            <w:r w:rsidRPr="008C7781">
              <w:rPr>
                <w:szCs w:val="20"/>
              </w:rPr>
              <w:t xml:space="preserve">Considering an application under section 99 of the Radiocommunications Act for the issue of any of the following </w:t>
            </w:r>
            <w:r w:rsidRPr="00EF0B88">
              <w:t>licences</w:t>
            </w:r>
            <w:r w:rsidRPr="008C7781">
              <w:rPr>
                <w:szCs w:val="20"/>
              </w:rPr>
              <w:t xml:space="preserve">, and issuing it (if applicable), where the application is not accompanied by a frequency assignment certificate issued by an accredited person: </w:t>
            </w:r>
          </w:p>
          <w:p w14:paraId="41475D9D" w14:textId="653501BE" w:rsidR="002A01FA" w:rsidRPr="008C7781" w:rsidRDefault="002A01FA" w:rsidP="00801472">
            <w:pPr>
              <w:pStyle w:val="Paragraphbeforelist"/>
              <w:spacing w:after="0" w:line="240" w:lineRule="auto"/>
              <w:contextualSpacing/>
              <w:rPr>
                <w:szCs w:val="20"/>
              </w:rPr>
            </w:pPr>
            <w:r w:rsidRPr="008C7781">
              <w:rPr>
                <w:szCs w:val="20"/>
              </w:rPr>
              <w:t xml:space="preserve">(b) </w:t>
            </w:r>
            <w:r w:rsidRPr="00EF0B88">
              <w:t>PTS</w:t>
            </w:r>
            <w:r w:rsidRPr="008C7781">
              <w:rPr>
                <w:szCs w:val="20"/>
              </w:rPr>
              <w:t xml:space="preserve"> licence (PMTS Class C)</w:t>
            </w:r>
            <w:r>
              <w:rPr>
                <w:szCs w:val="20"/>
              </w:rPr>
              <w:t>.</w:t>
            </w:r>
          </w:p>
        </w:tc>
        <w:tc>
          <w:tcPr>
            <w:tcW w:w="686" w:type="pct"/>
            <w:shd w:val="clear" w:color="auto" w:fill="auto"/>
            <w:vAlign w:val="center"/>
          </w:tcPr>
          <w:p w14:paraId="69DF15DE" w14:textId="3D90B781" w:rsidR="002A01FA" w:rsidRPr="008C7781" w:rsidRDefault="002A01FA" w:rsidP="00801472">
            <w:pPr>
              <w:spacing w:after="0" w:line="240" w:lineRule="auto"/>
              <w:contextualSpacing/>
              <w:jc w:val="right"/>
              <w:rPr>
                <w:rFonts w:cs="Arial"/>
                <w:szCs w:val="20"/>
              </w:rPr>
            </w:pPr>
            <w:r w:rsidRPr="008C7781">
              <w:rPr>
                <w:rFonts w:cs="Arial"/>
                <w:szCs w:val="20"/>
              </w:rPr>
              <w:t>$471.00 per licence</w:t>
            </w:r>
          </w:p>
        </w:tc>
      </w:tr>
      <w:tr w:rsidR="002A01FA" w:rsidRPr="008C7781" w14:paraId="5944FA5F" w14:textId="77777777" w:rsidTr="002A01FA">
        <w:trPr>
          <w:trHeight w:val="728"/>
        </w:trPr>
        <w:tc>
          <w:tcPr>
            <w:tcW w:w="195" w:type="pct"/>
            <w:shd w:val="clear" w:color="auto" w:fill="auto"/>
            <w:vAlign w:val="center"/>
          </w:tcPr>
          <w:p w14:paraId="6DD1624F" w14:textId="0237B570" w:rsidR="002A01FA" w:rsidRDefault="002A01FA" w:rsidP="00801472">
            <w:pPr>
              <w:spacing w:after="0" w:line="240" w:lineRule="auto"/>
              <w:contextualSpacing/>
              <w:rPr>
                <w:rFonts w:cs="Arial"/>
                <w:szCs w:val="20"/>
              </w:rPr>
            </w:pPr>
            <w:r>
              <w:rPr>
                <w:rFonts w:cs="Arial"/>
                <w:szCs w:val="20"/>
              </w:rPr>
              <w:t>81</w:t>
            </w:r>
          </w:p>
        </w:tc>
        <w:tc>
          <w:tcPr>
            <w:tcW w:w="825" w:type="pct"/>
            <w:vMerge w:val="restart"/>
            <w:vAlign w:val="center"/>
          </w:tcPr>
          <w:p w14:paraId="14B56E48" w14:textId="191D5D44" w:rsidR="002A01FA" w:rsidRPr="005E1BCD" w:rsidRDefault="002A01FA" w:rsidP="002A01FA">
            <w:pPr>
              <w:spacing w:after="120" w:line="240" w:lineRule="auto"/>
              <w:contextualSpacing/>
              <w:rPr>
                <w:rFonts w:cs="Arial"/>
                <w:b/>
                <w:bCs/>
                <w:szCs w:val="20"/>
              </w:rPr>
            </w:pPr>
            <w:r w:rsidRPr="005E1BCD">
              <w:rPr>
                <w:rFonts w:cs="Arial"/>
                <w:b/>
                <w:bCs/>
                <w:szCs w:val="20"/>
              </w:rPr>
              <w:t>Varying a licence</w:t>
            </w:r>
            <w:r w:rsidRPr="008C7781">
              <w:rPr>
                <w:rFonts w:cs="Arial"/>
                <w:szCs w:val="20"/>
              </w:rPr>
              <w:t> </w:t>
            </w:r>
          </w:p>
        </w:tc>
        <w:tc>
          <w:tcPr>
            <w:tcW w:w="792" w:type="pct"/>
            <w:shd w:val="clear" w:color="auto" w:fill="auto"/>
            <w:vAlign w:val="center"/>
          </w:tcPr>
          <w:p w14:paraId="0F54841F" w14:textId="2C8FB249" w:rsidR="002A01FA" w:rsidRDefault="002A01FA" w:rsidP="00801472">
            <w:pPr>
              <w:spacing w:after="0" w:line="240" w:lineRule="auto"/>
              <w:contextualSpacing/>
            </w:pPr>
            <w:r w:rsidRPr="00E05173">
              <w:rPr>
                <w:rFonts w:cs="Arial"/>
                <w:szCs w:val="20"/>
              </w:rPr>
              <w:t>Sch 1 Part 2 Table 7 (Item 2.7.1)</w:t>
            </w:r>
          </w:p>
        </w:tc>
        <w:tc>
          <w:tcPr>
            <w:tcW w:w="2502" w:type="pct"/>
            <w:shd w:val="clear" w:color="auto" w:fill="auto"/>
            <w:vAlign w:val="center"/>
          </w:tcPr>
          <w:p w14:paraId="1FB7569D" w14:textId="77777777" w:rsidR="002A01FA" w:rsidRDefault="002A01FA" w:rsidP="00801472">
            <w:pPr>
              <w:pStyle w:val="Paragraphbeforelist"/>
              <w:spacing w:line="240" w:lineRule="auto"/>
              <w:rPr>
                <w:szCs w:val="20"/>
              </w:rPr>
            </w:pPr>
            <w:r w:rsidRPr="008C7781">
              <w:rPr>
                <w:szCs w:val="20"/>
              </w:rPr>
              <w:t xml:space="preserve">Considering an application under section 111 of the Radiocommunications Act to vary the </w:t>
            </w:r>
            <w:r w:rsidRPr="003056CE">
              <w:t>conditions</w:t>
            </w:r>
            <w:r w:rsidRPr="008C7781">
              <w:rPr>
                <w:szCs w:val="20"/>
              </w:rPr>
              <w:t xml:space="preserve"> of an assigned licence or a non</w:t>
            </w:r>
            <w:r>
              <w:rPr>
                <w:szCs w:val="20"/>
              </w:rPr>
              <w:t>-</w:t>
            </w:r>
            <w:r w:rsidRPr="008C7781">
              <w:rPr>
                <w:szCs w:val="20"/>
              </w:rPr>
              <w:t>assigned licence (and varying it if applicable) where:</w:t>
            </w:r>
            <w:r w:rsidRPr="008C7781">
              <w:rPr>
                <w:szCs w:val="20"/>
              </w:rPr>
              <w:br w:type="page"/>
            </w:r>
          </w:p>
          <w:p w14:paraId="5782926F" w14:textId="77777777" w:rsidR="002A01FA" w:rsidRPr="003056CE" w:rsidRDefault="002A01FA" w:rsidP="00801472">
            <w:pPr>
              <w:pStyle w:val="Bulletlevel1"/>
              <w:numPr>
                <w:ilvl w:val="0"/>
                <w:numId w:val="0"/>
              </w:numPr>
              <w:spacing w:line="240" w:lineRule="auto"/>
              <w:ind w:left="295" w:hanging="295"/>
            </w:pPr>
            <w:r w:rsidRPr="008C7781">
              <w:rPr>
                <w:szCs w:val="20"/>
              </w:rPr>
              <w:t>(a) the lic</w:t>
            </w:r>
            <w:r w:rsidRPr="003056CE">
              <w:t xml:space="preserve">ence is of a kind mentioned in an item in Tables 2, 3 or 5 of Part 2 of Schedule 1; </w:t>
            </w:r>
          </w:p>
          <w:p w14:paraId="47389E84" w14:textId="77777777" w:rsidR="002A01FA" w:rsidRPr="003056CE" w:rsidRDefault="002A01FA" w:rsidP="00801472">
            <w:pPr>
              <w:pStyle w:val="Bulletlevel1"/>
              <w:numPr>
                <w:ilvl w:val="0"/>
                <w:numId w:val="0"/>
              </w:numPr>
              <w:spacing w:line="240" w:lineRule="auto"/>
              <w:ind w:left="295" w:hanging="295"/>
            </w:pPr>
            <w:r w:rsidRPr="003056CE">
              <w:lastRenderedPageBreak/>
              <w:br w:type="page"/>
              <w:t>(b) the licence is not of a type mentioned in any other item in this table; and</w:t>
            </w:r>
          </w:p>
          <w:p w14:paraId="385D4313" w14:textId="622600E6" w:rsidR="002A01FA" w:rsidRPr="008C7781" w:rsidRDefault="002A01FA" w:rsidP="00801472">
            <w:pPr>
              <w:pStyle w:val="Paragraphbeforelist"/>
              <w:spacing w:after="0" w:line="240" w:lineRule="auto"/>
              <w:contextualSpacing/>
              <w:rPr>
                <w:szCs w:val="20"/>
              </w:rPr>
            </w:pPr>
            <w:r w:rsidRPr="003056CE">
              <w:br w:type="page"/>
              <w:t>(c) technical coordi</w:t>
            </w:r>
            <w:r w:rsidRPr="008C7781">
              <w:rPr>
                <w:szCs w:val="20"/>
              </w:rPr>
              <w:t>nation is not required</w:t>
            </w:r>
            <w:r>
              <w:rPr>
                <w:szCs w:val="20"/>
              </w:rPr>
              <w:t>.</w:t>
            </w:r>
          </w:p>
        </w:tc>
        <w:tc>
          <w:tcPr>
            <w:tcW w:w="686" w:type="pct"/>
            <w:shd w:val="clear" w:color="auto" w:fill="auto"/>
            <w:vAlign w:val="center"/>
          </w:tcPr>
          <w:p w14:paraId="6CE2F103" w14:textId="66FD5450" w:rsidR="002A01FA" w:rsidRPr="008C7781" w:rsidRDefault="002A01FA" w:rsidP="00801472">
            <w:pPr>
              <w:spacing w:after="0" w:line="240" w:lineRule="auto"/>
              <w:contextualSpacing/>
              <w:jc w:val="right"/>
              <w:rPr>
                <w:rFonts w:cs="Arial"/>
                <w:szCs w:val="20"/>
              </w:rPr>
            </w:pPr>
            <w:r w:rsidRPr="008C7781">
              <w:rPr>
                <w:rFonts w:cs="Arial"/>
                <w:szCs w:val="20"/>
              </w:rPr>
              <w:lastRenderedPageBreak/>
              <w:t>$36.</w:t>
            </w:r>
            <w:r w:rsidRPr="006A6A15">
              <w:rPr>
                <w:rFonts w:cs="Arial"/>
                <w:szCs w:val="20"/>
              </w:rPr>
              <w:t>00</w:t>
            </w:r>
          </w:p>
        </w:tc>
      </w:tr>
      <w:tr w:rsidR="002A01FA" w:rsidRPr="008C7781" w14:paraId="59E793EC" w14:textId="77777777" w:rsidTr="003E5A84">
        <w:trPr>
          <w:trHeight w:val="728"/>
        </w:trPr>
        <w:tc>
          <w:tcPr>
            <w:tcW w:w="195" w:type="pct"/>
            <w:shd w:val="clear" w:color="auto" w:fill="auto"/>
            <w:vAlign w:val="center"/>
          </w:tcPr>
          <w:p w14:paraId="635CB371" w14:textId="0DB1D022" w:rsidR="002A01FA" w:rsidRDefault="002A01FA" w:rsidP="00C35614">
            <w:pPr>
              <w:spacing w:after="0" w:line="240" w:lineRule="auto"/>
              <w:contextualSpacing/>
              <w:rPr>
                <w:rFonts w:cs="Arial"/>
                <w:szCs w:val="20"/>
              </w:rPr>
            </w:pPr>
            <w:r>
              <w:rPr>
                <w:rFonts w:cs="Arial"/>
                <w:szCs w:val="20"/>
              </w:rPr>
              <w:t>82</w:t>
            </w:r>
          </w:p>
        </w:tc>
        <w:tc>
          <w:tcPr>
            <w:tcW w:w="825" w:type="pct"/>
            <w:vMerge/>
            <w:vAlign w:val="center"/>
          </w:tcPr>
          <w:p w14:paraId="765CDB80"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635DBB74" w14:textId="1F987C52" w:rsidR="002A01FA" w:rsidRDefault="002A01FA" w:rsidP="00C35614">
            <w:pPr>
              <w:spacing w:after="0" w:line="240" w:lineRule="auto"/>
              <w:contextualSpacing/>
            </w:pPr>
            <w:r w:rsidRPr="00E05173">
              <w:rPr>
                <w:rFonts w:cs="Arial"/>
                <w:szCs w:val="20"/>
              </w:rPr>
              <w:t>Sch 1 Part 2 Table 7 (Item 2.7.2)</w:t>
            </w:r>
          </w:p>
        </w:tc>
        <w:tc>
          <w:tcPr>
            <w:tcW w:w="2502" w:type="pct"/>
            <w:shd w:val="clear" w:color="auto" w:fill="auto"/>
            <w:vAlign w:val="center"/>
          </w:tcPr>
          <w:p w14:paraId="37E627E9" w14:textId="77777777" w:rsidR="002A01FA" w:rsidRDefault="002A01FA" w:rsidP="00801472">
            <w:pPr>
              <w:pStyle w:val="Paragraphbeforelist"/>
              <w:spacing w:line="240" w:lineRule="auto"/>
            </w:pPr>
            <w:r w:rsidRPr="008C7781">
              <w:t xml:space="preserve">Considering an application under section 111 of the Radiocommunications Act to vary the conditions of an assigned licence, and varying it if applicable (other than an LPON licence) </w:t>
            </w:r>
            <w:r w:rsidRPr="002137C1">
              <w:rPr>
                <w:szCs w:val="20"/>
              </w:rPr>
              <w:t>where</w:t>
            </w:r>
            <w:r w:rsidRPr="008C7781">
              <w:t>:</w:t>
            </w:r>
          </w:p>
          <w:p w14:paraId="1395F27C" w14:textId="77777777" w:rsidR="002A01FA" w:rsidRDefault="002A01FA" w:rsidP="00801472">
            <w:pPr>
              <w:pStyle w:val="Bulletlevel1"/>
              <w:numPr>
                <w:ilvl w:val="0"/>
                <w:numId w:val="0"/>
              </w:numPr>
              <w:spacing w:line="240" w:lineRule="auto"/>
              <w:ind w:left="295" w:hanging="295"/>
            </w:pPr>
            <w:r w:rsidRPr="008C7781">
              <w:t>(a) the licence is mentioned in an item in Tables 2 or 3 of Part 2 of Schedule 1; and</w:t>
            </w:r>
          </w:p>
          <w:p w14:paraId="7A84348B" w14:textId="77777777" w:rsidR="002A01FA" w:rsidRDefault="002A01FA" w:rsidP="00801472">
            <w:pPr>
              <w:pStyle w:val="Bulletlevel1"/>
              <w:numPr>
                <w:ilvl w:val="0"/>
                <w:numId w:val="0"/>
              </w:numPr>
              <w:spacing w:line="240" w:lineRule="auto"/>
              <w:ind w:left="295" w:hanging="295"/>
            </w:pPr>
            <w:r w:rsidRPr="008C7781">
              <w:t xml:space="preserve">(b) the application is not accompanied by a frequency assignment certificate issued by an accredited person; and </w:t>
            </w:r>
          </w:p>
          <w:p w14:paraId="1DED3805" w14:textId="3CE0ACDC" w:rsidR="002A01FA" w:rsidRPr="008C7781" w:rsidRDefault="002A01FA" w:rsidP="0023759E">
            <w:pPr>
              <w:pStyle w:val="Bulletlevel1"/>
              <w:numPr>
                <w:ilvl w:val="0"/>
                <w:numId w:val="0"/>
              </w:numPr>
              <w:spacing w:after="0" w:line="240" w:lineRule="auto"/>
              <w:ind w:left="295" w:hanging="295"/>
              <w:rPr>
                <w:szCs w:val="20"/>
              </w:rPr>
            </w:pPr>
            <w:r w:rsidRPr="008C7781">
              <w:t>(c) in considering the application, the ACMA is required to perform technical coordination</w:t>
            </w:r>
            <w:r>
              <w:t>.</w:t>
            </w:r>
          </w:p>
        </w:tc>
        <w:tc>
          <w:tcPr>
            <w:tcW w:w="686" w:type="pct"/>
            <w:shd w:val="clear" w:color="auto" w:fill="auto"/>
            <w:vAlign w:val="center"/>
          </w:tcPr>
          <w:p w14:paraId="308ADA5B" w14:textId="12545136" w:rsidR="002A01FA" w:rsidRPr="008C7781" w:rsidRDefault="002A01FA" w:rsidP="00C35614">
            <w:pPr>
              <w:spacing w:after="0" w:line="240" w:lineRule="auto"/>
              <w:contextualSpacing/>
              <w:jc w:val="right"/>
              <w:rPr>
                <w:rFonts w:cs="Arial"/>
                <w:szCs w:val="20"/>
              </w:rPr>
            </w:pPr>
            <w:r w:rsidRPr="008C7781">
              <w:rPr>
                <w:rFonts w:cs="Arial"/>
                <w:szCs w:val="20"/>
              </w:rPr>
              <w:t>The applicable charge for issuing the licence, as specified in the relevant item in Tables 2 or 3 of Part 2 of Schedule 1</w:t>
            </w:r>
          </w:p>
        </w:tc>
      </w:tr>
      <w:tr w:rsidR="002A01FA" w:rsidRPr="008C7781" w14:paraId="4BA1DC44" w14:textId="77777777" w:rsidTr="003E5A84">
        <w:trPr>
          <w:trHeight w:val="728"/>
        </w:trPr>
        <w:tc>
          <w:tcPr>
            <w:tcW w:w="195" w:type="pct"/>
            <w:shd w:val="clear" w:color="auto" w:fill="auto"/>
            <w:vAlign w:val="center"/>
          </w:tcPr>
          <w:p w14:paraId="41DDC51A" w14:textId="329E6AFA" w:rsidR="002A01FA" w:rsidRDefault="002A01FA" w:rsidP="002A01FA">
            <w:pPr>
              <w:spacing w:after="120" w:line="240" w:lineRule="auto"/>
              <w:contextualSpacing/>
              <w:rPr>
                <w:rFonts w:cs="Arial"/>
                <w:szCs w:val="20"/>
              </w:rPr>
            </w:pPr>
            <w:r>
              <w:rPr>
                <w:rFonts w:cs="Arial"/>
                <w:szCs w:val="20"/>
              </w:rPr>
              <w:t>83</w:t>
            </w:r>
          </w:p>
        </w:tc>
        <w:tc>
          <w:tcPr>
            <w:tcW w:w="825" w:type="pct"/>
            <w:vMerge/>
            <w:vAlign w:val="center"/>
          </w:tcPr>
          <w:p w14:paraId="73DF53F4"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59A4ABDA" w14:textId="47BC3D90" w:rsidR="002A01FA" w:rsidRDefault="00107493" w:rsidP="00801472">
            <w:pPr>
              <w:spacing w:after="0" w:line="240" w:lineRule="auto"/>
              <w:contextualSpacing/>
            </w:pPr>
            <w:hyperlink r:id="rId110" w:anchor="RANGE!D52" w:history="1">
              <w:r w:rsidR="002A01FA" w:rsidRPr="00E05173">
                <w:t>Sch 1 Part 2 Table 7 (item 2.7.5)</w:t>
              </w:r>
            </w:hyperlink>
          </w:p>
        </w:tc>
        <w:tc>
          <w:tcPr>
            <w:tcW w:w="2502" w:type="pct"/>
            <w:shd w:val="clear" w:color="auto" w:fill="auto"/>
            <w:vAlign w:val="center"/>
          </w:tcPr>
          <w:p w14:paraId="1D61BFE9" w14:textId="1B9298F4" w:rsidR="002A01FA" w:rsidRPr="008C7781" w:rsidRDefault="002A01FA" w:rsidP="00C35614">
            <w:pPr>
              <w:pStyle w:val="Paragraphbeforelist"/>
              <w:spacing w:after="0" w:line="240" w:lineRule="auto"/>
              <w:contextualSpacing/>
              <w:rPr>
                <w:szCs w:val="20"/>
              </w:rPr>
            </w:pPr>
            <w:r w:rsidRPr="008C7781">
              <w:rPr>
                <w:szCs w:val="20"/>
              </w:rPr>
              <w:t>Considering an application under section 111 of the Radiocommunications Act to vary the conditions of an LPON licence (and varying it if applicable), where the application is not accompanied by a frequency assignment certificate issued by an accredited person</w:t>
            </w:r>
            <w:r>
              <w:rPr>
                <w:szCs w:val="20"/>
              </w:rPr>
              <w:t>.</w:t>
            </w:r>
          </w:p>
        </w:tc>
        <w:tc>
          <w:tcPr>
            <w:tcW w:w="686" w:type="pct"/>
            <w:shd w:val="clear" w:color="auto" w:fill="auto"/>
            <w:vAlign w:val="center"/>
          </w:tcPr>
          <w:p w14:paraId="4A0C0ED5" w14:textId="620281BC" w:rsidR="002A01FA" w:rsidRPr="008C7781" w:rsidRDefault="002A01FA" w:rsidP="00801472">
            <w:pPr>
              <w:spacing w:after="0" w:line="240" w:lineRule="auto"/>
              <w:contextualSpacing/>
              <w:jc w:val="right"/>
              <w:rPr>
                <w:rFonts w:cs="Arial"/>
                <w:szCs w:val="20"/>
              </w:rPr>
            </w:pPr>
            <w:r w:rsidRPr="008C7781">
              <w:rPr>
                <w:rFonts w:cs="Arial"/>
                <w:szCs w:val="20"/>
              </w:rPr>
              <w:t>Hourly rate</w:t>
            </w:r>
          </w:p>
        </w:tc>
      </w:tr>
      <w:tr w:rsidR="002A01FA" w:rsidRPr="008C7781" w14:paraId="54B946F7" w14:textId="77777777" w:rsidTr="003E5A84">
        <w:trPr>
          <w:trHeight w:val="728"/>
        </w:trPr>
        <w:tc>
          <w:tcPr>
            <w:tcW w:w="195" w:type="pct"/>
            <w:shd w:val="clear" w:color="auto" w:fill="auto"/>
            <w:vAlign w:val="center"/>
          </w:tcPr>
          <w:p w14:paraId="1750FB10" w14:textId="6E698399" w:rsidR="002A01FA" w:rsidRDefault="002A01FA" w:rsidP="002A01FA">
            <w:pPr>
              <w:spacing w:after="120" w:line="240" w:lineRule="auto"/>
              <w:contextualSpacing/>
              <w:rPr>
                <w:rFonts w:cs="Arial"/>
                <w:szCs w:val="20"/>
              </w:rPr>
            </w:pPr>
            <w:r>
              <w:rPr>
                <w:rFonts w:cs="Arial"/>
                <w:szCs w:val="20"/>
              </w:rPr>
              <w:t>84</w:t>
            </w:r>
          </w:p>
        </w:tc>
        <w:tc>
          <w:tcPr>
            <w:tcW w:w="825" w:type="pct"/>
            <w:vMerge/>
            <w:vAlign w:val="center"/>
          </w:tcPr>
          <w:p w14:paraId="18BC5E65"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0D7E0A68" w14:textId="087F0C9E" w:rsidR="002A01FA" w:rsidRDefault="002A01FA" w:rsidP="00801472">
            <w:pPr>
              <w:spacing w:after="0" w:line="240" w:lineRule="auto"/>
              <w:contextualSpacing/>
            </w:pPr>
            <w:r w:rsidRPr="00E05173">
              <w:rPr>
                <w:rFonts w:cs="Arial"/>
                <w:szCs w:val="20"/>
              </w:rPr>
              <w:t>Part 2 Table 7 (Item 2.7.3)</w:t>
            </w:r>
          </w:p>
        </w:tc>
        <w:tc>
          <w:tcPr>
            <w:tcW w:w="2502" w:type="pct"/>
            <w:shd w:val="clear" w:color="auto" w:fill="auto"/>
            <w:vAlign w:val="center"/>
          </w:tcPr>
          <w:p w14:paraId="0D13BC94" w14:textId="77777777" w:rsidR="002A01FA" w:rsidRDefault="002A01FA" w:rsidP="002137C1">
            <w:pPr>
              <w:pStyle w:val="Paragraphbeforelist"/>
              <w:spacing w:line="240" w:lineRule="auto"/>
              <w:contextualSpacing/>
            </w:pPr>
            <w:r w:rsidRPr="008C7781">
              <w:t xml:space="preserve">Considering an application under section 111 of the Radiocommunications Act to vary the conditions of an assigned licence of a kind mentioned in Table 1 of Part 2 of Schedule 1, (other than a licence to which item 2.7.4 applies), and varying it if </w:t>
            </w:r>
            <w:r w:rsidRPr="002137C1">
              <w:rPr>
                <w:szCs w:val="20"/>
              </w:rPr>
              <w:t>applicable</w:t>
            </w:r>
            <w:r w:rsidRPr="008C7781">
              <w:t>, where:</w:t>
            </w:r>
          </w:p>
          <w:p w14:paraId="49362F90" w14:textId="77777777" w:rsidR="002A01FA" w:rsidRDefault="002A01FA" w:rsidP="00801472">
            <w:pPr>
              <w:pStyle w:val="Bulletlevel1"/>
              <w:numPr>
                <w:ilvl w:val="0"/>
                <w:numId w:val="0"/>
              </w:numPr>
              <w:spacing w:line="240" w:lineRule="auto"/>
              <w:ind w:left="295" w:hanging="295"/>
            </w:pPr>
            <w:r w:rsidRPr="008C7781">
              <w:t>(a) the application is accompanied by a frequency assignment certificate issued by an accredited person; and</w:t>
            </w:r>
          </w:p>
          <w:p w14:paraId="3761F6B9" w14:textId="3ECB9130" w:rsidR="002A01FA" w:rsidRPr="008C7781" w:rsidRDefault="002A01FA" w:rsidP="0023759E">
            <w:pPr>
              <w:pStyle w:val="Bulletlevel1"/>
              <w:numPr>
                <w:ilvl w:val="0"/>
                <w:numId w:val="0"/>
              </w:numPr>
              <w:spacing w:after="0" w:line="240" w:lineRule="auto"/>
              <w:ind w:left="295" w:hanging="295"/>
              <w:rPr>
                <w:szCs w:val="20"/>
              </w:rPr>
            </w:pPr>
            <w:r w:rsidRPr="008C7781">
              <w:t>(b) in considering the application, the ACMA is not required to perform technical coordination</w:t>
            </w:r>
            <w:r>
              <w:t>.</w:t>
            </w:r>
          </w:p>
        </w:tc>
        <w:tc>
          <w:tcPr>
            <w:tcW w:w="686" w:type="pct"/>
            <w:shd w:val="clear" w:color="auto" w:fill="auto"/>
            <w:vAlign w:val="center"/>
          </w:tcPr>
          <w:p w14:paraId="4442E0DD" w14:textId="228DAB2B" w:rsidR="002A01FA" w:rsidRPr="008C7781" w:rsidRDefault="002A01FA" w:rsidP="00801472">
            <w:pPr>
              <w:spacing w:after="0" w:line="240" w:lineRule="auto"/>
              <w:contextualSpacing/>
              <w:jc w:val="right"/>
              <w:rPr>
                <w:rFonts w:cs="Arial"/>
                <w:szCs w:val="20"/>
              </w:rPr>
            </w:pPr>
            <w:r w:rsidRPr="008C7781">
              <w:rPr>
                <w:rFonts w:cs="Arial"/>
                <w:szCs w:val="20"/>
              </w:rPr>
              <w:t>$</w:t>
            </w:r>
            <w:r w:rsidRPr="006A6A15">
              <w:rPr>
                <w:rFonts w:cs="Arial"/>
                <w:szCs w:val="20"/>
              </w:rPr>
              <w:t>26</w:t>
            </w:r>
            <w:r>
              <w:rPr>
                <w:rFonts w:cs="Arial"/>
                <w:szCs w:val="20"/>
              </w:rPr>
              <w:t>.00</w:t>
            </w:r>
            <w:r w:rsidRPr="008C7781">
              <w:rPr>
                <w:rFonts w:cs="Arial"/>
                <w:szCs w:val="20"/>
              </w:rPr>
              <w:t xml:space="preserve"> for each frequency assignment or paired frequency assignment to which the application relates</w:t>
            </w:r>
          </w:p>
        </w:tc>
      </w:tr>
      <w:tr w:rsidR="002A01FA" w:rsidRPr="008C7781" w14:paraId="247E5F67" w14:textId="77777777" w:rsidTr="003E5A84">
        <w:trPr>
          <w:trHeight w:val="728"/>
        </w:trPr>
        <w:tc>
          <w:tcPr>
            <w:tcW w:w="195" w:type="pct"/>
            <w:shd w:val="clear" w:color="auto" w:fill="auto"/>
            <w:vAlign w:val="center"/>
          </w:tcPr>
          <w:p w14:paraId="26E009C3" w14:textId="77E4FB1B" w:rsidR="002A01FA" w:rsidRDefault="002A01FA" w:rsidP="002A01FA">
            <w:pPr>
              <w:spacing w:after="120" w:line="240" w:lineRule="auto"/>
              <w:contextualSpacing/>
              <w:rPr>
                <w:rFonts w:cs="Arial"/>
                <w:szCs w:val="20"/>
              </w:rPr>
            </w:pPr>
            <w:r>
              <w:rPr>
                <w:rFonts w:cs="Arial"/>
                <w:szCs w:val="20"/>
              </w:rPr>
              <w:t>85</w:t>
            </w:r>
          </w:p>
        </w:tc>
        <w:tc>
          <w:tcPr>
            <w:tcW w:w="825" w:type="pct"/>
            <w:vMerge/>
            <w:vAlign w:val="center"/>
          </w:tcPr>
          <w:p w14:paraId="7BE352BB" w14:textId="77777777" w:rsidR="002A01FA" w:rsidRPr="005E1BCD" w:rsidRDefault="002A01FA" w:rsidP="002A01FA">
            <w:pPr>
              <w:spacing w:after="120" w:line="240" w:lineRule="auto"/>
              <w:contextualSpacing/>
              <w:rPr>
                <w:rFonts w:cs="Arial"/>
                <w:b/>
                <w:bCs/>
                <w:szCs w:val="20"/>
              </w:rPr>
            </w:pPr>
          </w:p>
        </w:tc>
        <w:tc>
          <w:tcPr>
            <w:tcW w:w="792" w:type="pct"/>
            <w:shd w:val="clear" w:color="auto" w:fill="auto"/>
            <w:vAlign w:val="center"/>
          </w:tcPr>
          <w:p w14:paraId="5AE9C86B" w14:textId="2FEC4419" w:rsidR="002A01FA" w:rsidRDefault="002A01FA" w:rsidP="00801472">
            <w:pPr>
              <w:spacing w:after="0" w:line="240" w:lineRule="auto"/>
              <w:contextualSpacing/>
            </w:pPr>
            <w:r w:rsidRPr="00E05173">
              <w:rPr>
                <w:rFonts w:cs="Arial"/>
                <w:szCs w:val="20"/>
              </w:rPr>
              <w:t>Part 2 Table 7 (Item 2.7.4)</w:t>
            </w:r>
          </w:p>
        </w:tc>
        <w:tc>
          <w:tcPr>
            <w:tcW w:w="2502" w:type="pct"/>
            <w:shd w:val="clear" w:color="auto" w:fill="auto"/>
            <w:vAlign w:val="center"/>
          </w:tcPr>
          <w:p w14:paraId="15FD44C2" w14:textId="77777777" w:rsidR="002A01FA" w:rsidRDefault="002A01FA" w:rsidP="002137C1">
            <w:pPr>
              <w:pStyle w:val="Paragraphbeforelist"/>
              <w:spacing w:line="240" w:lineRule="auto"/>
              <w:contextualSpacing/>
            </w:pPr>
            <w:r w:rsidRPr="008C7781">
              <w:t xml:space="preserve">Considering an application under section 111 of the Radiocommunications Act to vary the conditions of any of the following licences (and varying it if applicable) where the application is accompanied by a frequency assignment certificate issued by </w:t>
            </w:r>
            <w:r w:rsidRPr="002137C1">
              <w:rPr>
                <w:szCs w:val="20"/>
              </w:rPr>
              <w:t>an</w:t>
            </w:r>
            <w:r w:rsidRPr="008C7781">
              <w:t xml:space="preserve"> accredited person:</w:t>
            </w:r>
          </w:p>
          <w:p w14:paraId="30437981" w14:textId="77777777" w:rsidR="002A01FA" w:rsidRDefault="002A01FA" w:rsidP="00801472">
            <w:pPr>
              <w:pStyle w:val="Bulletlevel1"/>
              <w:numPr>
                <w:ilvl w:val="0"/>
                <w:numId w:val="0"/>
              </w:numPr>
              <w:spacing w:line="240" w:lineRule="auto"/>
              <w:ind w:left="295" w:hanging="295"/>
            </w:pPr>
            <w:r w:rsidRPr="008C7781">
              <w:t xml:space="preserve">(a) earth licence (fixed earth station); </w:t>
            </w:r>
          </w:p>
          <w:p w14:paraId="27991817" w14:textId="77777777" w:rsidR="002A01FA" w:rsidRDefault="002A01FA" w:rsidP="00801472">
            <w:pPr>
              <w:pStyle w:val="Bulletlevel1"/>
              <w:numPr>
                <w:ilvl w:val="0"/>
                <w:numId w:val="0"/>
              </w:numPr>
              <w:spacing w:line="240" w:lineRule="auto"/>
              <w:ind w:left="295" w:hanging="295"/>
            </w:pPr>
            <w:r w:rsidRPr="008C7781">
              <w:t>(b) earth licence (mobile earth station);</w:t>
            </w:r>
          </w:p>
          <w:p w14:paraId="373DF61C" w14:textId="77777777" w:rsidR="002A01FA" w:rsidRDefault="002A01FA" w:rsidP="00801472">
            <w:pPr>
              <w:pStyle w:val="Bulletlevel1"/>
              <w:numPr>
                <w:ilvl w:val="0"/>
                <w:numId w:val="0"/>
              </w:numPr>
              <w:spacing w:line="240" w:lineRule="auto"/>
              <w:ind w:left="295" w:hanging="295"/>
            </w:pPr>
            <w:r w:rsidRPr="008C7781">
              <w:t xml:space="preserve">(c) space licence; </w:t>
            </w:r>
          </w:p>
          <w:p w14:paraId="55BA8DB5" w14:textId="5F175C26" w:rsidR="002A01FA" w:rsidRPr="008C7781" w:rsidRDefault="002A01FA" w:rsidP="00C35614">
            <w:pPr>
              <w:pStyle w:val="Bulletlevel1"/>
              <w:numPr>
                <w:ilvl w:val="0"/>
                <w:numId w:val="0"/>
              </w:numPr>
              <w:spacing w:after="0" w:line="240" w:lineRule="auto"/>
              <w:ind w:left="295" w:hanging="295"/>
              <w:contextualSpacing/>
              <w:rPr>
                <w:szCs w:val="20"/>
              </w:rPr>
            </w:pPr>
            <w:r w:rsidRPr="008C7781">
              <w:lastRenderedPageBreak/>
              <w:t>(d) space receive licence</w:t>
            </w:r>
            <w:r>
              <w:t>.</w:t>
            </w:r>
          </w:p>
        </w:tc>
        <w:tc>
          <w:tcPr>
            <w:tcW w:w="686" w:type="pct"/>
            <w:shd w:val="clear" w:color="auto" w:fill="auto"/>
            <w:vAlign w:val="center"/>
          </w:tcPr>
          <w:p w14:paraId="70DB349D" w14:textId="1E36FEB0" w:rsidR="002A01FA" w:rsidRPr="008C7781" w:rsidRDefault="002A01FA" w:rsidP="00801472">
            <w:pPr>
              <w:spacing w:after="0" w:line="240" w:lineRule="auto"/>
              <w:contextualSpacing/>
              <w:jc w:val="right"/>
              <w:rPr>
                <w:rFonts w:cs="Arial"/>
                <w:szCs w:val="20"/>
              </w:rPr>
            </w:pPr>
            <w:r w:rsidRPr="008C7781">
              <w:rPr>
                <w:rFonts w:cs="Arial"/>
                <w:szCs w:val="20"/>
              </w:rPr>
              <w:lastRenderedPageBreak/>
              <w:t>$</w:t>
            </w:r>
            <w:r w:rsidRPr="0041763F">
              <w:rPr>
                <w:rFonts w:cs="Arial"/>
                <w:szCs w:val="20"/>
              </w:rPr>
              <w:t>102</w:t>
            </w:r>
            <w:r>
              <w:rPr>
                <w:rFonts w:cs="Arial"/>
                <w:szCs w:val="20"/>
              </w:rPr>
              <w:t>.00</w:t>
            </w:r>
            <w:r w:rsidRPr="008C7781">
              <w:rPr>
                <w:rFonts w:cs="Arial"/>
                <w:szCs w:val="20"/>
              </w:rPr>
              <w:t xml:space="preserve"> for each frequency assignment or paired frequency assignment to which the application relates</w:t>
            </w:r>
          </w:p>
        </w:tc>
      </w:tr>
      <w:tr w:rsidR="002A01FA" w:rsidRPr="008C7781" w14:paraId="53919CAB" w14:textId="77777777" w:rsidTr="003E5A84">
        <w:trPr>
          <w:trHeight w:val="728"/>
        </w:trPr>
        <w:tc>
          <w:tcPr>
            <w:tcW w:w="195" w:type="pct"/>
            <w:shd w:val="clear" w:color="auto" w:fill="auto"/>
            <w:vAlign w:val="center"/>
          </w:tcPr>
          <w:p w14:paraId="7AA9F985" w14:textId="70432CEF" w:rsidR="002A01FA" w:rsidRDefault="002A01FA" w:rsidP="00C35614">
            <w:pPr>
              <w:spacing w:after="0" w:line="240" w:lineRule="auto"/>
              <w:contextualSpacing/>
              <w:rPr>
                <w:rFonts w:cs="Arial"/>
                <w:szCs w:val="20"/>
              </w:rPr>
            </w:pPr>
            <w:r>
              <w:rPr>
                <w:rFonts w:cs="Arial"/>
                <w:szCs w:val="20"/>
              </w:rPr>
              <w:t>86</w:t>
            </w:r>
          </w:p>
        </w:tc>
        <w:tc>
          <w:tcPr>
            <w:tcW w:w="825" w:type="pct"/>
            <w:vMerge/>
            <w:vAlign w:val="center"/>
          </w:tcPr>
          <w:p w14:paraId="65D66C95" w14:textId="77777777" w:rsidR="002A01FA" w:rsidRPr="005E1BCD" w:rsidRDefault="002A01FA" w:rsidP="00C35614">
            <w:pPr>
              <w:spacing w:after="0" w:line="240" w:lineRule="auto"/>
              <w:contextualSpacing/>
              <w:rPr>
                <w:rFonts w:cs="Arial"/>
                <w:b/>
                <w:bCs/>
                <w:szCs w:val="20"/>
              </w:rPr>
            </w:pPr>
          </w:p>
        </w:tc>
        <w:tc>
          <w:tcPr>
            <w:tcW w:w="792" w:type="pct"/>
            <w:shd w:val="clear" w:color="auto" w:fill="auto"/>
            <w:vAlign w:val="center"/>
          </w:tcPr>
          <w:p w14:paraId="6E108756" w14:textId="3ED57A75" w:rsidR="002A01FA" w:rsidRDefault="00107493" w:rsidP="00801472">
            <w:pPr>
              <w:spacing w:after="0" w:line="240" w:lineRule="auto"/>
              <w:contextualSpacing/>
            </w:pPr>
            <w:hyperlink r:id="rId111" w:anchor="RANGE!F2" w:history="1">
              <w:r w:rsidR="002A01FA" w:rsidRPr="00E05173">
                <w:t>Part 2 Table 7 (Item 2.7.6)</w:t>
              </w:r>
            </w:hyperlink>
          </w:p>
        </w:tc>
        <w:tc>
          <w:tcPr>
            <w:tcW w:w="2502" w:type="pct"/>
            <w:shd w:val="clear" w:color="auto" w:fill="auto"/>
            <w:vAlign w:val="center"/>
          </w:tcPr>
          <w:p w14:paraId="0B24EE13" w14:textId="1EC7B026" w:rsidR="002A01FA" w:rsidRPr="008C7781" w:rsidRDefault="002A01FA" w:rsidP="00C35614">
            <w:pPr>
              <w:pStyle w:val="Paragraphbeforelist"/>
              <w:spacing w:after="0" w:line="240" w:lineRule="auto"/>
              <w:contextualSpacing/>
              <w:rPr>
                <w:szCs w:val="20"/>
              </w:rPr>
            </w:pPr>
            <w:r w:rsidRPr="008C7781">
              <w:rPr>
                <w:szCs w:val="20"/>
              </w:rPr>
              <w:t>Considering an application under section 111 of the Radiocommunications Act to vary the conditions of a FSS only area-wide licence (and varying it if applicable)</w:t>
            </w:r>
            <w:r>
              <w:rPr>
                <w:szCs w:val="20"/>
              </w:rPr>
              <w:t>.</w:t>
            </w:r>
          </w:p>
        </w:tc>
        <w:tc>
          <w:tcPr>
            <w:tcW w:w="686" w:type="pct"/>
            <w:shd w:val="clear" w:color="auto" w:fill="auto"/>
            <w:vAlign w:val="center"/>
          </w:tcPr>
          <w:p w14:paraId="22CDFDE2" w14:textId="6DBD6CE1" w:rsidR="002A01FA" w:rsidRPr="008C7781" w:rsidRDefault="002A01FA" w:rsidP="00801472">
            <w:pPr>
              <w:spacing w:after="0" w:line="240" w:lineRule="auto"/>
              <w:contextualSpacing/>
              <w:jc w:val="right"/>
              <w:rPr>
                <w:rFonts w:cs="Arial"/>
                <w:szCs w:val="20"/>
              </w:rPr>
            </w:pPr>
            <w:r w:rsidRPr="008C7781">
              <w:rPr>
                <w:rFonts w:cs="Arial"/>
                <w:szCs w:val="20"/>
              </w:rPr>
              <w:t>$696.00</w:t>
            </w:r>
          </w:p>
        </w:tc>
      </w:tr>
      <w:tr w:rsidR="002A01FA" w:rsidRPr="008C7781" w14:paraId="7ED00E67" w14:textId="77777777" w:rsidTr="003E5A84">
        <w:trPr>
          <w:trHeight w:val="728"/>
        </w:trPr>
        <w:tc>
          <w:tcPr>
            <w:tcW w:w="195" w:type="pct"/>
            <w:shd w:val="clear" w:color="auto" w:fill="auto"/>
            <w:vAlign w:val="center"/>
          </w:tcPr>
          <w:p w14:paraId="696B86B7" w14:textId="42BD8499" w:rsidR="002A01FA" w:rsidRDefault="002A01FA" w:rsidP="00C35614">
            <w:pPr>
              <w:spacing w:after="0" w:line="240" w:lineRule="auto"/>
              <w:contextualSpacing/>
              <w:rPr>
                <w:rFonts w:cs="Arial"/>
                <w:szCs w:val="20"/>
              </w:rPr>
            </w:pPr>
            <w:r>
              <w:rPr>
                <w:rFonts w:cs="Arial"/>
                <w:szCs w:val="20"/>
              </w:rPr>
              <w:t>87</w:t>
            </w:r>
          </w:p>
        </w:tc>
        <w:tc>
          <w:tcPr>
            <w:tcW w:w="825" w:type="pct"/>
            <w:vMerge/>
            <w:vAlign w:val="center"/>
          </w:tcPr>
          <w:p w14:paraId="5D1C1357" w14:textId="77777777" w:rsidR="002A01FA" w:rsidRPr="005E1BCD" w:rsidRDefault="002A01FA" w:rsidP="00C35614">
            <w:pPr>
              <w:spacing w:after="0" w:line="240" w:lineRule="auto"/>
              <w:contextualSpacing/>
              <w:rPr>
                <w:rFonts w:cs="Arial"/>
                <w:b/>
                <w:bCs/>
                <w:szCs w:val="20"/>
              </w:rPr>
            </w:pPr>
          </w:p>
        </w:tc>
        <w:tc>
          <w:tcPr>
            <w:tcW w:w="792" w:type="pct"/>
            <w:shd w:val="clear" w:color="auto" w:fill="auto"/>
            <w:vAlign w:val="center"/>
          </w:tcPr>
          <w:p w14:paraId="191EC9EC" w14:textId="1706F418" w:rsidR="002A01FA" w:rsidRDefault="00107493" w:rsidP="00801472">
            <w:pPr>
              <w:spacing w:after="0" w:line="240" w:lineRule="auto"/>
              <w:contextualSpacing/>
            </w:pPr>
            <w:hyperlink r:id="rId112" w:anchor="RANGE!G2" w:history="1">
              <w:r w:rsidR="002A01FA" w:rsidRPr="00E05173">
                <w:t>Part 2 Table 7 (item 2.7.7)</w:t>
              </w:r>
            </w:hyperlink>
          </w:p>
        </w:tc>
        <w:tc>
          <w:tcPr>
            <w:tcW w:w="2502" w:type="pct"/>
            <w:shd w:val="clear" w:color="auto" w:fill="auto"/>
            <w:vAlign w:val="center"/>
          </w:tcPr>
          <w:p w14:paraId="4D3529FE" w14:textId="00CEF60B" w:rsidR="002A01FA" w:rsidRPr="008C7781" w:rsidRDefault="002A01FA" w:rsidP="00C35614">
            <w:pPr>
              <w:pStyle w:val="Paragraphbeforelist"/>
              <w:spacing w:after="0" w:line="240" w:lineRule="auto"/>
              <w:contextualSpacing/>
              <w:rPr>
                <w:szCs w:val="20"/>
              </w:rPr>
            </w:pPr>
            <w:r w:rsidRPr="008C7781">
              <w:rPr>
                <w:szCs w:val="20"/>
              </w:rPr>
              <w:t>Considering an application under section 111 of the Radiocommunications Act to vary the conditions of a standard area-wide licence (and varying it if applicable)</w:t>
            </w:r>
            <w:r>
              <w:rPr>
                <w:szCs w:val="20"/>
              </w:rPr>
              <w:t>.</w:t>
            </w:r>
          </w:p>
        </w:tc>
        <w:tc>
          <w:tcPr>
            <w:tcW w:w="686" w:type="pct"/>
            <w:shd w:val="clear" w:color="auto" w:fill="auto"/>
            <w:vAlign w:val="center"/>
          </w:tcPr>
          <w:p w14:paraId="0B98C527" w14:textId="1EC1B5C0" w:rsidR="002A01FA" w:rsidRPr="008C7781" w:rsidRDefault="002A01FA" w:rsidP="00801472">
            <w:pPr>
              <w:spacing w:after="0" w:line="240" w:lineRule="auto"/>
              <w:contextualSpacing/>
              <w:jc w:val="right"/>
              <w:rPr>
                <w:rFonts w:cs="Arial"/>
                <w:szCs w:val="20"/>
              </w:rPr>
            </w:pPr>
            <w:r w:rsidRPr="008C7781">
              <w:rPr>
                <w:rFonts w:cs="Arial"/>
                <w:szCs w:val="20"/>
              </w:rPr>
              <w:t>$847.00</w:t>
            </w:r>
          </w:p>
        </w:tc>
      </w:tr>
      <w:tr w:rsidR="000312D9" w:rsidRPr="008C7781" w14:paraId="002D0BEC" w14:textId="77777777" w:rsidTr="003E5A84">
        <w:trPr>
          <w:trHeight w:val="728"/>
        </w:trPr>
        <w:tc>
          <w:tcPr>
            <w:tcW w:w="195" w:type="pct"/>
            <w:shd w:val="clear" w:color="auto" w:fill="auto"/>
            <w:vAlign w:val="center"/>
          </w:tcPr>
          <w:p w14:paraId="29BE4704" w14:textId="7A4BFC20" w:rsidR="000312D9" w:rsidRDefault="000312D9" w:rsidP="000312D9">
            <w:pPr>
              <w:spacing w:after="120" w:line="240" w:lineRule="auto"/>
              <w:contextualSpacing/>
              <w:rPr>
                <w:rFonts w:cs="Arial"/>
                <w:szCs w:val="20"/>
              </w:rPr>
            </w:pPr>
            <w:r>
              <w:rPr>
                <w:rFonts w:cs="Arial"/>
                <w:szCs w:val="20"/>
              </w:rPr>
              <w:t>88</w:t>
            </w:r>
          </w:p>
        </w:tc>
        <w:tc>
          <w:tcPr>
            <w:tcW w:w="825" w:type="pct"/>
            <w:vAlign w:val="center"/>
          </w:tcPr>
          <w:p w14:paraId="03B71A8E" w14:textId="77777777" w:rsidR="000312D9" w:rsidRPr="005E1BCD" w:rsidRDefault="000312D9" w:rsidP="000312D9">
            <w:pPr>
              <w:spacing w:after="120" w:line="240" w:lineRule="auto"/>
              <w:contextualSpacing/>
              <w:rPr>
                <w:rFonts w:cs="Arial"/>
                <w:b/>
                <w:bCs/>
                <w:szCs w:val="20"/>
              </w:rPr>
            </w:pPr>
          </w:p>
        </w:tc>
        <w:tc>
          <w:tcPr>
            <w:tcW w:w="792" w:type="pct"/>
            <w:shd w:val="clear" w:color="auto" w:fill="auto"/>
            <w:vAlign w:val="center"/>
          </w:tcPr>
          <w:p w14:paraId="2282729C" w14:textId="49C0A782" w:rsidR="000312D9" w:rsidRDefault="000312D9" w:rsidP="000312D9">
            <w:pPr>
              <w:spacing w:after="120" w:line="240" w:lineRule="auto"/>
              <w:contextualSpacing/>
            </w:pPr>
            <w:r w:rsidRPr="00E05173">
              <w:rPr>
                <w:rFonts w:cs="Arial"/>
                <w:szCs w:val="20"/>
              </w:rPr>
              <w:t>Part 2 Table 1 (Item 2.1.1)</w:t>
            </w:r>
          </w:p>
        </w:tc>
        <w:tc>
          <w:tcPr>
            <w:tcW w:w="2502" w:type="pct"/>
            <w:shd w:val="clear" w:color="auto" w:fill="auto"/>
            <w:vAlign w:val="center"/>
          </w:tcPr>
          <w:p w14:paraId="7EE7017C" w14:textId="77777777" w:rsidR="000312D9" w:rsidRDefault="000312D9" w:rsidP="000312D9">
            <w:pPr>
              <w:spacing w:after="120" w:line="240" w:lineRule="auto"/>
              <w:contextualSpacing/>
              <w:rPr>
                <w:rFonts w:cs="Arial"/>
                <w:szCs w:val="20"/>
              </w:rPr>
            </w:pPr>
            <w:r w:rsidRPr="008C7781">
              <w:rPr>
                <w:rFonts w:cs="Arial"/>
                <w:szCs w:val="20"/>
              </w:rPr>
              <w:t>Considering each frequency assignment requested in an application under section 99 of the Radiocommunications Act for the issue of an assigned apparatus licence (other than a licence of a type mentioned in item 2.1.2), where the application is accompanied by a frequency assignment certificate issued by an accredited person</w:t>
            </w:r>
            <w:r>
              <w:rPr>
                <w:rFonts w:cs="Arial"/>
                <w:szCs w:val="20"/>
              </w:rPr>
              <w:t>.</w:t>
            </w:r>
            <w:r w:rsidRPr="008C7781">
              <w:rPr>
                <w:rFonts w:cs="Arial"/>
                <w:szCs w:val="20"/>
              </w:rPr>
              <w:t xml:space="preserve"> </w:t>
            </w:r>
            <w:r w:rsidRPr="008C7781">
              <w:rPr>
                <w:rFonts w:cs="Arial"/>
                <w:szCs w:val="20"/>
              </w:rPr>
              <w:br w:type="page"/>
            </w:r>
            <w:r w:rsidRPr="008C7781">
              <w:rPr>
                <w:rFonts w:cs="Arial"/>
                <w:szCs w:val="20"/>
              </w:rPr>
              <w:br w:type="page"/>
            </w:r>
          </w:p>
          <w:p w14:paraId="017386EB" w14:textId="7F30FB63" w:rsidR="000312D9" w:rsidRPr="008C7781" w:rsidRDefault="000312D9" w:rsidP="00702250">
            <w:pPr>
              <w:pStyle w:val="Paragraphbeforelist"/>
              <w:spacing w:after="0" w:line="240" w:lineRule="auto"/>
              <w:contextualSpacing/>
              <w:rPr>
                <w:szCs w:val="20"/>
              </w:rPr>
            </w:pPr>
            <w:r w:rsidRPr="008C7781">
              <w:rPr>
                <w:sz w:val="16"/>
                <w:szCs w:val="16"/>
              </w:rPr>
              <w:t xml:space="preserve">Note: All frequency assignments associated with transmitter licences are chargeable. Frequency assignments associated with receiver licences are only chargeable if there are no transmit spectrum accesses on the same licence.  </w:t>
            </w:r>
          </w:p>
        </w:tc>
        <w:tc>
          <w:tcPr>
            <w:tcW w:w="686" w:type="pct"/>
            <w:shd w:val="clear" w:color="auto" w:fill="auto"/>
            <w:vAlign w:val="center"/>
          </w:tcPr>
          <w:p w14:paraId="480B9A58" w14:textId="16E9A9A8" w:rsidR="000312D9" w:rsidRPr="008C7781" w:rsidRDefault="000312D9" w:rsidP="00801472">
            <w:pPr>
              <w:spacing w:after="0" w:line="240" w:lineRule="auto"/>
              <w:contextualSpacing/>
              <w:jc w:val="right"/>
              <w:rPr>
                <w:rFonts w:cs="Arial"/>
                <w:szCs w:val="20"/>
              </w:rPr>
            </w:pPr>
            <w:r w:rsidRPr="008C7781">
              <w:rPr>
                <w:rFonts w:cs="Arial"/>
                <w:szCs w:val="20"/>
              </w:rPr>
              <w:t>$26.00</w:t>
            </w:r>
            <w:r w:rsidR="00702250">
              <w:rPr>
                <w:rFonts w:cs="Arial"/>
                <w:szCs w:val="20"/>
              </w:rPr>
              <w:t xml:space="preserve"> </w:t>
            </w:r>
            <w:r>
              <w:rPr>
                <w:rFonts w:cs="Arial"/>
                <w:szCs w:val="20"/>
              </w:rPr>
              <w:t>per spectrum access</w:t>
            </w:r>
          </w:p>
        </w:tc>
      </w:tr>
      <w:tr w:rsidR="000312D9" w:rsidRPr="008C7781" w14:paraId="71EC9641" w14:textId="77777777" w:rsidTr="0023759E">
        <w:trPr>
          <w:trHeight w:val="242"/>
        </w:trPr>
        <w:tc>
          <w:tcPr>
            <w:tcW w:w="195" w:type="pct"/>
            <w:shd w:val="clear" w:color="auto" w:fill="auto"/>
            <w:vAlign w:val="center"/>
          </w:tcPr>
          <w:p w14:paraId="57D9FFF5" w14:textId="4FB3FCAB" w:rsidR="000312D9" w:rsidRDefault="000312D9" w:rsidP="000312D9">
            <w:pPr>
              <w:spacing w:after="120" w:line="240" w:lineRule="auto"/>
              <w:contextualSpacing/>
              <w:rPr>
                <w:rFonts w:cs="Arial"/>
                <w:szCs w:val="20"/>
              </w:rPr>
            </w:pPr>
            <w:r>
              <w:rPr>
                <w:rFonts w:cs="Arial"/>
                <w:szCs w:val="20"/>
              </w:rPr>
              <w:t>89</w:t>
            </w:r>
          </w:p>
        </w:tc>
        <w:tc>
          <w:tcPr>
            <w:tcW w:w="825" w:type="pct"/>
            <w:vAlign w:val="center"/>
          </w:tcPr>
          <w:p w14:paraId="613D344A" w14:textId="77777777" w:rsidR="000312D9" w:rsidRPr="005E1BCD" w:rsidRDefault="000312D9" w:rsidP="000312D9">
            <w:pPr>
              <w:spacing w:after="120" w:line="240" w:lineRule="auto"/>
              <w:contextualSpacing/>
              <w:rPr>
                <w:rFonts w:cs="Arial"/>
                <w:b/>
                <w:bCs/>
                <w:szCs w:val="20"/>
              </w:rPr>
            </w:pPr>
          </w:p>
        </w:tc>
        <w:tc>
          <w:tcPr>
            <w:tcW w:w="792" w:type="pct"/>
            <w:shd w:val="clear" w:color="auto" w:fill="auto"/>
            <w:vAlign w:val="center"/>
          </w:tcPr>
          <w:p w14:paraId="040BF65E" w14:textId="702D9873" w:rsidR="000312D9" w:rsidRDefault="00107493" w:rsidP="000312D9">
            <w:pPr>
              <w:spacing w:after="120" w:line="240" w:lineRule="auto"/>
              <w:contextualSpacing/>
            </w:pPr>
            <w:hyperlink r:id="rId113" w:anchor="RANGE!E258" w:history="1">
              <w:r w:rsidR="000312D9" w:rsidRPr="00E05173">
                <w:t>Part 2 Table 1 (Item 2.1.2)</w:t>
              </w:r>
            </w:hyperlink>
          </w:p>
        </w:tc>
        <w:tc>
          <w:tcPr>
            <w:tcW w:w="2502" w:type="pct"/>
            <w:shd w:val="clear" w:color="auto" w:fill="auto"/>
            <w:vAlign w:val="center"/>
          </w:tcPr>
          <w:p w14:paraId="203E68BE" w14:textId="77777777" w:rsidR="000312D9" w:rsidRDefault="000312D9" w:rsidP="002137C1">
            <w:pPr>
              <w:pStyle w:val="Paragraphbeforelist"/>
              <w:spacing w:line="240" w:lineRule="auto"/>
              <w:contextualSpacing/>
              <w:rPr>
                <w:szCs w:val="20"/>
              </w:rPr>
            </w:pPr>
            <w:r w:rsidRPr="008C7781">
              <w:rPr>
                <w:szCs w:val="20"/>
              </w:rPr>
              <w:t>Considering each frequency assignment requested in an application under section 99 of the Radiocommunications Act for the issue of any of the following licences, where the application is accompanied by a frequency assignment certificate issued by an accredited person:</w:t>
            </w:r>
          </w:p>
          <w:p w14:paraId="15450955" w14:textId="77777777" w:rsidR="000312D9" w:rsidRDefault="000312D9" w:rsidP="00801472">
            <w:pPr>
              <w:spacing w:after="80" w:line="240" w:lineRule="auto"/>
              <w:rPr>
                <w:rFonts w:cs="Arial"/>
                <w:szCs w:val="20"/>
              </w:rPr>
            </w:pPr>
            <w:r w:rsidRPr="008C7781">
              <w:rPr>
                <w:rFonts w:cs="Arial"/>
                <w:szCs w:val="20"/>
              </w:rPr>
              <w:t xml:space="preserve">(a) earth licence (fixed earth station); </w:t>
            </w:r>
          </w:p>
          <w:p w14:paraId="1483C039" w14:textId="77777777" w:rsidR="000312D9" w:rsidRDefault="000312D9" w:rsidP="00801472">
            <w:pPr>
              <w:spacing w:after="80" w:line="240" w:lineRule="auto"/>
              <w:rPr>
                <w:rFonts w:cs="Arial"/>
                <w:szCs w:val="20"/>
              </w:rPr>
            </w:pPr>
            <w:r w:rsidRPr="008C7781">
              <w:rPr>
                <w:rFonts w:cs="Arial"/>
                <w:szCs w:val="20"/>
              </w:rPr>
              <w:t>(b) earth licence (mobile earth station);</w:t>
            </w:r>
          </w:p>
          <w:p w14:paraId="1D7202FB" w14:textId="77777777" w:rsidR="000312D9" w:rsidRDefault="000312D9" w:rsidP="00801472">
            <w:pPr>
              <w:spacing w:after="80" w:line="240" w:lineRule="auto"/>
              <w:rPr>
                <w:rFonts w:cs="Arial"/>
                <w:szCs w:val="20"/>
              </w:rPr>
            </w:pPr>
            <w:r w:rsidRPr="008C7781">
              <w:rPr>
                <w:rFonts w:cs="Arial"/>
                <w:szCs w:val="20"/>
              </w:rPr>
              <w:t xml:space="preserve">(c) space licence; </w:t>
            </w:r>
          </w:p>
          <w:p w14:paraId="39E91A78" w14:textId="77777777" w:rsidR="000312D9" w:rsidRDefault="000312D9" w:rsidP="0023759E">
            <w:pPr>
              <w:spacing w:after="0" w:line="240" w:lineRule="auto"/>
              <w:contextualSpacing/>
              <w:rPr>
                <w:rFonts w:cs="Arial"/>
                <w:szCs w:val="20"/>
              </w:rPr>
            </w:pPr>
            <w:r w:rsidRPr="008C7781">
              <w:rPr>
                <w:rFonts w:cs="Arial"/>
                <w:szCs w:val="20"/>
              </w:rPr>
              <w:t>(d) space receive licence</w:t>
            </w:r>
            <w:r>
              <w:rPr>
                <w:rFonts w:cs="Arial"/>
                <w:szCs w:val="20"/>
              </w:rPr>
              <w:t>.</w:t>
            </w:r>
          </w:p>
          <w:p w14:paraId="59F734CF" w14:textId="3EA94BC7" w:rsidR="000312D9" w:rsidRPr="008C7781" w:rsidRDefault="000312D9" w:rsidP="00702250">
            <w:pPr>
              <w:pStyle w:val="Paragraphbeforelist"/>
              <w:spacing w:after="0" w:line="240" w:lineRule="auto"/>
              <w:contextualSpacing/>
              <w:rPr>
                <w:szCs w:val="20"/>
              </w:rPr>
            </w:pPr>
            <w:r w:rsidRPr="008C7781">
              <w:rPr>
                <w:sz w:val="16"/>
                <w:szCs w:val="16"/>
              </w:rPr>
              <w:t xml:space="preserve">Note: All frequency assignments associated with transmitter licences are chargeable. Frequency assignments associated with receiver licences are only chargeable if there are no transmit spectrum accesses on the same licence. </w:t>
            </w:r>
          </w:p>
        </w:tc>
        <w:tc>
          <w:tcPr>
            <w:tcW w:w="686" w:type="pct"/>
            <w:shd w:val="clear" w:color="auto" w:fill="auto"/>
            <w:vAlign w:val="center"/>
          </w:tcPr>
          <w:p w14:paraId="7BB1E008" w14:textId="5D73307D" w:rsidR="000312D9" w:rsidRPr="008C7781" w:rsidRDefault="000312D9" w:rsidP="00801472">
            <w:pPr>
              <w:spacing w:after="0" w:line="240" w:lineRule="auto"/>
              <w:contextualSpacing/>
              <w:jc w:val="right"/>
              <w:rPr>
                <w:rFonts w:cs="Arial"/>
                <w:szCs w:val="20"/>
              </w:rPr>
            </w:pPr>
            <w:r w:rsidRPr="008C7781">
              <w:rPr>
                <w:rFonts w:cs="Arial"/>
                <w:szCs w:val="20"/>
              </w:rPr>
              <w:t>$102.00</w:t>
            </w:r>
            <w:r>
              <w:rPr>
                <w:rFonts w:cs="Arial"/>
                <w:szCs w:val="20"/>
              </w:rPr>
              <w:t xml:space="preserve"> per spectrum access</w:t>
            </w:r>
          </w:p>
        </w:tc>
      </w:tr>
      <w:tr w:rsidR="000312D9" w:rsidRPr="008C7781" w14:paraId="7A947A3C" w14:textId="77777777" w:rsidTr="003E5A84">
        <w:trPr>
          <w:trHeight w:val="728"/>
        </w:trPr>
        <w:tc>
          <w:tcPr>
            <w:tcW w:w="195" w:type="pct"/>
            <w:shd w:val="clear" w:color="auto" w:fill="auto"/>
            <w:vAlign w:val="center"/>
          </w:tcPr>
          <w:p w14:paraId="42993B95" w14:textId="1B6F7350" w:rsidR="000312D9" w:rsidRDefault="000312D9" w:rsidP="000312D9">
            <w:pPr>
              <w:spacing w:after="120" w:line="240" w:lineRule="auto"/>
              <w:contextualSpacing/>
              <w:rPr>
                <w:rFonts w:cs="Arial"/>
                <w:szCs w:val="20"/>
              </w:rPr>
            </w:pPr>
            <w:r>
              <w:rPr>
                <w:rFonts w:cs="Arial"/>
                <w:szCs w:val="20"/>
              </w:rPr>
              <w:t>90</w:t>
            </w:r>
          </w:p>
        </w:tc>
        <w:tc>
          <w:tcPr>
            <w:tcW w:w="825" w:type="pct"/>
            <w:vAlign w:val="center"/>
          </w:tcPr>
          <w:p w14:paraId="0B8F9F38" w14:textId="77777777" w:rsidR="000312D9" w:rsidRPr="005E1BCD" w:rsidRDefault="000312D9" w:rsidP="000312D9">
            <w:pPr>
              <w:spacing w:after="120" w:line="240" w:lineRule="auto"/>
              <w:contextualSpacing/>
              <w:rPr>
                <w:rFonts w:cs="Arial"/>
                <w:b/>
                <w:bCs/>
                <w:szCs w:val="20"/>
              </w:rPr>
            </w:pPr>
          </w:p>
        </w:tc>
        <w:tc>
          <w:tcPr>
            <w:tcW w:w="792" w:type="pct"/>
            <w:shd w:val="clear" w:color="auto" w:fill="auto"/>
            <w:vAlign w:val="center"/>
          </w:tcPr>
          <w:p w14:paraId="1FDBE3E3" w14:textId="7FCCF77E" w:rsidR="000312D9" w:rsidRDefault="00107493" w:rsidP="000312D9">
            <w:pPr>
              <w:spacing w:after="120" w:line="240" w:lineRule="auto"/>
              <w:contextualSpacing/>
            </w:pPr>
            <w:hyperlink r:id="rId114" w:anchor="RANGE!D244" w:history="1">
              <w:r w:rsidR="000312D9" w:rsidRPr="00E05173">
                <w:t>Sch 1 Part 2 Table 2 (Item 2.2.1 (a))</w:t>
              </w:r>
            </w:hyperlink>
          </w:p>
        </w:tc>
        <w:tc>
          <w:tcPr>
            <w:tcW w:w="2502" w:type="pct"/>
            <w:shd w:val="clear" w:color="auto" w:fill="auto"/>
            <w:vAlign w:val="center"/>
          </w:tcPr>
          <w:p w14:paraId="753F93AF" w14:textId="77777777" w:rsidR="000312D9" w:rsidRDefault="000312D9" w:rsidP="00801472">
            <w:pPr>
              <w:pStyle w:val="Paragraphbeforelist"/>
              <w:spacing w:line="240" w:lineRule="auto"/>
              <w:rPr>
                <w:szCs w:val="20"/>
              </w:rPr>
            </w:pPr>
            <w:r w:rsidRPr="008C7781">
              <w:rPr>
                <w:szCs w:val="20"/>
              </w:rPr>
              <w:t xml:space="preserve">Considering each frequency assignment requested in an application under section 99 of the Radiocommunications Act for the issue of any of the </w:t>
            </w:r>
            <w:r w:rsidRPr="008C7781">
              <w:rPr>
                <w:szCs w:val="20"/>
              </w:rPr>
              <w:lastRenderedPageBreak/>
              <w:t>following licences, where the application is not accompanied by a frequency assignment certificate issued by an accredited person:</w:t>
            </w:r>
          </w:p>
          <w:p w14:paraId="51C24C50" w14:textId="2311849B" w:rsidR="000312D9" w:rsidRPr="008C7781" w:rsidRDefault="000312D9" w:rsidP="00702250">
            <w:pPr>
              <w:pStyle w:val="Paragraphbeforelist"/>
              <w:spacing w:after="0" w:line="240" w:lineRule="auto"/>
              <w:contextualSpacing/>
              <w:rPr>
                <w:szCs w:val="20"/>
              </w:rPr>
            </w:pPr>
            <w:r w:rsidRPr="008C7781">
              <w:rPr>
                <w:szCs w:val="20"/>
              </w:rPr>
              <w:t>(a) amateur licence (amateur beacon station)</w:t>
            </w:r>
            <w:r>
              <w:rPr>
                <w:szCs w:val="20"/>
              </w:rPr>
              <w:t>.</w:t>
            </w:r>
          </w:p>
        </w:tc>
        <w:tc>
          <w:tcPr>
            <w:tcW w:w="686" w:type="pct"/>
            <w:vMerge w:val="restart"/>
            <w:shd w:val="clear" w:color="auto" w:fill="auto"/>
            <w:vAlign w:val="center"/>
          </w:tcPr>
          <w:p w14:paraId="25F67287" w14:textId="6CC5C40F" w:rsidR="000312D9" w:rsidRPr="008C7781" w:rsidRDefault="000312D9" w:rsidP="00801472">
            <w:pPr>
              <w:spacing w:after="0" w:line="240" w:lineRule="auto"/>
              <w:contextualSpacing/>
              <w:jc w:val="right"/>
              <w:rPr>
                <w:rFonts w:cs="Arial"/>
                <w:szCs w:val="20"/>
              </w:rPr>
            </w:pPr>
            <w:r w:rsidRPr="008C7781">
              <w:rPr>
                <w:rFonts w:cs="Arial"/>
                <w:szCs w:val="20"/>
              </w:rPr>
              <w:lastRenderedPageBreak/>
              <w:t>$177.00 per licence</w:t>
            </w:r>
          </w:p>
        </w:tc>
      </w:tr>
      <w:tr w:rsidR="000312D9" w:rsidRPr="008C7781" w14:paraId="490E5567" w14:textId="77777777" w:rsidTr="003E5A84">
        <w:trPr>
          <w:trHeight w:val="728"/>
        </w:trPr>
        <w:tc>
          <w:tcPr>
            <w:tcW w:w="195" w:type="pct"/>
            <w:shd w:val="clear" w:color="auto" w:fill="auto"/>
            <w:vAlign w:val="center"/>
          </w:tcPr>
          <w:p w14:paraId="0EFF1F6F" w14:textId="0291F73B" w:rsidR="000312D9" w:rsidRDefault="000312D9" w:rsidP="00C35614">
            <w:pPr>
              <w:spacing w:after="0" w:line="240" w:lineRule="auto"/>
              <w:contextualSpacing/>
              <w:rPr>
                <w:rFonts w:cs="Arial"/>
                <w:szCs w:val="20"/>
              </w:rPr>
            </w:pPr>
            <w:r>
              <w:rPr>
                <w:rFonts w:cs="Arial"/>
                <w:szCs w:val="20"/>
              </w:rPr>
              <w:t>91</w:t>
            </w:r>
          </w:p>
        </w:tc>
        <w:tc>
          <w:tcPr>
            <w:tcW w:w="825" w:type="pct"/>
            <w:vAlign w:val="center"/>
          </w:tcPr>
          <w:p w14:paraId="6C65AA8E" w14:textId="77777777" w:rsidR="000312D9" w:rsidRPr="005E1BCD" w:rsidRDefault="000312D9" w:rsidP="000312D9">
            <w:pPr>
              <w:spacing w:after="120" w:line="240" w:lineRule="auto"/>
              <w:contextualSpacing/>
              <w:rPr>
                <w:rFonts w:cs="Arial"/>
                <w:b/>
                <w:bCs/>
                <w:szCs w:val="20"/>
              </w:rPr>
            </w:pPr>
          </w:p>
        </w:tc>
        <w:tc>
          <w:tcPr>
            <w:tcW w:w="792" w:type="pct"/>
            <w:shd w:val="clear" w:color="auto" w:fill="auto"/>
            <w:vAlign w:val="center"/>
          </w:tcPr>
          <w:p w14:paraId="134D037F" w14:textId="7218F4AA" w:rsidR="000312D9" w:rsidRDefault="00107493" w:rsidP="00C35614">
            <w:pPr>
              <w:spacing w:after="0" w:line="240" w:lineRule="auto"/>
              <w:contextualSpacing/>
            </w:pPr>
            <w:hyperlink r:id="rId115" w:anchor="RANGE!D244" w:history="1">
              <w:r w:rsidR="000312D9" w:rsidRPr="00E05173">
                <w:t>Sch 1 Part 2 Table 2 (Item 2.2.1 (b))</w:t>
              </w:r>
            </w:hyperlink>
          </w:p>
        </w:tc>
        <w:tc>
          <w:tcPr>
            <w:tcW w:w="2502" w:type="pct"/>
            <w:shd w:val="clear" w:color="auto" w:fill="auto"/>
            <w:vAlign w:val="center"/>
          </w:tcPr>
          <w:p w14:paraId="426F0D1A" w14:textId="77777777" w:rsidR="000312D9" w:rsidRDefault="000312D9" w:rsidP="00801472">
            <w:pPr>
              <w:pStyle w:val="Paragraphbeforelist"/>
              <w:spacing w:line="240" w:lineRule="auto"/>
              <w:rPr>
                <w:szCs w:val="20"/>
              </w:rPr>
            </w:pPr>
            <w:r w:rsidRPr="008C7781">
              <w:rPr>
                <w:szCs w:val="20"/>
              </w:rP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0C8BE6FF" w14:textId="3956754A" w:rsidR="000312D9" w:rsidRPr="008C7781" w:rsidRDefault="000312D9" w:rsidP="00702250">
            <w:pPr>
              <w:pStyle w:val="Paragraphbeforelist"/>
              <w:spacing w:after="0" w:line="240" w:lineRule="auto"/>
              <w:contextualSpacing/>
              <w:rPr>
                <w:szCs w:val="20"/>
              </w:rPr>
            </w:pPr>
            <w:r w:rsidRPr="008C7781">
              <w:rPr>
                <w:szCs w:val="20"/>
              </w:rPr>
              <w:t>(b) amateur licence (amateur repeater station)</w:t>
            </w:r>
            <w:r>
              <w:rPr>
                <w:szCs w:val="20"/>
              </w:rPr>
              <w:t>.</w:t>
            </w:r>
          </w:p>
        </w:tc>
        <w:tc>
          <w:tcPr>
            <w:tcW w:w="686" w:type="pct"/>
            <w:vMerge/>
            <w:shd w:val="clear" w:color="auto" w:fill="auto"/>
            <w:vAlign w:val="center"/>
          </w:tcPr>
          <w:p w14:paraId="6E297F87" w14:textId="77777777" w:rsidR="000312D9" w:rsidRPr="008C7781" w:rsidRDefault="000312D9" w:rsidP="00801472">
            <w:pPr>
              <w:spacing w:after="0" w:line="240" w:lineRule="auto"/>
              <w:contextualSpacing/>
              <w:jc w:val="right"/>
              <w:rPr>
                <w:rFonts w:cs="Arial"/>
                <w:szCs w:val="20"/>
              </w:rPr>
            </w:pPr>
          </w:p>
        </w:tc>
      </w:tr>
      <w:tr w:rsidR="003E32FE" w:rsidRPr="008C7781" w14:paraId="6821E119" w14:textId="77777777" w:rsidTr="00C35614">
        <w:trPr>
          <w:trHeight w:val="53"/>
        </w:trPr>
        <w:tc>
          <w:tcPr>
            <w:tcW w:w="195" w:type="pct"/>
            <w:shd w:val="clear" w:color="auto" w:fill="auto"/>
            <w:vAlign w:val="center"/>
          </w:tcPr>
          <w:p w14:paraId="3619E74D" w14:textId="23B84A6A" w:rsidR="003E32FE" w:rsidRDefault="003E32FE" w:rsidP="00C35614">
            <w:pPr>
              <w:spacing w:after="0" w:line="240" w:lineRule="auto"/>
              <w:contextualSpacing/>
              <w:rPr>
                <w:rFonts w:cs="Arial"/>
                <w:szCs w:val="20"/>
              </w:rPr>
            </w:pPr>
            <w:r>
              <w:rPr>
                <w:rFonts w:cs="Arial"/>
                <w:szCs w:val="20"/>
              </w:rPr>
              <w:t>92</w:t>
            </w:r>
          </w:p>
        </w:tc>
        <w:tc>
          <w:tcPr>
            <w:tcW w:w="825" w:type="pct"/>
            <w:vMerge w:val="restart"/>
            <w:vAlign w:val="center"/>
          </w:tcPr>
          <w:p w14:paraId="1ACB570E" w14:textId="5D757B35" w:rsidR="003E32FE" w:rsidRPr="005E1BCD" w:rsidRDefault="003E32FE" w:rsidP="00C35614">
            <w:pPr>
              <w:spacing w:after="0" w:line="240" w:lineRule="auto"/>
              <w:contextualSpacing/>
              <w:rPr>
                <w:rFonts w:cs="Arial"/>
                <w:b/>
                <w:bCs/>
                <w:szCs w:val="20"/>
              </w:rPr>
            </w:pPr>
            <w:r w:rsidRPr="005E1BCD">
              <w:rPr>
                <w:rFonts w:cs="Arial"/>
                <w:b/>
                <w:bCs/>
                <w:szCs w:val="20"/>
              </w:rPr>
              <w:t>Area</w:t>
            </w:r>
            <w:r>
              <w:rPr>
                <w:rFonts w:cs="Arial"/>
                <w:b/>
                <w:bCs/>
                <w:szCs w:val="20"/>
              </w:rPr>
              <w:t>-w</w:t>
            </w:r>
            <w:r w:rsidRPr="005E1BCD">
              <w:rPr>
                <w:rFonts w:cs="Arial"/>
                <w:b/>
                <w:bCs/>
                <w:szCs w:val="20"/>
              </w:rPr>
              <w:t xml:space="preserve">ide </w:t>
            </w:r>
            <w:r>
              <w:rPr>
                <w:rFonts w:cs="Arial"/>
                <w:b/>
                <w:bCs/>
                <w:szCs w:val="20"/>
              </w:rPr>
              <w:t>l</w:t>
            </w:r>
            <w:r w:rsidRPr="005E1BCD">
              <w:rPr>
                <w:rFonts w:cs="Arial"/>
                <w:b/>
                <w:bCs/>
                <w:szCs w:val="20"/>
              </w:rPr>
              <w:t>icences</w:t>
            </w:r>
          </w:p>
        </w:tc>
        <w:tc>
          <w:tcPr>
            <w:tcW w:w="792" w:type="pct"/>
            <w:shd w:val="clear" w:color="auto" w:fill="auto"/>
            <w:vAlign w:val="center"/>
          </w:tcPr>
          <w:p w14:paraId="05D78503" w14:textId="19B6678A" w:rsidR="003E32FE" w:rsidRDefault="00107493" w:rsidP="00801472">
            <w:pPr>
              <w:spacing w:after="0" w:line="240" w:lineRule="auto"/>
              <w:contextualSpacing/>
            </w:pPr>
            <w:hyperlink r:id="rId116" w:anchor="RANGE!F2" w:history="1">
              <w:r w:rsidR="003E32FE" w:rsidRPr="00E05173">
                <w:t>Sch 1 Part 2 Table 4 (Item 2.4.1)</w:t>
              </w:r>
            </w:hyperlink>
          </w:p>
        </w:tc>
        <w:tc>
          <w:tcPr>
            <w:tcW w:w="2502" w:type="pct"/>
            <w:shd w:val="clear" w:color="auto" w:fill="auto"/>
            <w:vAlign w:val="center"/>
          </w:tcPr>
          <w:p w14:paraId="38167E29" w14:textId="05AED215" w:rsidR="003E32FE" w:rsidRPr="008C7781" w:rsidRDefault="003E32FE" w:rsidP="00801472">
            <w:pPr>
              <w:pStyle w:val="Paragraphbeforelist"/>
              <w:spacing w:after="0" w:line="240" w:lineRule="auto"/>
              <w:contextualSpacing/>
              <w:rPr>
                <w:szCs w:val="20"/>
              </w:rPr>
            </w:pPr>
            <w:r w:rsidRPr="008C7781">
              <w:rPr>
                <w:szCs w:val="20"/>
              </w:rPr>
              <w:t xml:space="preserve">Considering an application for the issue of a FSS only area-wide </w:t>
            </w:r>
            <w:proofErr w:type="gramStart"/>
            <w:r w:rsidRPr="008C7781">
              <w:rPr>
                <w:szCs w:val="20"/>
              </w:rPr>
              <w:t>licence, and</w:t>
            </w:r>
            <w:proofErr w:type="gramEnd"/>
            <w:r w:rsidRPr="008C7781">
              <w:rPr>
                <w:szCs w:val="20"/>
              </w:rPr>
              <w:t xml:space="preserve"> issuing it (if applicable)</w:t>
            </w:r>
            <w:r>
              <w:rPr>
                <w:szCs w:val="20"/>
              </w:rPr>
              <w:t>.</w:t>
            </w:r>
          </w:p>
        </w:tc>
        <w:tc>
          <w:tcPr>
            <w:tcW w:w="686" w:type="pct"/>
            <w:shd w:val="clear" w:color="auto" w:fill="auto"/>
            <w:vAlign w:val="center"/>
          </w:tcPr>
          <w:p w14:paraId="51F2BBF7" w14:textId="1EBE24E8" w:rsidR="003E32FE" w:rsidRPr="008C7781" w:rsidRDefault="003E32FE" w:rsidP="00801472">
            <w:pPr>
              <w:spacing w:after="0" w:line="240" w:lineRule="auto"/>
              <w:contextualSpacing/>
              <w:jc w:val="right"/>
              <w:rPr>
                <w:rFonts w:cs="Arial"/>
                <w:szCs w:val="20"/>
              </w:rPr>
            </w:pPr>
            <w:r w:rsidRPr="008C7781">
              <w:rPr>
                <w:rFonts w:cs="Arial"/>
                <w:szCs w:val="20"/>
              </w:rPr>
              <w:t>$696.00</w:t>
            </w:r>
          </w:p>
        </w:tc>
      </w:tr>
      <w:tr w:rsidR="003E32FE" w:rsidRPr="008C7781" w14:paraId="5B74382E" w14:textId="77777777" w:rsidTr="003E5A84">
        <w:trPr>
          <w:trHeight w:val="728"/>
        </w:trPr>
        <w:tc>
          <w:tcPr>
            <w:tcW w:w="195" w:type="pct"/>
            <w:shd w:val="clear" w:color="auto" w:fill="auto"/>
            <w:vAlign w:val="center"/>
          </w:tcPr>
          <w:p w14:paraId="71D87E4A" w14:textId="49E9A4F6" w:rsidR="003E32FE" w:rsidRDefault="003E32FE" w:rsidP="00C35614">
            <w:pPr>
              <w:spacing w:after="0" w:line="240" w:lineRule="auto"/>
              <w:contextualSpacing/>
              <w:rPr>
                <w:rFonts w:cs="Arial"/>
                <w:szCs w:val="20"/>
              </w:rPr>
            </w:pPr>
            <w:r>
              <w:rPr>
                <w:rFonts w:cs="Arial"/>
                <w:szCs w:val="20"/>
              </w:rPr>
              <w:t>93</w:t>
            </w:r>
          </w:p>
        </w:tc>
        <w:tc>
          <w:tcPr>
            <w:tcW w:w="825" w:type="pct"/>
            <w:vMerge/>
            <w:vAlign w:val="center"/>
          </w:tcPr>
          <w:p w14:paraId="1971CFC0" w14:textId="77777777" w:rsidR="003E32FE" w:rsidRPr="005E1BCD" w:rsidRDefault="003E32FE" w:rsidP="003E32FE">
            <w:pPr>
              <w:spacing w:after="120" w:line="240" w:lineRule="auto"/>
              <w:contextualSpacing/>
              <w:rPr>
                <w:rFonts w:cs="Arial"/>
                <w:b/>
                <w:bCs/>
                <w:szCs w:val="20"/>
              </w:rPr>
            </w:pPr>
          </w:p>
        </w:tc>
        <w:tc>
          <w:tcPr>
            <w:tcW w:w="792" w:type="pct"/>
            <w:shd w:val="clear" w:color="auto" w:fill="auto"/>
            <w:vAlign w:val="center"/>
          </w:tcPr>
          <w:p w14:paraId="3E3BBDC2" w14:textId="7F9A9160" w:rsidR="003E32FE" w:rsidRDefault="00107493" w:rsidP="00801472">
            <w:pPr>
              <w:spacing w:after="0" w:line="240" w:lineRule="auto"/>
              <w:contextualSpacing/>
            </w:pPr>
            <w:hyperlink r:id="rId117" w:anchor="RANGE!G2" w:history="1">
              <w:r w:rsidR="003E32FE" w:rsidRPr="00E05173">
                <w:t>Sch 1 Part 2 Table 4 (Item 2.4.2)</w:t>
              </w:r>
            </w:hyperlink>
          </w:p>
        </w:tc>
        <w:tc>
          <w:tcPr>
            <w:tcW w:w="2502" w:type="pct"/>
            <w:shd w:val="clear" w:color="auto" w:fill="auto"/>
            <w:vAlign w:val="center"/>
          </w:tcPr>
          <w:p w14:paraId="14EBA07C" w14:textId="67C7F972" w:rsidR="003E32FE" w:rsidRPr="008C7781" w:rsidRDefault="003E32FE" w:rsidP="00801472">
            <w:pPr>
              <w:pStyle w:val="Paragraphbeforelist"/>
              <w:spacing w:after="0" w:line="240" w:lineRule="auto"/>
              <w:contextualSpacing/>
              <w:rPr>
                <w:szCs w:val="20"/>
              </w:rPr>
            </w:pPr>
            <w:r w:rsidRPr="008C7781">
              <w:rPr>
                <w:szCs w:val="20"/>
              </w:rPr>
              <w:t>Considering an application for a standard area-wide licence, and issuing it (if applicable), where the ACMA is not required to assess the application against an application for an area-wide licence made by another person</w:t>
            </w:r>
            <w:r>
              <w:rPr>
                <w:szCs w:val="20"/>
              </w:rPr>
              <w:t>.</w:t>
            </w:r>
            <w:r w:rsidRPr="008C7781">
              <w:rPr>
                <w:szCs w:val="20"/>
              </w:rPr>
              <w:t xml:space="preserve"> </w:t>
            </w:r>
          </w:p>
        </w:tc>
        <w:tc>
          <w:tcPr>
            <w:tcW w:w="686" w:type="pct"/>
            <w:shd w:val="clear" w:color="auto" w:fill="auto"/>
            <w:vAlign w:val="center"/>
          </w:tcPr>
          <w:p w14:paraId="2E7862D4" w14:textId="7DB98811" w:rsidR="003E32FE" w:rsidRPr="008C7781" w:rsidRDefault="003E32FE" w:rsidP="00801472">
            <w:pPr>
              <w:spacing w:after="0" w:line="240" w:lineRule="auto"/>
              <w:contextualSpacing/>
              <w:jc w:val="right"/>
              <w:rPr>
                <w:rFonts w:cs="Arial"/>
                <w:szCs w:val="20"/>
              </w:rPr>
            </w:pPr>
            <w:r w:rsidRPr="008C7781">
              <w:rPr>
                <w:rFonts w:cs="Arial"/>
                <w:szCs w:val="20"/>
              </w:rPr>
              <w:t>$847.00</w:t>
            </w:r>
          </w:p>
        </w:tc>
      </w:tr>
      <w:tr w:rsidR="003E32FE" w:rsidRPr="008C7781" w14:paraId="1099E068" w14:textId="77777777" w:rsidTr="003E5A84">
        <w:trPr>
          <w:trHeight w:val="728"/>
        </w:trPr>
        <w:tc>
          <w:tcPr>
            <w:tcW w:w="195" w:type="pct"/>
            <w:shd w:val="clear" w:color="auto" w:fill="auto"/>
            <w:vAlign w:val="center"/>
          </w:tcPr>
          <w:p w14:paraId="427083FC" w14:textId="158CD6EC" w:rsidR="003E32FE" w:rsidRDefault="003E32FE" w:rsidP="00C35614">
            <w:pPr>
              <w:spacing w:after="0" w:line="240" w:lineRule="auto"/>
              <w:contextualSpacing/>
              <w:rPr>
                <w:rFonts w:cs="Arial"/>
                <w:szCs w:val="20"/>
              </w:rPr>
            </w:pPr>
            <w:r>
              <w:rPr>
                <w:rFonts w:cs="Arial"/>
                <w:szCs w:val="20"/>
              </w:rPr>
              <w:t>94</w:t>
            </w:r>
          </w:p>
        </w:tc>
        <w:tc>
          <w:tcPr>
            <w:tcW w:w="825" w:type="pct"/>
            <w:vMerge/>
            <w:vAlign w:val="center"/>
          </w:tcPr>
          <w:p w14:paraId="71842BD7" w14:textId="77777777" w:rsidR="003E32FE" w:rsidRPr="005E1BCD" w:rsidRDefault="003E32FE" w:rsidP="003E32FE">
            <w:pPr>
              <w:spacing w:after="120" w:line="240" w:lineRule="auto"/>
              <w:contextualSpacing/>
              <w:rPr>
                <w:rFonts w:cs="Arial"/>
                <w:b/>
                <w:bCs/>
                <w:szCs w:val="20"/>
              </w:rPr>
            </w:pPr>
          </w:p>
        </w:tc>
        <w:tc>
          <w:tcPr>
            <w:tcW w:w="792" w:type="pct"/>
            <w:shd w:val="clear" w:color="auto" w:fill="auto"/>
            <w:vAlign w:val="center"/>
          </w:tcPr>
          <w:p w14:paraId="7692DA60" w14:textId="51A5E577" w:rsidR="003E32FE" w:rsidRDefault="00107493" w:rsidP="00801472">
            <w:pPr>
              <w:spacing w:after="0" w:line="240" w:lineRule="auto"/>
              <w:contextualSpacing/>
            </w:pPr>
            <w:hyperlink r:id="rId118" w:anchor="RANGE!G2" w:history="1">
              <w:r w:rsidR="003E32FE" w:rsidRPr="00E05173">
                <w:t>Sch 1 Part 2 Table 4 (Item 2.4.3)</w:t>
              </w:r>
            </w:hyperlink>
          </w:p>
        </w:tc>
        <w:tc>
          <w:tcPr>
            <w:tcW w:w="2502" w:type="pct"/>
            <w:shd w:val="clear" w:color="auto" w:fill="auto"/>
            <w:vAlign w:val="center"/>
          </w:tcPr>
          <w:p w14:paraId="7AD09E11" w14:textId="6460F8A5" w:rsidR="003E32FE" w:rsidRPr="008C7781" w:rsidRDefault="003E32FE" w:rsidP="00801472">
            <w:pPr>
              <w:pStyle w:val="Paragraphbeforelist"/>
              <w:spacing w:after="0" w:line="240" w:lineRule="auto"/>
              <w:contextualSpacing/>
              <w:rPr>
                <w:szCs w:val="20"/>
              </w:rPr>
            </w:pPr>
            <w:r w:rsidRPr="008C7781">
              <w:rPr>
                <w:szCs w:val="20"/>
              </w:rPr>
              <w:t>Considering an application for the issue of a standard area-wide licence, and issuing it (if applicable), where the ACMA is required to assess the application against applications for an area-wide licence made by other persons</w:t>
            </w:r>
            <w:r>
              <w:rPr>
                <w:szCs w:val="20"/>
              </w:rPr>
              <w:t>.</w:t>
            </w:r>
          </w:p>
        </w:tc>
        <w:tc>
          <w:tcPr>
            <w:tcW w:w="686" w:type="pct"/>
            <w:shd w:val="clear" w:color="auto" w:fill="auto"/>
            <w:vAlign w:val="center"/>
          </w:tcPr>
          <w:p w14:paraId="304CE27F" w14:textId="772FB9CA" w:rsidR="003E32FE" w:rsidRPr="008C7781" w:rsidRDefault="003E32FE" w:rsidP="00801472">
            <w:pPr>
              <w:spacing w:after="0" w:line="240" w:lineRule="auto"/>
              <w:contextualSpacing/>
              <w:jc w:val="right"/>
              <w:rPr>
                <w:rFonts w:cs="Arial"/>
                <w:szCs w:val="20"/>
              </w:rPr>
            </w:pPr>
            <w:r w:rsidRPr="008C7781">
              <w:rPr>
                <w:rFonts w:cs="Arial"/>
                <w:szCs w:val="20"/>
              </w:rPr>
              <w:t>$847.00</w:t>
            </w:r>
          </w:p>
        </w:tc>
      </w:tr>
      <w:tr w:rsidR="002964D0" w:rsidRPr="008C7781" w14:paraId="52D75274" w14:textId="77777777" w:rsidTr="00801472">
        <w:trPr>
          <w:trHeight w:val="372"/>
        </w:trPr>
        <w:tc>
          <w:tcPr>
            <w:tcW w:w="195" w:type="pct"/>
            <w:shd w:val="clear" w:color="auto" w:fill="auto"/>
            <w:vAlign w:val="center"/>
          </w:tcPr>
          <w:p w14:paraId="7569F9A2" w14:textId="027253D8" w:rsidR="002964D0" w:rsidRDefault="002964D0" w:rsidP="00801472">
            <w:pPr>
              <w:spacing w:after="0" w:line="240" w:lineRule="auto"/>
              <w:contextualSpacing/>
              <w:rPr>
                <w:rFonts w:cs="Arial"/>
                <w:szCs w:val="20"/>
              </w:rPr>
            </w:pPr>
            <w:r>
              <w:rPr>
                <w:rFonts w:cs="Arial"/>
                <w:szCs w:val="20"/>
              </w:rPr>
              <w:t>95</w:t>
            </w:r>
          </w:p>
        </w:tc>
        <w:tc>
          <w:tcPr>
            <w:tcW w:w="825" w:type="pct"/>
            <w:vMerge/>
            <w:vAlign w:val="center"/>
          </w:tcPr>
          <w:p w14:paraId="7D9AA25A" w14:textId="77777777" w:rsidR="002964D0" w:rsidRPr="005E1BCD" w:rsidRDefault="002964D0" w:rsidP="00801472">
            <w:pPr>
              <w:spacing w:after="0" w:line="240" w:lineRule="auto"/>
              <w:contextualSpacing/>
              <w:rPr>
                <w:rFonts w:cs="Arial"/>
                <w:b/>
                <w:bCs/>
                <w:szCs w:val="20"/>
              </w:rPr>
            </w:pPr>
          </w:p>
        </w:tc>
        <w:tc>
          <w:tcPr>
            <w:tcW w:w="792" w:type="pct"/>
            <w:shd w:val="clear" w:color="auto" w:fill="auto"/>
            <w:vAlign w:val="center"/>
          </w:tcPr>
          <w:p w14:paraId="3053431E" w14:textId="4AE820FB" w:rsidR="002964D0" w:rsidRDefault="002964D0" w:rsidP="00801472">
            <w:pPr>
              <w:spacing w:after="0" w:line="240" w:lineRule="auto"/>
              <w:contextualSpacing/>
            </w:pPr>
            <w:r w:rsidRPr="00E05173">
              <w:rPr>
                <w:rFonts w:cs="Arial"/>
                <w:szCs w:val="20"/>
              </w:rPr>
              <w:t>Sch 1 Part 2 Table 4 (Item 2.4.4)</w:t>
            </w:r>
          </w:p>
        </w:tc>
        <w:tc>
          <w:tcPr>
            <w:tcW w:w="2502" w:type="pct"/>
            <w:shd w:val="clear" w:color="auto" w:fill="auto"/>
            <w:vAlign w:val="center"/>
          </w:tcPr>
          <w:p w14:paraId="4646209D" w14:textId="77777777" w:rsidR="002964D0" w:rsidRDefault="002964D0" w:rsidP="00801472">
            <w:pPr>
              <w:spacing w:after="120" w:line="240" w:lineRule="auto"/>
              <w:contextualSpacing/>
              <w:rPr>
                <w:rFonts w:cs="Arial"/>
                <w:szCs w:val="20"/>
              </w:rPr>
            </w:pPr>
            <w:r w:rsidRPr="008C7781">
              <w:rPr>
                <w:rFonts w:cs="Arial"/>
                <w:szCs w:val="20"/>
              </w:rPr>
              <w:t>Further charges related to the processing of an application for the issue of a standard area-wide licence (the first application) where the ACMA is required to assess the first application against one or more other applications for an area-wide licence</w:t>
            </w:r>
            <w:r>
              <w:rPr>
                <w:rFonts w:cs="Arial"/>
                <w:szCs w:val="20"/>
              </w:rPr>
              <w:t>.</w:t>
            </w:r>
          </w:p>
          <w:p w14:paraId="0542A973" w14:textId="0B5E024D" w:rsidR="002964D0" w:rsidRPr="008C7781" w:rsidRDefault="002964D0" w:rsidP="00801472">
            <w:pPr>
              <w:pStyle w:val="Paragraphbeforelist"/>
              <w:spacing w:after="0" w:line="240" w:lineRule="auto"/>
              <w:contextualSpacing/>
              <w:rPr>
                <w:szCs w:val="20"/>
              </w:rPr>
            </w:pPr>
            <w:r w:rsidRPr="008C7781">
              <w:rPr>
                <w:sz w:val="16"/>
                <w:szCs w:val="16"/>
              </w:rPr>
              <w:t xml:space="preserve">Note: If further charges are applicable, the ACMA will apportion the charge so that all applications that are assessed against each other will incur the same additional charge, determined using the hourly rate. </w:t>
            </w:r>
          </w:p>
        </w:tc>
        <w:tc>
          <w:tcPr>
            <w:tcW w:w="686" w:type="pct"/>
            <w:shd w:val="clear" w:color="auto" w:fill="auto"/>
            <w:vAlign w:val="center"/>
          </w:tcPr>
          <w:p w14:paraId="308B0097" w14:textId="77777777" w:rsidR="002964D0" w:rsidRDefault="002964D0" w:rsidP="00801472">
            <w:pPr>
              <w:spacing w:after="0" w:line="240" w:lineRule="auto"/>
              <w:contextualSpacing/>
              <w:jc w:val="right"/>
              <w:rPr>
                <w:rFonts w:cs="Arial"/>
                <w:b/>
                <w:bCs/>
                <w:szCs w:val="20"/>
                <w:u w:val="single"/>
              </w:rPr>
            </w:pPr>
            <w:r w:rsidRPr="008C7781">
              <w:rPr>
                <w:rFonts w:cs="Arial"/>
                <w:szCs w:val="20"/>
              </w:rPr>
              <w:t>The amount worked out using the following formula:</w:t>
            </w:r>
          </w:p>
          <w:p w14:paraId="5FA278AB" w14:textId="77777777" w:rsidR="002964D0" w:rsidRDefault="002964D0" w:rsidP="00801472">
            <w:pPr>
              <w:spacing w:after="0" w:line="240" w:lineRule="auto"/>
              <w:contextualSpacing/>
              <w:jc w:val="right"/>
              <w:rPr>
                <w:rFonts w:cs="Arial"/>
                <w:b/>
                <w:bCs/>
                <w:szCs w:val="20"/>
              </w:rPr>
            </w:pPr>
            <w:r w:rsidRPr="008C7781">
              <w:rPr>
                <w:rFonts w:cs="Arial"/>
                <w:b/>
                <w:bCs/>
                <w:szCs w:val="20"/>
                <w:u w:val="single"/>
              </w:rPr>
              <w:t>THR</w:t>
            </w:r>
          </w:p>
          <w:p w14:paraId="76FC33D3" w14:textId="77777777" w:rsidR="002964D0" w:rsidRDefault="002964D0" w:rsidP="00801472">
            <w:pPr>
              <w:spacing w:after="0" w:line="240" w:lineRule="auto"/>
              <w:contextualSpacing/>
              <w:jc w:val="right"/>
              <w:rPr>
                <w:rFonts w:cs="Arial"/>
                <w:szCs w:val="20"/>
              </w:rPr>
            </w:pPr>
            <w:r w:rsidRPr="008C7781">
              <w:rPr>
                <w:rFonts w:cs="Arial"/>
                <w:b/>
                <w:bCs/>
                <w:szCs w:val="20"/>
              </w:rPr>
              <w:t>N+1</w:t>
            </w:r>
          </w:p>
          <w:p w14:paraId="445D2195" w14:textId="77777777" w:rsidR="002964D0" w:rsidRDefault="002964D0" w:rsidP="00801472">
            <w:pPr>
              <w:spacing w:after="0" w:line="240" w:lineRule="auto"/>
              <w:contextualSpacing/>
              <w:jc w:val="right"/>
              <w:rPr>
                <w:rFonts w:cs="Arial"/>
                <w:b/>
                <w:bCs/>
                <w:szCs w:val="20"/>
              </w:rPr>
            </w:pPr>
            <w:r w:rsidRPr="008C7781">
              <w:rPr>
                <w:rFonts w:cs="Arial"/>
                <w:szCs w:val="20"/>
              </w:rPr>
              <w:t>where:</w:t>
            </w:r>
          </w:p>
          <w:p w14:paraId="43DE3BC1" w14:textId="77777777" w:rsidR="002964D0" w:rsidRDefault="002964D0" w:rsidP="00801472">
            <w:pPr>
              <w:spacing w:after="0" w:line="240" w:lineRule="auto"/>
              <w:contextualSpacing/>
              <w:jc w:val="right"/>
              <w:rPr>
                <w:rFonts w:cs="Arial"/>
                <w:b/>
                <w:bCs/>
                <w:szCs w:val="20"/>
              </w:rPr>
            </w:pPr>
            <w:r w:rsidRPr="008C7781">
              <w:rPr>
                <w:rFonts w:cs="Arial"/>
                <w:b/>
                <w:bCs/>
                <w:szCs w:val="20"/>
              </w:rPr>
              <w:t>THR</w:t>
            </w:r>
            <w:r w:rsidRPr="008C7781">
              <w:rPr>
                <w:rFonts w:cs="Arial"/>
                <w:szCs w:val="20"/>
              </w:rPr>
              <w:t xml:space="preserve"> means the total hourly rate, an amount worked out by multiplying the hourly rate by the time taken to assess each of the first application and any other </w:t>
            </w:r>
            <w:r w:rsidRPr="008C7781">
              <w:rPr>
                <w:rFonts w:cs="Arial"/>
                <w:szCs w:val="20"/>
              </w:rPr>
              <w:lastRenderedPageBreak/>
              <w:t>application against which the first application is assessed;</w:t>
            </w:r>
          </w:p>
          <w:p w14:paraId="696B4231" w14:textId="3FA720CC" w:rsidR="002964D0" w:rsidRPr="008C7781" w:rsidRDefault="002964D0" w:rsidP="00801472">
            <w:pPr>
              <w:spacing w:after="0" w:line="240" w:lineRule="auto"/>
              <w:contextualSpacing/>
              <w:jc w:val="right"/>
              <w:rPr>
                <w:rFonts w:cs="Arial"/>
                <w:szCs w:val="20"/>
              </w:rPr>
            </w:pPr>
            <w:r w:rsidRPr="008C7781">
              <w:rPr>
                <w:rFonts w:cs="Arial"/>
                <w:b/>
                <w:bCs/>
                <w:szCs w:val="20"/>
              </w:rPr>
              <w:t>N</w:t>
            </w:r>
            <w:r w:rsidRPr="008C7781">
              <w:rPr>
                <w:rFonts w:cs="Arial"/>
                <w:szCs w:val="20"/>
              </w:rPr>
              <w:t xml:space="preserve"> means the number of applications for the licence against which the first application is assessed</w:t>
            </w:r>
            <w:r>
              <w:rPr>
                <w:rFonts w:cs="Arial"/>
                <w:szCs w:val="20"/>
              </w:rPr>
              <w:t>.</w:t>
            </w:r>
          </w:p>
        </w:tc>
      </w:tr>
      <w:tr w:rsidR="00BC2782" w:rsidRPr="008C7781" w14:paraId="1D0BB8CF" w14:textId="77777777" w:rsidTr="003E5A84">
        <w:trPr>
          <w:trHeight w:val="728"/>
        </w:trPr>
        <w:tc>
          <w:tcPr>
            <w:tcW w:w="195" w:type="pct"/>
            <w:shd w:val="clear" w:color="auto" w:fill="auto"/>
            <w:vAlign w:val="center"/>
          </w:tcPr>
          <w:p w14:paraId="7E7C5B44" w14:textId="5AB1FB1E" w:rsidR="00BC2782" w:rsidRDefault="00BC2782" w:rsidP="00C35614">
            <w:pPr>
              <w:spacing w:after="0" w:line="240" w:lineRule="auto"/>
              <w:contextualSpacing/>
              <w:rPr>
                <w:rFonts w:cs="Arial"/>
                <w:szCs w:val="20"/>
              </w:rPr>
            </w:pPr>
            <w:r>
              <w:rPr>
                <w:rFonts w:cs="Arial"/>
                <w:szCs w:val="20"/>
              </w:rPr>
              <w:lastRenderedPageBreak/>
              <w:t>96</w:t>
            </w:r>
          </w:p>
        </w:tc>
        <w:tc>
          <w:tcPr>
            <w:tcW w:w="825" w:type="pct"/>
            <w:vMerge w:val="restart"/>
            <w:vAlign w:val="center"/>
          </w:tcPr>
          <w:p w14:paraId="03C64408" w14:textId="3EC1271F" w:rsidR="00BC2782" w:rsidRPr="005E1BCD" w:rsidRDefault="00BC2782" w:rsidP="00702250">
            <w:pPr>
              <w:spacing w:after="0" w:line="240" w:lineRule="auto"/>
              <w:contextualSpacing/>
              <w:rPr>
                <w:rFonts w:cs="Arial"/>
                <w:b/>
                <w:bCs/>
                <w:szCs w:val="20"/>
              </w:rPr>
            </w:pPr>
            <w:r w:rsidRPr="005E1BCD">
              <w:rPr>
                <w:rFonts w:cs="Arial"/>
                <w:b/>
                <w:bCs/>
                <w:szCs w:val="20"/>
              </w:rPr>
              <w:t xml:space="preserve">Equipment Rules </w:t>
            </w:r>
            <w:r>
              <w:rPr>
                <w:rFonts w:cs="Arial"/>
                <w:b/>
                <w:bCs/>
                <w:szCs w:val="20"/>
              </w:rPr>
              <w:t>d</w:t>
            </w:r>
            <w:r w:rsidRPr="005E1BCD">
              <w:rPr>
                <w:rFonts w:cs="Arial"/>
                <w:b/>
                <w:bCs/>
                <w:szCs w:val="20"/>
              </w:rPr>
              <w:t>ocuments</w:t>
            </w:r>
          </w:p>
        </w:tc>
        <w:tc>
          <w:tcPr>
            <w:tcW w:w="792" w:type="pct"/>
            <w:shd w:val="clear" w:color="auto" w:fill="auto"/>
            <w:vAlign w:val="center"/>
          </w:tcPr>
          <w:p w14:paraId="682C91FD" w14:textId="7E1A27C1" w:rsidR="00BC2782" w:rsidRDefault="00107493" w:rsidP="00702250">
            <w:pPr>
              <w:spacing w:after="0" w:line="240" w:lineRule="auto"/>
              <w:contextualSpacing/>
            </w:pPr>
            <w:hyperlink r:id="rId119" w:anchor="RANGE!D3" w:history="1">
              <w:r w:rsidR="00BC2782" w:rsidRPr="00E05173">
                <w:t>Sch 1 Part 3 Table 2 (Item 3.2.1)</w:t>
              </w:r>
            </w:hyperlink>
          </w:p>
        </w:tc>
        <w:tc>
          <w:tcPr>
            <w:tcW w:w="2502" w:type="pct"/>
            <w:shd w:val="clear" w:color="auto" w:fill="auto"/>
            <w:vAlign w:val="center"/>
          </w:tcPr>
          <w:p w14:paraId="4C741392" w14:textId="77777777" w:rsidR="00BC2782" w:rsidRDefault="00BC2782" w:rsidP="002137C1">
            <w:pPr>
              <w:pStyle w:val="Paragraphbeforelist"/>
              <w:spacing w:line="240" w:lineRule="auto"/>
              <w:contextualSpacing/>
            </w:pPr>
            <w:r w:rsidRPr="008C7781">
              <w:t xml:space="preserve">Considering an application for the issue of a permit which authorises one or more of the actions specified in paragraphs 38(4)(a), (b) and (c) of the Equipment Rules (and issuing the permit, if </w:t>
            </w:r>
            <w:r w:rsidRPr="002137C1">
              <w:rPr>
                <w:szCs w:val="20"/>
              </w:rPr>
              <w:t>applicable</w:t>
            </w:r>
            <w:r w:rsidRPr="008C7781">
              <w:t>):</w:t>
            </w:r>
          </w:p>
          <w:p w14:paraId="10E981C3" w14:textId="1C1F96A4" w:rsidR="00BC2782" w:rsidRPr="008C7781" w:rsidRDefault="00BC2782" w:rsidP="0023759E">
            <w:pPr>
              <w:pStyle w:val="Bulletlevel1"/>
              <w:tabs>
                <w:tab w:val="clear" w:pos="436"/>
                <w:tab w:val="num" w:pos="296"/>
              </w:tabs>
              <w:spacing w:after="0"/>
              <w:ind w:left="296" w:hanging="283"/>
              <w:rPr>
                <w:szCs w:val="20"/>
              </w:rPr>
            </w:pPr>
            <w:r w:rsidRPr="008C7781">
              <w:t xml:space="preserve">for </w:t>
            </w:r>
            <w:r w:rsidRPr="0023759E">
              <w:rPr>
                <w:szCs w:val="20"/>
              </w:rPr>
              <w:t>the</w:t>
            </w:r>
            <w:r w:rsidRPr="008C7781">
              <w:t xml:space="preserve"> first application for a permit by a person</w:t>
            </w:r>
            <w:r>
              <w:t>.</w:t>
            </w:r>
            <w:r w:rsidRPr="008C7781">
              <w:t xml:space="preserve"> </w:t>
            </w:r>
          </w:p>
        </w:tc>
        <w:tc>
          <w:tcPr>
            <w:tcW w:w="686" w:type="pct"/>
            <w:shd w:val="clear" w:color="auto" w:fill="auto"/>
            <w:vAlign w:val="center"/>
          </w:tcPr>
          <w:p w14:paraId="6923CA10" w14:textId="02E2D9D0" w:rsidR="00BC2782" w:rsidRPr="008C7781" w:rsidRDefault="00BC2782" w:rsidP="00702250">
            <w:pPr>
              <w:spacing w:after="0" w:line="240" w:lineRule="auto"/>
              <w:contextualSpacing/>
              <w:jc w:val="right"/>
              <w:rPr>
                <w:rFonts w:cs="Arial"/>
                <w:szCs w:val="20"/>
              </w:rPr>
            </w:pPr>
            <w:r w:rsidRPr="008C7781">
              <w:rPr>
                <w:rFonts w:cs="Arial"/>
                <w:szCs w:val="20"/>
              </w:rPr>
              <w:t>$1,525.00</w:t>
            </w:r>
          </w:p>
        </w:tc>
      </w:tr>
      <w:tr w:rsidR="00BC2782" w:rsidRPr="008C7781" w14:paraId="466B0F0B" w14:textId="77777777" w:rsidTr="003E5A84">
        <w:trPr>
          <w:trHeight w:val="728"/>
        </w:trPr>
        <w:tc>
          <w:tcPr>
            <w:tcW w:w="195" w:type="pct"/>
            <w:shd w:val="clear" w:color="auto" w:fill="auto"/>
            <w:vAlign w:val="center"/>
          </w:tcPr>
          <w:p w14:paraId="151C7149" w14:textId="493476BC" w:rsidR="00BC2782" w:rsidRDefault="00BC2782" w:rsidP="00C35614">
            <w:pPr>
              <w:spacing w:after="0" w:line="240" w:lineRule="auto"/>
              <w:contextualSpacing/>
              <w:rPr>
                <w:rFonts w:cs="Arial"/>
                <w:szCs w:val="20"/>
              </w:rPr>
            </w:pPr>
            <w:r>
              <w:rPr>
                <w:rFonts w:cs="Arial"/>
                <w:szCs w:val="20"/>
              </w:rPr>
              <w:t>97</w:t>
            </w:r>
          </w:p>
        </w:tc>
        <w:tc>
          <w:tcPr>
            <w:tcW w:w="825" w:type="pct"/>
            <w:vMerge/>
            <w:vAlign w:val="center"/>
          </w:tcPr>
          <w:p w14:paraId="7F32B27E" w14:textId="77777777" w:rsidR="00BC2782" w:rsidRPr="005E1BCD" w:rsidRDefault="00BC2782" w:rsidP="00702250">
            <w:pPr>
              <w:spacing w:after="0" w:line="240" w:lineRule="auto"/>
              <w:contextualSpacing/>
              <w:rPr>
                <w:rFonts w:cs="Arial"/>
                <w:b/>
                <w:bCs/>
                <w:szCs w:val="20"/>
              </w:rPr>
            </w:pPr>
          </w:p>
        </w:tc>
        <w:tc>
          <w:tcPr>
            <w:tcW w:w="792" w:type="pct"/>
            <w:shd w:val="clear" w:color="auto" w:fill="auto"/>
            <w:vAlign w:val="center"/>
          </w:tcPr>
          <w:p w14:paraId="56F675B9" w14:textId="53CAB7EF" w:rsidR="00BC2782" w:rsidRDefault="00107493" w:rsidP="00702250">
            <w:pPr>
              <w:spacing w:after="0" w:line="240" w:lineRule="auto"/>
              <w:contextualSpacing/>
            </w:pPr>
            <w:hyperlink r:id="rId120" w:anchor="RANGE!D27" w:history="1">
              <w:r w:rsidR="00BC2782" w:rsidRPr="00E05173">
                <w:t>Sch 1 Part 3 Table 2 (Item 3.2.1)</w:t>
              </w:r>
            </w:hyperlink>
          </w:p>
        </w:tc>
        <w:tc>
          <w:tcPr>
            <w:tcW w:w="2502" w:type="pct"/>
            <w:shd w:val="clear" w:color="auto" w:fill="auto"/>
            <w:vAlign w:val="center"/>
          </w:tcPr>
          <w:p w14:paraId="22FF2E96" w14:textId="77777777" w:rsidR="00BC2782" w:rsidRDefault="00BC2782" w:rsidP="002137C1">
            <w:pPr>
              <w:pStyle w:val="Paragraphbeforelist"/>
              <w:spacing w:line="240" w:lineRule="auto"/>
              <w:contextualSpacing/>
            </w:pPr>
            <w:r w:rsidRPr="008C7781">
              <w:t xml:space="preserve">Considering an application for the issue of a permit which authorises one or more of the actions specified in paragraphs 38(4)(a), (b) and (c) of the Equipment Rules (and issuing the permit, if </w:t>
            </w:r>
            <w:r w:rsidRPr="002137C1">
              <w:rPr>
                <w:szCs w:val="20"/>
              </w:rPr>
              <w:t>applicable</w:t>
            </w:r>
            <w:r w:rsidRPr="008C7781">
              <w:t>):</w:t>
            </w:r>
          </w:p>
          <w:p w14:paraId="480F0E0D" w14:textId="32AAE40B" w:rsidR="00BC2782" w:rsidRPr="008C7781" w:rsidRDefault="00BC2782" w:rsidP="0023759E">
            <w:pPr>
              <w:pStyle w:val="Bulletlevel1"/>
              <w:tabs>
                <w:tab w:val="clear" w:pos="436"/>
                <w:tab w:val="num" w:pos="296"/>
              </w:tabs>
              <w:spacing w:after="0"/>
              <w:ind w:left="296" w:hanging="283"/>
              <w:rPr>
                <w:szCs w:val="20"/>
              </w:rPr>
            </w:pPr>
            <w:r w:rsidRPr="008C7781">
              <w:t>for subsequent applications for a permit by a person who already holds a permit of the same kind</w:t>
            </w:r>
            <w:r>
              <w:t>.</w:t>
            </w:r>
          </w:p>
        </w:tc>
        <w:tc>
          <w:tcPr>
            <w:tcW w:w="686" w:type="pct"/>
            <w:shd w:val="clear" w:color="auto" w:fill="auto"/>
            <w:vAlign w:val="center"/>
          </w:tcPr>
          <w:p w14:paraId="049AEC62" w14:textId="60FB52A2" w:rsidR="00BC2782" w:rsidRPr="008C7781" w:rsidRDefault="00BC2782" w:rsidP="00702250">
            <w:pPr>
              <w:spacing w:after="0" w:line="240" w:lineRule="auto"/>
              <w:contextualSpacing/>
              <w:jc w:val="right"/>
              <w:rPr>
                <w:rFonts w:cs="Arial"/>
                <w:szCs w:val="20"/>
              </w:rPr>
            </w:pPr>
            <w:r w:rsidRPr="008C7781">
              <w:rPr>
                <w:rFonts w:cs="Arial"/>
                <w:szCs w:val="20"/>
              </w:rPr>
              <w:t>$621.00</w:t>
            </w:r>
          </w:p>
        </w:tc>
      </w:tr>
      <w:tr w:rsidR="00BC2782" w:rsidRPr="008C7781" w14:paraId="61041358" w14:textId="77777777" w:rsidTr="003E5A84">
        <w:trPr>
          <w:trHeight w:val="728"/>
        </w:trPr>
        <w:tc>
          <w:tcPr>
            <w:tcW w:w="195" w:type="pct"/>
            <w:shd w:val="clear" w:color="auto" w:fill="auto"/>
            <w:vAlign w:val="center"/>
          </w:tcPr>
          <w:p w14:paraId="4794B025" w14:textId="61A2C1CB" w:rsidR="00BC2782" w:rsidRDefault="00BC2782" w:rsidP="00C35614">
            <w:pPr>
              <w:spacing w:after="0" w:line="240" w:lineRule="auto"/>
              <w:contextualSpacing/>
              <w:rPr>
                <w:rFonts w:cs="Arial"/>
                <w:szCs w:val="20"/>
              </w:rPr>
            </w:pPr>
            <w:r>
              <w:rPr>
                <w:rFonts w:cs="Arial"/>
                <w:szCs w:val="20"/>
              </w:rPr>
              <w:t>98</w:t>
            </w:r>
          </w:p>
        </w:tc>
        <w:tc>
          <w:tcPr>
            <w:tcW w:w="825" w:type="pct"/>
            <w:vMerge/>
            <w:vAlign w:val="center"/>
          </w:tcPr>
          <w:p w14:paraId="2E365881" w14:textId="77777777" w:rsidR="00BC2782" w:rsidRPr="005E1BCD" w:rsidRDefault="00BC2782" w:rsidP="00702250">
            <w:pPr>
              <w:spacing w:after="0" w:line="240" w:lineRule="auto"/>
              <w:contextualSpacing/>
              <w:rPr>
                <w:rFonts w:cs="Arial"/>
                <w:b/>
                <w:bCs/>
                <w:szCs w:val="20"/>
              </w:rPr>
            </w:pPr>
          </w:p>
        </w:tc>
        <w:tc>
          <w:tcPr>
            <w:tcW w:w="792" w:type="pct"/>
            <w:shd w:val="clear" w:color="auto" w:fill="auto"/>
            <w:vAlign w:val="center"/>
          </w:tcPr>
          <w:p w14:paraId="75EE1744" w14:textId="249E0C7C" w:rsidR="00BC2782" w:rsidRDefault="00107493" w:rsidP="00702250">
            <w:pPr>
              <w:spacing w:after="0" w:line="240" w:lineRule="auto"/>
              <w:contextualSpacing/>
            </w:pPr>
            <w:hyperlink r:id="rId121" w:anchor="RANGE!D16" w:history="1">
              <w:r w:rsidR="00BC2782" w:rsidRPr="00E05173">
                <w:t>Sch 1 Part 3 Table 2 (Item 3.2.2)</w:t>
              </w:r>
            </w:hyperlink>
          </w:p>
        </w:tc>
        <w:tc>
          <w:tcPr>
            <w:tcW w:w="2502" w:type="pct"/>
            <w:shd w:val="clear" w:color="auto" w:fill="auto"/>
            <w:vAlign w:val="center"/>
          </w:tcPr>
          <w:p w14:paraId="5E51BFA5" w14:textId="77777777" w:rsidR="00BC2782" w:rsidRDefault="00BC2782" w:rsidP="002137C1">
            <w:pPr>
              <w:pStyle w:val="Paragraphbeforelist"/>
              <w:spacing w:line="240" w:lineRule="auto"/>
              <w:contextualSpacing/>
            </w:pPr>
            <w:r w:rsidRPr="008C7781">
              <w:t xml:space="preserve">Considering an application for the issue of a permit which only authorises the action specified in paragraph 38(4)(d) of the Equipment Rules (and issuing the permit, </w:t>
            </w:r>
            <w:r w:rsidRPr="002137C1">
              <w:rPr>
                <w:szCs w:val="20"/>
              </w:rPr>
              <w:t>if</w:t>
            </w:r>
            <w:r w:rsidRPr="008C7781">
              <w:t xml:space="preserve"> applicable):</w:t>
            </w:r>
          </w:p>
          <w:p w14:paraId="49FF73B4" w14:textId="01320B8A" w:rsidR="00BC2782" w:rsidRPr="008C7781" w:rsidRDefault="00BC2782" w:rsidP="0023759E">
            <w:pPr>
              <w:pStyle w:val="Bulletlevel1"/>
              <w:tabs>
                <w:tab w:val="clear" w:pos="436"/>
                <w:tab w:val="num" w:pos="296"/>
              </w:tabs>
              <w:ind w:left="296" w:hanging="283"/>
              <w:rPr>
                <w:szCs w:val="20"/>
              </w:rPr>
            </w:pPr>
            <w:r w:rsidRPr="008C7781">
              <w:t>for the first application for a permit by a person</w:t>
            </w:r>
            <w:r>
              <w:t>.</w:t>
            </w:r>
          </w:p>
        </w:tc>
        <w:tc>
          <w:tcPr>
            <w:tcW w:w="686" w:type="pct"/>
            <w:shd w:val="clear" w:color="auto" w:fill="auto"/>
            <w:vAlign w:val="center"/>
          </w:tcPr>
          <w:p w14:paraId="68069EB9" w14:textId="77F16480" w:rsidR="00BC2782" w:rsidRPr="008C7781" w:rsidRDefault="00BC2782" w:rsidP="00702250">
            <w:pPr>
              <w:spacing w:after="0" w:line="240" w:lineRule="auto"/>
              <w:contextualSpacing/>
              <w:jc w:val="right"/>
              <w:rPr>
                <w:rFonts w:cs="Arial"/>
                <w:szCs w:val="20"/>
              </w:rPr>
            </w:pPr>
            <w:r w:rsidRPr="008C7781">
              <w:rPr>
                <w:rFonts w:cs="Arial"/>
                <w:szCs w:val="20"/>
              </w:rPr>
              <w:t>$791.00</w:t>
            </w:r>
          </w:p>
        </w:tc>
      </w:tr>
      <w:tr w:rsidR="00BC2782" w:rsidRPr="008C7781" w14:paraId="571B3472" w14:textId="77777777" w:rsidTr="003E5A84">
        <w:trPr>
          <w:trHeight w:val="728"/>
        </w:trPr>
        <w:tc>
          <w:tcPr>
            <w:tcW w:w="195" w:type="pct"/>
            <w:shd w:val="clear" w:color="auto" w:fill="auto"/>
            <w:vAlign w:val="center"/>
          </w:tcPr>
          <w:p w14:paraId="143F90A3" w14:textId="49683CFB" w:rsidR="00BC2782" w:rsidRDefault="00BC2782" w:rsidP="00702250">
            <w:pPr>
              <w:spacing w:after="0" w:line="240" w:lineRule="auto"/>
              <w:contextualSpacing/>
              <w:rPr>
                <w:rFonts w:cs="Arial"/>
                <w:szCs w:val="20"/>
              </w:rPr>
            </w:pPr>
            <w:r>
              <w:rPr>
                <w:rFonts w:cs="Arial"/>
                <w:szCs w:val="20"/>
              </w:rPr>
              <w:t>99</w:t>
            </w:r>
          </w:p>
        </w:tc>
        <w:tc>
          <w:tcPr>
            <w:tcW w:w="825" w:type="pct"/>
            <w:vMerge/>
            <w:vAlign w:val="center"/>
          </w:tcPr>
          <w:p w14:paraId="659C6766" w14:textId="77777777" w:rsidR="00BC2782" w:rsidRPr="005E1BCD" w:rsidRDefault="00BC2782" w:rsidP="00702250">
            <w:pPr>
              <w:spacing w:after="0" w:line="240" w:lineRule="auto"/>
              <w:contextualSpacing/>
              <w:rPr>
                <w:rFonts w:cs="Arial"/>
                <w:b/>
                <w:bCs/>
                <w:szCs w:val="20"/>
              </w:rPr>
            </w:pPr>
          </w:p>
        </w:tc>
        <w:tc>
          <w:tcPr>
            <w:tcW w:w="792" w:type="pct"/>
            <w:shd w:val="clear" w:color="auto" w:fill="auto"/>
            <w:vAlign w:val="center"/>
          </w:tcPr>
          <w:p w14:paraId="3C379802" w14:textId="02A98BA0" w:rsidR="00BC2782" w:rsidRDefault="00107493" w:rsidP="00702250">
            <w:pPr>
              <w:spacing w:after="0" w:line="240" w:lineRule="auto"/>
              <w:contextualSpacing/>
            </w:pPr>
            <w:hyperlink r:id="rId122" w:anchor="RANGE!D40" w:history="1">
              <w:r w:rsidR="00BC2782" w:rsidRPr="00E05173">
                <w:t>Sch 1 Part 3 Table 2 (Item 3.2.2)</w:t>
              </w:r>
            </w:hyperlink>
          </w:p>
        </w:tc>
        <w:tc>
          <w:tcPr>
            <w:tcW w:w="2502" w:type="pct"/>
            <w:shd w:val="clear" w:color="auto" w:fill="auto"/>
            <w:vAlign w:val="center"/>
          </w:tcPr>
          <w:p w14:paraId="3D5E2136" w14:textId="77777777" w:rsidR="00BC2782" w:rsidRDefault="00BC2782" w:rsidP="002137C1">
            <w:pPr>
              <w:pStyle w:val="Paragraphbeforelist"/>
              <w:spacing w:line="240" w:lineRule="auto"/>
              <w:contextualSpacing/>
            </w:pPr>
            <w:r w:rsidRPr="008C7781">
              <w:t>Considering an application for the issue of a permit which only authorises the action specified in paragraph 38(4)(d) of the Equipment Rules (and issuing the permit, if applicable):</w:t>
            </w:r>
          </w:p>
          <w:p w14:paraId="5F2CF547" w14:textId="77777777" w:rsidR="00BC2782" w:rsidRDefault="00BC2782" w:rsidP="0023759E">
            <w:pPr>
              <w:pStyle w:val="Bulletlevel1"/>
              <w:tabs>
                <w:tab w:val="clear" w:pos="436"/>
                <w:tab w:val="num" w:pos="296"/>
              </w:tabs>
              <w:ind w:left="296" w:hanging="283"/>
            </w:pPr>
            <w:r w:rsidRPr="008C7781">
              <w:t xml:space="preserve">for </w:t>
            </w:r>
            <w:r w:rsidRPr="0023759E">
              <w:rPr>
                <w:szCs w:val="20"/>
              </w:rPr>
              <w:t>subsequent</w:t>
            </w:r>
            <w:r w:rsidRPr="008C7781">
              <w:t xml:space="preserve"> applications for a permit by a person who already holds a permit of the same kind</w:t>
            </w:r>
            <w:r>
              <w:t>.</w:t>
            </w:r>
          </w:p>
          <w:p w14:paraId="3BCF6A68" w14:textId="5ACA7B69" w:rsidR="00BC2782" w:rsidRPr="008C7781" w:rsidRDefault="00BC2782" w:rsidP="00702250">
            <w:pPr>
              <w:pStyle w:val="Paragraphbeforelist"/>
              <w:spacing w:after="0" w:line="240" w:lineRule="auto"/>
              <w:contextualSpacing/>
              <w:rPr>
                <w:szCs w:val="20"/>
              </w:rPr>
            </w:pPr>
            <w:r w:rsidRPr="008C7781">
              <w:rPr>
                <w:sz w:val="16"/>
                <w:szCs w:val="16"/>
              </w:rPr>
              <w:t>Note: This fee applies to permits that authorise only the supply of unlabelled devices.</w:t>
            </w:r>
          </w:p>
        </w:tc>
        <w:tc>
          <w:tcPr>
            <w:tcW w:w="686" w:type="pct"/>
            <w:shd w:val="clear" w:color="auto" w:fill="auto"/>
            <w:vAlign w:val="center"/>
          </w:tcPr>
          <w:p w14:paraId="1F31DDEB" w14:textId="24ED4416" w:rsidR="00BC2782" w:rsidRPr="008C7781" w:rsidRDefault="00BC2782" w:rsidP="00702250">
            <w:pPr>
              <w:spacing w:after="0" w:line="240" w:lineRule="auto"/>
              <w:contextualSpacing/>
              <w:jc w:val="right"/>
              <w:rPr>
                <w:rFonts w:cs="Arial"/>
                <w:szCs w:val="20"/>
              </w:rPr>
            </w:pPr>
            <w:r w:rsidRPr="008C7781">
              <w:rPr>
                <w:rFonts w:cs="Arial"/>
                <w:szCs w:val="20"/>
              </w:rPr>
              <w:t>$565.00</w:t>
            </w:r>
          </w:p>
        </w:tc>
      </w:tr>
      <w:tr w:rsidR="00BC2782" w:rsidRPr="008C7781" w14:paraId="51D36740" w14:textId="77777777" w:rsidTr="00801472">
        <w:trPr>
          <w:trHeight w:val="89"/>
        </w:trPr>
        <w:tc>
          <w:tcPr>
            <w:tcW w:w="195" w:type="pct"/>
            <w:shd w:val="clear" w:color="auto" w:fill="auto"/>
            <w:vAlign w:val="center"/>
          </w:tcPr>
          <w:p w14:paraId="7BFE69AB" w14:textId="7082CD90" w:rsidR="00BC2782" w:rsidRDefault="00BC2782" w:rsidP="00702250">
            <w:pPr>
              <w:spacing w:after="0" w:line="240" w:lineRule="auto"/>
              <w:contextualSpacing/>
              <w:rPr>
                <w:rFonts w:cs="Arial"/>
                <w:szCs w:val="20"/>
              </w:rPr>
            </w:pPr>
            <w:r>
              <w:rPr>
                <w:rFonts w:cs="Arial"/>
                <w:szCs w:val="20"/>
              </w:rPr>
              <w:lastRenderedPageBreak/>
              <w:t>100</w:t>
            </w:r>
          </w:p>
        </w:tc>
        <w:tc>
          <w:tcPr>
            <w:tcW w:w="825" w:type="pct"/>
            <w:vMerge/>
            <w:vAlign w:val="center"/>
          </w:tcPr>
          <w:p w14:paraId="6A28CC97" w14:textId="77777777" w:rsidR="00BC2782" w:rsidRPr="005E1BCD" w:rsidRDefault="00BC2782" w:rsidP="00702250">
            <w:pPr>
              <w:spacing w:after="0" w:line="240" w:lineRule="auto"/>
              <w:contextualSpacing/>
              <w:rPr>
                <w:rFonts w:cs="Arial"/>
                <w:b/>
                <w:bCs/>
                <w:szCs w:val="20"/>
              </w:rPr>
            </w:pPr>
          </w:p>
        </w:tc>
        <w:tc>
          <w:tcPr>
            <w:tcW w:w="792" w:type="pct"/>
            <w:shd w:val="clear" w:color="auto" w:fill="auto"/>
            <w:vAlign w:val="center"/>
          </w:tcPr>
          <w:p w14:paraId="3A3DA648" w14:textId="3D59CAC5" w:rsidR="00BC2782" w:rsidRDefault="00107493" w:rsidP="00702250">
            <w:pPr>
              <w:spacing w:after="0" w:line="240" w:lineRule="auto"/>
              <w:contextualSpacing/>
            </w:pPr>
            <w:hyperlink r:id="rId123" w:anchor="RANGE!D3" w:history="1">
              <w:r w:rsidR="00BC2782" w:rsidRPr="00E05173">
                <w:t>Sch 1 Part 3 Table 2 (Item 3.2.3)</w:t>
              </w:r>
            </w:hyperlink>
          </w:p>
        </w:tc>
        <w:tc>
          <w:tcPr>
            <w:tcW w:w="2502" w:type="pct"/>
            <w:shd w:val="clear" w:color="auto" w:fill="auto"/>
            <w:vAlign w:val="center"/>
          </w:tcPr>
          <w:p w14:paraId="38C4CC0C" w14:textId="77777777" w:rsidR="00BC2782" w:rsidRDefault="00BC2782" w:rsidP="002B08E1">
            <w:pPr>
              <w:pStyle w:val="Paragraphbeforelist"/>
              <w:spacing w:line="240" w:lineRule="auto"/>
              <w:contextualSpacing/>
            </w:pPr>
            <w:r w:rsidRPr="008C7781">
              <w:t xml:space="preserve">Considering an application for the issue of a permit (and issuing the permit if applicable) which authorises one or more of the actions mentioned in paragraphs 38(4)(a), (b) and (c), and the action specified in paragraph 38(4)(d), of the Equipment Rules: </w:t>
            </w:r>
          </w:p>
          <w:p w14:paraId="6A20E16F" w14:textId="70D4B216" w:rsidR="00BC2782" w:rsidRPr="008C7781" w:rsidRDefault="00BC2782" w:rsidP="0023759E">
            <w:pPr>
              <w:pStyle w:val="Bulletlevel1"/>
              <w:tabs>
                <w:tab w:val="clear" w:pos="436"/>
                <w:tab w:val="num" w:pos="296"/>
              </w:tabs>
              <w:spacing w:after="0"/>
              <w:ind w:left="296" w:hanging="283"/>
              <w:rPr>
                <w:szCs w:val="20"/>
              </w:rPr>
            </w:pPr>
            <w:r w:rsidRPr="008C7781">
              <w:t>fo</w:t>
            </w:r>
            <w:r w:rsidRPr="00801472">
              <w:t xml:space="preserve">r </w:t>
            </w:r>
            <w:r w:rsidRPr="0023759E">
              <w:rPr>
                <w:szCs w:val="20"/>
              </w:rPr>
              <w:t>the</w:t>
            </w:r>
            <w:r w:rsidRPr="00801472">
              <w:t xml:space="preserve"> first application for a permit by a person.</w:t>
            </w:r>
          </w:p>
        </w:tc>
        <w:tc>
          <w:tcPr>
            <w:tcW w:w="686" w:type="pct"/>
            <w:shd w:val="clear" w:color="auto" w:fill="auto"/>
            <w:vAlign w:val="center"/>
          </w:tcPr>
          <w:p w14:paraId="0A7551E5" w14:textId="2AC0EC02" w:rsidR="00BC2782" w:rsidRPr="008C7781" w:rsidRDefault="00BC2782" w:rsidP="00702250">
            <w:pPr>
              <w:spacing w:after="0" w:line="240" w:lineRule="auto"/>
              <w:contextualSpacing/>
              <w:jc w:val="right"/>
              <w:rPr>
                <w:rFonts w:cs="Arial"/>
                <w:szCs w:val="20"/>
              </w:rPr>
            </w:pPr>
            <w:r w:rsidRPr="008C7781">
              <w:rPr>
                <w:rFonts w:cs="Arial"/>
                <w:szCs w:val="20"/>
              </w:rPr>
              <w:t>$1,525.00</w:t>
            </w:r>
          </w:p>
        </w:tc>
      </w:tr>
      <w:tr w:rsidR="00BC2782" w:rsidRPr="008C7781" w14:paraId="570707E3" w14:textId="77777777" w:rsidTr="003E5A84">
        <w:trPr>
          <w:trHeight w:val="728"/>
        </w:trPr>
        <w:tc>
          <w:tcPr>
            <w:tcW w:w="195" w:type="pct"/>
            <w:shd w:val="clear" w:color="auto" w:fill="auto"/>
            <w:vAlign w:val="center"/>
          </w:tcPr>
          <w:p w14:paraId="61AD265D" w14:textId="52FFCC96" w:rsidR="00BC2782" w:rsidRDefault="00BC2782" w:rsidP="00702250">
            <w:pPr>
              <w:spacing w:after="0" w:line="240" w:lineRule="auto"/>
              <w:contextualSpacing/>
              <w:rPr>
                <w:rFonts w:cs="Arial"/>
                <w:szCs w:val="20"/>
              </w:rPr>
            </w:pPr>
            <w:r>
              <w:rPr>
                <w:rFonts w:cs="Arial"/>
                <w:szCs w:val="20"/>
              </w:rPr>
              <w:t>101</w:t>
            </w:r>
          </w:p>
        </w:tc>
        <w:tc>
          <w:tcPr>
            <w:tcW w:w="825" w:type="pct"/>
            <w:vMerge/>
            <w:vAlign w:val="center"/>
          </w:tcPr>
          <w:p w14:paraId="4AA5B153" w14:textId="77777777" w:rsidR="00BC2782" w:rsidRPr="005E1BCD" w:rsidRDefault="00BC2782" w:rsidP="00702250">
            <w:pPr>
              <w:spacing w:after="0" w:line="240" w:lineRule="auto"/>
              <w:contextualSpacing/>
              <w:rPr>
                <w:rFonts w:cs="Arial"/>
                <w:b/>
                <w:bCs/>
                <w:szCs w:val="20"/>
              </w:rPr>
            </w:pPr>
          </w:p>
        </w:tc>
        <w:tc>
          <w:tcPr>
            <w:tcW w:w="792" w:type="pct"/>
            <w:shd w:val="clear" w:color="auto" w:fill="auto"/>
            <w:vAlign w:val="center"/>
          </w:tcPr>
          <w:p w14:paraId="51909A70" w14:textId="462ABF80" w:rsidR="00BC2782" w:rsidRDefault="00107493" w:rsidP="00702250">
            <w:pPr>
              <w:spacing w:after="0" w:line="240" w:lineRule="auto"/>
              <w:contextualSpacing/>
            </w:pPr>
            <w:hyperlink r:id="rId124" w:anchor="RANGE!D27" w:history="1">
              <w:r w:rsidR="00BC2782" w:rsidRPr="00E05173">
                <w:t>Sch 1 Part 3 Table 2 (Item 3.2.3)</w:t>
              </w:r>
            </w:hyperlink>
          </w:p>
        </w:tc>
        <w:tc>
          <w:tcPr>
            <w:tcW w:w="2502" w:type="pct"/>
            <w:shd w:val="clear" w:color="auto" w:fill="auto"/>
            <w:vAlign w:val="center"/>
          </w:tcPr>
          <w:p w14:paraId="710162DF" w14:textId="77777777" w:rsidR="00BC2782" w:rsidRDefault="00BC2782" w:rsidP="002B08E1">
            <w:pPr>
              <w:pStyle w:val="Paragraphbeforelist"/>
              <w:spacing w:line="240" w:lineRule="auto"/>
              <w:contextualSpacing/>
            </w:pPr>
            <w:r w:rsidRPr="008C7781">
              <w:t xml:space="preserve">Considering an application for the issue of a permit (and issuing the permit if applicable) which authorises one or more of the actions mentioned in paragraphs 38(4)(a), (b) and (c), and the action specified in paragraph 38(4)(d), of the Equipment Rules: </w:t>
            </w:r>
          </w:p>
          <w:p w14:paraId="338199FF" w14:textId="5D3AE8E4" w:rsidR="00BC2782" w:rsidRPr="008C7781" w:rsidRDefault="00BC2782" w:rsidP="0023759E">
            <w:pPr>
              <w:pStyle w:val="Bulletlevel1"/>
              <w:tabs>
                <w:tab w:val="clear" w:pos="436"/>
                <w:tab w:val="num" w:pos="296"/>
              </w:tabs>
              <w:spacing w:after="0"/>
              <w:ind w:left="296" w:hanging="283"/>
              <w:rPr>
                <w:szCs w:val="20"/>
              </w:rPr>
            </w:pPr>
            <w:r w:rsidRPr="00801472">
              <w:t xml:space="preserve">for </w:t>
            </w:r>
            <w:r w:rsidRPr="0023759E">
              <w:rPr>
                <w:szCs w:val="20"/>
              </w:rPr>
              <w:t>subsequent</w:t>
            </w:r>
            <w:r w:rsidRPr="00801472">
              <w:t xml:space="preserve"> applications for a permit by a person who already holds a permit of the same kind.</w:t>
            </w:r>
          </w:p>
        </w:tc>
        <w:tc>
          <w:tcPr>
            <w:tcW w:w="686" w:type="pct"/>
            <w:shd w:val="clear" w:color="auto" w:fill="auto"/>
            <w:vAlign w:val="center"/>
          </w:tcPr>
          <w:p w14:paraId="0DFDA747" w14:textId="3805519D" w:rsidR="00BC2782" w:rsidRPr="008C7781" w:rsidRDefault="00BC2782" w:rsidP="00702250">
            <w:pPr>
              <w:spacing w:after="0" w:line="240" w:lineRule="auto"/>
              <w:contextualSpacing/>
              <w:jc w:val="right"/>
              <w:rPr>
                <w:rFonts w:cs="Arial"/>
                <w:szCs w:val="20"/>
              </w:rPr>
            </w:pPr>
            <w:r w:rsidRPr="008C7781">
              <w:rPr>
                <w:rFonts w:cs="Arial"/>
                <w:szCs w:val="20"/>
              </w:rPr>
              <w:t>$621.00</w:t>
            </w:r>
          </w:p>
        </w:tc>
      </w:tr>
      <w:tr w:rsidR="00BC2782" w:rsidRPr="008C7781" w14:paraId="6F68891E" w14:textId="77777777" w:rsidTr="003E5A84">
        <w:trPr>
          <w:trHeight w:val="728"/>
        </w:trPr>
        <w:tc>
          <w:tcPr>
            <w:tcW w:w="195" w:type="pct"/>
            <w:shd w:val="clear" w:color="auto" w:fill="auto"/>
            <w:vAlign w:val="center"/>
          </w:tcPr>
          <w:p w14:paraId="16479C92" w14:textId="6B49D80C" w:rsidR="00BC2782" w:rsidRDefault="00BC2782" w:rsidP="00702250">
            <w:pPr>
              <w:spacing w:after="0" w:line="240" w:lineRule="auto"/>
              <w:contextualSpacing/>
              <w:rPr>
                <w:rFonts w:cs="Arial"/>
                <w:szCs w:val="20"/>
              </w:rPr>
            </w:pPr>
            <w:r>
              <w:rPr>
                <w:rFonts w:cs="Arial"/>
                <w:szCs w:val="20"/>
              </w:rPr>
              <w:t>102</w:t>
            </w:r>
          </w:p>
        </w:tc>
        <w:tc>
          <w:tcPr>
            <w:tcW w:w="825" w:type="pct"/>
            <w:vMerge w:val="restart"/>
            <w:vAlign w:val="center"/>
          </w:tcPr>
          <w:p w14:paraId="544E514C" w14:textId="0B982362" w:rsidR="00BC2782" w:rsidRPr="005E1BCD" w:rsidRDefault="00BC2782" w:rsidP="00702250">
            <w:pPr>
              <w:spacing w:after="0" w:line="240" w:lineRule="auto"/>
              <w:contextualSpacing/>
              <w:rPr>
                <w:rFonts w:cs="Arial"/>
                <w:b/>
                <w:bCs/>
                <w:szCs w:val="20"/>
              </w:rPr>
            </w:pPr>
            <w:r w:rsidRPr="005E1BCD">
              <w:rPr>
                <w:rFonts w:cs="Arial"/>
                <w:b/>
                <w:bCs/>
                <w:szCs w:val="20"/>
              </w:rPr>
              <w:t xml:space="preserve">Banned </w:t>
            </w:r>
            <w:r>
              <w:rPr>
                <w:rFonts w:cs="Arial"/>
                <w:b/>
                <w:bCs/>
                <w:szCs w:val="20"/>
              </w:rPr>
              <w:t>e</w:t>
            </w:r>
            <w:r w:rsidRPr="005E1BCD">
              <w:rPr>
                <w:rFonts w:cs="Arial"/>
                <w:b/>
                <w:bCs/>
                <w:szCs w:val="20"/>
              </w:rPr>
              <w:t>quipment</w:t>
            </w:r>
          </w:p>
        </w:tc>
        <w:tc>
          <w:tcPr>
            <w:tcW w:w="792" w:type="pct"/>
            <w:shd w:val="clear" w:color="auto" w:fill="auto"/>
            <w:vAlign w:val="center"/>
          </w:tcPr>
          <w:p w14:paraId="5B91BCA8" w14:textId="5E40BDE1" w:rsidR="00BC2782" w:rsidRDefault="00107493" w:rsidP="00702250">
            <w:pPr>
              <w:spacing w:after="0" w:line="240" w:lineRule="auto"/>
              <w:contextualSpacing/>
            </w:pPr>
            <w:hyperlink r:id="rId125" w:anchor="RANGE!D52" w:history="1">
              <w:r w:rsidR="00BC2782" w:rsidRPr="00E05173">
                <w:t>Sch 1 Part 3 Table 3 (item 3.3.1)</w:t>
              </w:r>
            </w:hyperlink>
          </w:p>
        </w:tc>
        <w:tc>
          <w:tcPr>
            <w:tcW w:w="2502" w:type="pct"/>
            <w:shd w:val="clear" w:color="auto" w:fill="auto"/>
            <w:vAlign w:val="center"/>
          </w:tcPr>
          <w:p w14:paraId="00FF5007" w14:textId="74C13687" w:rsidR="00BC2782" w:rsidRPr="008C7781" w:rsidRDefault="00BC2782" w:rsidP="00702250">
            <w:pPr>
              <w:pStyle w:val="Paragraphbeforelist"/>
              <w:spacing w:after="0" w:line="240" w:lineRule="auto"/>
              <w:contextualSpacing/>
              <w:rPr>
                <w:szCs w:val="20"/>
              </w:rPr>
            </w:pPr>
            <w:r w:rsidRPr="008C7781">
              <w:rPr>
                <w:szCs w:val="20"/>
              </w:rPr>
              <w:t>Consideration of an application made under clause 3 of Schedule 1 to the Exemption Determination for the making of a notifiable instrument naming a person for the purposes of section 9 and/or paragraph 11(m) of the Exemption Determination (</w:t>
            </w:r>
            <w:proofErr w:type="gramStart"/>
            <w:r w:rsidRPr="008C7781">
              <w:rPr>
                <w:szCs w:val="20"/>
              </w:rPr>
              <w:t>whether or not</w:t>
            </w:r>
            <w:proofErr w:type="gramEnd"/>
            <w:r w:rsidRPr="008C7781">
              <w:rPr>
                <w:szCs w:val="20"/>
              </w:rPr>
              <w:t xml:space="preserve"> the application is granted)</w:t>
            </w:r>
            <w:r>
              <w:rPr>
                <w:szCs w:val="20"/>
              </w:rPr>
              <w:t>.</w:t>
            </w:r>
            <w:r w:rsidRPr="008C7781">
              <w:rPr>
                <w:szCs w:val="20"/>
              </w:rPr>
              <w:t xml:space="preserve"> </w:t>
            </w:r>
          </w:p>
        </w:tc>
        <w:tc>
          <w:tcPr>
            <w:tcW w:w="686" w:type="pct"/>
            <w:shd w:val="clear" w:color="auto" w:fill="auto"/>
            <w:vAlign w:val="center"/>
          </w:tcPr>
          <w:p w14:paraId="5DADCB99" w14:textId="3355D86C" w:rsidR="00BC2782" w:rsidRPr="008C7781" w:rsidRDefault="00BC2782" w:rsidP="00702250">
            <w:pPr>
              <w:spacing w:after="0" w:line="240" w:lineRule="auto"/>
              <w:contextualSpacing/>
              <w:jc w:val="right"/>
              <w:rPr>
                <w:rFonts w:cs="Arial"/>
                <w:szCs w:val="20"/>
              </w:rPr>
            </w:pPr>
            <w:r w:rsidRPr="008C7781">
              <w:rPr>
                <w:rFonts w:cs="Arial"/>
                <w:szCs w:val="20"/>
              </w:rPr>
              <w:t xml:space="preserve">Hourly </w:t>
            </w:r>
            <w:r>
              <w:rPr>
                <w:rFonts w:cs="Arial"/>
                <w:szCs w:val="20"/>
              </w:rPr>
              <w:t>r</w:t>
            </w:r>
            <w:r w:rsidRPr="008C7781">
              <w:rPr>
                <w:rFonts w:cs="Arial"/>
                <w:szCs w:val="20"/>
              </w:rPr>
              <w:t>ate</w:t>
            </w:r>
          </w:p>
        </w:tc>
      </w:tr>
      <w:tr w:rsidR="00BC2782" w:rsidRPr="008C7781" w14:paraId="1D630D66" w14:textId="77777777" w:rsidTr="003E5A84">
        <w:trPr>
          <w:trHeight w:val="728"/>
        </w:trPr>
        <w:tc>
          <w:tcPr>
            <w:tcW w:w="195" w:type="pct"/>
            <w:shd w:val="clear" w:color="auto" w:fill="auto"/>
            <w:vAlign w:val="center"/>
          </w:tcPr>
          <w:p w14:paraId="1DF1DB06" w14:textId="7C54882C" w:rsidR="00BC2782" w:rsidRDefault="00BC2782" w:rsidP="00702250">
            <w:pPr>
              <w:spacing w:after="0" w:line="240" w:lineRule="auto"/>
              <w:contextualSpacing/>
              <w:rPr>
                <w:rFonts w:cs="Arial"/>
                <w:szCs w:val="20"/>
              </w:rPr>
            </w:pPr>
            <w:r>
              <w:rPr>
                <w:rFonts w:cs="Arial"/>
                <w:szCs w:val="20"/>
              </w:rPr>
              <w:t>103</w:t>
            </w:r>
          </w:p>
        </w:tc>
        <w:tc>
          <w:tcPr>
            <w:tcW w:w="825" w:type="pct"/>
            <w:vMerge/>
            <w:vAlign w:val="center"/>
          </w:tcPr>
          <w:p w14:paraId="626C4294" w14:textId="77777777" w:rsidR="00BC2782" w:rsidRPr="005E1BCD" w:rsidRDefault="00BC2782" w:rsidP="00702250">
            <w:pPr>
              <w:spacing w:after="0" w:line="240" w:lineRule="auto"/>
              <w:contextualSpacing/>
              <w:rPr>
                <w:rFonts w:cs="Arial"/>
                <w:b/>
                <w:bCs/>
                <w:szCs w:val="20"/>
              </w:rPr>
            </w:pPr>
          </w:p>
        </w:tc>
        <w:tc>
          <w:tcPr>
            <w:tcW w:w="792" w:type="pct"/>
            <w:shd w:val="clear" w:color="auto" w:fill="auto"/>
            <w:vAlign w:val="center"/>
          </w:tcPr>
          <w:p w14:paraId="6E4319F4" w14:textId="7F5C78FA" w:rsidR="00BC2782" w:rsidRDefault="00107493" w:rsidP="00702250">
            <w:pPr>
              <w:spacing w:after="0" w:line="240" w:lineRule="auto"/>
              <w:contextualSpacing/>
            </w:pPr>
            <w:hyperlink r:id="rId126" w:anchor="RANGE!D52" w:history="1">
              <w:r w:rsidR="00BC2782" w:rsidRPr="00E05173">
                <w:t>Sch 1 Part 3 Table 3 (item 3.3.2)</w:t>
              </w:r>
            </w:hyperlink>
          </w:p>
        </w:tc>
        <w:tc>
          <w:tcPr>
            <w:tcW w:w="2502" w:type="pct"/>
            <w:shd w:val="clear" w:color="auto" w:fill="auto"/>
            <w:vAlign w:val="center"/>
          </w:tcPr>
          <w:p w14:paraId="1F479EF4" w14:textId="199A158B" w:rsidR="00BC2782" w:rsidRPr="008C7781" w:rsidRDefault="00BC2782" w:rsidP="00702250">
            <w:pPr>
              <w:pStyle w:val="Paragraphbeforelist"/>
              <w:spacing w:after="0" w:line="240" w:lineRule="auto"/>
              <w:contextualSpacing/>
              <w:rPr>
                <w:szCs w:val="20"/>
              </w:rPr>
            </w:pPr>
            <w:r w:rsidRPr="008C7781">
              <w:rPr>
                <w:szCs w:val="20"/>
              </w:rPr>
              <w:t xml:space="preserve">Making a notifiable instrument (new instrument) under subclause 1(1) of Schedule 1 to the Exemption Determination naming a person for the purposes of section 9 and/or paragraph 11(m) of the Exemption Determination, where a notifiable instrument (previous instrument) has already been made naming the same person, and the new instrument is made either while the previous instrument is still in force, or within 3 months after the previous instrument has ceased to be in force.  </w:t>
            </w:r>
          </w:p>
        </w:tc>
        <w:tc>
          <w:tcPr>
            <w:tcW w:w="686" w:type="pct"/>
            <w:shd w:val="clear" w:color="auto" w:fill="auto"/>
            <w:vAlign w:val="center"/>
          </w:tcPr>
          <w:p w14:paraId="19A9AD1E" w14:textId="47393FC0" w:rsidR="00BC2782" w:rsidRPr="008C7781" w:rsidRDefault="00BC2782" w:rsidP="00702250">
            <w:pPr>
              <w:spacing w:after="0" w:line="240" w:lineRule="auto"/>
              <w:contextualSpacing/>
              <w:jc w:val="right"/>
              <w:rPr>
                <w:rFonts w:cs="Arial"/>
                <w:szCs w:val="20"/>
              </w:rPr>
            </w:pPr>
            <w:r w:rsidRPr="008C7781">
              <w:rPr>
                <w:rFonts w:cs="Arial"/>
                <w:szCs w:val="20"/>
              </w:rPr>
              <w:t xml:space="preserve">Hourly </w:t>
            </w:r>
            <w:r>
              <w:rPr>
                <w:rFonts w:cs="Arial"/>
                <w:szCs w:val="20"/>
              </w:rPr>
              <w:t>r</w:t>
            </w:r>
            <w:r w:rsidRPr="008C7781">
              <w:rPr>
                <w:rFonts w:cs="Arial"/>
                <w:szCs w:val="20"/>
              </w:rPr>
              <w:t>ate</w:t>
            </w:r>
          </w:p>
        </w:tc>
      </w:tr>
    </w:tbl>
    <w:p w14:paraId="53116EF8" w14:textId="5B719CD9" w:rsidR="00250C90" w:rsidRDefault="008C7781" w:rsidP="008D20FB">
      <w:pPr>
        <w:pStyle w:val="Paragraph"/>
        <w:spacing w:after="80" w:line="240" w:lineRule="auto"/>
        <w:contextualSpacing/>
      </w:pPr>
      <w:r>
        <w:fldChar w:fldCharType="end"/>
      </w:r>
    </w:p>
    <w:p w14:paraId="32768A0F" w14:textId="7150FEDC" w:rsidR="00CF7C10" w:rsidRPr="00C832D1" w:rsidRDefault="00C35614" w:rsidP="007B0978">
      <w:pPr>
        <w:pStyle w:val="Heading2"/>
        <w:spacing w:after="120"/>
      </w:pPr>
      <w:bookmarkStart w:id="127" w:name="_Toc143267720"/>
      <w:r>
        <w:lastRenderedPageBreak/>
        <w:t xml:space="preserve">Fees under the </w:t>
      </w:r>
      <w:r w:rsidR="00C832D1" w:rsidRPr="005E1BCD">
        <w:t>Radiocommunications (Digital Radio Multiplex Transmitter Licences – Application Fee) Determination</w:t>
      </w:r>
      <w:r w:rsidR="00C832D1">
        <w:t> </w:t>
      </w:r>
      <w:r w:rsidR="00C832D1" w:rsidRPr="005E1BCD">
        <w:t>20</w:t>
      </w:r>
      <w:r w:rsidR="00C832D1">
        <w:t>2</w:t>
      </w:r>
      <w:r w:rsidR="00C832D1" w:rsidRPr="005E1BCD">
        <w:t>2</w:t>
      </w:r>
      <w:bookmarkEnd w:id="127"/>
      <w:r w:rsidR="00C832D1" w:rsidRPr="005E1BCD">
        <w:t> </w:t>
      </w:r>
    </w:p>
    <w:tbl>
      <w:tblPr>
        <w:tblW w:w="14454" w:type="dxa"/>
        <w:tblCellMar>
          <w:top w:w="85" w:type="dxa"/>
          <w:left w:w="57" w:type="dxa"/>
          <w:bottom w:w="85" w:type="dxa"/>
          <w:right w:w="57" w:type="dxa"/>
        </w:tblCellMar>
        <w:tblLook w:val="04A0" w:firstRow="1" w:lastRow="0" w:firstColumn="1" w:lastColumn="0" w:noHBand="0" w:noVBand="1"/>
      </w:tblPr>
      <w:tblGrid>
        <w:gridCol w:w="492"/>
        <w:gridCol w:w="2338"/>
        <w:gridCol w:w="2410"/>
        <w:gridCol w:w="7229"/>
        <w:gridCol w:w="1985"/>
      </w:tblGrid>
      <w:tr w:rsidR="00C832D1" w:rsidRPr="00791388" w14:paraId="2626342A" w14:textId="77777777" w:rsidTr="00F325E7">
        <w:tc>
          <w:tcPr>
            <w:tcW w:w="0" w:type="auto"/>
            <w:tcBorders>
              <w:top w:val="single" w:sz="4" w:space="0" w:color="000000"/>
              <w:left w:val="single" w:sz="4" w:space="0" w:color="000000"/>
              <w:bottom w:val="nil"/>
              <w:right w:val="single" w:sz="8" w:space="0" w:color="000000"/>
            </w:tcBorders>
            <w:shd w:val="clear" w:color="auto" w:fill="404040" w:themeFill="text1" w:themeFillTint="BF"/>
            <w:vAlign w:val="bottom"/>
            <w:hideMark/>
          </w:tcPr>
          <w:p w14:paraId="7C4453FE" w14:textId="77777777" w:rsidR="00C832D1" w:rsidRPr="00250C90" w:rsidRDefault="00C832D1" w:rsidP="00F325E7">
            <w:pPr>
              <w:keepNext/>
              <w:keepLines/>
              <w:spacing w:after="0" w:line="240" w:lineRule="auto"/>
              <w:rPr>
                <w:rFonts w:cs="Arial"/>
                <w:b/>
                <w:bCs/>
                <w:color w:val="FFFFFF"/>
                <w:szCs w:val="20"/>
              </w:rPr>
            </w:pPr>
            <w:r w:rsidRPr="00250C90">
              <w:rPr>
                <w:rFonts w:cs="Arial"/>
                <w:b/>
                <w:bCs/>
                <w:color w:val="FFFFFF"/>
                <w:szCs w:val="20"/>
              </w:rPr>
              <w:t>Ref </w:t>
            </w:r>
          </w:p>
        </w:tc>
        <w:tc>
          <w:tcPr>
            <w:tcW w:w="2338" w:type="dxa"/>
            <w:tcBorders>
              <w:top w:val="single" w:sz="4" w:space="0" w:color="000000"/>
              <w:left w:val="nil"/>
              <w:bottom w:val="nil"/>
              <w:right w:val="single" w:sz="8" w:space="0" w:color="000000"/>
            </w:tcBorders>
            <w:shd w:val="clear" w:color="auto" w:fill="404040" w:themeFill="text1" w:themeFillTint="BF"/>
            <w:vAlign w:val="bottom"/>
            <w:hideMark/>
          </w:tcPr>
          <w:p w14:paraId="645725CA" w14:textId="77777777" w:rsidR="00C832D1" w:rsidRPr="00250C90" w:rsidRDefault="00C832D1" w:rsidP="00F325E7">
            <w:pPr>
              <w:keepNext/>
              <w:keepLines/>
              <w:spacing w:after="0" w:line="240" w:lineRule="auto"/>
              <w:rPr>
                <w:rFonts w:cs="Arial"/>
                <w:b/>
                <w:bCs/>
                <w:color w:val="FFFFFF"/>
                <w:szCs w:val="20"/>
              </w:rPr>
            </w:pPr>
            <w:r w:rsidRPr="00250C90">
              <w:rPr>
                <w:rFonts w:cs="Arial"/>
                <w:b/>
                <w:bCs/>
                <w:color w:val="FFFFFF"/>
                <w:szCs w:val="20"/>
              </w:rPr>
              <w:t>Fee type </w:t>
            </w:r>
          </w:p>
        </w:tc>
        <w:tc>
          <w:tcPr>
            <w:tcW w:w="2410" w:type="dxa"/>
            <w:tcBorders>
              <w:top w:val="single" w:sz="4" w:space="0" w:color="000000"/>
              <w:left w:val="nil"/>
              <w:bottom w:val="nil"/>
              <w:right w:val="single" w:sz="4" w:space="0" w:color="auto"/>
            </w:tcBorders>
            <w:shd w:val="clear" w:color="auto" w:fill="404040" w:themeFill="text1" w:themeFillTint="BF"/>
            <w:vAlign w:val="bottom"/>
            <w:hideMark/>
          </w:tcPr>
          <w:p w14:paraId="7E51B396" w14:textId="702DD7CD" w:rsidR="00C832D1" w:rsidRPr="00250C90" w:rsidRDefault="00C832D1" w:rsidP="00F325E7">
            <w:pPr>
              <w:keepNext/>
              <w:keepLines/>
              <w:spacing w:after="0" w:line="240" w:lineRule="auto"/>
              <w:rPr>
                <w:rFonts w:cs="Arial"/>
                <w:b/>
                <w:bCs/>
                <w:color w:val="FFFFFF"/>
                <w:szCs w:val="20"/>
              </w:rPr>
            </w:pPr>
            <w:r>
              <w:rPr>
                <w:rFonts w:cs="Arial"/>
                <w:b/>
                <w:bCs/>
                <w:color w:val="FFFFFF"/>
                <w:szCs w:val="20"/>
              </w:rPr>
              <w:t>Relevant section</w:t>
            </w:r>
            <w:r w:rsidRPr="00250C90">
              <w:rPr>
                <w:rFonts w:cs="Arial"/>
                <w:b/>
                <w:bCs/>
                <w:color w:val="FFFFFF"/>
                <w:szCs w:val="20"/>
              </w:rPr>
              <w:t> </w:t>
            </w:r>
          </w:p>
        </w:tc>
        <w:tc>
          <w:tcPr>
            <w:tcW w:w="722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bottom"/>
            <w:hideMark/>
          </w:tcPr>
          <w:p w14:paraId="1F636F57" w14:textId="77777777" w:rsidR="00C832D1" w:rsidRPr="00250C90" w:rsidRDefault="00C832D1" w:rsidP="00F325E7">
            <w:pPr>
              <w:keepNext/>
              <w:keepLines/>
              <w:spacing w:after="0" w:line="240" w:lineRule="auto"/>
              <w:rPr>
                <w:rFonts w:cs="Arial"/>
                <w:b/>
                <w:bCs/>
                <w:color w:val="FFFFFF"/>
                <w:szCs w:val="20"/>
              </w:rPr>
            </w:pPr>
            <w:r w:rsidRPr="00250C90">
              <w:rPr>
                <w:rFonts w:cs="Arial"/>
                <w:b/>
                <w:bCs/>
                <w:color w:val="FFFFFF"/>
                <w:szCs w:val="20"/>
              </w:rPr>
              <w:t>Description </w:t>
            </w:r>
          </w:p>
        </w:tc>
        <w:tc>
          <w:tcPr>
            <w:tcW w:w="1985"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bottom"/>
            <w:hideMark/>
          </w:tcPr>
          <w:p w14:paraId="44B31B2C" w14:textId="77777777" w:rsidR="00C832D1" w:rsidRPr="00250C90" w:rsidRDefault="00C832D1" w:rsidP="006D0B51">
            <w:pPr>
              <w:keepNext/>
              <w:keepLines/>
              <w:spacing w:after="0" w:line="240" w:lineRule="auto"/>
              <w:jc w:val="right"/>
              <w:rPr>
                <w:rFonts w:cs="Arial"/>
                <w:b/>
                <w:bCs/>
                <w:color w:val="FFFFFF"/>
                <w:szCs w:val="20"/>
              </w:rPr>
            </w:pPr>
            <w:r w:rsidRPr="00250C90">
              <w:rPr>
                <w:rFonts w:cs="Arial"/>
                <w:b/>
                <w:bCs/>
                <w:color w:val="FFFFFF"/>
                <w:szCs w:val="20"/>
              </w:rPr>
              <w:t>Fee</w:t>
            </w:r>
          </w:p>
        </w:tc>
      </w:tr>
      <w:tr w:rsidR="00C832D1" w:rsidRPr="00791388" w14:paraId="33D2DD4B" w14:textId="77777777" w:rsidTr="00F325E7">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1C196575" w14:textId="77777777" w:rsidR="00C832D1" w:rsidRPr="00791388" w:rsidRDefault="00C832D1" w:rsidP="006D0B51">
            <w:pPr>
              <w:keepNext/>
              <w:keepLines/>
              <w:spacing w:after="0" w:line="240" w:lineRule="auto"/>
              <w:jc w:val="right"/>
              <w:rPr>
                <w:rFonts w:cs="Arial"/>
                <w:szCs w:val="20"/>
              </w:rPr>
            </w:pPr>
            <w:r>
              <w:rPr>
                <w:rFonts w:cs="Arial"/>
                <w:szCs w:val="20"/>
              </w:rPr>
              <w:t>104</w:t>
            </w:r>
          </w:p>
        </w:tc>
        <w:tc>
          <w:tcPr>
            <w:tcW w:w="233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555F29A" w14:textId="77777777" w:rsidR="00C832D1" w:rsidRPr="005E1BCD" w:rsidRDefault="00C832D1" w:rsidP="00F325E7">
            <w:pPr>
              <w:keepNext/>
              <w:keepLines/>
              <w:spacing w:after="0" w:line="240" w:lineRule="auto"/>
              <w:rPr>
                <w:rFonts w:cs="Arial"/>
                <w:b/>
                <w:bCs/>
                <w:szCs w:val="20"/>
              </w:rPr>
            </w:pPr>
            <w:r w:rsidRPr="005E1BCD">
              <w:rPr>
                <w:rFonts w:cs="Arial"/>
                <w:b/>
                <w:bCs/>
                <w:szCs w:val="20"/>
              </w:rPr>
              <w:t>Digital radio multiplex transmitter licences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48C129" w14:textId="77777777" w:rsidR="00C832D1" w:rsidRPr="00E76D2D" w:rsidRDefault="00107493" w:rsidP="00F325E7">
            <w:pPr>
              <w:keepNext/>
              <w:keepLines/>
              <w:spacing w:after="0" w:line="240" w:lineRule="auto"/>
              <w:rPr>
                <w:rFonts w:ascii="Calibri" w:hAnsi="Calibri" w:cs="Calibri"/>
                <w:sz w:val="22"/>
                <w:szCs w:val="22"/>
                <w:u w:val="single"/>
              </w:rPr>
            </w:pPr>
            <w:hyperlink r:id="rId127" w:anchor="RANGE!E2" w:history="1">
              <w:r w:rsidR="00C832D1" w:rsidRPr="00E76D2D">
                <w:t>Section 6 </w:t>
              </w:r>
            </w:hyperlink>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0B26F2C0" w14:textId="77777777" w:rsidR="00C832D1" w:rsidRPr="00791388" w:rsidRDefault="00C832D1" w:rsidP="00F325E7">
            <w:pPr>
              <w:keepNext/>
              <w:keepLines/>
              <w:spacing w:after="0" w:line="240" w:lineRule="auto"/>
              <w:rPr>
                <w:rFonts w:cs="Arial"/>
                <w:szCs w:val="20"/>
              </w:rPr>
            </w:pPr>
            <w:r w:rsidRPr="00791388">
              <w:rPr>
                <w:rFonts w:cs="Arial"/>
                <w:szCs w:val="20"/>
              </w:rPr>
              <w:t>Amount of application fee – foundation category 1 digital radio multiplex transmitter licence</w:t>
            </w:r>
            <w:r>
              <w:rPr>
                <w:rFonts w:cs="Arial"/>
                <w:szCs w:val="2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03B73B5" w14:textId="77777777" w:rsidR="00C832D1" w:rsidRPr="00791388" w:rsidRDefault="00C832D1" w:rsidP="006D0B51">
            <w:pPr>
              <w:keepNext/>
              <w:keepLines/>
              <w:spacing w:after="0" w:line="240" w:lineRule="auto"/>
              <w:jc w:val="right"/>
              <w:rPr>
                <w:rFonts w:cs="Arial"/>
                <w:szCs w:val="20"/>
              </w:rPr>
            </w:pPr>
            <w:r w:rsidRPr="00791388">
              <w:rPr>
                <w:rFonts w:cs="Arial"/>
                <w:szCs w:val="20"/>
              </w:rPr>
              <w:t>$1,130.00</w:t>
            </w:r>
          </w:p>
        </w:tc>
      </w:tr>
      <w:tr w:rsidR="00C832D1" w:rsidRPr="00791388" w14:paraId="5BB3580F" w14:textId="77777777" w:rsidTr="00F325E7">
        <w:tc>
          <w:tcPr>
            <w:tcW w:w="0" w:type="auto"/>
            <w:tcBorders>
              <w:top w:val="nil"/>
              <w:left w:val="single" w:sz="8" w:space="0" w:color="auto"/>
              <w:bottom w:val="single" w:sz="8" w:space="0" w:color="auto"/>
              <w:right w:val="single" w:sz="4" w:space="0" w:color="auto"/>
            </w:tcBorders>
            <w:shd w:val="clear" w:color="auto" w:fill="auto"/>
            <w:vAlign w:val="center"/>
            <w:hideMark/>
          </w:tcPr>
          <w:p w14:paraId="3B804782" w14:textId="77777777" w:rsidR="00C832D1" w:rsidRPr="00791388" w:rsidRDefault="00C832D1" w:rsidP="00F325E7">
            <w:pPr>
              <w:keepNext/>
              <w:keepLines/>
              <w:spacing w:after="0" w:line="240" w:lineRule="auto"/>
              <w:rPr>
                <w:rFonts w:cs="Arial"/>
                <w:szCs w:val="20"/>
              </w:rPr>
            </w:pPr>
            <w:r>
              <w:rPr>
                <w:rFonts w:cs="Arial"/>
                <w:szCs w:val="20"/>
              </w:rPr>
              <w:t>105</w:t>
            </w:r>
          </w:p>
        </w:tc>
        <w:tc>
          <w:tcPr>
            <w:tcW w:w="2338" w:type="dxa"/>
            <w:vMerge/>
            <w:tcBorders>
              <w:top w:val="nil"/>
              <w:left w:val="single" w:sz="4" w:space="0" w:color="auto"/>
              <w:bottom w:val="single" w:sz="8" w:space="0" w:color="000000"/>
              <w:right w:val="single" w:sz="4" w:space="0" w:color="auto"/>
            </w:tcBorders>
            <w:vAlign w:val="center"/>
            <w:hideMark/>
          </w:tcPr>
          <w:p w14:paraId="43442815" w14:textId="77777777" w:rsidR="00C832D1" w:rsidRPr="005E1BCD" w:rsidRDefault="00C832D1" w:rsidP="00F325E7">
            <w:pPr>
              <w:keepNext/>
              <w:keepLines/>
              <w:spacing w:after="0" w:line="240" w:lineRule="auto"/>
              <w:rPr>
                <w:rFonts w:cs="Arial"/>
                <w:b/>
                <w:bCs/>
                <w:szCs w:val="20"/>
              </w:rPr>
            </w:pPr>
          </w:p>
        </w:tc>
        <w:tc>
          <w:tcPr>
            <w:tcW w:w="2410" w:type="dxa"/>
            <w:tcBorders>
              <w:top w:val="nil"/>
              <w:left w:val="nil"/>
              <w:bottom w:val="single" w:sz="8" w:space="0" w:color="auto"/>
              <w:right w:val="single" w:sz="4" w:space="0" w:color="auto"/>
            </w:tcBorders>
            <w:shd w:val="clear" w:color="auto" w:fill="auto"/>
            <w:vAlign w:val="center"/>
            <w:hideMark/>
          </w:tcPr>
          <w:p w14:paraId="28C29003" w14:textId="77777777" w:rsidR="00C832D1" w:rsidRPr="00E76D2D" w:rsidRDefault="00107493" w:rsidP="00F325E7">
            <w:pPr>
              <w:keepNext/>
              <w:keepLines/>
              <w:spacing w:after="0" w:line="240" w:lineRule="auto"/>
              <w:rPr>
                <w:rFonts w:ascii="Calibri" w:hAnsi="Calibri" w:cs="Calibri"/>
                <w:sz w:val="22"/>
                <w:szCs w:val="22"/>
                <w:u w:val="single"/>
              </w:rPr>
            </w:pPr>
            <w:hyperlink r:id="rId128" w:anchor="RANGE!E19" w:history="1">
              <w:r w:rsidR="00C832D1" w:rsidRPr="00E76D2D">
                <w:t>Section 7</w:t>
              </w:r>
            </w:hyperlink>
          </w:p>
        </w:tc>
        <w:tc>
          <w:tcPr>
            <w:tcW w:w="7229" w:type="dxa"/>
            <w:tcBorders>
              <w:top w:val="nil"/>
              <w:left w:val="nil"/>
              <w:bottom w:val="single" w:sz="8" w:space="0" w:color="auto"/>
              <w:right w:val="single" w:sz="4" w:space="0" w:color="auto"/>
            </w:tcBorders>
            <w:shd w:val="clear" w:color="auto" w:fill="auto"/>
            <w:vAlign w:val="center"/>
            <w:hideMark/>
          </w:tcPr>
          <w:p w14:paraId="4B1B8986" w14:textId="77777777" w:rsidR="00C832D1" w:rsidRPr="00791388" w:rsidRDefault="00C832D1" w:rsidP="00F325E7">
            <w:pPr>
              <w:keepNext/>
              <w:keepLines/>
              <w:spacing w:after="0" w:line="240" w:lineRule="auto"/>
              <w:rPr>
                <w:rFonts w:cs="Arial"/>
                <w:szCs w:val="20"/>
              </w:rPr>
            </w:pPr>
            <w:r w:rsidRPr="00791388">
              <w:rPr>
                <w:rFonts w:cs="Arial"/>
                <w:szCs w:val="20"/>
              </w:rPr>
              <w:t>Amount of application fee – foundation category 2 digital radio multiplex transmitter licence</w:t>
            </w:r>
            <w:r>
              <w:rPr>
                <w:rFonts w:cs="Arial"/>
                <w:szCs w:val="20"/>
              </w:rPr>
              <w:t>.</w:t>
            </w:r>
          </w:p>
        </w:tc>
        <w:tc>
          <w:tcPr>
            <w:tcW w:w="1985" w:type="dxa"/>
            <w:tcBorders>
              <w:top w:val="nil"/>
              <w:left w:val="nil"/>
              <w:bottom w:val="single" w:sz="8" w:space="0" w:color="auto"/>
              <w:right w:val="single" w:sz="4" w:space="0" w:color="auto"/>
            </w:tcBorders>
            <w:shd w:val="clear" w:color="auto" w:fill="auto"/>
            <w:vAlign w:val="center"/>
            <w:hideMark/>
          </w:tcPr>
          <w:p w14:paraId="7A77A9A0" w14:textId="77777777" w:rsidR="00C832D1" w:rsidRPr="00791388" w:rsidRDefault="00C832D1" w:rsidP="006D0B51">
            <w:pPr>
              <w:keepNext/>
              <w:keepLines/>
              <w:spacing w:after="0" w:line="240" w:lineRule="auto"/>
              <w:jc w:val="right"/>
              <w:rPr>
                <w:rFonts w:cs="Arial"/>
                <w:szCs w:val="20"/>
              </w:rPr>
            </w:pPr>
            <w:r w:rsidRPr="00791388">
              <w:rPr>
                <w:rFonts w:cs="Arial"/>
                <w:szCs w:val="20"/>
              </w:rPr>
              <w:t>$1,130.00</w:t>
            </w:r>
          </w:p>
        </w:tc>
      </w:tr>
    </w:tbl>
    <w:p w14:paraId="6FD28CF1" w14:textId="77777777" w:rsidR="00C832D1" w:rsidRDefault="00C832D1" w:rsidP="00C832D1">
      <w:pPr>
        <w:pStyle w:val="Paragraph"/>
        <w:spacing w:after="120"/>
      </w:pPr>
    </w:p>
    <w:p w14:paraId="33206ECF" w14:textId="5FABB88C" w:rsidR="00682B0B" w:rsidRPr="00C832D1" w:rsidRDefault="00C35614" w:rsidP="007B0978">
      <w:pPr>
        <w:pStyle w:val="Heading2"/>
        <w:spacing w:before="240" w:after="120"/>
      </w:pPr>
      <w:bookmarkStart w:id="128" w:name="_Toc143267721"/>
      <w:r>
        <w:t xml:space="preserve">Fees under the </w:t>
      </w:r>
      <w:r w:rsidR="00C832D1" w:rsidRPr="005E1BCD">
        <w:t>Telecommunications (Charges) Determination</w:t>
      </w:r>
      <w:r w:rsidR="00C832D1">
        <w:t xml:space="preserve"> 2022</w:t>
      </w:r>
      <w:bookmarkEnd w:id="128"/>
      <w:r w:rsidR="00682B0B">
        <w:fldChar w:fldCharType="begin"/>
      </w:r>
      <w:r w:rsidR="00682B0B">
        <w:instrText xml:space="preserve"> LINK </w:instrText>
      </w:r>
      <w:r w:rsidR="00B252F0">
        <w:instrText xml:space="preserve">Excel.Sheet.12 https://acmagovau.sharepoint.com/sites/2023-24FeesforServiceCRIS/Shared%20Documents/General/CRIS/Copy%20of%20Att%20A%20to%20Fees%20CRIS(V1).xlsx "Attachment A - CRIS!R125C2:R149C6" </w:instrText>
      </w:r>
      <w:r w:rsidR="00682B0B">
        <w:instrText xml:space="preserve">\a \f 4 \h </w:instrText>
      </w:r>
      <w:r w:rsidR="00250C90">
        <w:instrText xml:space="preserve"> \* MERGEFORMAT </w:instrText>
      </w:r>
      <w:r w:rsidR="00682B0B">
        <w:fldChar w:fldCharType="separate"/>
      </w:r>
      <w:bookmarkStart w:id="129" w:name="_1741672012"/>
      <w:bookmarkStart w:id="130" w:name="_1742188879"/>
      <w:bookmarkEnd w:id="129"/>
      <w:bookmarkEnd w:id="130"/>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57" w:type="dxa"/>
          <w:bottom w:w="85" w:type="dxa"/>
          <w:right w:w="57" w:type="dxa"/>
        </w:tblCellMar>
        <w:tblLook w:val="04A0" w:firstRow="1" w:lastRow="0" w:firstColumn="1" w:lastColumn="0" w:noHBand="0" w:noVBand="1"/>
      </w:tblPr>
      <w:tblGrid>
        <w:gridCol w:w="492"/>
        <w:gridCol w:w="2339"/>
        <w:gridCol w:w="2412"/>
        <w:gridCol w:w="7382"/>
        <w:gridCol w:w="1833"/>
      </w:tblGrid>
      <w:tr w:rsidR="00202B63" w:rsidRPr="00682B0B" w14:paraId="592924C2" w14:textId="77777777" w:rsidTr="00E13CAA">
        <w:trPr>
          <w:trHeight w:val="232"/>
          <w:tblHeader/>
        </w:trPr>
        <w:tc>
          <w:tcPr>
            <w:tcW w:w="170" w:type="pct"/>
            <w:shd w:val="clear" w:color="000000" w:fill="404040"/>
            <w:vAlign w:val="bottom"/>
            <w:hideMark/>
          </w:tcPr>
          <w:p w14:paraId="263940BF" w14:textId="7F45C841" w:rsidR="00682B0B" w:rsidRPr="00682B0B" w:rsidRDefault="00682B0B" w:rsidP="00250C90">
            <w:pPr>
              <w:keepNext/>
              <w:keepLines/>
              <w:spacing w:after="0" w:line="240" w:lineRule="auto"/>
              <w:rPr>
                <w:rFonts w:cs="Arial"/>
                <w:b/>
                <w:bCs/>
                <w:color w:val="FFFFFF"/>
                <w:szCs w:val="20"/>
              </w:rPr>
            </w:pPr>
            <w:r w:rsidRPr="00682B0B">
              <w:rPr>
                <w:rFonts w:cs="Arial"/>
                <w:b/>
                <w:bCs/>
                <w:color w:val="FFFFFF"/>
                <w:szCs w:val="20"/>
              </w:rPr>
              <w:t>Ref </w:t>
            </w:r>
          </w:p>
        </w:tc>
        <w:tc>
          <w:tcPr>
            <w:tcW w:w="809" w:type="pct"/>
            <w:shd w:val="clear" w:color="000000" w:fill="404040"/>
            <w:vAlign w:val="bottom"/>
            <w:hideMark/>
          </w:tcPr>
          <w:p w14:paraId="7D7594A8" w14:textId="77777777" w:rsidR="00682B0B" w:rsidRPr="005E1BCD" w:rsidRDefault="00682B0B" w:rsidP="00250C90">
            <w:pPr>
              <w:keepNext/>
              <w:keepLines/>
              <w:spacing w:after="0" w:line="240" w:lineRule="auto"/>
              <w:rPr>
                <w:rFonts w:cs="Arial"/>
                <w:b/>
                <w:bCs/>
                <w:color w:val="FFFFFF"/>
                <w:szCs w:val="20"/>
              </w:rPr>
            </w:pPr>
            <w:r w:rsidRPr="005E1BCD">
              <w:rPr>
                <w:rFonts w:cs="Arial"/>
                <w:b/>
                <w:bCs/>
                <w:color w:val="FFFFFF"/>
                <w:szCs w:val="20"/>
              </w:rPr>
              <w:t>Fee type </w:t>
            </w:r>
          </w:p>
        </w:tc>
        <w:tc>
          <w:tcPr>
            <w:tcW w:w="834" w:type="pct"/>
            <w:shd w:val="clear" w:color="000000" w:fill="404040"/>
            <w:vAlign w:val="bottom"/>
            <w:hideMark/>
          </w:tcPr>
          <w:p w14:paraId="22D4F6DB" w14:textId="36EBAAED" w:rsidR="00682B0B" w:rsidRPr="005E1BCD" w:rsidRDefault="00C832D1" w:rsidP="00250C90">
            <w:pPr>
              <w:keepNext/>
              <w:keepLines/>
              <w:spacing w:after="0" w:line="240" w:lineRule="auto"/>
              <w:rPr>
                <w:rFonts w:cs="Arial"/>
                <w:b/>
                <w:bCs/>
                <w:color w:val="FFFFFF"/>
                <w:szCs w:val="20"/>
              </w:rPr>
            </w:pPr>
            <w:r>
              <w:rPr>
                <w:rFonts w:cs="Arial"/>
                <w:b/>
                <w:bCs/>
                <w:color w:val="FFFFFF"/>
                <w:szCs w:val="20"/>
              </w:rPr>
              <w:t>Relevant section</w:t>
            </w:r>
          </w:p>
        </w:tc>
        <w:tc>
          <w:tcPr>
            <w:tcW w:w="2553" w:type="pct"/>
            <w:shd w:val="clear" w:color="000000" w:fill="404040"/>
            <w:vAlign w:val="bottom"/>
            <w:hideMark/>
          </w:tcPr>
          <w:p w14:paraId="5F0EF2EB" w14:textId="77777777" w:rsidR="00682B0B" w:rsidRPr="005E1BCD" w:rsidRDefault="00682B0B" w:rsidP="00250C90">
            <w:pPr>
              <w:keepNext/>
              <w:keepLines/>
              <w:spacing w:after="0" w:line="240" w:lineRule="auto"/>
              <w:rPr>
                <w:rFonts w:cs="Arial"/>
                <w:b/>
                <w:bCs/>
                <w:color w:val="FFFFFF"/>
                <w:szCs w:val="20"/>
              </w:rPr>
            </w:pPr>
            <w:r w:rsidRPr="005E1BCD">
              <w:rPr>
                <w:rFonts w:cs="Arial"/>
                <w:b/>
                <w:bCs/>
                <w:color w:val="FFFFFF"/>
                <w:szCs w:val="20"/>
              </w:rPr>
              <w:t>Description </w:t>
            </w:r>
          </w:p>
        </w:tc>
        <w:tc>
          <w:tcPr>
            <w:tcW w:w="634" w:type="pct"/>
            <w:shd w:val="clear" w:color="000000" w:fill="404040"/>
            <w:vAlign w:val="bottom"/>
            <w:hideMark/>
          </w:tcPr>
          <w:p w14:paraId="5B8A0686" w14:textId="77777777" w:rsidR="00682B0B" w:rsidRPr="005E1BCD" w:rsidRDefault="00682B0B" w:rsidP="006D0B51">
            <w:pPr>
              <w:keepNext/>
              <w:keepLines/>
              <w:spacing w:after="0" w:line="240" w:lineRule="auto"/>
              <w:jc w:val="right"/>
              <w:rPr>
                <w:rFonts w:cs="Arial"/>
                <w:b/>
                <w:bCs/>
                <w:color w:val="FFFFFF"/>
                <w:szCs w:val="20"/>
              </w:rPr>
            </w:pPr>
            <w:r w:rsidRPr="005E1BCD">
              <w:rPr>
                <w:rFonts w:cs="Arial"/>
                <w:b/>
                <w:bCs/>
                <w:color w:val="FFFFFF"/>
                <w:szCs w:val="20"/>
              </w:rPr>
              <w:t>Fee</w:t>
            </w:r>
          </w:p>
        </w:tc>
      </w:tr>
      <w:tr w:rsidR="00202B63" w:rsidRPr="00682B0B" w14:paraId="7254C6B1" w14:textId="77777777" w:rsidTr="00E13CAA">
        <w:trPr>
          <w:trHeight w:val="576"/>
        </w:trPr>
        <w:tc>
          <w:tcPr>
            <w:tcW w:w="170" w:type="pct"/>
            <w:shd w:val="clear" w:color="auto" w:fill="auto"/>
            <w:vAlign w:val="center"/>
            <w:hideMark/>
          </w:tcPr>
          <w:p w14:paraId="6D6FB356" w14:textId="7F2A4FB1" w:rsidR="00682B0B" w:rsidRPr="00682B0B" w:rsidRDefault="00160723" w:rsidP="006D0B51">
            <w:pPr>
              <w:keepNext/>
              <w:keepLines/>
              <w:spacing w:after="0" w:line="240" w:lineRule="auto"/>
              <w:jc w:val="right"/>
              <w:rPr>
                <w:rFonts w:cs="Arial"/>
                <w:szCs w:val="20"/>
              </w:rPr>
            </w:pPr>
            <w:r>
              <w:rPr>
                <w:rFonts w:cs="Arial"/>
                <w:szCs w:val="20"/>
              </w:rPr>
              <w:t>10</w:t>
            </w:r>
            <w:r w:rsidR="00FB7E48">
              <w:rPr>
                <w:rFonts w:cs="Arial"/>
                <w:szCs w:val="20"/>
              </w:rPr>
              <w:t>6</w:t>
            </w:r>
          </w:p>
        </w:tc>
        <w:tc>
          <w:tcPr>
            <w:tcW w:w="809" w:type="pct"/>
            <w:shd w:val="clear" w:color="auto" w:fill="auto"/>
            <w:vAlign w:val="center"/>
            <w:hideMark/>
          </w:tcPr>
          <w:p w14:paraId="713FEA5E" w14:textId="77777777" w:rsidR="00682B0B" w:rsidRPr="00E76D2D" w:rsidRDefault="00682B0B" w:rsidP="0095343A">
            <w:pPr>
              <w:keepNext/>
              <w:keepLines/>
              <w:spacing w:after="0" w:line="240" w:lineRule="auto"/>
              <w:rPr>
                <w:rFonts w:cs="Arial"/>
                <w:b/>
                <w:bCs/>
                <w:szCs w:val="20"/>
              </w:rPr>
            </w:pPr>
            <w:r w:rsidRPr="00E76D2D">
              <w:rPr>
                <w:rFonts w:cs="Arial"/>
                <w:b/>
                <w:bCs/>
                <w:szCs w:val="20"/>
              </w:rPr>
              <w:t>Nominated carrier declaration</w:t>
            </w:r>
            <w:r w:rsidRPr="00E76D2D">
              <w:rPr>
                <w:rFonts w:cs="Arial"/>
                <w:szCs w:val="20"/>
              </w:rPr>
              <w:t> </w:t>
            </w:r>
            <w:r w:rsidRPr="00E76D2D">
              <w:rPr>
                <w:rFonts w:cs="Arial"/>
                <w:b/>
                <w:bCs/>
                <w:szCs w:val="20"/>
              </w:rPr>
              <w:t>charges</w:t>
            </w:r>
          </w:p>
        </w:tc>
        <w:tc>
          <w:tcPr>
            <w:tcW w:w="834" w:type="pct"/>
            <w:shd w:val="clear" w:color="auto" w:fill="auto"/>
            <w:vAlign w:val="center"/>
            <w:hideMark/>
          </w:tcPr>
          <w:p w14:paraId="3C0F095E" w14:textId="5DB0ACBF" w:rsidR="00682B0B" w:rsidRPr="00E76D2D" w:rsidRDefault="00107493" w:rsidP="0095343A">
            <w:pPr>
              <w:keepNext/>
              <w:keepLines/>
              <w:spacing w:after="0" w:line="240" w:lineRule="auto"/>
              <w:rPr>
                <w:rFonts w:ascii="Calibri" w:hAnsi="Calibri" w:cs="Calibri"/>
                <w:sz w:val="22"/>
                <w:szCs w:val="22"/>
                <w:u w:val="single"/>
              </w:rPr>
            </w:pPr>
            <w:hyperlink r:id="rId129" w:anchor="RANGE!I2" w:history="1">
              <w:r w:rsidR="00682B0B" w:rsidRPr="00E76D2D">
                <w:t>Sch 1</w:t>
              </w:r>
              <w:r w:rsidR="0066184A">
                <w:t xml:space="preserve"> </w:t>
              </w:r>
              <w:r w:rsidR="0066184A">
                <w:rPr>
                  <w:rFonts w:cs="Arial"/>
                  <w:szCs w:val="20"/>
                </w:rPr>
                <w:t xml:space="preserve">– </w:t>
              </w:r>
              <w:r w:rsidR="00682B0B" w:rsidRPr="00E76D2D">
                <w:t>Part 1, Item 1.1</w:t>
              </w:r>
            </w:hyperlink>
          </w:p>
        </w:tc>
        <w:tc>
          <w:tcPr>
            <w:tcW w:w="2553" w:type="pct"/>
            <w:shd w:val="clear" w:color="auto" w:fill="auto"/>
            <w:vAlign w:val="center"/>
            <w:hideMark/>
          </w:tcPr>
          <w:p w14:paraId="27E7204F" w14:textId="21B3ED05" w:rsidR="00682B0B" w:rsidRPr="00682B0B" w:rsidRDefault="00682B0B" w:rsidP="0095343A">
            <w:pPr>
              <w:keepNext/>
              <w:keepLines/>
              <w:spacing w:after="0" w:line="240" w:lineRule="auto"/>
              <w:rPr>
                <w:rFonts w:cs="Arial"/>
                <w:szCs w:val="20"/>
              </w:rPr>
            </w:pPr>
            <w:r w:rsidRPr="00682B0B">
              <w:rPr>
                <w:rFonts w:cs="Arial"/>
                <w:szCs w:val="20"/>
              </w:rPr>
              <w:t>Making an application mentioned in section 77 of the Telecommunications Act for a nominated carrier declaration in relation to one or more specified network units</w:t>
            </w:r>
            <w:r w:rsidR="0095343A">
              <w:rPr>
                <w:rFonts w:cs="Arial"/>
                <w:szCs w:val="20"/>
              </w:rPr>
              <w:t>.</w:t>
            </w:r>
          </w:p>
        </w:tc>
        <w:tc>
          <w:tcPr>
            <w:tcW w:w="634" w:type="pct"/>
            <w:shd w:val="clear" w:color="auto" w:fill="auto"/>
            <w:vAlign w:val="center"/>
            <w:hideMark/>
          </w:tcPr>
          <w:p w14:paraId="68CF4346" w14:textId="77777777" w:rsidR="00682B0B" w:rsidRPr="00682B0B" w:rsidRDefault="00682B0B" w:rsidP="006D0B51">
            <w:pPr>
              <w:keepNext/>
              <w:keepLines/>
              <w:spacing w:after="0" w:line="240" w:lineRule="auto"/>
              <w:jc w:val="right"/>
              <w:rPr>
                <w:rFonts w:cs="Arial"/>
                <w:szCs w:val="20"/>
              </w:rPr>
            </w:pPr>
            <w:r w:rsidRPr="00682B0B">
              <w:rPr>
                <w:rFonts w:cs="Arial"/>
                <w:szCs w:val="20"/>
              </w:rPr>
              <w:t>$2,237.00</w:t>
            </w:r>
          </w:p>
        </w:tc>
      </w:tr>
      <w:tr w:rsidR="00202B63" w:rsidRPr="00682B0B" w14:paraId="4282A31E" w14:textId="77777777" w:rsidTr="00E13CAA">
        <w:trPr>
          <w:trHeight w:val="556"/>
        </w:trPr>
        <w:tc>
          <w:tcPr>
            <w:tcW w:w="170" w:type="pct"/>
            <w:shd w:val="clear" w:color="auto" w:fill="auto"/>
            <w:vAlign w:val="center"/>
            <w:hideMark/>
          </w:tcPr>
          <w:p w14:paraId="39577494" w14:textId="15402FD7" w:rsidR="00003E01" w:rsidRPr="00682B0B" w:rsidRDefault="00CA6AA2" w:rsidP="0095343A">
            <w:pPr>
              <w:spacing w:after="0" w:line="240" w:lineRule="auto"/>
              <w:rPr>
                <w:rFonts w:cs="Arial"/>
                <w:szCs w:val="20"/>
              </w:rPr>
            </w:pPr>
            <w:r>
              <w:rPr>
                <w:rFonts w:cs="Arial"/>
                <w:szCs w:val="20"/>
              </w:rPr>
              <w:t>10</w:t>
            </w:r>
            <w:r w:rsidR="00FB7E48">
              <w:rPr>
                <w:rFonts w:cs="Arial"/>
                <w:szCs w:val="20"/>
              </w:rPr>
              <w:t>7</w:t>
            </w:r>
          </w:p>
        </w:tc>
        <w:tc>
          <w:tcPr>
            <w:tcW w:w="809" w:type="pct"/>
            <w:shd w:val="clear" w:color="auto" w:fill="auto"/>
            <w:vAlign w:val="center"/>
            <w:hideMark/>
          </w:tcPr>
          <w:p w14:paraId="6B202A67" w14:textId="7F6C7786" w:rsidR="00003E01" w:rsidRPr="005E1BCD" w:rsidRDefault="00003E01" w:rsidP="0095343A">
            <w:pPr>
              <w:spacing w:after="0" w:line="240" w:lineRule="auto"/>
              <w:rPr>
                <w:rFonts w:cs="Arial"/>
                <w:b/>
                <w:bCs/>
                <w:szCs w:val="20"/>
              </w:rPr>
            </w:pPr>
            <w:r w:rsidRPr="00DF19BA">
              <w:rPr>
                <w:rFonts w:cs="Arial"/>
                <w:b/>
                <w:bCs/>
                <w:szCs w:val="20"/>
              </w:rPr>
              <w:t xml:space="preserve">Connection permits </w:t>
            </w:r>
          </w:p>
        </w:tc>
        <w:tc>
          <w:tcPr>
            <w:tcW w:w="834" w:type="pct"/>
            <w:shd w:val="clear" w:color="auto" w:fill="auto"/>
            <w:vAlign w:val="center"/>
            <w:hideMark/>
          </w:tcPr>
          <w:p w14:paraId="4C07AD0D" w14:textId="27A9BE6F" w:rsidR="00003E01" w:rsidRPr="00E76D2D" w:rsidRDefault="00107493" w:rsidP="0095343A">
            <w:pPr>
              <w:spacing w:after="0" w:line="240" w:lineRule="auto"/>
              <w:rPr>
                <w:rFonts w:ascii="Calibri" w:hAnsi="Calibri" w:cs="Calibri"/>
                <w:sz w:val="22"/>
                <w:szCs w:val="22"/>
                <w:u w:val="single"/>
              </w:rPr>
            </w:pPr>
            <w:hyperlink r:id="rId130" w:anchor="RANGE!D52" w:history="1">
              <w:r w:rsidR="00003E01" w:rsidRPr="00E76D2D">
                <w:t>Sch 1 - Part 7, Item 7.1</w:t>
              </w:r>
            </w:hyperlink>
          </w:p>
        </w:tc>
        <w:tc>
          <w:tcPr>
            <w:tcW w:w="2553" w:type="pct"/>
            <w:shd w:val="clear" w:color="auto" w:fill="auto"/>
            <w:vAlign w:val="center"/>
            <w:hideMark/>
          </w:tcPr>
          <w:p w14:paraId="5D869A79" w14:textId="23D50D8C" w:rsidR="00003E01" w:rsidRPr="00682B0B" w:rsidRDefault="00003E01" w:rsidP="0095343A">
            <w:pPr>
              <w:spacing w:after="0" w:line="240" w:lineRule="auto"/>
              <w:rPr>
                <w:rFonts w:cs="Arial"/>
                <w:szCs w:val="20"/>
              </w:rPr>
            </w:pPr>
            <w:r w:rsidRPr="00682B0B">
              <w:rPr>
                <w:rFonts w:cs="Arial"/>
                <w:szCs w:val="20"/>
              </w:rPr>
              <w:t>Activities of an ACMA official acting as a certification body in connection with dealing with an application for a written statement under paragraph 408 (5) (a) of the Telecommunications Act</w:t>
            </w:r>
            <w:r w:rsidR="0095343A">
              <w:rPr>
                <w:rFonts w:cs="Arial"/>
                <w:szCs w:val="20"/>
              </w:rPr>
              <w:t>.</w:t>
            </w:r>
          </w:p>
        </w:tc>
        <w:tc>
          <w:tcPr>
            <w:tcW w:w="634" w:type="pct"/>
            <w:shd w:val="clear" w:color="auto" w:fill="auto"/>
            <w:vAlign w:val="center"/>
            <w:hideMark/>
          </w:tcPr>
          <w:p w14:paraId="0FE0EA21" w14:textId="77777777" w:rsidR="00003E01" w:rsidRPr="00682B0B" w:rsidRDefault="00003E01" w:rsidP="006D0B51">
            <w:pPr>
              <w:spacing w:after="0" w:line="240" w:lineRule="auto"/>
              <w:jc w:val="right"/>
              <w:rPr>
                <w:rFonts w:cs="Arial"/>
                <w:szCs w:val="20"/>
              </w:rPr>
            </w:pPr>
            <w:r w:rsidRPr="00682B0B">
              <w:rPr>
                <w:rFonts w:cs="Arial"/>
                <w:szCs w:val="20"/>
              </w:rPr>
              <w:t>Hourly rate</w:t>
            </w:r>
          </w:p>
        </w:tc>
      </w:tr>
      <w:tr w:rsidR="00202B63" w:rsidRPr="00682B0B" w14:paraId="44C589E8" w14:textId="77777777" w:rsidTr="0066184A">
        <w:trPr>
          <w:trHeight w:val="261"/>
        </w:trPr>
        <w:tc>
          <w:tcPr>
            <w:tcW w:w="170" w:type="pct"/>
            <w:shd w:val="clear" w:color="auto" w:fill="auto"/>
            <w:vAlign w:val="center"/>
            <w:hideMark/>
          </w:tcPr>
          <w:p w14:paraId="28B89968" w14:textId="5A780C5E" w:rsidR="00003E01" w:rsidRPr="00682B0B" w:rsidRDefault="00003E01" w:rsidP="0095343A">
            <w:pPr>
              <w:spacing w:after="0" w:line="240" w:lineRule="auto"/>
              <w:rPr>
                <w:rFonts w:cs="Arial"/>
                <w:szCs w:val="20"/>
              </w:rPr>
            </w:pPr>
            <w:r w:rsidRPr="00682B0B">
              <w:rPr>
                <w:rFonts w:cs="Arial"/>
                <w:szCs w:val="20"/>
              </w:rPr>
              <w:t>1</w:t>
            </w:r>
            <w:r w:rsidR="00CF7C10">
              <w:rPr>
                <w:rFonts w:cs="Arial"/>
                <w:szCs w:val="20"/>
              </w:rPr>
              <w:t>0</w:t>
            </w:r>
            <w:r w:rsidR="00FB7E48">
              <w:rPr>
                <w:rFonts w:cs="Arial"/>
                <w:szCs w:val="20"/>
              </w:rPr>
              <w:t>8</w:t>
            </w:r>
          </w:p>
        </w:tc>
        <w:tc>
          <w:tcPr>
            <w:tcW w:w="809" w:type="pct"/>
            <w:vMerge w:val="restart"/>
            <w:shd w:val="clear" w:color="auto" w:fill="auto"/>
            <w:vAlign w:val="center"/>
            <w:hideMark/>
          </w:tcPr>
          <w:p w14:paraId="4CE1E6A6" w14:textId="77777777" w:rsidR="00003E01" w:rsidRPr="005E1BCD" w:rsidRDefault="00003E01" w:rsidP="0095343A">
            <w:pPr>
              <w:spacing w:after="0" w:line="240" w:lineRule="auto"/>
              <w:rPr>
                <w:rFonts w:cs="Arial"/>
                <w:b/>
                <w:bCs/>
                <w:szCs w:val="20"/>
              </w:rPr>
            </w:pPr>
            <w:r w:rsidRPr="005E1BCD">
              <w:rPr>
                <w:rFonts w:cs="Arial"/>
                <w:b/>
                <w:bCs/>
                <w:szCs w:val="20"/>
              </w:rPr>
              <w:t>Numbers under Numbering Plan</w:t>
            </w:r>
            <w:r w:rsidRPr="00682B0B">
              <w:rPr>
                <w:rFonts w:cs="Arial"/>
                <w:szCs w:val="20"/>
              </w:rPr>
              <w:t> </w:t>
            </w:r>
          </w:p>
        </w:tc>
        <w:tc>
          <w:tcPr>
            <w:tcW w:w="834" w:type="pct"/>
            <w:vMerge w:val="restart"/>
            <w:shd w:val="clear" w:color="auto" w:fill="auto"/>
            <w:vAlign w:val="center"/>
            <w:hideMark/>
          </w:tcPr>
          <w:p w14:paraId="115A4D2B" w14:textId="63C060B0" w:rsidR="00003E01" w:rsidRPr="00E76D2D" w:rsidRDefault="00107493" w:rsidP="0095343A">
            <w:pPr>
              <w:spacing w:after="0" w:line="240" w:lineRule="auto"/>
              <w:rPr>
                <w:rFonts w:ascii="Calibri" w:hAnsi="Calibri" w:cs="Calibri"/>
                <w:sz w:val="22"/>
                <w:szCs w:val="22"/>
                <w:u w:val="single"/>
              </w:rPr>
            </w:pPr>
            <w:hyperlink r:id="rId131" w:anchor="RANGE!I2" w:history="1">
              <w:r w:rsidR="00003E01" w:rsidRPr="00E76D2D">
                <w:t>Sch 1</w:t>
              </w:r>
              <w:r w:rsidR="0066184A">
                <w:t xml:space="preserve"> </w:t>
              </w:r>
              <w:r w:rsidR="0066184A">
                <w:rPr>
                  <w:rFonts w:cs="Arial"/>
                  <w:szCs w:val="20"/>
                </w:rPr>
                <w:t xml:space="preserve">– </w:t>
              </w:r>
              <w:r w:rsidR="00003E01" w:rsidRPr="00E76D2D">
                <w:t>Part 2 item 2.1</w:t>
              </w:r>
            </w:hyperlink>
          </w:p>
        </w:tc>
        <w:tc>
          <w:tcPr>
            <w:tcW w:w="2553" w:type="pct"/>
            <w:shd w:val="clear" w:color="auto" w:fill="auto"/>
            <w:vAlign w:val="center"/>
            <w:hideMark/>
          </w:tcPr>
          <w:p w14:paraId="504F1C73" w14:textId="3569EC89" w:rsidR="00003E01" w:rsidRPr="00682B0B" w:rsidRDefault="00003E01" w:rsidP="0095343A">
            <w:pPr>
              <w:spacing w:after="0" w:line="240" w:lineRule="auto"/>
              <w:rPr>
                <w:rFonts w:cs="Arial"/>
                <w:szCs w:val="20"/>
              </w:rPr>
            </w:pPr>
            <w:r w:rsidRPr="00682B0B">
              <w:rPr>
                <w:rFonts w:cs="Arial"/>
                <w:szCs w:val="20"/>
              </w:rPr>
              <w:t>Making an application mentioned in paragraph 457 (1) (a) of the Telecommunications Act for the allocation of a number otherwise than in accordance with an allocation system determined under section 463 of the Telecommunications Act (1) For an application made under Part 2 of Chapter 6 of the numbering plan for allocation of one or more standard units of geographic numbers</w:t>
            </w:r>
            <w:r w:rsidR="0095343A">
              <w:rPr>
                <w:rFonts w:cs="Arial"/>
                <w:szCs w:val="20"/>
              </w:rPr>
              <w:t>.</w:t>
            </w:r>
          </w:p>
        </w:tc>
        <w:tc>
          <w:tcPr>
            <w:tcW w:w="634" w:type="pct"/>
            <w:shd w:val="clear" w:color="auto" w:fill="auto"/>
            <w:vAlign w:val="center"/>
            <w:hideMark/>
          </w:tcPr>
          <w:p w14:paraId="0603399A" w14:textId="77777777" w:rsidR="00003E01" w:rsidRPr="00682B0B" w:rsidRDefault="00003E01" w:rsidP="006D0B51">
            <w:pPr>
              <w:spacing w:after="0" w:line="240" w:lineRule="auto"/>
              <w:jc w:val="right"/>
              <w:rPr>
                <w:rFonts w:cs="Arial"/>
                <w:szCs w:val="20"/>
              </w:rPr>
            </w:pPr>
            <w:r w:rsidRPr="00682B0B">
              <w:rPr>
                <w:rFonts w:cs="Arial"/>
                <w:szCs w:val="20"/>
              </w:rPr>
              <w:t>$57.00</w:t>
            </w:r>
          </w:p>
        </w:tc>
      </w:tr>
      <w:tr w:rsidR="00202B63" w:rsidRPr="00682B0B" w14:paraId="16E70A99" w14:textId="77777777" w:rsidTr="00E13CAA">
        <w:trPr>
          <w:trHeight w:val="434"/>
        </w:trPr>
        <w:tc>
          <w:tcPr>
            <w:tcW w:w="170" w:type="pct"/>
            <w:shd w:val="clear" w:color="auto" w:fill="auto"/>
            <w:vAlign w:val="center"/>
            <w:hideMark/>
          </w:tcPr>
          <w:p w14:paraId="694875A0" w14:textId="4A7F5401" w:rsidR="00003E01" w:rsidRPr="00682B0B" w:rsidRDefault="00003E01" w:rsidP="0095343A">
            <w:pPr>
              <w:spacing w:after="0" w:line="240" w:lineRule="auto"/>
              <w:rPr>
                <w:rFonts w:cs="Arial"/>
                <w:szCs w:val="20"/>
              </w:rPr>
            </w:pPr>
            <w:r w:rsidRPr="00682B0B">
              <w:rPr>
                <w:rFonts w:cs="Arial"/>
                <w:szCs w:val="20"/>
              </w:rPr>
              <w:t>1</w:t>
            </w:r>
            <w:r w:rsidR="00CF7C10">
              <w:rPr>
                <w:rFonts w:cs="Arial"/>
                <w:szCs w:val="20"/>
              </w:rPr>
              <w:t>0</w:t>
            </w:r>
            <w:r w:rsidR="00FB7E48">
              <w:rPr>
                <w:rFonts w:cs="Arial"/>
                <w:szCs w:val="20"/>
              </w:rPr>
              <w:t>9</w:t>
            </w:r>
          </w:p>
        </w:tc>
        <w:tc>
          <w:tcPr>
            <w:tcW w:w="809" w:type="pct"/>
            <w:vMerge/>
            <w:vAlign w:val="center"/>
            <w:hideMark/>
          </w:tcPr>
          <w:p w14:paraId="1BD56DFE" w14:textId="77777777" w:rsidR="00003E01" w:rsidRPr="005E1BCD" w:rsidRDefault="00003E01" w:rsidP="0095343A">
            <w:pPr>
              <w:spacing w:after="0" w:line="240" w:lineRule="auto"/>
              <w:rPr>
                <w:rFonts w:cs="Arial"/>
                <w:b/>
                <w:bCs/>
                <w:szCs w:val="20"/>
              </w:rPr>
            </w:pPr>
          </w:p>
        </w:tc>
        <w:tc>
          <w:tcPr>
            <w:tcW w:w="834" w:type="pct"/>
            <w:vMerge/>
            <w:vAlign w:val="center"/>
            <w:hideMark/>
          </w:tcPr>
          <w:p w14:paraId="65E96E35" w14:textId="77777777" w:rsidR="00003E01" w:rsidRPr="00E76D2D" w:rsidRDefault="00003E01" w:rsidP="0095343A">
            <w:pPr>
              <w:spacing w:after="0" w:line="240" w:lineRule="auto"/>
              <w:rPr>
                <w:rFonts w:ascii="Calibri" w:hAnsi="Calibri" w:cs="Calibri"/>
                <w:sz w:val="22"/>
                <w:szCs w:val="22"/>
                <w:u w:val="single"/>
              </w:rPr>
            </w:pPr>
          </w:p>
        </w:tc>
        <w:tc>
          <w:tcPr>
            <w:tcW w:w="2553" w:type="pct"/>
            <w:shd w:val="clear" w:color="auto" w:fill="auto"/>
            <w:vAlign w:val="center"/>
            <w:hideMark/>
          </w:tcPr>
          <w:p w14:paraId="4735C54A" w14:textId="4B079D61" w:rsidR="00003E01" w:rsidRPr="00682B0B" w:rsidRDefault="00003E01" w:rsidP="0095343A">
            <w:pPr>
              <w:spacing w:after="0" w:line="240" w:lineRule="auto"/>
              <w:rPr>
                <w:rFonts w:cs="Arial"/>
                <w:szCs w:val="20"/>
              </w:rPr>
            </w:pPr>
            <w:r w:rsidRPr="00682B0B">
              <w:rPr>
                <w:rFonts w:cs="Arial"/>
                <w:szCs w:val="20"/>
              </w:rPr>
              <w:t>(2) For an application made under Part 3 of Chapter 6 of the numbering plan for allocation of one or more geographic numbers</w:t>
            </w:r>
            <w:r w:rsidR="0095343A">
              <w:rPr>
                <w:rFonts w:cs="Arial"/>
                <w:szCs w:val="20"/>
              </w:rPr>
              <w:t>.</w:t>
            </w:r>
          </w:p>
        </w:tc>
        <w:tc>
          <w:tcPr>
            <w:tcW w:w="634" w:type="pct"/>
            <w:shd w:val="clear" w:color="auto" w:fill="auto"/>
            <w:vAlign w:val="center"/>
            <w:hideMark/>
          </w:tcPr>
          <w:p w14:paraId="74DE8025" w14:textId="77777777" w:rsidR="00003E01" w:rsidRPr="00682B0B" w:rsidRDefault="00003E01" w:rsidP="006D0B51">
            <w:pPr>
              <w:spacing w:after="0" w:line="240" w:lineRule="auto"/>
              <w:jc w:val="right"/>
              <w:rPr>
                <w:rFonts w:cs="Arial"/>
                <w:szCs w:val="20"/>
              </w:rPr>
            </w:pPr>
            <w:r w:rsidRPr="00682B0B">
              <w:rPr>
                <w:rFonts w:cs="Arial"/>
                <w:szCs w:val="20"/>
              </w:rPr>
              <w:t>$57.00</w:t>
            </w:r>
          </w:p>
        </w:tc>
      </w:tr>
      <w:tr w:rsidR="00202B63" w:rsidRPr="00682B0B" w14:paraId="37D5FC1B" w14:textId="77777777" w:rsidTr="00E13CAA">
        <w:trPr>
          <w:trHeight w:val="231"/>
        </w:trPr>
        <w:tc>
          <w:tcPr>
            <w:tcW w:w="170" w:type="pct"/>
            <w:shd w:val="clear" w:color="auto" w:fill="auto"/>
            <w:vAlign w:val="center"/>
            <w:hideMark/>
          </w:tcPr>
          <w:p w14:paraId="388E4C80" w14:textId="11C68CBF" w:rsidR="00003E01" w:rsidRPr="00682B0B" w:rsidRDefault="00003E01" w:rsidP="0095343A">
            <w:pPr>
              <w:spacing w:after="0" w:line="240" w:lineRule="auto"/>
              <w:rPr>
                <w:rFonts w:cs="Arial"/>
                <w:szCs w:val="20"/>
              </w:rPr>
            </w:pPr>
            <w:r w:rsidRPr="00682B0B">
              <w:rPr>
                <w:rFonts w:cs="Arial"/>
                <w:szCs w:val="20"/>
              </w:rPr>
              <w:t>1</w:t>
            </w:r>
            <w:r w:rsidR="00FB7E48">
              <w:rPr>
                <w:rFonts w:cs="Arial"/>
                <w:szCs w:val="20"/>
              </w:rPr>
              <w:t>10</w:t>
            </w:r>
          </w:p>
        </w:tc>
        <w:tc>
          <w:tcPr>
            <w:tcW w:w="809" w:type="pct"/>
            <w:vMerge/>
            <w:vAlign w:val="center"/>
            <w:hideMark/>
          </w:tcPr>
          <w:p w14:paraId="461997D3" w14:textId="77777777" w:rsidR="00003E01" w:rsidRPr="005E1BCD" w:rsidRDefault="00003E01" w:rsidP="0095343A">
            <w:pPr>
              <w:spacing w:after="0" w:line="240" w:lineRule="auto"/>
              <w:rPr>
                <w:rFonts w:cs="Arial"/>
                <w:b/>
                <w:bCs/>
                <w:szCs w:val="20"/>
              </w:rPr>
            </w:pPr>
          </w:p>
        </w:tc>
        <w:tc>
          <w:tcPr>
            <w:tcW w:w="834" w:type="pct"/>
            <w:vMerge/>
            <w:vAlign w:val="center"/>
            <w:hideMark/>
          </w:tcPr>
          <w:p w14:paraId="5EE264E0" w14:textId="77777777" w:rsidR="00003E01" w:rsidRPr="00E76D2D" w:rsidRDefault="00003E01" w:rsidP="0095343A">
            <w:pPr>
              <w:spacing w:after="0" w:line="240" w:lineRule="auto"/>
              <w:rPr>
                <w:rFonts w:ascii="Calibri" w:hAnsi="Calibri" w:cs="Calibri"/>
                <w:sz w:val="22"/>
                <w:szCs w:val="22"/>
                <w:u w:val="single"/>
              </w:rPr>
            </w:pPr>
          </w:p>
        </w:tc>
        <w:tc>
          <w:tcPr>
            <w:tcW w:w="2553" w:type="pct"/>
            <w:shd w:val="clear" w:color="auto" w:fill="auto"/>
            <w:vAlign w:val="center"/>
            <w:hideMark/>
          </w:tcPr>
          <w:p w14:paraId="2E44BC71" w14:textId="07FDF1CE" w:rsidR="00003E01" w:rsidRPr="00682B0B" w:rsidRDefault="00003E01" w:rsidP="0095343A">
            <w:pPr>
              <w:spacing w:after="0" w:line="240" w:lineRule="auto"/>
              <w:rPr>
                <w:rFonts w:cs="Arial"/>
                <w:szCs w:val="20"/>
              </w:rPr>
            </w:pPr>
            <w:r w:rsidRPr="00682B0B">
              <w:rPr>
                <w:rFonts w:cs="Arial"/>
                <w:szCs w:val="20"/>
              </w:rPr>
              <w:t>(3) For any other application made under the numbering plan for allocation of a number</w:t>
            </w:r>
            <w:r w:rsidR="0095343A">
              <w:rPr>
                <w:rFonts w:cs="Arial"/>
                <w:szCs w:val="20"/>
              </w:rPr>
              <w:t>.</w:t>
            </w:r>
          </w:p>
        </w:tc>
        <w:tc>
          <w:tcPr>
            <w:tcW w:w="634" w:type="pct"/>
            <w:shd w:val="clear" w:color="auto" w:fill="auto"/>
            <w:vAlign w:val="center"/>
            <w:hideMark/>
          </w:tcPr>
          <w:p w14:paraId="1DFE1771" w14:textId="77777777" w:rsidR="00003E01" w:rsidRPr="00682B0B" w:rsidRDefault="00003E01" w:rsidP="006D0B51">
            <w:pPr>
              <w:spacing w:after="0" w:line="240" w:lineRule="auto"/>
              <w:jc w:val="right"/>
              <w:rPr>
                <w:rFonts w:cs="Arial"/>
                <w:szCs w:val="20"/>
              </w:rPr>
            </w:pPr>
            <w:r w:rsidRPr="00682B0B">
              <w:rPr>
                <w:rFonts w:cs="Arial"/>
                <w:szCs w:val="20"/>
              </w:rPr>
              <w:t>Zero </w:t>
            </w:r>
          </w:p>
        </w:tc>
      </w:tr>
      <w:tr w:rsidR="00202B63" w:rsidRPr="00682B0B" w14:paraId="264F3792" w14:textId="77777777" w:rsidTr="00E13CAA">
        <w:trPr>
          <w:trHeight w:val="412"/>
        </w:trPr>
        <w:tc>
          <w:tcPr>
            <w:tcW w:w="170" w:type="pct"/>
            <w:shd w:val="clear" w:color="auto" w:fill="auto"/>
            <w:vAlign w:val="center"/>
            <w:hideMark/>
          </w:tcPr>
          <w:p w14:paraId="2735582D" w14:textId="091241D3" w:rsidR="00003E01" w:rsidRPr="00682B0B" w:rsidRDefault="00003E01" w:rsidP="0095343A">
            <w:pPr>
              <w:spacing w:after="0" w:line="240" w:lineRule="auto"/>
              <w:rPr>
                <w:rFonts w:cs="Arial"/>
                <w:szCs w:val="20"/>
              </w:rPr>
            </w:pPr>
            <w:r w:rsidRPr="00682B0B">
              <w:rPr>
                <w:rFonts w:cs="Arial"/>
                <w:szCs w:val="20"/>
              </w:rPr>
              <w:t>1</w:t>
            </w:r>
            <w:r w:rsidR="0040683C">
              <w:rPr>
                <w:rFonts w:cs="Arial"/>
                <w:szCs w:val="20"/>
              </w:rPr>
              <w:t>1</w:t>
            </w:r>
            <w:r w:rsidR="00FB7E48">
              <w:rPr>
                <w:rFonts w:cs="Arial"/>
                <w:szCs w:val="20"/>
              </w:rPr>
              <w:t>1</w:t>
            </w:r>
          </w:p>
        </w:tc>
        <w:tc>
          <w:tcPr>
            <w:tcW w:w="809" w:type="pct"/>
            <w:vMerge/>
            <w:vAlign w:val="center"/>
            <w:hideMark/>
          </w:tcPr>
          <w:p w14:paraId="44846AF3"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2707B363" w14:textId="6F3F5B38" w:rsidR="00003E01" w:rsidRPr="00E76D2D" w:rsidRDefault="00107493" w:rsidP="0095343A">
            <w:pPr>
              <w:spacing w:after="0" w:line="240" w:lineRule="auto"/>
              <w:rPr>
                <w:rFonts w:ascii="Calibri" w:hAnsi="Calibri" w:cs="Calibri"/>
                <w:sz w:val="22"/>
                <w:szCs w:val="22"/>
                <w:u w:val="single"/>
              </w:rPr>
            </w:pPr>
            <w:hyperlink r:id="rId132" w:anchor="RANGE!I16" w:history="1">
              <w:r w:rsidR="00003E01" w:rsidRPr="00E76D2D">
                <w:t>Sch 1</w:t>
              </w:r>
              <w:r w:rsidR="0066184A">
                <w:t xml:space="preserve"> </w:t>
              </w:r>
              <w:r w:rsidR="0066184A">
                <w:rPr>
                  <w:rFonts w:cs="Arial"/>
                  <w:szCs w:val="20"/>
                </w:rPr>
                <w:t xml:space="preserve">– </w:t>
              </w:r>
              <w:r w:rsidR="00003E01" w:rsidRPr="00E76D2D">
                <w:t>Part 2, item 2.2</w:t>
              </w:r>
            </w:hyperlink>
          </w:p>
        </w:tc>
        <w:tc>
          <w:tcPr>
            <w:tcW w:w="2553" w:type="pct"/>
            <w:shd w:val="clear" w:color="auto" w:fill="auto"/>
            <w:vAlign w:val="center"/>
            <w:hideMark/>
          </w:tcPr>
          <w:p w14:paraId="6D799EE6" w14:textId="6184EFC8" w:rsidR="00003E01" w:rsidRPr="00682B0B" w:rsidRDefault="00003E01" w:rsidP="0095343A">
            <w:pPr>
              <w:spacing w:after="0" w:line="240" w:lineRule="auto"/>
              <w:rPr>
                <w:rFonts w:cs="Arial"/>
                <w:szCs w:val="20"/>
              </w:rPr>
            </w:pPr>
            <w:r w:rsidRPr="00682B0B">
              <w:rPr>
                <w:rFonts w:cs="Arial"/>
                <w:szCs w:val="20"/>
              </w:rPr>
              <w:t>Making an application under subsection 121(1) of the numbering plan for registration of a carriage service provider under section 122 of the numbering plan</w:t>
            </w:r>
            <w:r w:rsidR="0095343A">
              <w:rPr>
                <w:rFonts w:cs="Arial"/>
                <w:szCs w:val="20"/>
              </w:rPr>
              <w:t>.</w:t>
            </w:r>
          </w:p>
        </w:tc>
        <w:tc>
          <w:tcPr>
            <w:tcW w:w="634" w:type="pct"/>
            <w:shd w:val="clear" w:color="auto" w:fill="auto"/>
            <w:vAlign w:val="center"/>
            <w:hideMark/>
          </w:tcPr>
          <w:p w14:paraId="6DD1D7C3" w14:textId="77777777" w:rsidR="00003E01" w:rsidRPr="00682B0B" w:rsidRDefault="00003E01" w:rsidP="006D0B51">
            <w:pPr>
              <w:spacing w:after="0" w:line="240" w:lineRule="auto"/>
              <w:jc w:val="right"/>
              <w:rPr>
                <w:rFonts w:cs="Arial"/>
                <w:szCs w:val="20"/>
              </w:rPr>
            </w:pPr>
            <w:r w:rsidRPr="00682B0B">
              <w:rPr>
                <w:rFonts w:cs="Arial"/>
                <w:szCs w:val="20"/>
              </w:rPr>
              <w:t>$57.00</w:t>
            </w:r>
          </w:p>
        </w:tc>
      </w:tr>
      <w:tr w:rsidR="00202B63" w:rsidRPr="00682B0B" w14:paraId="612B3588" w14:textId="77777777" w:rsidTr="00E13CAA">
        <w:trPr>
          <w:trHeight w:val="410"/>
        </w:trPr>
        <w:tc>
          <w:tcPr>
            <w:tcW w:w="170" w:type="pct"/>
            <w:shd w:val="clear" w:color="auto" w:fill="auto"/>
            <w:vAlign w:val="center"/>
            <w:hideMark/>
          </w:tcPr>
          <w:p w14:paraId="4813ACE3" w14:textId="1C73E53D" w:rsidR="00003E01" w:rsidRPr="00682B0B" w:rsidRDefault="00003E01" w:rsidP="0095343A">
            <w:pPr>
              <w:spacing w:after="0" w:line="240" w:lineRule="auto"/>
              <w:rPr>
                <w:rFonts w:cs="Arial"/>
                <w:szCs w:val="20"/>
              </w:rPr>
            </w:pPr>
            <w:r w:rsidRPr="00682B0B">
              <w:rPr>
                <w:rFonts w:cs="Arial"/>
                <w:szCs w:val="20"/>
              </w:rPr>
              <w:lastRenderedPageBreak/>
              <w:t>11</w:t>
            </w:r>
            <w:r w:rsidR="00FB7E48">
              <w:rPr>
                <w:rFonts w:cs="Arial"/>
                <w:szCs w:val="20"/>
              </w:rPr>
              <w:t>2</w:t>
            </w:r>
          </w:p>
        </w:tc>
        <w:tc>
          <w:tcPr>
            <w:tcW w:w="809" w:type="pct"/>
            <w:vMerge/>
            <w:vAlign w:val="center"/>
            <w:hideMark/>
          </w:tcPr>
          <w:p w14:paraId="35DC59EE"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6172D4A7" w14:textId="04B9C6B7" w:rsidR="00003E01" w:rsidRPr="00E76D2D" w:rsidRDefault="00107493" w:rsidP="0095343A">
            <w:pPr>
              <w:spacing w:after="0" w:line="240" w:lineRule="auto"/>
              <w:rPr>
                <w:rFonts w:ascii="Calibri" w:hAnsi="Calibri" w:cs="Calibri"/>
                <w:sz w:val="22"/>
                <w:szCs w:val="22"/>
                <w:u w:val="single"/>
              </w:rPr>
            </w:pPr>
            <w:hyperlink r:id="rId133" w:anchor="RANGE!I23" w:history="1">
              <w:r w:rsidR="00003E01" w:rsidRPr="00E76D2D">
                <w:t>Sch 1</w:t>
              </w:r>
              <w:r w:rsidR="0066184A">
                <w:t xml:space="preserve"> </w:t>
              </w:r>
              <w:r w:rsidR="0066184A">
                <w:rPr>
                  <w:rFonts w:cs="Arial"/>
                  <w:szCs w:val="20"/>
                </w:rPr>
                <w:t xml:space="preserve">– </w:t>
              </w:r>
              <w:r w:rsidR="00003E01" w:rsidRPr="00E76D2D">
                <w:t>Part 2, item 2.3</w:t>
              </w:r>
            </w:hyperlink>
          </w:p>
        </w:tc>
        <w:tc>
          <w:tcPr>
            <w:tcW w:w="2553" w:type="pct"/>
            <w:shd w:val="clear" w:color="auto" w:fill="auto"/>
            <w:vAlign w:val="center"/>
            <w:hideMark/>
          </w:tcPr>
          <w:p w14:paraId="0D54F8AB" w14:textId="2C09AAAC" w:rsidR="00003E01" w:rsidRPr="00682B0B" w:rsidRDefault="00003E01" w:rsidP="0095343A">
            <w:pPr>
              <w:spacing w:after="0" w:line="240" w:lineRule="auto"/>
              <w:rPr>
                <w:rFonts w:cs="Arial"/>
                <w:szCs w:val="20"/>
              </w:rPr>
            </w:pPr>
            <w:r w:rsidRPr="00682B0B">
              <w:rPr>
                <w:rFonts w:cs="Arial"/>
                <w:szCs w:val="20"/>
              </w:rPr>
              <w:t xml:space="preserve">Registering to use the electronic system, made available by the ACMA, for EROU applicants to apply with a registered carriage service provider under section 73 of the numbering plan for the initial allocation of an unassigned unallocated </w:t>
            </w:r>
            <w:proofErr w:type="spellStart"/>
            <w:r w:rsidRPr="00682B0B">
              <w:rPr>
                <w:rFonts w:cs="Arial"/>
                <w:szCs w:val="20"/>
              </w:rPr>
              <w:t>smartnumber</w:t>
            </w:r>
            <w:proofErr w:type="spellEnd"/>
            <w:r w:rsidRPr="00682B0B">
              <w:rPr>
                <w:rFonts w:cs="Arial"/>
                <w:szCs w:val="20"/>
              </w:rPr>
              <w:t>, and for EROU-holders to manage their enhanced rights of use</w:t>
            </w:r>
            <w:r w:rsidR="0095343A">
              <w:rPr>
                <w:rFonts w:cs="Arial"/>
                <w:szCs w:val="20"/>
              </w:rPr>
              <w:t>.</w:t>
            </w:r>
          </w:p>
        </w:tc>
        <w:tc>
          <w:tcPr>
            <w:tcW w:w="634" w:type="pct"/>
            <w:shd w:val="clear" w:color="auto" w:fill="auto"/>
            <w:vAlign w:val="center"/>
            <w:hideMark/>
          </w:tcPr>
          <w:p w14:paraId="0FD45E1D" w14:textId="77777777" w:rsidR="00003E01" w:rsidRPr="00682B0B" w:rsidRDefault="00003E01" w:rsidP="006D0B51">
            <w:pPr>
              <w:spacing w:after="0" w:line="240" w:lineRule="auto"/>
              <w:jc w:val="right"/>
              <w:rPr>
                <w:rFonts w:cs="Arial"/>
                <w:szCs w:val="20"/>
              </w:rPr>
            </w:pPr>
            <w:r w:rsidRPr="00682B0B">
              <w:rPr>
                <w:rFonts w:cs="Arial"/>
                <w:szCs w:val="20"/>
              </w:rPr>
              <w:t>$57.00</w:t>
            </w:r>
          </w:p>
        </w:tc>
      </w:tr>
      <w:tr w:rsidR="00202B63" w:rsidRPr="00682B0B" w14:paraId="3A11618A" w14:textId="77777777" w:rsidTr="0066184A">
        <w:trPr>
          <w:trHeight w:val="188"/>
        </w:trPr>
        <w:tc>
          <w:tcPr>
            <w:tcW w:w="170" w:type="pct"/>
            <w:shd w:val="clear" w:color="auto" w:fill="auto"/>
            <w:vAlign w:val="center"/>
            <w:hideMark/>
          </w:tcPr>
          <w:p w14:paraId="51B188AF" w14:textId="252E27BC" w:rsidR="00003E01" w:rsidRPr="00682B0B" w:rsidRDefault="00003E01" w:rsidP="0095343A">
            <w:pPr>
              <w:spacing w:after="0" w:line="240" w:lineRule="auto"/>
              <w:rPr>
                <w:rFonts w:cs="Arial"/>
                <w:szCs w:val="20"/>
              </w:rPr>
            </w:pPr>
            <w:r w:rsidRPr="00682B0B">
              <w:rPr>
                <w:rFonts w:cs="Arial"/>
                <w:szCs w:val="20"/>
              </w:rPr>
              <w:t>11</w:t>
            </w:r>
            <w:r w:rsidR="00FB7E48">
              <w:rPr>
                <w:rFonts w:cs="Arial"/>
                <w:szCs w:val="20"/>
              </w:rPr>
              <w:t>3</w:t>
            </w:r>
          </w:p>
        </w:tc>
        <w:tc>
          <w:tcPr>
            <w:tcW w:w="809" w:type="pct"/>
            <w:vMerge w:val="restart"/>
            <w:shd w:val="clear" w:color="auto" w:fill="auto"/>
            <w:vAlign w:val="center"/>
            <w:hideMark/>
          </w:tcPr>
          <w:p w14:paraId="22D57918" w14:textId="77777777" w:rsidR="00003E01" w:rsidRPr="005E1BCD" w:rsidRDefault="00003E01" w:rsidP="0095343A">
            <w:pPr>
              <w:spacing w:after="0" w:line="240" w:lineRule="auto"/>
              <w:rPr>
                <w:rFonts w:cs="Arial"/>
                <w:b/>
                <w:bCs/>
                <w:szCs w:val="20"/>
              </w:rPr>
            </w:pPr>
            <w:r w:rsidRPr="005E1BCD">
              <w:rPr>
                <w:rFonts w:cs="Arial"/>
                <w:b/>
                <w:bCs/>
                <w:szCs w:val="20"/>
              </w:rPr>
              <w:t>Facility installation permits</w:t>
            </w:r>
            <w:r w:rsidRPr="00682B0B">
              <w:rPr>
                <w:rFonts w:cs="Arial"/>
                <w:szCs w:val="20"/>
              </w:rPr>
              <w:t> </w:t>
            </w:r>
          </w:p>
        </w:tc>
        <w:tc>
          <w:tcPr>
            <w:tcW w:w="834" w:type="pct"/>
            <w:shd w:val="clear" w:color="auto" w:fill="auto"/>
            <w:vAlign w:val="center"/>
            <w:hideMark/>
          </w:tcPr>
          <w:p w14:paraId="72934730" w14:textId="537CD8D2" w:rsidR="00003E01" w:rsidRPr="00E76D2D" w:rsidRDefault="00107493" w:rsidP="0095343A">
            <w:pPr>
              <w:spacing w:after="0" w:line="240" w:lineRule="auto"/>
              <w:rPr>
                <w:rFonts w:ascii="Calibri" w:hAnsi="Calibri" w:cs="Calibri"/>
                <w:sz w:val="22"/>
                <w:szCs w:val="22"/>
                <w:u w:val="single"/>
              </w:rPr>
            </w:pPr>
            <w:hyperlink r:id="rId134" w:anchor="RANGE!I2" w:history="1">
              <w:r w:rsidR="00003E01" w:rsidRPr="00E76D2D">
                <w:t>Sch 1</w:t>
              </w:r>
              <w:r w:rsidR="0066184A">
                <w:t xml:space="preserve"> </w:t>
              </w:r>
              <w:r w:rsidR="0066184A">
                <w:rPr>
                  <w:rFonts w:cs="Arial"/>
                  <w:szCs w:val="20"/>
                </w:rPr>
                <w:t xml:space="preserve">– </w:t>
              </w:r>
              <w:r w:rsidR="00003E01" w:rsidRPr="00E76D2D">
                <w:t>Part 3, item 3.1</w:t>
              </w:r>
            </w:hyperlink>
          </w:p>
        </w:tc>
        <w:tc>
          <w:tcPr>
            <w:tcW w:w="2553" w:type="pct"/>
            <w:shd w:val="clear" w:color="auto" w:fill="auto"/>
            <w:vAlign w:val="center"/>
            <w:hideMark/>
          </w:tcPr>
          <w:p w14:paraId="171EE27E" w14:textId="56C2A78C" w:rsidR="00003E01" w:rsidRPr="00682B0B" w:rsidRDefault="00003E01" w:rsidP="0095343A">
            <w:pPr>
              <w:spacing w:after="0" w:line="240" w:lineRule="auto"/>
              <w:rPr>
                <w:rFonts w:cs="Arial"/>
                <w:szCs w:val="20"/>
              </w:rPr>
            </w:pPr>
            <w:r w:rsidRPr="00682B0B">
              <w:rPr>
                <w:rFonts w:cs="Arial"/>
                <w:szCs w:val="20"/>
              </w:rPr>
              <w:t>Deposit to accompany a facility installation permit application</w:t>
            </w:r>
            <w:r w:rsidR="0095343A">
              <w:rPr>
                <w:rFonts w:cs="Arial"/>
                <w:szCs w:val="20"/>
              </w:rPr>
              <w:t>.</w:t>
            </w:r>
          </w:p>
        </w:tc>
        <w:tc>
          <w:tcPr>
            <w:tcW w:w="634" w:type="pct"/>
            <w:shd w:val="clear" w:color="auto" w:fill="auto"/>
            <w:vAlign w:val="center"/>
            <w:hideMark/>
          </w:tcPr>
          <w:p w14:paraId="16E3BE8A" w14:textId="77777777" w:rsidR="00003E01" w:rsidRPr="00682B0B" w:rsidRDefault="00003E01" w:rsidP="006D0B51">
            <w:pPr>
              <w:spacing w:after="0" w:line="240" w:lineRule="auto"/>
              <w:jc w:val="right"/>
              <w:rPr>
                <w:rFonts w:cs="Arial"/>
                <w:szCs w:val="20"/>
              </w:rPr>
            </w:pPr>
            <w:r w:rsidRPr="00682B0B">
              <w:rPr>
                <w:rFonts w:cs="Arial"/>
                <w:szCs w:val="20"/>
              </w:rPr>
              <w:t>$9,108.00</w:t>
            </w:r>
          </w:p>
        </w:tc>
      </w:tr>
      <w:tr w:rsidR="00202B63" w:rsidRPr="00682B0B" w14:paraId="2E3019F8" w14:textId="77777777" w:rsidTr="00E13CAA">
        <w:trPr>
          <w:trHeight w:val="309"/>
        </w:trPr>
        <w:tc>
          <w:tcPr>
            <w:tcW w:w="170" w:type="pct"/>
            <w:shd w:val="clear" w:color="auto" w:fill="auto"/>
            <w:vAlign w:val="center"/>
            <w:hideMark/>
          </w:tcPr>
          <w:p w14:paraId="47D7C7D2" w14:textId="76B71137" w:rsidR="00003E01" w:rsidRPr="00682B0B" w:rsidRDefault="00003E01" w:rsidP="0095343A">
            <w:pPr>
              <w:spacing w:after="0" w:line="240" w:lineRule="auto"/>
              <w:rPr>
                <w:rFonts w:cs="Arial"/>
                <w:szCs w:val="20"/>
              </w:rPr>
            </w:pPr>
            <w:r w:rsidRPr="00682B0B">
              <w:rPr>
                <w:rFonts w:cs="Arial"/>
                <w:szCs w:val="20"/>
              </w:rPr>
              <w:t>11</w:t>
            </w:r>
            <w:r w:rsidR="00FB7E48">
              <w:rPr>
                <w:rFonts w:cs="Arial"/>
                <w:szCs w:val="20"/>
              </w:rPr>
              <w:t>4</w:t>
            </w:r>
          </w:p>
        </w:tc>
        <w:tc>
          <w:tcPr>
            <w:tcW w:w="809" w:type="pct"/>
            <w:vMerge/>
            <w:vAlign w:val="center"/>
            <w:hideMark/>
          </w:tcPr>
          <w:p w14:paraId="3C199137"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3BE4C139" w14:textId="3FD0C519" w:rsidR="00003E01" w:rsidRPr="00E76D2D" w:rsidRDefault="00107493" w:rsidP="0095343A">
            <w:pPr>
              <w:spacing w:after="0" w:line="240" w:lineRule="auto"/>
              <w:rPr>
                <w:rFonts w:ascii="Calibri" w:hAnsi="Calibri" w:cs="Calibri"/>
                <w:sz w:val="22"/>
                <w:szCs w:val="22"/>
                <w:u w:val="single"/>
              </w:rPr>
            </w:pPr>
            <w:hyperlink r:id="rId135" w:anchor="RANGE!I21" w:history="1">
              <w:r w:rsidR="00003E01" w:rsidRPr="00E76D2D">
                <w:t>Sch 1</w:t>
              </w:r>
              <w:r w:rsidR="0066184A">
                <w:t xml:space="preserve"> </w:t>
              </w:r>
              <w:r w:rsidR="0066184A">
                <w:rPr>
                  <w:rFonts w:cs="Arial"/>
                  <w:szCs w:val="20"/>
                </w:rPr>
                <w:t xml:space="preserve">– </w:t>
              </w:r>
              <w:r w:rsidR="00003E01" w:rsidRPr="00E76D2D">
                <w:t>Part 3, item 3.2</w:t>
              </w:r>
            </w:hyperlink>
          </w:p>
        </w:tc>
        <w:tc>
          <w:tcPr>
            <w:tcW w:w="2553" w:type="pct"/>
            <w:shd w:val="clear" w:color="auto" w:fill="auto"/>
            <w:vAlign w:val="center"/>
            <w:hideMark/>
          </w:tcPr>
          <w:p w14:paraId="51D5842B" w14:textId="3BF154A4" w:rsidR="00003E01" w:rsidRPr="00682B0B" w:rsidRDefault="00003E01" w:rsidP="0095343A">
            <w:pPr>
              <w:spacing w:after="0" w:line="240" w:lineRule="auto"/>
              <w:rPr>
                <w:rFonts w:cs="Arial"/>
                <w:szCs w:val="20"/>
              </w:rPr>
            </w:pPr>
            <w:r w:rsidRPr="00682B0B">
              <w:rPr>
                <w:rFonts w:cs="Arial"/>
                <w:szCs w:val="20"/>
              </w:rPr>
              <w:t>Activities of ACMA official in connection with dealing with a facility installation permit application that does not relate to the conduct of a public inquiry in relation to the permit</w:t>
            </w:r>
            <w:r w:rsidR="0095343A">
              <w:rPr>
                <w:rFonts w:cs="Arial"/>
                <w:szCs w:val="20"/>
              </w:rPr>
              <w:t>.</w:t>
            </w:r>
          </w:p>
        </w:tc>
        <w:tc>
          <w:tcPr>
            <w:tcW w:w="634" w:type="pct"/>
            <w:shd w:val="clear" w:color="auto" w:fill="auto"/>
            <w:vAlign w:val="center"/>
            <w:hideMark/>
          </w:tcPr>
          <w:p w14:paraId="073C4502" w14:textId="15D04E96" w:rsidR="00003E01" w:rsidRPr="00682B0B" w:rsidRDefault="00003E01" w:rsidP="006D0B51">
            <w:pPr>
              <w:spacing w:after="0" w:line="240" w:lineRule="auto"/>
              <w:jc w:val="right"/>
              <w:rPr>
                <w:rFonts w:cs="Arial"/>
                <w:szCs w:val="20"/>
              </w:rPr>
            </w:pPr>
            <w:r w:rsidRPr="00682B0B">
              <w:rPr>
                <w:rFonts w:cs="Arial"/>
                <w:szCs w:val="20"/>
              </w:rPr>
              <w:t>Hourly rate </w:t>
            </w:r>
          </w:p>
        </w:tc>
      </w:tr>
      <w:tr w:rsidR="00202B63" w:rsidRPr="00682B0B" w14:paraId="5CFEC865" w14:textId="77777777" w:rsidTr="00E13CAA">
        <w:trPr>
          <w:trHeight w:val="268"/>
        </w:trPr>
        <w:tc>
          <w:tcPr>
            <w:tcW w:w="170" w:type="pct"/>
            <w:shd w:val="clear" w:color="auto" w:fill="auto"/>
            <w:vAlign w:val="center"/>
            <w:hideMark/>
          </w:tcPr>
          <w:p w14:paraId="06611A6F" w14:textId="681C547A" w:rsidR="00003E01" w:rsidRPr="00682B0B" w:rsidRDefault="00003E01" w:rsidP="0095343A">
            <w:pPr>
              <w:spacing w:after="0" w:line="240" w:lineRule="auto"/>
              <w:rPr>
                <w:rFonts w:cs="Arial"/>
                <w:szCs w:val="20"/>
              </w:rPr>
            </w:pPr>
            <w:r w:rsidRPr="00682B0B">
              <w:rPr>
                <w:rFonts w:cs="Arial"/>
                <w:szCs w:val="20"/>
              </w:rPr>
              <w:t>11</w:t>
            </w:r>
            <w:r w:rsidR="00FB7E48">
              <w:rPr>
                <w:rFonts w:cs="Arial"/>
                <w:szCs w:val="20"/>
              </w:rPr>
              <w:t>5</w:t>
            </w:r>
          </w:p>
        </w:tc>
        <w:tc>
          <w:tcPr>
            <w:tcW w:w="809" w:type="pct"/>
            <w:vMerge w:val="restart"/>
            <w:shd w:val="clear" w:color="auto" w:fill="auto"/>
            <w:vAlign w:val="center"/>
            <w:hideMark/>
          </w:tcPr>
          <w:p w14:paraId="563FD7E9" w14:textId="73638949" w:rsidR="00003E01" w:rsidRPr="005E1BCD" w:rsidRDefault="00003E01" w:rsidP="0095343A">
            <w:pPr>
              <w:spacing w:after="0" w:line="240" w:lineRule="auto"/>
              <w:rPr>
                <w:rFonts w:cs="Arial"/>
                <w:b/>
                <w:bCs/>
                <w:szCs w:val="20"/>
              </w:rPr>
            </w:pPr>
            <w:r w:rsidRPr="005E1BCD">
              <w:rPr>
                <w:rFonts w:cs="Arial"/>
                <w:b/>
                <w:bCs/>
                <w:szCs w:val="20"/>
              </w:rPr>
              <w:t>Facility installation permits</w:t>
            </w:r>
            <w:r w:rsidR="00DD1E81">
              <w:rPr>
                <w:rFonts w:cs="Arial"/>
                <w:b/>
                <w:bCs/>
                <w:szCs w:val="20"/>
              </w:rPr>
              <w:t xml:space="preserve"> – p</w:t>
            </w:r>
            <w:r w:rsidRPr="005E1BCD">
              <w:rPr>
                <w:rFonts w:cs="Arial"/>
                <w:b/>
                <w:bCs/>
                <w:szCs w:val="20"/>
              </w:rPr>
              <w:t>ublic inquiry</w:t>
            </w:r>
            <w:r w:rsidRPr="00682B0B">
              <w:rPr>
                <w:rFonts w:cs="Arial"/>
                <w:szCs w:val="20"/>
              </w:rPr>
              <w:t> </w:t>
            </w:r>
          </w:p>
        </w:tc>
        <w:tc>
          <w:tcPr>
            <w:tcW w:w="834" w:type="pct"/>
            <w:shd w:val="clear" w:color="auto" w:fill="auto"/>
            <w:vAlign w:val="center"/>
            <w:hideMark/>
          </w:tcPr>
          <w:p w14:paraId="6A4AD956" w14:textId="69F3BDDC" w:rsidR="00003E01" w:rsidRPr="00E76D2D" w:rsidRDefault="00107493" w:rsidP="0095343A">
            <w:pPr>
              <w:spacing w:after="0" w:line="240" w:lineRule="auto"/>
              <w:rPr>
                <w:rFonts w:ascii="Calibri" w:hAnsi="Calibri" w:cs="Calibri"/>
                <w:sz w:val="22"/>
                <w:szCs w:val="22"/>
                <w:u w:val="single"/>
              </w:rPr>
            </w:pPr>
            <w:hyperlink r:id="rId136" w:anchor="RANGE!I29" w:history="1">
              <w:r w:rsidR="00003E01" w:rsidRPr="00E76D2D">
                <w:t>Sch 1</w:t>
              </w:r>
              <w:r w:rsidR="0066184A">
                <w:t xml:space="preserve"> </w:t>
              </w:r>
              <w:r w:rsidR="0066184A">
                <w:rPr>
                  <w:rFonts w:cs="Arial"/>
                  <w:szCs w:val="20"/>
                </w:rPr>
                <w:t xml:space="preserve">– </w:t>
              </w:r>
              <w:r w:rsidR="00003E01" w:rsidRPr="00E76D2D">
                <w:t>Part 4, item 4.1</w:t>
              </w:r>
            </w:hyperlink>
          </w:p>
        </w:tc>
        <w:tc>
          <w:tcPr>
            <w:tcW w:w="2553" w:type="pct"/>
            <w:shd w:val="clear" w:color="auto" w:fill="auto"/>
            <w:vAlign w:val="center"/>
            <w:hideMark/>
          </w:tcPr>
          <w:p w14:paraId="5480B453" w14:textId="35364028" w:rsidR="00003E01" w:rsidRPr="00682B0B" w:rsidRDefault="00003E01" w:rsidP="0095343A">
            <w:pPr>
              <w:spacing w:after="0" w:line="240" w:lineRule="auto"/>
              <w:rPr>
                <w:rFonts w:cs="Arial"/>
                <w:szCs w:val="20"/>
              </w:rPr>
            </w:pPr>
            <w:r w:rsidRPr="00682B0B">
              <w:rPr>
                <w:rFonts w:cs="Arial"/>
                <w:szCs w:val="20"/>
              </w:rPr>
              <w:t>Deposit payable on account of the expenses to be incurred by ACMA for the holding of a public inquiry</w:t>
            </w:r>
            <w:r w:rsidR="0095343A">
              <w:rPr>
                <w:rFonts w:cs="Arial"/>
                <w:szCs w:val="20"/>
              </w:rPr>
              <w:t>.</w:t>
            </w:r>
            <w:r w:rsidRPr="00682B0B">
              <w:rPr>
                <w:rFonts w:cs="Arial"/>
                <w:szCs w:val="20"/>
              </w:rPr>
              <w:t> </w:t>
            </w:r>
          </w:p>
        </w:tc>
        <w:tc>
          <w:tcPr>
            <w:tcW w:w="634" w:type="pct"/>
            <w:shd w:val="clear" w:color="auto" w:fill="auto"/>
            <w:vAlign w:val="center"/>
            <w:hideMark/>
          </w:tcPr>
          <w:p w14:paraId="6892A632" w14:textId="77777777" w:rsidR="00003E01" w:rsidRPr="00682B0B" w:rsidRDefault="00003E01" w:rsidP="006D0B51">
            <w:pPr>
              <w:spacing w:after="0" w:line="240" w:lineRule="auto"/>
              <w:jc w:val="right"/>
              <w:rPr>
                <w:rFonts w:cs="Arial"/>
                <w:szCs w:val="20"/>
              </w:rPr>
            </w:pPr>
            <w:r w:rsidRPr="00682B0B">
              <w:rPr>
                <w:rFonts w:cs="Arial"/>
                <w:szCs w:val="20"/>
              </w:rPr>
              <w:t>$57,385.00</w:t>
            </w:r>
          </w:p>
        </w:tc>
      </w:tr>
      <w:tr w:rsidR="00202B63" w:rsidRPr="00682B0B" w14:paraId="4E91FF21" w14:textId="77777777" w:rsidTr="00E13CAA">
        <w:trPr>
          <w:trHeight w:val="103"/>
        </w:trPr>
        <w:tc>
          <w:tcPr>
            <w:tcW w:w="170" w:type="pct"/>
            <w:shd w:val="clear" w:color="auto" w:fill="auto"/>
            <w:vAlign w:val="center"/>
            <w:hideMark/>
          </w:tcPr>
          <w:p w14:paraId="355AAAAD" w14:textId="21E1C2EF" w:rsidR="00003E01" w:rsidRPr="00682B0B" w:rsidRDefault="00003E01" w:rsidP="0095343A">
            <w:pPr>
              <w:spacing w:after="0" w:line="240" w:lineRule="auto"/>
              <w:rPr>
                <w:rFonts w:cs="Arial"/>
                <w:szCs w:val="20"/>
              </w:rPr>
            </w:pPr>
            <w:r w:rsidRPr="00682B0B">
              <w:rPr>
                <w:rFonts w:cs="Arial"/>
                <w:szCs w:val="20"/>
              </w:rPr>
              <w:t>11</w:t>
            </w:r>
            <w:r w:rsidR="00FB7E48">
              <w:rPr>
                <w:rFonts w:cs="Arial"/>
                <w:szCs w:val="20"/>
              </w:rPr>
              <w:t>6</w:t>
            </w:r>
          </w:p>
        </w:tc>
        <w:tc>
          <w:tcPr>
            <w:tcW w:w="809" w:type="pct"/>
            <w:vMerge/>
            <w:vAlign w:val="center"/>
            <w:hideMark/>
          </w:tcPr>
          <w:p w14:paraId="72527C78"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617E0EB0" w14:textId="32304FC3" w:rsidR="00003E01" w:rsidRPr="00E76D2D" w:rsidRDefault="00107493" w:rsidP="0095343A">
            <w:pPr>
              <w:spacing w:after="0" w:line="240" w:lineRule="auto"/>
              <w:rPr>
                <w:rFonts w:ascii="Calibri" w:hAnsi="Calibri" w:cs="Calibri"/>
                <w:sz w:val="22"/>
                <w:szCs w:val="22"/>
                <w:u w:val="single"/>
              </w:rPr>
            </w:pPr>
            <w:hyperlink r:id="rId137" w:anchor="RANGE!I56" w:history="1">
              <w:r w:rsidR="00003E01" w:rsidRPr="00E76D2D">
                <w:t>Sch 1</w:t>
              </w:r>
              <w:r w:rsidR="0066184A">
                <w:t xml:space="preserve"> </w:t>
              </w:r>
              <w:r w:rsidR="0066184A">
                <w:rPr>
                  <w:rFonts w:cs="Arial"/>
                  <w:szCs w:val="20"/>
                </w:rPr>
                <w:t xml:space="preserve">– </w:t>
              </w:r>
              <w:r w:rsidR="00003E01" w:rsidRPr="00E76D2D">
                <w:t>Part 4, item 4.2</w:t>
              </w:r>
            </w:hyperlink>
          </w:p>
        </w:tc>
        <w:tc>
          <w:tcPr>
            <w:tcW w:w="2553" w:type="pct"/>
            <w:shd w:val="clear" w:color="auto" w:fill="auto"/>
            <w:vAlign w:val="center"/>
            <w:hideMark/>
          </w:tcPr>
          <w:p w14:paraId="3C0662F5" w14:textId="073C9B3E" w:rsidR="00003E01" w:rsidRPr="00682B0B" w:rsidRDefault="00003E01" w:rsidP="0095343A">
            <w:pPr>
              <w:spacing w:after="0" w:line="240" w:lineRule="auto"/>
              <w:rPr>
                <w:rFonts w:cs="Arial"/>
                <w:szCs w:val="20"/>
              </w:rPr>
            </w:pPr>
            <w:r w:rsidRPr="00682B0B">
              <w:rPr>
                <w:rFonts w:cs="Arial"/>
                <w:szCs w:val="20"/>
              </w:rPr>
              <w:t>Activities of ACMA official in relation to the holding of a public inquiry</w:t>
            </w:r>
            <w:r w:rsidR="0095343A">
              <w:rPr>
                <w:rFonts w:cs="Arial"/>
                <w:szCs w:val="20"/>
              </w:rPr>
              <w:t>.</w:t>
            </w:r>
            <w:r w:rsidRPr="00682B0B">
              <w:rPr>
                <w:rFonts w:cs="Arial"/>
                <w:szCs w:val="20"/>
              </w:rPr>
              <w:t> </w:t>
            </w:r>
          </w:p>
        </w:tc>
        <w:tc>
          <w:tcPr>
            <w:tcW w:w="634" w:type="pct"/>
            <w:shd w:val="clear" w:color="auto" w:fill="auto"/>
            <w:vAlign w:val="center"/>
            <w:hideMark/>
          </w:tcPr>
          <w:p w14:paraId="5C0F35DB" w14:textId="61D2E079" w:rsidR="00003E01" w:rsidRPr="00682B0B" w:rsidRDefault="00003E01" w:rsidP="006D0B51">
            <w:pPr>
              <w:spacing w:after="0" w:line="240" w:lineRule="auto"/>
              <w:jc w:val="right"/>
              <w:rPr>
                <w:rFonts w:cs="Arial"/>
                <w:szCs w:val="20"/>
              </w:rPr>
            </w:pPr>
            <w:r w:rsidRPr="00682B0B">
              <w:rPr>
                <w:rFonts w:cs="Arial"/>
                <w:szCs w:val="20"/>
              </w:rPr>
              <w:t>Hourly rate </w:t>
            </w:r>
          </w:p>
        </w:tc>
      </w:tr>
      <w:tr w:rsidR="00202B63" w:rsidRPr="00682B0B" w14:paraId="3367A4D2" w14:textId="77777777" w:rsidTr="00E13CAA">
        <w:trPr>
          <w:trHeight w:val="191"/>
        </w:trPr>
        <w:tc>
          <w:tcPr>
            <w:tcW w:w="170" w:type="pct"/>
            <w:shd w:val="clear" w:color="auto" w:fill="auto"/>
            <w:vAlign w:val="center"/>
            <w:hideMark/>
          </w:tcPr>
          <w:p w14:paraId="51F57665" w14:textId="6D0012E7" w:rsidR="00003E01" w:rsidRPr="00682B0B" w:rsidRDefault="00003E01" w:rsidP="0095343A">
            <w:pPr>
              <w:spacing w:after="0" w:line="240" w:lineRule="auto"/>
              <w:rPr>
                <w:rFonts w:cs="Arial"/>
                <w:szCs w:val="20"/>
              </w:rPr>
            </w:pPr>
            <w:r w:rsidRPr="00682B0B">
              <w:rPr>
                <w:rFonts w:cs="Arial"/>
                <w:szCs w:val="20"/>
              </w:rPr>
              <w:t>1</w:t>
            </w:r>
            <w:r w:rsidR="0032440E">
              <w:rPr>
                <w:rFonts w:cs="Arial"/>
                <w:szCs w:val="20"/>
              </w:rPr>
              <w:t>1</w:t>
            </w:r>
            <w:r w:rsidR="00FB7E48">
              <w:rPr>
                <w:rFonts w:cs="Arial"/>
                <w:szCs w:val="20"/>
              </w:rPr>
              <w:t>7</w:t>
            </w:r>
          </w:p>
        </w:tc>
        <w:tc>
          <w:tcPr>
            <w:tcW w:w="809" w:type="pct"/>
            <w:vMerge/>
            <w:vAlign w:val="center"/>
            <w:hideMark/>
          </w:tcPr>
          <w:p w14:paraId="50CBDFA0"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384EDC49" w14:textId="4A00D660" w:rsidR="00003E01" w:rsidRPr="00E76D2D" w:rsidRDefault="00107493" w:rsidP="0095343A">
            <w:pPr>
              <w:spacing w:after="0" w:line="240" w:lineRule="auto"/>
              <w:rPr>
                <w:rFonts w:ascii="Calibri" w:hAnsi="Calibri" w:cs="Calibri"/>
                <w:sz w:val="22"/>
                <w:szCs w:val="22"/>
                <w:u w:val="single"/>
              </w:rPr>
            </w:pPr>
            <w:hyperlink r:id="rId138" w:anchor="RANGE!I64" w:history="1">
              <w:r w:rsidR="00003E01" w:rsidRPr="00E76D2D">
                <w:t>Sch 1</w:t>
              </w:r>
              <w:r w:rsidR="0066184A">
                <w:t xml:space="preserve"> </w:t>
              </w:r>
              <w:r w:rsidR="0066184A">
                <w:rPr>
                  <w:rFonts w:cs="Arial"/>
                  <w:szCs w:val="20"/>
                </w:rPr>
                <w:t xml:space="preserve">– </w:t>
              </w:r>
              <w:r w:rsidR="00003E01" w:rsidRPr="00E76D2D">
                <w:t>Part 4, item 4.3</w:t>
              </w:r>
            </w:hyperlink>
          </w:p>
        </w:tc>
        <w:tc>
          <w:tcPr>
            <w:tcW w:w="2553" w:type="pct"/>
            <w:shd w:val="clear" w:color="auto" w:fill="auto"/>
            <w:vAlign w:val="center"/>
            <w:hideMark/>
          </w:tcPr>
          <w:p w14:paraId="4465AA38" w14:textId="45E59242" w:rsidR="00003E01" w:rsidRPr="00682B0B" w:rsidRDefault="00003E01" w:rsidP="0095343A">
            <w:pPr>
              <w:spacing w:after="0" w:line="240" w:lineRule="auto"/>
              <w:rPr>
                <w:rFonts w:cs="Arial"/>
                <w:szCs w:val="20"/>
              </w:rPr>
            </w:pPr>
            <w:r w:rsidRPr="00682B0B">
              <w:rPr>
                <w:rFonts w:cs="Arial"/>
                <w:szCs w:val="20"/>
              </w:rPr>
              <w:t>Any other expenses incurred by the ACMA not included in item 4.2 in relation to the holding of a public inquiry</w:t>
            </w:r>
            <w:r w:rsidR="0095343A">
              <w:rPr>
                <w:rFonts w:cs="Arial"/>
                <w:szCs w:val="20"/>
              </w:rPr>
              <w:t>.</w:t>
            </w:r>
          </w:p>
        </w:tc>
        <w:tc>
          <w:tcPr>
            <w:tcW w:w="634" w:type="pct"/>
            <w:shd w:val="clear" w:color="auto" w:fill="auto"/>
            <w:vAlign w:val="center"/>
            <w:hideMark/>
          </w:tcPr>
          <w:p w14:paraId="0B400E0C" w14:textId="4C96A995" w:rsidR="00003E01" w:rsidRPr="00682B0B" w:rsidRDefault="00003E01" w:rsidP="006D0B51">
            <w:pPr>
              <w:spacing w:after="0" w:line="240" w:lineRule="auto"/>
              <w:jc w:val="right"/>
              <w:rPr>
                <w:rFonts w:cs="Arial"/>
                <w:szCs w:val="20"/>
              </w:rPr>
            </w:pPr>
            <w:r w:rsidRPr="00682B0B">
              <w:rPr>
                <w:rFonts w:cs="Arial"/>
                <w:szCs w:val="20"/>
              </w:rPr>
              <w:t>Actual costs </w:t>
            </w:r>
          </w:p>
        </w:tc>
      </w:tr>
      <w:tr w:rsidR="00202B63" w:rsidRPr="00682B0B" w14:paraId="6312A909" w14:textId="77777777" w:rsidTr="00E13CAA">
        <w:trPr>
          <w:trHeight w:val="173"/>
        </w:trPr>
        <w:tc>
          <w:tcPr>
            <w:tcW w:w="170" w:type="pct"/>
            <w:shd w:val="clear" w:color="auto" w:fill="auto"/>
            <w:vAlign w:val="center"/>
            <w:hideMark/>
          </w:tcPr>
          <w:p w14:paraId="2A2AEA8D" w14:textId="36E21E15" w:rsidR="00003E01" w:rsidRPr="00682B0B" w:rsidRDefault="004C7953" w:rsidP="0095343A">
            <w:pPr>
              <w:spacing w:after="0" w:line="240" w:lineRule="auto"/>
              <w:rPr>
                <w:rFonts w:cs="Arial"/>
                <w:szCs w:val="20"/>
              </w:rPr>
            </w:pPr>
            <w:r>
              <w:rPr>
                <w:rFonts w:cs="Arial"/>
                <w:szCs w:val="20"/>
              </w:rPr>
              <w:t>1</w:t>
            </w:r>
            <w:r w:rsidR="00CF7C10">
              <w:rPr>
                <w:rFonts w:cs="Arial"/>
                <w:szCs w:val="20"/>
              </w:rPr>
              <w:t>1</w:t>
            </w:r>
            <w:r w:rsidR="00FB7E48">
              <w:rPr>
                <w:rFonts w:cs="Arial"/>
                <w:szCs w:val="20"/>
              </w:rPr>
              <w:t>8</w:t>
            </w:r>
          </w:p>
        </w:tc>
        <w:tc>
          <w:tcPr>
            <w:tcW w:w="809" w:type="pct"/>
            <w:vMerge w:val="restart"/>
            <w:shd w:val="clear" w:color="auto" w:fill="auto"/>
            <w:vAlign w:val="center"/>
            <w:hideMark/>
          </w:tcPr>
          <w:p w14:paraId="4B74EA08" w14:textId="77777777" w:rsidR="00003E01" w:rsidRPr="005E1BCD" w:rsidRDefault="00003E01" w:rsidP="0095343A">
            <w:pPr>
              <w:spacing w:after="0" w:line="240" w:lineRule="auto"/>
              <w:rPr>
                <w:rFonts w:cs="Arial"/>
                <w:b/>
                <w:bCs/>
                <w:szCs w:val="20"/>
              </w:rPr>
            </w:pPr>
            <w:r w:rsidRPr="005E1BCD">
              <w:rPr>
                <w:rFonts w:cs="Arial"/>
                <w:b/>
                <w:bCs/>
                <w:szCs w:val="20"/>
              </w:rPr>
              <w:t xml:space="preserve">Declare, </w:t>
            </w:r>
            <w:proofErr w:type="gramStart"/>
            <w:r w:rsidRPr="005E1BCD">
              <w:rPr>
                <w:rFonts w:cs="Arial"/>
                <w:b/>
                <w:bCs/>
                <w:szCs w:val="20"/>
              </w:rPr>
              <w:t>vary</w:t>
            </w:r>
            <w:proofErr w:type="gramEnd"/>
            <w:r w:rsidRPr="005E1BCD">
              <w:rPr>
                <w:rFonts w:cs="Arial"/>
                <w:b/>
                <w:bCs/>
                <w:szCs w:val="20"/>
              </w:rPr>
              <w:t xml:space="preserve"> or revoke a protection zone </w:t>
            </w:r>
          </w:p>
        </w:tc>
        <w:tc>
          <w:tcPr>
            <w:tcW w:w="834" w:type="pct"/>
            <w:shd w:val="clear" w:color="auto" w:fill="auto"/>
            <w:vAlign w:val="center"/>
            <w:hideMark/>
          </w:tcPr>
          <w:p w14:paraId="5F430155" w14:textId="19AFF95A" w:rsidR="00003E01" w:rsidRPr="00E76D2D" w:rsidRDefault="00107493" w:rsidP="0095343A">
            <w:pPr>
              <w:spacing w:after="0" w:line="240" w:lineRule="auto"/>
              <w:rPr>
                <w:rFonts w:ascii="Calibri" w:hAnsi="Calibri" w:cs="Calibri"/>
                <w:sz w:val="22"/>
                <w:szCs w:val="22"/>
                <w:u w:val="single"/>
              </w:rPr>
            </w:pPr>
            <w:hyperlink r:id="rId139" w:anchor="RANGE!I2" w:history="1">
              <w:r w:rsidR="00003E01" w:rsidRPr="00E76D2D">
                <w:t>Sch 1</w:t>
              </w:r>
              <w:r w:rsidR="0066184A">
                <w:t xml:space="preserve"> </w:t>
              </w:r>
              <w:r w:rsidR="0066184A">
                <w:rPr>
                  <w:rFonts w:cs="Arial"/>
                  <w:szCs w:val="20"/>
                </w:rPr>
                <w:t xml:space="preserve">– </w:t>
              </w:r>
              <w:r w:rsidR="00003E01" w:rsidRPr="00E76D2D">
                <w:t>Part 5, item 5.1</w:t>
              </w:r>
            </w:hyperlink>
          </w:p>
        </w:tc>
        <w:tc>
          <w:tcPr>
            <w:tcW w:w="2553" w:type="pct"/>
            <w:shd w:val="clear" w:color="auto" w:fill="auto"/>
            <w:vAlign w:val="center"/>
            <w:hideMark/>
          </w:tcPr>
          <w:p w14:paraId="2896FE36" w14:textId="5CF0E42C" w:rsidR="00003E01" w:rsidRPr="00682B0B" w:rsidRDefault="00003E01" w:rsidP="0095343A">
            <w:pPr>
              <w:spacing w:after="0" w:line="240" w:lineRule="auto"/>
              <w:rPr>
                <w:rFonts w:cs="Arial"/>
                <w:szCs w:val="20"/>
              </w:rPr>
            </w:pPr>
            <w:r w:rsidRPr="00682B0B">
              <w:rPr>
                <w:rFonts w:cs="Arial"/>
                <w:szCs w:val="20"/>
              </w:rPr>
              <w:t>Deposit payable on account of the expenses to be incurred by the ACMA in relation to a protection zone (declaration) request</w:t>
            </w:r>
            <w:r w:rsidR="0095343A">
              <w:rPr>
                <w:rFonts w:cs="Arial"/>
                <w:szCs w:val="20"/>
              </w:rPr>
              <w:t>.</w:t>
            </w:r>
          </w:p>
        </w:tc>
        <w:tc>
          <w:tcPr>
            <w:tcW w:w="634" w:type="pct"/>
            <w:shd w:val="clear" w:color="auto" w:fill="auto"/>
            <w:vAlign w:val="center"/>
            <w:hideMark/>
          </w:tcPr>
          <w:p w14:paraId="43A31969" w14:textId="4AF4A0E7" w:rsidR="00003E01" w:rsidRPr="00682B0B" w:rsidRDefault="00003E01" w:rsidP="006D0B51">
            <w:pPr>
              <w:spacing w:after="0" w:line="240" w:lineRule="auto"/>
              <w:jc w:val="right"/>
              <w:rPr>
                <w:rFonts w:cs="Arial"/>
                <w:szCs w:val="20"/>
              </w:rPr>
            </w:pPr>
            <w:r w:rsidRPr="00682B0B">
              <w:rPr>
                <w:rFonts w:cs="Arial"/>
                <w:szCs w:val="20"/>
              </w:rPr>
              <w:t>$161,251.00 </w:t>
            </w:r>
          </w:p>
        </w:tc>
      </w:tr>
      <w:tr w:rsidR="00202B63" w:rsidRPr="00682B0B" w14:paraId="2862F6D7" w14:textId="77777777" w:rsidTr="00E13CAA">
        <w:trPr>
          <w:trHeight w:val="468"/>
        </w:trPr>
        <w:tc>
          <w:tcPr>
            <w:tcW w:w="170" w:type="pct"/>
            <w:shd w:val="clear" w:color="auto" w:fill="auto"/>
            <w:vAlign w:val="center"/>
            <w:hideMark/>
          </w:tcPr>
          <w:p w14:paraId="5DEB9A94" w14:textId="1BA8D057" w:rsidR="00003E01" w:rsidRPr="00682B0B" w:rsidRDefault="00003E01" w:rsidP="0095343A">
            <w:pPr>
              <w:spacing w:after="0" w:line="240" w:lineRule="auto"/>
              <w:rPr>
                <w:rFonts w:cs="Arial"/>
                <w:szCs w:val="20"/>
              </w:rPr>
            </w:pPr>
            <w:r w:rsidRPr="00682B0B">
              <w:rPr>
                <w:rFonts w:cs="Arial"/>
                <w:szCs w:val="20"/>
              </w:rPr>
              <w:t>1</w:t>
            </w:r>
            <w:r w:rsidR="00CF7C10">
              <w:rPr>
                <w:rFonts w:cs="Arial"/>
                <w:szCs w:val="20"/>
              </w:rPr>
              <w:t>1</w:t>
            </w:r>
            <w:r w:rsidR="00FB7E48">
              <w:rPr>
                <w:rFonts w:cs="Arial"/>
                <w:szCs w:val="20"/>
              </w:rPr>
              <w:t>9</w:t>
            </w:r>
          </w:p>
        </w:tc>
        <w:tc>
          <w:tcPr>
            <w:tcW w:w="809" w:type="pct"/>
            <w:vMerge/>
            <w:vAlign w:val="center"/>
            <w:hideMark/>
          </w:tcPr>
          <w:p w14:paraId="32961794"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43134D40" w14:textId="7C5C4F7F" w:rsidR="00003E01" w:rsidRPr="00E76D2D" w:rsidRDefault="00107493" w:rsidP="0095343A">
            <w:pPr>
              <w:spacing w:after="0" w:line="240" w:lineRule="auto"/>
              <w:rPr>
                <w:rFonts w:ascii="Calibri" w:hAnsi="Calibri" w:cs="Calibri"/>
                <w:sz w:val="22"/>
                <w:szCs w:val="22"/>
                <w:u w:val="single"/>
              </w:rPr>
            </w:pPr>
            <w:hyperlink r:id="rId140" w:anchor="RANGE!I37" w:history="1">
              <w:r w:rsidR="00003E01" w:rsidRPr="00E76D2D">
                <w:t>Sch 1</w:t>
              </w:r>
              <w:r w:rsidR="003751FF">
                <w:t xml:space="preserve"> </w:t>
              </w:r>
              <w:r w:rsidR="003751FF">
                <w:rPr>
                  <w:rFonts w:cs="Arial"/>
                  <w:szCs w:val="20"/>
                </w:rPr>
                <w:t xml:space="preserve">– </w:t>
              </w:r>
              <w:r w:rsidR="00003E01" w:rsidRPr="00E76D2D">
                <w:t>Part 5, item 5.2</w:t>
              </w:r>
            </w:hyperlink>
          </w:p>
        </w:tc>
        <w:tc>
          <w:tcPr>
            <w:tcW w:w="2553" w:type="pct"/>
            <w:shd w:val="clear" w:color="auto" w:fill="auto"/>
            <w:vAlign w:val="center"/>
            <w:hideMark/>
          </w:tcPr>
          <w:p w14:paraId="56876AD6" w14:textId="44AD6D6F" w:rsidR="00003E01" w:rsidRPr="00682B0B" w:rsidRDefault="00003E01" w:rsidP="0095343A">
            <w:pPr>
              <w:spacing w:after="0" w:line="240" w:lineRule="auto"/>
              <w:rPr>
                <w:rFonts w:cs="Arial"/>
                <w:szCs w:val="20"/>
              </w:rPr>
            </w:pPr>
            <w:r w:rsidRPr="00682B0B">
              <w:rPr>
                <w:rFonts w:cs="Arial"/>
                <w:szCs w:val="20"/>
              </w:rPr>
              <w:t>Deposit payable on account of the expenses to be incurred by the ACMA in relation to a protection zone (revocation) request or a protection zone (variation) request</w:t>
            </w:r>
            <w:r w:rsidR="0095343A">
              <w:rPr>
                <w:rFonts w:cs="Arial"/>
                <w:szCs w:val="20"/>
              </w:rPr>
              <w:t>.</w:t>
            </w:r>
          </w:p>
        </w:tc>
        <w:tc>
          <w:tcPr>
            <w:tcW w:w="634" w:type="pct"/>
            <w:shd w:val="clear" w:color="auto" w:fill="auto"/>
            <w:vAlign w:val="center"/>
            <w:hideMark/>
          </w:tcPr>
          <w:p w14:paraId="241A84BC" w14:textId="77777777" w:rsidR="00003E01" w:rsidRPr="00682B0B" w:rsidRDefault="00003E01" w:rsidP="006D0B51">
            <w:pPr>
              <w:spacing w:after="0" w:line="240" w:lineRule="auto"/>
              <w:jc w:val="right"/>
              <w:rPr>
                <w:rFonts w:cs="Arial"/>
                <w:szCs w:val="20"/>
              </w:rPr>
            </w:pPr>
            <w:r w:rsidRPr="00682B0B">
              <w:rPr>
                <w:rFonts w:cs="Arial"/>
                <w:szCs w:val="20"/>
              </w:rPr>
              <w:t>$136,278.00</w:t>
            </w:r>
          </w:p>
        </w:tc>
      </w:tr>
      <w:tr w:rsidR="00202B63" w:rsidRPr="00682B0B" w14:paraId="2AEA98F6" w14:textId="77777777" w:rsidTr="00E13CAA">
        <w:trPr>
          <w:trHeight w:val="324"/>
        </w:trPr>
        <w:tc>
          <w:tcPr>
            <w:tcW w:w="170" w:type="pct"/>
            <w:shd w:val="clear" w:color="auto" w:fill="auto"/>
            <w:vAlign w:val="center"/>
            <w:hideMark/>
          </w:tcPr>
          <w:p w14:paraId="77A46813" w14:textId="364D62BD" w:rsidR="00003E01" w:rsidRPr="00682B0B" w:rsidRDefault="00003E01" w:rsidP="0095343A">
            <w:pPr>
              <w:spacing w:after="0" w:line="240" w:lineRule="auto"/>
              <w:rPr>
                <w:rFonts w:cs="Arial"/>
                <w:szCs w:val="20"/>
              </w:rPr>
            </w:pPr>
            <w:r w:rsidRPr="00682B0B">
              <w:rPr>
                <w:rFonts w:cs="Arial"/>
                <w:szCs w:val="20"/>
              </w:rPr>
              <w:t>1</w:t>
            </w:r>
            <w:r w:rsidR="00FB7E48">
              <w:rPr>
                <w:rFonts w:cs="Arial"/>
                <w:szCs w:val="20"/>
              </w:rPr>
              <w:t>20</w:t>
            </w:r>
          </w:p>
        </w:tc>
        <w:tc>
          <w:tcPr>
            <w:tcW w:w="809" w:type="pct"/>
            <w:vMerge/>
            <w:vAlign w:val="center"/>
            <w:hideMark/>
          </w:tcPr>
          <w:p w14:paraId="79399629"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3142AD70" w14:textId="6E13B3FA" w:rsidR="00003E01" w:rsidRPr="00E76D2D" w:rsidRDefault="00107493" w:rsidP="0095343A">
            <w:pPr>
              <w:spacing w:after="0" w:line="240" w:lineRule="auto"/>
              <w:rPr>
                <w:rFonts w:ascii="Calibri" w:hAnsi="Calibri" w:cs="Calibri"/>
                <w:sz w:val="22"/>
                <w:szCs w:val="22"/>
                <w:u w:val="single"/>
              </w:rPr>
            </w:pPr>
            <w:hyperlink r:id="rId141" w:anchor="RANGE!D52" w:history="1">
              <w:r w:rsidR="00003E01" w:rsidRPr="00E76D2D">
                <w:t>Sch 1</w:t>
              </w:r>
              <w:r w:rsidR="003751FF">
                <w:t xml:space="preserve"> </w:t>
              </w:r>
              <w:r w:rsidR="003751FF">
                <w:rPr>
                  <w:rFonts w:cs="Arial"/>
                  <w:szCs w:val="20"/>
                </w:rPr>
                <w:t xml:space="preserve">– </w:t>
              </w:r>
              <w:r w:rsidR="00003E01" w:rsidRPr="00E76D2D">
                <w:t>Part 5, item 5.3</w:t>
              </w:r>
            </w:hyperlink>
          </w:p>
        </w:tc>
        <w:tc>
          <w:tcPr>
            <w:tcW w:w="2553" w:type="pct"/>
            <w:shd w:val="clear" w:color="auto" w:fill="auto"/>
            <w:vAlign w:val="center"/>
            <w:hideMark/>
          </w:tcPr>
          <w:p w14:paraId="5D6ECD94" w14:textId="77777777" w:rsidR="00445936" w:rsidRDefault="00003E01" w:rsidP="00445936">
            <w:pPr>
              <w:pStyle w:val="Paragraphbeforelist"/>
            </w:pPr>
            <w:r w:rsidRPr="00682B0B">
              <w:t>Charges for the activities of ACMA official in relation to a:</w:t>
            </w:r>
          </w:p>
          <w:p w14:paraId="2C895892" w14:textId="77777777" w:rsidR="00445936" w:rsidRDefault="00003E01" w:rsidP="00445936">
            <w:pPr>
              <w:pStyle w:val="Bulletlevel1"/>
              <w:numPr>
                <w:ilvl w:val="0"/>
                <w:numId w:val="0"/>
              </w:numPr>
              <w:ind w:left="295" w:hanging="295"/>
            </w:pPr>
            <w:r w:rsidRPr="00682B0B">
              <w:t>(a) protection zone (declaration) request;</w:t>
            </w:r>
          </w:p>
          <w:p w14:paraId="2D6E65EA" w14:textId="77777777" w:rsidR="00445936" w:rsidRDefault="00003E01" w:rsidP="00445936">
            <w:pPr>
              <w:pStyle w:val="Bulletlevel1"/>
              <w:numPr>
                <w:ilvl w:val="0"/>
                <w:numId w:val="0"/>
              </w:numPr>
              <w:ind w:left="295" w:hanging="295"/>
            </w:pPr>
            <w:r w:rsidRPr="00682B0B">
              <w:t>(b) protection zone (revocation) request;</w:t>
            </w:r>
          </w:p>
          <w:p w14:paraId="660475FB" w14:textId="20FD3887" w:rsidR="00003E01" w:rsidRPr="00682B0B" w:rsidRDefault="00003E01" w:rsidP="00445936">
            <w:pPr>
              <w:pStyle w:val="Bulletlevel1"/>
              <w:numPr>
                <w:ilvl w:val="0"/>
                <w:numId w:val="0"/>
              </w:numPr>
              <w:spacing w:after="0"/>
              <w:ind w:left="295" w:hanging="295"/>
            </w:pPr>
            <w:r w:rsidRPr="00682B0B">
              <w:t>(c) protection zone (variation) request</w:t>
            </w:r>
            <w:r w:rsidR="0095343A">
              <w:t>.</w:t>
            </w:r>
          </w:p>
        </w:tc>
        <w:tc>
          <w:tcPr>
            <w:tcW w:w="634" w:type="pct"/>
            <w:shd w:val="clear" w:color="auto" w:fill="auto"/>
            <w:vAlign w:val="center"/>
            <w:hideMark/>
          </w:tcPr>
          <w:p w14:paraId="542F0549" w14:textId="25CDADB7" w:rsidR="00003E01" w:rsidRPr="00682B0B" w:rsidRDefault="00003E01" w:rsidP="006D0B51">
            <w:pPr>
              <w:spacing w:after="0" w:line="240" w:lineRule="auto"/>
              <w:jc w:val="right"/>
              <w:rPr>
                <w:rFonts w:cs="Arial"/>
                <w:szCs w:val="20"/>
              </w:rPr>
            </w:pPr>
            <w:r w:rsidRPr="00682B0B">
              <w:rPr>
                <w:rFonts w:cs="Arial"/>
                <w:szCs w:val="20"/>
              </w:rPr>
              <w:t>Hourly rate </w:t>
            </w:r>
          </w:p>
        </w:tc>
      </w:tr>
      <w:tr w:rsidR="00202B63" w:rsidRPr="00682B0B" w14:paraId="1F2AEF71" w14:textId="77777777" w:rsidTr="0023759E">
        <w:trPr>
          <w:trHeight w:val="349"/>
        </w:trPr>
        <w:tc>
          <w:tcPr>
            <w:tcW w:w="170" w:type="pct"/>
            <w:shd w:val="clear" w:color="auto" w:fill="auto"/>
            <w:vAlign w:val="center"/>
            <w:hideMark/>
          </w:tcPr>
          <w:p w14:paraId="04FAEE3C" w14:textId="51D1AAED" w:rsidR="00003E01" w:rsidRPr="00682B0B" w:rsidRDefault="00003E01" w:rsidP="0095343A">
            <w:pPr>
              <w:spacing w:after="0" w:line="240" w:lineRule="auto"/>
              <w:rPr>
                <w:rFonts w:cs="Arial"/>
                <w:szCs w:val="20"/>
              </w:rPr>
            </w:pPr>
            <w:r w:rsidRPr="00682B0B">
              <w:rPr>
                <w:rFonts w:cs="Arial"/>
                <w:szCs w:val="20"/>
              </w:rPr>
              <w:t>12</w:t>
            </w:r>
            <w:r w:rsidR="00FB7E48">
              <w:rPr>
                <w:rFonts w:cs="Arial"/>
                <w:szCs w:val="20"/>
              </w:rPr>
              <w:t>1</w:t>
            </w:r>
          </w:p>
        </w:tc>
        <w:tc>
          <w:tcPr>
            <w:tcW w:w="809" w:type="pct"/>
            <w:vMerge/>
            <w:vAlign w:val="center"/>
            <w:hideMark/>
          </w:tcPr>
          <w:p w14:paraId="2992379C"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696C1DE8" w14:textId="4E656E02" w:rsidR="00003E01" w:rsidRPr="00E76D2D" w:rsidRDefault="00003E01" w:rsidP="0095343A">
            <w:pPr>
              <w:spacing w:after="0" w:line="240" w:lineRule="auto"/>
              <w:rPr>
                <w:rFonts w:cs="Arial"/>
                <w:szCs w:val="20"/>
              </w:rPr>
            </w:pPr>
            <w:r w:rsidRPr="00E76D2D">
              <w:rPr>
                <w:rFonts w:cs="Arial"/>
                <w:szCs w:val="20"/>
              </w:rPr>
              <w:t>Sch 1</w:t>
            </w:r>
            <w:r w:rsidR="003751FF">
              <w:rPr>
                <w:rFonts w:cs="Arial"/>
                <w:szCs w:val="20"/>
              </w:rPr>
              <w:t xml:space="preserve"> – </w:t>
            </w:r>
            <w:r w:rsidRPr="00E76D2D">
              <w:rPr>
                <w:rFonts w:cs="Arial"/>
                <w:szCs w:val="20"/>
              </w:rPr>
              <w:t>Part 5, item 5.4</w:t>
            </w:r>
          </w:p>
        </w:tc>
        <w:tc>
          <w:tcPr>
            <w:tcW w:w="2553" w:type="pct"/>
            <w:shd w:val="clear" w:color="auto" w:fill="auto"/>
            <w:vAlign w:val="center"/>
            <w:hideMark/>
          </w:tcPr>
          <w:p w14:paraId="60587408" w14:textId="77777777" w:rsidR="00445936" w:rsidRDefault="00003E01" w:rsidP="00445936">
            <w:pPr>
              <w:pStyle w:val="Paragraphbeforelist"/>
            </w:pPr>
            <w:r w:rsidRPr="00682B0B">
              <w:t>External costs incurred by the ACMA in relation to a protection zone (declaration) request, protection zone (revocation) request or protection zone (variation) request including, but not limited to, the following:</w:t>
            </w:r>
          </w:p>
          <w:p w14:paraId="21C0C463" w14:textId="77777777" w:rsidR="00445936" w:rsidRPr="00445936" w:rsidRDefault="00003E01" w:rsidP="00445936">
            <w:pPr>
              <w:pStyle w:val="Bulletlevel1"/>
              <w:numPr>
                <w:ilvl w:val="0"/>
                <w:numId w:val="0"/>
              </w:numPr>
              <w:ind w:left="295" w:hanging="295"/>
            </w:pPr>
            <w:r w:rsidRPr="00682B0B">
              <w:rPr>
                <w:szCs w:val="20"/>
              </w:rPr>
              <w:t>(a</w:t>
            </w:r>
            <w:r w:rsidRPr="00445936">
              <w:t>) advertising costs;</w:t>
            </w:r>
          </w:p>
          <w:p w14:paraId="04700B73" w14:textId="77777777" w:rsidR="00445936" w:rsidRPr="00445936" w:rsidRDefault="00003E01" w:rsidP="00445936">
            <w:pPr>
              <w:pStyle w:val="Bulletlevel1"/>
              <w:numPr>
                <w:ilvl w:val="0"/>
                <w:numId w:val="0"/>
              </w:numPr>
              <w:ind w:left="295" w:hanging="295"/>
            </w:pPr>
            <w:r w:rsidRPr="00445936">
              <w:t>(b) venue hire and catering costs;</w:t>
            </w:r>
          </w:p>
          <w:p w14:paraId="74E1B7F5" w14:textId="77777777" w:rsidR="00445936" w:rsidRPr="00445936" w:rsidRDefault="00003E01" w:rsidP="00445936">
            <w:pPr>
              <w:pStyle w:val="Bulletlevel1"/>
              <w:numPr>
                <w:ilvl w:val="0"/>
                <w:numId w:val="0"/>
              </w:numPr>
              <w:ind w:left="295" w:hanging="295"/>
            </w:pPr>
            <w:r w:rsidRPr="00445936">
              <w:t>(c) travel expenses;</w:t>
            </w:r>
          </w:p>
          <w:p w14:paraId="73C43CFF" w14:textId="5145913D" w:rsidR="00003E01" w:rsidRPr="00682B0B" w:rsidRDefault="00003E01" w:rsidP="00445936">
            <w:pPr>
              <w:pStyle w:val="Bulletlevel1"/>
              <w:numPr>
                <w:ilvl w:val="0"/>
                <w:numId w:val="0"/>
              </w:numPr>
              <w:spacing w:after="0"/>
              <w:ind w:left="295" w:hanging="295"/>
              <w:rPr>
                <w:szCs w:val="20"/>
              </w:rPr>
            </w:pPr>
            <w:r w:rsidRPr="00445936">
              <w:lastRenderedPageBreak/>
              <w:t xml:space="preserve">(d) consultation </w:t>
            </w:r>
            <w:r w:rsidRPr="00682B0B">
              <w:rPr>
                <w:szCs w:val="20"/>
              </w:rPr>
              <w:t>costs</w:t>
            </w:r>
            <w:r w:rsidR="0095343A">
              <w:rPr>
                <w:szCs w:val="20"/>
              </w:rPr>
              <w:t>.</w:t>
            </w:r>
          </w:p>
        </w:tc>
        <w:tc>
          <w:tcPr>
            <w:tcW w:w="634" w:type="pct"/>
            <w:shd w:val="clear" w:color="auto" w:fill="auto"/>
            <w:vAlign w:val="center"/>
            <w:hideMark/>
          </w:tcPr>
          <w:p w14:paraId="4A64FC2C" w14:textId="5E8DF941" w:rsidR="00003E01" w:rsidRPr="00682B0B" w:rsidRDefault="00003E01" w:rsidP="006D0B51">
            <w:pPr>
              <w:spacing w:after="0" w:line="240" w:lineRule="auto"/>
              <w:jc w:val="right"/>
              <w:rPr>
                <w:rFonts w:cs="Arial"/>
                <w:szCs w:val="20"/>
              </w:rPr>
            </w:pPr>
            <w:r w:rsidRPr="00682B0B">
              <w:rPr>
                <w:rFonts w:cs="Arial"/>
                <w:szCs w:val="20"/>
              </w:rPr>
              <w:lastRenderedPageBreak/>
              <w:t>Actual costs </w:t>
            </w:r>
          </w:p>
        </w:tc>
      </w:tr>
      <w:tr w:rsidR="00202B63" w:rsidRPr="00682B0B" w14:paraId="58502432" w14:textId="77777777" w:rsidTr="00E13CAA">
        <w:trPr>
          <w:trHeight w:val="85"/>
        </w:trPr>
        <w:tc>
          <w:tcPr>
            <w:tcW w:w="170" w:type="pct"/>
            <w:shd w:val="clear" w:color="auto" w:fill="auto"/>
            <w:vAlign w:val="center"/>
            <w:hideMark/>
          </w:tcPr>
          <w:p w14:paraId="4D307227" w14:textId="73971DC3" w:rsidR="00003E01" w:rsidRPr="00682B0B" w:rsidRDefault="00003E01" w:rsidP="00445936">
            <w:pPr>
              <w:keepNext/>
              <w:keepLines/>
              <w:spacing w:after="0" w:line="240" w:lineRule="auto"/>
              <w:rPr>
                <w:rFonts w:cs="Arial"/>
                <w:szCs w:val="20"/>
              </w:rPr>
            </w:pPr>
            <w:r w:rsidRPr="00682B0B">
              <w:rPr>
                <w:rFonts w:cs="Arial"/>
                <w:szCs w:val="20"/>
              </w:rPr>
              <w:t>12</w:t>
            </w:r>
            <w:r w:rsidR="00FB7E48">
              <w:rPr>
                <w:rFonts w:cs="Arial"/>
                <w:szCs w:val="20"/>
              </w:rPr>
              <w:t>2</w:t>
            </w:r>
          </w:p>
        </w:tc>
        <w:tc>
          <w:tcPr>
            <w:tcW w:w="809" w:type="pct"/>
            <w:vMerge w:val="restart"/>
            <w:shd w:val="clear" w:color="auto" w:fill="auto"/>
            <w:vAlign w:val="center"/>
            <w:hideMark/>
          </w:tcPr>
          <w:p w14:paraId="56983389" w14:textId="77777777" w:rsidR="00003E01" w:rsidRPr="005E1BCD" w:rsidRDefault="00003E01" w:rsidP="00445936">
            <w:pPr>
              <w:keepNext/>
              <w:keepLines/>
              <w:spacing w:after="0" w:line="240" w:lineRule="auto"/>
              <w:rPr>
                <w:rFonts w:cs="Arial"/>
                <w:b/>
                <w:bCs/>
                <w:szCs w:val="20"/>
              </w:rPr>
            </w:pPr>
            <w:r w:rsidRPr="005E1BCD">
              <w:rPr>
                <w:rFonts w:cs="Arial"/>
                <w:b/>
                <w:bCs/>
                <w:szCs w:val="20"/>
              </w:rPr>
              <w:t>Submarine cables</w:t>
            </w:r>
            <w:r w:rsidRPr="00682B0B">
              <w:rPr>
                <w:rFonts w:cs="Arial"/>
                <w:szCs w:val="20"/>
              </w:rPr>
              <w:t> </w:t>
            </w:r>
          </w:p>
        </w:tc>
        <w:tc>
          <w:tcPr>
            <w:tcW w:w="834" w:type="pct"/>
            <w:shd w:val="clear" w:color="auto" w:fill="auto"/>
            <w:vAlign w:val="center"/>
            <w:hideMark/>
          </w:tcPr>
          <w:p w14:paraId="27FDE1CB" w14:textId="751E1E45" w:rsidR="00003E01" w:rsidRPr="00E76D2D" w:rsidRDefault="00107493" w:rsidP="00445936">
            <w:pPr>
              <w:keepNext/>
              <w:keepLines/>
              <w:spacing w:after="0" w:line="240" w:lineRule="auto"/>
              <w:rPr>
                <w:rFonts w:ascii="Calibri" w:hAnsi="Calibri" w:cs="Calibri"/>
                <w:sz w:val="22"/>
                <w:szCs w:val="22"/>
                <w:u w:val="single"/>
              </w:rPr>
            </w:pPr>
            <w:hyperlink r:id="rId142" w:anchor="RANGE!I2" w:history="1">
              <w:r w:rsidR="00003E01" w:rsidRPr="00E76D2D">
                <w:t>Sch 1</w:t>
              </w:r>
              <w:r w:rsidR="003751FF">
                <w:t xml:space="preserve"> </w:t>
              </w:r>
              <w:r w:rsidR="003751FF">
                <w:rPr>
                  <w:rFonts w:cs="Arial"/>
                  <w:szCs w:val="20"/>
                </w:rPr>
                <w:t xml:space="preserve">– </w:t>
              </w:r>
              <w:r w:rsidR="00003E01" w:rsidRPr="00E76D2D">
                <w:t>Part 6, item 6.1 </w:t>
              </w:r>
            </w:hyperlink>
          </w:p>
        </w:tc>
        <w:tc>
          <w:tcPr>
            <w:tcW w:w="2553" w:type="pct"/>
            <w:shd w:val="clear" w:color="auto" w:fill="auto"/>
            <w:vAlign w:val="center"/>
            <w:hideMark/>
          </w:tcPr>
          <w:p w14:paraId="51CBE61D" w14:textId="0931A0E9" w:rsidR="00003E01" w:rsidRPr="00682B0B" w:rsidRDefault="00003E01" w:rsidP="00445936">
            <w:pPr>
              <w:keepNext/>
              <w:keepLines/>
              <w:spacing w:after="0" w:line="240" w:lineRule="auto"/>
              <w:rPr>
                <w:rFonts w:cs="Arial"/>
                <w:szCs w:val="20"/>
              </w:rPr>
            </w:pPr>
            <w:r w:rsidRPr="00682B0B">
              <w:rPr>
                <w:rFonts w:cs="Arial"/>
                <w:szCs w:val="20"/>
              </w:rPr>
              <w:t xml:space="preserve">Protection zone installation permit application </w:t>
            </w:r>
            <w:r w:rsidR="0066184A">
              <w:rPr>
                <w:rFonts w:cs="Arial"/>
                <w:szCs w:val="20"/>
              </w:rPr>
              <w:t>–</w:t>
            </w:r>
            <w:r w:rsidRPr="00682B0B">
              <w:rPr>
                <w:rFonts w:cs="Arial"/>
                <w:szCs w:val="20"/>
              </w:rPr>
              <w:t xml:space="preserve"> charge for the purposes of clause 53 of Schedule 3A to the Telecommunications Act, in relation to considering and processing a protection zone installation permit application</w:t>
            </w:r>
            <w:r w:rsidR="0095343A">
              <w:rPr>
                <w:rFonts w:cs="Arial"/>
                <w:szCs w:val="20"/>
              </w:rPr>
              <w:t>.</w:t>
            </w:r>
          </w:p>
        </w:tc>
        <w:tc>
          <w:tcPr>
            <w:tcW w:w="634" w:type="pct"/>
            <w:shd w:val="clear" w:color="auto" w:fill="auto"/>
            <w:vAlign w:val="center"/>
            <w:hideMark/>
          </w:tcPr>
          <w:p w14:paraId="1647B750" w14:textId="24FE8DCD" w:rsidR="00003E01" w:rsidRPr="00682B0B" w:rsidRDefault="00003E01" w:rsidP="006D0B51">
            <w:pPr>
              <w:keepNext/>
              <w:keepLines/>
              <w:spacing w:after="0" w:line="240" w:lineRule="auto"/>
              <w:jc w:val="right"/>
              <w:rPr>
                <w:rFonts w:cs="Arial"/>
                <w:szCs w:val="20"/>
              </w:rPr>
            </w:pPr>
            <w:r w:rsidRPr="00682B0B">
              <w:rPr>
                <w:rFonts w:cs="Arial"/>
                <w:szCs w:val="20"/>
              </w:rPr>
              <w:t>$5,123.00 (for each submarine cable the subject of the application) </w:t>
            </w:r>
          </w:p>
        </w:tc>
      </w:tr>
      <w:tr w:rsidR="00202B63" w:rsidRPr="00682B0B" w14:paraId="67C7D995" w14:textId="77777777" w:rsidTr="00E13CAA">
        <w:trPr>
          <w:trHeight w:val="532"/>
        </w:trPr>
        <w:tc>
          <w:tcPr>
            <w:tcW w:w="170" w:type="pct"/>
            <w:shd w:val="clear" w:color="auto" w:fill="auto"/>
            <w:vAlign w:val="center"/>
            <w:hideMark/>
          </w:tcPr>
          <w:p w14:paraId="15896B7B" w14:textId="075DAF9D" w:rsidR="00003E01" w:rsidRPr="00682B0B" w:rsidRDefault="00003E01" w:rsidP="0095343A">
            <w:pPr>
              <w:spacing w:after="0" w:line="240" w:lineRule="auto"/>
              <w:rPr>
                <w:rFonts w:cs="Arial"/>
                <w:szCs w:val="20"/>
              </w:rPr>
            </w:pPr>
            <w:r w:rsidRPr="00682B0B">
              <w:rPr>
                <w:rFonts w:cs="Arial"/>
                <w:szCs w:val="20"/>
              </w:rPr>
              <w:t>12</w:t>
            </w:r>
            <w:r w:rsidR="00FB7E48">
              <w:rPr>
                <w:rFonts w:cs="Arial"/>
                <w:szCs w:val="20"/>
              </w:rPr>
              <w:t>3</w:t>
            </w:r>
          </w:p>
        </w:tc>
        <w:tc>
          <w:tcPr>
            <w:tcW w:w="809" w:type="pct"/>
            <w:vMerge/>
            <w:vAlign w:val="center"/>
            <w:hideMark/>
          </w:tcPr>
          <w:p w14:paraId="53ED14F1" w14:textId="77777777" w:rsidR="00003E01" w:rsidRPr="005E1BCD" w:rsidRDefault="00003E01" w:rsidP="0095343A">
            <w:pPr>
              <w:spacing w:after="0" w:line="240" w:lineRule="auto"/>
              <w:rPr>
                <w:rFonts w:cs="Arial"/>
                <w:b/>
                <w:bCs/>
                <w:szCs w:val="20"/>
              </w:rPr>
            </w:pPr>
          </w:p>
        </w:tc>
        <w:tc>
          <w:tcPr>
            <w:tcW w:w="834" w:type="pct"/>
            <w:shd w:val="clear" w:color="auto" w:fill="auto"/>
            <w:vAlign w:val="center"/>
            <w:hideMark/>
          </w:tcPr>
          <w:p w14:paraId="4949316D" w14:textId="46C2405B" w:rsidR="00003E01" w:rsidRPr="00E76D2D" w:rsidRDefault="00107493" w:rsidP="0095343A">
            <w:pPr>
              <w:spacing w:after="0" w:line="240" w:lineRule="auto"/>
              <w:rPr>
                <w:rFonts w:ascii="Calibri" w:hAnsi="Calibri" w:cs="Calibri"/>
                <w:sz w:val="22"/>
                <w:szCs w:val="22"/>
                <w:u w:val="single"/>
              </w:rPr>
            </w:pPr>
            <w:hyperlink r:id="rId143" w:anchor="RANGE!I24" w:history="1">
              <w:r w:rsidR="00003E01" w:rsidRPr="00E76D2D">
                <w:t>Sch 1</w:t>
              </w:r>
              <w:r w:rsidR="003751FF">
                <w:t xml:space="preserve"> </w:t>
              </w:r>
              <w:r w:rsidR="003751FF">
                <w:rPr>
                  <w:rFonts w:cs="Arial"/>
                  <w:szCs w:val="20"/>
                </w:rPr>
                <w:t xml:space="preserve">– </w:t>
              </w:r>
              <w:r w:rsidR="00003E01" w:rsidRPr="00E76D2D">
                <w:t>Part 6, item 6.2</w:t>
              </w:r>
            </w:hyperlink>
          </w:p>
        </w:tc>
        <w:tc>
          <w:tcPr>
            <w:tcW w:w="2553" w:type="pct"/>
            <w:shd w:val="clear" w:color="auto" w:fill="auto"/>
            <w:vAlign w:val="center"/>
            <w:hideMark/>
          </w:tcPr>
          <w:p w14:paraId="17F9EE34" w14:textId="3DC0AB8E" w:rsidR="00003E01" w:rsidRPr="00682B0B" w:rsidRDefault="00003E01" w:rsidP="0095343A">
            <w:pPr>
              <w:spacing w:after="0" w:line="240" w:lineRule="auto"/>
              <w:rPr>
                <w:rFonts w:cs="Arial"/>
                <w:szCs w:val="20"/>
              </w:rPr>
            </w:pPr>
            <w:r w:rsidRPr="00682B0B">
              <w:rPr>
                <w:rFonts w:cs="Arial"/>
                <w:szCs w:val="20"/>
              </w:rPr>
              <w:t>Protection zone installation permit </w:t>
            </w:r>
            <w:r w:rsidR="0066184A">
              <w:rPr>
                <w:rFonts w:cs="Arial"/>
                <w:szCs w:val="20"/>
              </w:rPr>
              <w:t>–</w:t>
            </w:r>
            <w:r w:rsidRPr="00682B0B">
              <w:rPr>
                <w:rFonts w:cs="Arial"/>
                <w:szCs w:val="20"/>
              </w:rPr>
              <w:t xml:space="preserve"> considering and processing an application under clause 61 of Schedule 3A to the Telecommunications Act to extend the duration of a protection zone installation permit</w:t>
            </w:r>
            <w:r w:rsidR="0095343A">
              <w:rPr>
                <w:rFonts w:cs="Arial"/>
                <w:szCs w:val="20"/>
              </w:rPr>
              <w:t>.</w:t>
            </w:r>
          </w:p>
        </w:tc>
        <w:tc>
          <w:tcPr>
            <w:tcW w:w="634" w:type="pct"/>
            <w:shd w:val="clear" w:color="auto" w:fill="auto"/>
            <w:vAlign w:val="center"/>
            <w:hideMark/>
          </w:tcPr>
          <w:p w14:paraId="6A33FEEE" w14:textId="77777777" w:rsidR="00003E01" w:rsidRPr="00682B0B" w:rsidRDefault="00003E01" w:rsidP="006D0B51">
            <w:pPr>
              <w:spacing w:after="0" w:line="240" w:lineRule="auto"/>
              <w:jc w:val="right"/>
              <w:rPr>
                <w:rFonts w:cs="Arial"/>
                <w:szCs w:val="20"/>
              </w:rPr>
            </w:pPr>
            <w:r w:rsidRPr="00682B0B">
              <w:rPr>
                <w:rFonts w:cs="Arial"/>
                <w:szCs w:val="20"/>
              </w:rPr>
              <w:t>$1,394.00</w:t>
            </w:r>
          </w:p>
        </w:tc>
      </w:tr>
      <w:tr w:rsidR="00202B63" w:rsidRPr="00682B0B" w14:paraId="308AC97A" w14:textId="77777777" w:rsidTr="00E13CAA">
        <w:trPr>
          <w:trHeight w:val="478"/>
        </w:trPr>
        <w:tc>
          <w:tcPr>
            <w:tcW w:w="170" w:type="pct"/>
            <w:shd w:val="clear" w:color="auto" w:fill="auto"/>
            <w:vAlign w:val="center"/>
            <w:hideMark/>
          </w:tcPr>
          <w:p w14:paraId="78F32342" w14:textId="3026D18F" w:rsidR="00003E01" w:rsidRPr="00682B0B" w:rsidRDefault="00003E01" w:rsidP="00250C90">
            <w:pPr>
              <w:spacing w:after="0" w:line="240" w:lineRule="auto"/>
              <w:jc w:val="center"/>
              <w:rPr>
                <w:rFonts w:cs="Arial"/>
                <w:szCs w:val="20"/>
              </w:rPr>
            </w:pPr>
            <w:r w:rsidRPr="00682B0B">
              <w:rPr>
                <w:rFonts w:cs="Arial"/>
                <w:szCs w:val="20"/>
              </w:rPr>
              <w:t>12</w:t>
            </w:r>
            <w:r w:rsidR="00FB7E48">
              <w:rPr>
                <w:rFonts w:cs="Arial"/>
                <w:szCs w:val="20"/>
              </w:rPr>
              <w:t>4</w:t>
            </w:r>
          </w:p>
        </w:tc>
        <w:tc>
          <w:tcPr>
            <w:tcW w:w="809" w:type="pct"/>
            <w:vMerge/>
            <w:vAlign w:val="center"/>
            <w:hideMark/>
          </w:tcPr>
          <w:p w14:paraId="229C9E07" w14:textId="77777777" w:rsidR="00003E01" w:rsidRPr="005E1BCD" w:rsidRDefault="00003E01" w:rsidP="00250C90">
            <w:pPr>
              <w:spacing w:after="0" w:line="240" w:lineRule="auto"/>
              <w:rPr>
                <w:rFonts w:cs="Arial"/>
                <w:b/>
                <w:bCs/>
                <w:szCs w:val="20"/>
              </w:rPr>
            </w:pPr>
          </w:p>
        </w:tc>
        <w:tc>
          <w:tcPr>
            <w:tcW w:w="834" w:type="pct"/>
            <w:shd w:val="clear" w:color="auto" w:fill="auto"/>
            <w:vAlign w:val="center"/>
            <w:hideMark/>
          </w:tcPr>
          <w:p w14:paraId="6D67408A" w14:textId="2CE71D4F" w:rsidR="00003E01" w:rsidRPr="00E76D2D" w:rsidRDefault="00107493" w:rsidP="00250C90">
            <w:pPr>
              <w:spacing w:after="0" w:line="240" w:lineRule="auto"/>
              <w:rPr>
                <w:rFonts w:ascii="Calibri" w:hAnsi="Calibri" w:cs="Calibri"/>
                <w:sz w:val="22"/>
                <w:szCs w:val="22"/>
                <w:u w:val="single"/>
              </w:rPr>
            </w:pPr>
            <w:hyperlink r:id="rId144" w:anchor="RANGE!I38" w:history="1">
              <w:r w:rsidR="00003E01" w:rsidRPr="00E76D2D">
                <w:t>Sch 1</w:t>
              </w:r>
              <w:r w:rsidR="003751FF">
                <w:t xml:space="preserve"> </w:t>
              </w:r>
              <w:r w:rsidR="003751FF">
                <w:rPr>
                  <w:rFonts w:cs="Arial"/>
                  <w:szCs w:val="20"/>
                </w:rPr>
                <w:t xml:space="preserve">– </w:t>
              </w:r>
              <w:r w:rsidR="00003E01" w:rsidRPr="00E76D2D">
                <w:t>Part 6, item 6.3</w:t>
              </w:r>
            </w:hyperlink>
          </w:p>
        </w:tc>
        <w:tc>
          <w:tcPr>
            <w:tcW w:w="2553" w:type="pct"/>
            <w:shd w:val="clear" w:color="auto" w:fill="auto"/>
            <w:vAlign w:val="center"/>
            <w:hideMark/>
          </w:tcPr>
          <w:p w14:paraId="2D23F1B5" w14:textId="4942C7AB" w:rsidR="00003E01" w:rsidRPr="00682B0B" w:rsidRDefault="00003E01" w:rsidP="00250C90">
            <w:pPr>
              <w:spacing w:after="0" w:line="240" w:lineRule="auto"/>
              <w:rPr>
                <w:rFonts w:cs="Arial"/>
                <w:szCs w:val="20"/>
              </w:rPr>
            </w:pPr>
            <w:r w:rsidRPr="00682B0B">
              <w:rPr>
                <w:rFonts w:cs="Arial"/>
                <w:szCs w:val="20"/>
              </w:rPr>
              <w:t>Non-protection zone installation permit application </w:t>
            </w:r>
            <w:r w:rsidR="0066184A">
              <w:rPr>
                <w:rFonts w:cs="Arial"/>
                <w:szCs w:val="20"/>
              </w:rPr>
              <w:t>–</w:t>
            </w:r>
            <w:r w:rsidRPr="00682B0B">
              <w:rPr>
                <w:rFonts w:cs="Arial"/>
                <w:szCs w:val="20"/>
              </w:rPr>
              <w:t xml:space="preserve"> charge for the purposes of clause 66 of Schedule 3A to the Telecommunications Act, in relation to considering and processing a non-protection zone installation permit application, excluding the additional charges mentioned at items 6.4 and 6.5</w:t>
            </w:r>
            <w:r w:rsidR="0095343A">
              <w:rPr>
                <w:rFonts w:cs="Arial"/>
                <w:szCs w:val="20"/>
              </w:rPr>
              <w:t>.</w:t>
            </w:r>
          </w:p>
        </w:tc>
        <w:tc>
          <w:tcPr>
            <w:tcW w:w="634" w:type="pct"/>
            <w:shd w:val="clear" w:color="auto" w:fill="auto"/>
            <w:vAlign w:val="center"/>
            <w:hideMark/>
          </w:tcPr>
          <w:p w14:paraId="56FC8518" w14:textId="5492C132" w:rsidR="00003E01" w:rsidRPr="00682B0B" w:rsidRDefault="00003E01" w:rsidP="006D0B51">
            <w:pPr>
              <w:spacing w:after="0" w:line="240" w:lineRule="auto"/>
              <w:jc w:val="right"/>
              <w:rPr>
                <w:rFonts w:cs="Arial"/>
                <w:szCs w:val="20"/>
              </w:rPr>
            </w:pPr>
            <w:r w:rsidRPr="00682B0B">
              <w:rPr>
                <w:rFonts w:cs="Arial"/>
                <w:szCs w:val="20"/>
              </w:rPr>
              <w:t>$5,951.00 (for each submarine cable the subject of the application) </w:t>
            </w:r>
          </w:p>
        </w:tc>
      </w:tr>
      <w:tr w:rsidR="00202B63" w:rsidRPr="00682B0B" w14:paraId="30F69D6A" w14:textId="77777777" w:rsidTr="00E13CAA">
        <w:trPr>
          <w:trHeight w:val="381"/>
        </w:trPr>
        <w:tc>
          <w:tcPr>
            <w:tcW w:w="170" w:type="pct"/>
            <w:shd w:val="clear" w:color="auto" w:fill="auto"/>
            <w:vAlign w:val="center"/>
            <w:hideMark/>
          </w:tcPr>
          <w:p w14:paraId="57602C67" w14:textId="5C422547" w:rsidR="00003E01" w:rsidRPr="00682B0B" w:rsidRDefault="00003E01" w:rsidP="00250C90">
            <w:pPr>
              <w:spacing w:after="0" w:line="240" w:lineRule="auto"/>
              <w:jc w:val="center"/>
              <w:rPr>
                <w:rFonts w:cs="Arial"/>
                <w:szCs w:val="20"/>
              </w:rPr>
            </w:pPr>
            <w:r w:rsidRPr="00682B0B">
              <w:rPr>
                <w:rFonts w:cs="Arial"/>
                <w:szCs w:val="20"/>
              </w:rPr>
              <w:t>12</w:t>
            </w:r>
            <w:r w:rsidR="00FB7E48">
              <w:rPr>
                <w:rFonts w:cs="Arial"/>
                <w:szCs w:val="20"/>
              </w:rPr>
              <w:t>5</w:t>
            </w:r>
          </w:p>
        </w:tc>
        <w:tc>
          <w:tcPr>
            <w:tcW w:w="809" w:type="pct"/>
            <w:vMerge/>
            <w:vAlign w:val="center"/>
            <w:hideMark/>
          </w:tcPr>
          <w:p w14:paraId="1F945884" w14:textId="77777777" w:rsidR="00003E01" w:rsidRPr="005E1BCD" w:rsidRDefault="00003E01" w:rsidP="00250C90">
            <w:pPr>
              <w:spacing w:after="0" w:line="240" w:lineRule="auto"/>
              <w:rPr>
                <w:rFonts w:cs="Arial"/>
                <w:b/>
                <w:bCs/>
                <w:szCs w:val="20"/>
              </w:rPr>
            </w:pPr>
          </w:p>
        </w:tc>
        <w:tc>
          <w:tcPr>
            <w:tcW w:w="834" w:type="pct"/>
            <w:shd w:val="clear" w:color="auto" w:fill="auto"/>
            <w:vAlign w:val="center"/>
            <w:hideMark/>
          </w:tcPr>
          <w:p w14:paraId="1914856A" w14:textId="76F45E9F" w:rsidR="00003E01" w:rsidRPr="00E76D2D" w:rsidRDefault="00107493" w:rsidP="00250C90">
            <w:pPr>
              <w:spacing w:after="0" w:line="240" w:lineRule="auto"/>
              <w:rPr>
                <w:rFonts w:ascii="Calibri" w:hAnsi="Calibri" w:cs="Calibri"/>
                <w:sz w:val="22"/>
                <w:szCs w:val="22"/>
                <w:u w:val="single"/>
              </w:rPr>
            </w:pPr>
            <w:hyperlink r:id="rId145" w:anchor="RANGE!I60" w:history="1">
              <w:r w:rsidR="00003E01" w:rsidRPr="00E76D2D">
                <w:t>Sch 1</w:t>
              </w:r>
              <w:r w:rsidR="003751FF">
                <w:t xml:space="preserve"> </w:t>
              </w:r>
              <w:r w:rsidR="003751FF">
                <w:rPr>
                  <w:rFonts w:cs="Arial"/>
                  <w:szCs w:val="20"/>
                </w:rPr>
                <w:t xml:space="preserve">– </w:t>
              </w:r>
              <w:r w:rsidR="00003E01" w:rsidRPr="00E76D2D">
                <w:t>Part 6, item 6.4</w:t>
              </w:r>
            </w:hyperlink>
          </w:p>
        </w:tc>
        <w:tc>
          <w:tcPr>
            <w:tcW w:w="2553" w:type="pct"/>
            <w:shd w:val="clear" w:color="auto" w:fill="auto"/>
            <w:vAlign w:val="center"/>
            <w:hideMark/>
          </w:tcPr>
          <w:p w14:paraId="434EF598" w14:textId="7E4FB3DE" w:rsidR="00003E01" w:rsidRPr="00682B0B" w:rsidRDefault="00003E01" w:rsidP="00250C90">
            <w:pPr>
              <w:spacing w:after="0" w:line="240" w:lineRule="auto"/>
              <w:rPr>
                <w:rFonts w:cs="Arial"/>
                <w:szCs w:val="20"/>
              </w:rPr>
            </w:pPr>
            <w:r w:rsidRPr="00682B0B">
              <w:rPr>
                <w:rFonts w:cs="Arial"/>
                <w:szCs w:val="20"/>
              </w:rPr>
              <w:t>Non-protection zone installation permit application </w:t>
            </w:r>
            <w:r w:rsidR="0066184A">
              <w:rPr>
                <w:rFonts w:cs="Arial"/>
                <w:szCs w:val="20"/>
              </w:rPr>
              <w:t>–</w:t>
            </w:r>
            <w:r w:rsidRPr="00682B0B">
              <w:rPr>
                <w:rFonts w:cs="Arial"/>
                <w:szCs w:val="20"/>
              </w:rPr>
              <w:t xml:space="preserve"> deposit payable on account of the charges at item 6.5</w:t>
            </w:r>
            <w:r w:rsidR="0095343A">
              <w:rPr>
                <w:rFonts w:cs="Arial"/>
                <w:szCs w:val="20"/>
              </w:rPr>
              <w:t>.</w:t>
            </w:r>
          </w:p>
        </w:tc>
        <w:tc>
          <w:tcPr>
            <w:tcW w:w="634" w:type="pct"/>
            <w:shd w:val="clear" w:color="auto" w:fill="auto"/>
            <w:vAlign w:val="center"/>
            <w:hideMark/>
          </w:tcPr>
          <w:p w14:paraId="4730AA00" w14:textId="77777777" w:rsidR="00003E01" w:rsidRPr="00682B0B" w:rsidRDefault="00003E01" w:rsidP="006D0B51">
            <w:pPr>
              <w:spacing w:after="0" w:line="240" w:lineRule="auto"/>
              <w:jc w:val="right"/>
              <w:rPr>
                <w:rFonts w:cs="Arial"/>
                <w:szCs w:val="20"/>
              </w:rPr>
            </w:pPr>
            <w:r w:rsidRPr="00682B0B">
              <w:rPr>
                <w:rFonts w:cs="Arial"/>
                <w:szCs w:val="20"/>
              </w:rPr>
              <w:t>$25,000.00</w:t>
            </w:r>
          </w:p>
        </w:tc>
      </w:tr>
      <w:tr w:rsidR="00202B63" w:rsidRPr="00682B0B" w14:paraId="66D03942" w14:textId="77777777" w:rsidTr="00E13CAA">
        <w:trPr>
          <w:trHeight w:val="1085"/>
        </w:trPr>
        <w:tc>
          <w:tcPr>
            <w:tcW w:w="170" w:type="pct"/>
            <w:shd w:val="clear" w:color="auto" w:fill="auto"/>
            <w:vAlign w:val="center"/>
            <w:hideMark/>
          </w:tcPr>
          <w:p w14:paraId="0001B611" w14:textId="709CF5D3" w:rsidR="00003E01" w:rsidRPr="00682B0B" w:rsidRDefault="00003E01" w:rsidP="00250C90">
            <w:pPr>
              <w:spacing w:after="0" w:line="240" w:lineRule="auto"/>
              <w:jc w:val="center"/>
              <w:rPr>
                <w:rFonts w:cs="Arial"/>
                <w:szCs w:val="20"/>
              </w:rPr>
            </w:pPr>
            <w:r w:rsidRPr="00682B0B">
              <w:rPr>
                <w:rFonts w:cs="Arial"/>
                <w:szCs w:val="20"/>
              </w:rPr>
              <w:t>12</w:t>
            </w:r>
            <w:r w:rsidR="00FB7E48">
              <w:rPr>
                <w:rFonts w:cs="Arial"/>
                <w:szCs w:val="20"/>
              </w:rPr>
              <w:t>6</w:t>
            </w:r>
          </w:p>
        </w:tc>
        <w:tc>
          <w:tcPr>
            <w:tcW w:w="809" w:type="pct"/>
            <w:vMerge/>
            <w:vAlign w:val="center"/>
            <w:hideMark/>
          </w:tcPr>
          <w:p w14:paraId="5CB25363" w14:textId="77777777" w:rsidR="00003E01" w:rsidRPr="005E1BCD" w:rsidRDefault="00003E01" w:rsidP="00250C90">
            <w:pPr>
              <w:spacing w:after="0" w:line="240" w:lineRule="auto"/>
              <w:rPr>
                <w:rFonts w:cs="Arial"/>
                <w:b/>
                <w:bCs/>
                <w:szCs w:val="20"/>
              </w:rPr>
            </w:pPr>
          </w:p>
        </w:tc>
        <w:tc>
          <w:tcPr>
            <w:tcW w:w="834" w:type="pct"/>
            <w:shd w:val="clear" w:color="auto" w:fill="auto"/>
            <w:vAlign w:val="center"/>
            <w:hideMark/>
          </w:tcPr>
          <w:p w14:paraId="4035D30F" w14:textId="3DBDAFF1" w:rsidR="00003E01" w:rsidRPr="00E76D2D" w:rsidRDefault="00107493" w:rsidP="00250C90">
            <w:pPr>
              <w:spacing w:after="0" w:line="240" w:lineRule="auto"/>
              <w:rPr>
                <w:rFonts w:ascii="Calibri" w:hAnsi="Calibri" w:cs="Calibri"/>
                <w:sz w:val="22"/>
                <w:szCs w:val="22"/>
                <w:u w:val="single"/>
              </w:rPr>
            </w:pPr>
            <w:hyperlink r:id="rId146" w:anchor="RANGE!I67" w:history="1">
              <w:r w:rsidR="00003E01" w:rsidRPr="00E76D2D">
                <w:t>Sch 1</w:t>
              </w:r>
              <w:r w:rsidR="003751FF">
                <w:t xml:space="preserve"> </w:t>
              </w:r>
              <w:r w:rsidR="003751FF">
                <w:rPr>
                  <w:rFonts w:cs="Arial"/>
                  <w:szCs w:val="20"/>
                </w:rPr>
                <w:t xml:space="preserve">– </w:t>
              </w:r>
              <w:r w:rsidR="00003E01" w:rsidRPr="00E76D2D">
                <w:t>Part 6, item 6.5</w:t>
              </w:r>
            </w:hyperlink>
          </w:p>
        </w:tc>
        <w:tc>
          <w:tcPr>
            <w:tcW w:w="2553" w:type="pct"/>
            <w:shd w:val="clear" w:color="auto" w:fill="auto"/>
            <w:vAlign w:val="center"/>
            <w:hideMark/>
          </w:tcPr>
          <w:p w14:paraId="6BEEC2D5" w14:textId="1DDE97F0" w:rsidR="00003E01" w:rsidRPr="00682B0B" w:rsidRDefault="00003E01" w:rsidP="00250C90">
            <w:pPr>
              <w:spacing w:after="0" w:line="240" w:lineRule="auto"/>
              <w:rPr>
                <w:rFonts w:cs="Arial"/>
                <w:szCs w:val="20"/>
              </w:rPr>
            </w:pPr>
            <w:r w:rsidRPr="00682B0B">
              <w:rPr>
                <w:rFonts w:cs="Arial"/>
                <w:szCs w:val="20"/>
              </w:rPr>
              <w:t>Non-protection zone installation permit application </w:t>
            </w:r>
            <w:r w:rsidR="003751FF">
              <w:rPr>
                <w:rFonts w:cs="Arial"/>
                <w:szCs w:val="20"/>
              </w:rPr>
              <w:t>–</w:t>
            </w:r>
            <w:r w:rsidRPr="00682B0B">
              <w:rPr>
                <w:rFonts w:cs="Arial"/>
                <w:szCs w:val="20"/>
              </w:rPr>
              <w:t xml:space="preserve"> charge for the purposes of clause 66 of Schedule 3A to the Telecommunications Act, in relation to external costs for the use of external consultants in considering a non-protection zone installation permit application or a linked non-protection zone installation permit application</w:t>
            </w:r>
            <w:r w:rsidR="0095343A">
              <w:rPr>
                <w:rFonts w:cs="Arial"/>
                <w:szCs w:val="20"/>
              </w:rPr>
              <w:t>.</w:t>
            </w:r>
          </w:p>
        </w:tc>
        <w:tc>
          <w:tcPr>
            <w:tcW w:w="634" w:type="pct"/>
            <w:shd w:val="clear" w:color="auto" w:fill="auto"/>
            <w:vAlign w:val="center"/>
            <w:hideMark/>
          </w:tcPr>
          <w:p w14:paraId="41B56428" w14:textId="1D0A7F32" w:rsidR="00003E01" w:rsidRPr="00682B0B" w:rsidRDefault="00003E01" w:rsidP="006D0B51">
            <w:pPr>
              <w:spacing w:after="0" w:line="240" w:lineRule="auto"/>
              <w:jc w:val="right"/>
              <w:rPr>
                <w:rFonts w:cs="Arial"/>
                <w:szCs w:val="20"/>
              </w:rPr>
            </w:pPr>
            <w:r w:rsidRPr="00682B0B">
              <w:rPr>
                <w:rFonts w:cs="Arial"/>
                <w:szCs w:val="20"/>
              </w:rPr>
              <w:t>Actual costs</w:t>
            </w:r>
          </w:p>
        </w:tc>
      </w:tr>
      <w:tr w:rsidR="00202B63" w:rsidRPr="00682B0B" w14:paraId="4D80A817" w14:textId="77777777" w:rsidTr="00E13CAA">
        <w:trPr>
          <w:trHeight w:val="208"/>
        </w:trPr>
        <w:tc>
          <w:tcPr>
            <w:tcW w:w="170" w:type="pct"/>
            <w:shd w:val="clear" w:color="auto" w:fill="auto"/>
            <w:vAlign w:val="center"/>
            <w:hideMark/>
          </w:tcPr>
          <w:p w14:paraId="5D3173F0" w14:textId="508F821C" w:rsidR="00003E01" w:rsidRPr="00682B0B" w:rsidRDefault="00003E01" w:rsidP="00250C90">
            <w:pPr>
              <w:spacing w:after="0" w:line="240" w:lineRule="auto"/>
              <w:jc w:val="center"/>
              <w:rPr>
                <w:rFonts w:cs="Arial"/>
                <w:szCs w:val="20"/>
              </w:rPr>
            </w:pPr>
            <w:r w:rsidRPr="00682B0B">
              <w:rPr>
                <w:rFonts w:cs="Arial"/>
                <w:szCs w:val="20"/>
              </w:rPr>
              <w:t>1</w:t>
            </w:r>
            <w:r w:rsidR="0032440E">
              <w:rPr>
                <w:rFonts w:cs="Arial"/>
                <w:szCs w:val="20"/>
              </w:rPr>
              <w:t>2</w:t>
            </w:r>
            <w:r w:rsidR="00FB7E48">
              <w:rPr>
                <w:rFonts w:cs="Arial"/>
                <w:szCs w:val="20"/>
              </w:rPr>
              <w:t>7</w:t>
            </w:r>
          </w:p>
        </w:tc>
        <w:tc>
          <w:tcPr>
            <w:tcW w:w="809" w:type="pct"/>
            <w:vMerge/>
            <w:vAlign w:val="center"/>
            <w:hideMark/>
          </w:tcPr>
          <w:p w14:paraId="4D39ABA8" w14:textId="77777777" w:rsidR="00003E01" w:rsidRPr="005E1BCD" w:rsidRDefault="00003E01" w:rsidP="00250C90">
            <w:pPr>
              <w:spacing w:after="0" w:line="240" w:lineRule="auto"/>
              <w:rPr>
                <w:rFonts w:cs="Arial"/>
                <w:b/>
                <w:bCs/>
                <w:szCs w:val="20"/>
              </w:rPr>
            </w:pPr>
          </w:p>
        </w:tc>
        <w:tc>
          <w:tcPr>
            <w:tcW w:w="834" w:type="pct"/>
            <w:shd w:val="clear" w:color="auto" w:fill="auto"/>
            <w:vAlign w:val="center"/>
            <w:hideMark/>
          </w:tcPr>
          <w:p w14:paraId="387B3455" w14:textId="292F883B" w:rsidR="00003E01" w:rsidRPr="00E76D2D" w:rsidRDefault="00107493" w:rsidP="00250C90">
            <w:pPr>
              <w:spacing w:after="0" w:line="240" w:lineRule="auto"/>
              <w:rPr>
                <w:rFonts w:ascii="Calibri" w:hAnsi="Calibri" w:cs="Calibri"/>
                <w:sz w:val="22"/>
                <w:szCs w:val="22"/>
                <w:u w:val="single"/>
              </w:rPr>
            </w:pPr>
            <w:hyperlink r:id="rId147" w:anchor="RANGE!I74" w:history="1">
              <w:r w:rsidR="00003E01" w:rsidRPr="00E76D2D">
                <w:t>Sch 1</w:t>
              </w:r>
              <w:r w:rsidR="003751FF">
                <w:t xml:space="preserve"> </w:t>
              </w:r>
              <w:r w:rsidR="003751FF">
                <w:rPr>
                  <w:rFonts w:cs="Arial"/>
                  <w:szCs w:val="20"/>
                </w:rPr>
                <w:t xml:space="preserve">– </w:t>
              </w:r>
              <w:r w:rsidR="00003E01" w:rsidRPr="00E76D2D">
                <w:t>Part 6, item 6.6</w:t>
              </w:r>
            </w:hyperlink>
          </w:p>
        </w:tc>
        <w:tc>
          <w:tcPr>
            <w:tcW w:w="2553" w:type="pct"/>
            <w:shd w:val="clear" w:color="auto" w:fill="auto"/>
            <w:vAlign w:val="center"/>
            <w:hideMark/>
          </w:tcPr>
          <w:p w14:paraId="699374B9" w14:textId="13E39981" w:rsidR="00003E01" w:rsidRPr="00682B0B" w:rsidRDefault="00003E01" w:rsidP="00250C90">
            <w:pPr>
              <w:spacing w:after="0" w:line="240" w:lineRule="auto"/>
              <w:rPr>
                <w:rFonts w:cs="Arial"/>
                <w:szCs w:val="20"/>
              </w:rPr>
            </w:pPr>
            <w:r w:rsidRPr="00682B0B">
              <w:rPr>
                <w:rFonts w:cs="Arial"/>
                <w:szCs w:val="20"/>
              </w:rPr>
              <w:t>Non-protection zone installation permit </w:t>
            </w:r>
            <w:r w:rsidR="003751FF">
              <w:rPr>
                <w:rFonts w:cs="Arial"/>
                <w:szCs w:val="20"/>
              </w:rPr>
              <w:t>–</w:t>
            </w:r>
            <w:r w:rsidRPr="00682B0B">
              <w:rPr>
                <w:rFonts w:cs="Arial"/>
                <w:szCs w:val="20"/>
              </w:rPr>
              <w:t xml:space="preserve"> considering and processing an application under clause 76 of Schedule 3A to the Telecommunications Act to extend the duration of a non-protection zone installation permit</w:t>
            </w:r>
            <w:r w:rsidR="0095343A">
              <w:rPr>
                <w:rFonts w:cs="Arial"/>
                <w:szCs w:val="20"/>
              </w:rPr>
              <w:t>.</w:t>
            </w:r>
          </w:p>
        </w:tc>
        <w:tc>
          <w:tcPr>
            <w:tcW w:w="634" w:type="pct"/>
            <w:shd w:val="clear" w:color="auto" w:fill="auto"/>
            <w:vAlign w:val="center"/>
            <w:hideMark/>
          </w:tcPr>
          <w:p w14:paraId="58F1C0DC" w14:textId="77777777" w:rsidR="00003E01" w:rsidRPr="00682B0B" w:rsidRDefault="00003E01" w:rsidP="006D0B51">
            <w:pPr>
              <w:spacing w:after="0" w:line="240" w:lineRule="auto"/>
              <w:jc w:val="right"/>
              <w:rPr>
                <w:rFonts w:cs="Arial"/>
                <w:szCs w:val="20"/>
              </w:rPr>
            </w:pPr>
            <w:r w:rsidRPr="00682B0B">
              <w:rPr>
                <w:rFonts w:cs="Arial"/>
                <w:szCs w:val="20"/>
              </w:rPr>
              <w:t>$1,394.00</w:t>
            </w:r>
          </w:p>
        </w:tc>
      </w:tr>
    </w:tbl>
    <w:p w14:paraId="6E64F34E" w14:textId="2D16FBCC" w:rsidR="00DD1E81" w:rsidRDefault="00682B0B" w:rsidP="00CF7C10">
      <w:pPr>
        <w:spacing w:after="360" w:line="240" w:lineRule="auto"/>
      </w:pPr>
      <w:r>
        <w:fldChar w:fldCharType="end"/>
      </w:r>
    </w:p>
    <w:p w14:paraId="1A0C1818" w14:textId="5CD501E2" w:rsidR="00C832D1" w:rsidRPr="00C832D1" w:rsidRDefault="00C35614" w:rsidP="00C832D1">
      <w:pPr>
        <w:pStyle w:val="Heading2"/>
        <w:spacing w:after="120"/>
      </w:pPr>
      <w:bookmarkStart w:id="131" w:name="_Toc143267722"/>
      <w:r>
        <w:lastRenderedPageBreak/>
        <w:t>Fees under the</w:t>
      </w:r>
      <w:r w:rsidR="001D1C75">
        <w:t xml:space="preserve"> </w:t>
      </w:r>
      <w:r w:rsidR="00C832D1" w:rsidRPr="005E1BCD">
        <w:t>Telecommunications (Carrier Licence Application Charge)</w:t>
      </w:r>
      <w:r w:rsidR="00C832D1">
        <w:t xml:space="preserve"> </w:t>
      </w:r>
      <w:r w:rsidR="00C832D1" w:rsidRPr="005E1BCD">
        <w:t>(Application) Determination</w:t>
      </w:r>
      <w:r w:rsidR="00C832D1">
        <w:t xml:space="preserve"> 2022</w:t>
      </w:r>
      <w:bookmarkEnd w:id="131"/>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57" w:type="dxa"/>
          <w:bottom w:w="85" w:type="dxa"/>
          <w:right w:w="57" w:type="dxa"/>
        </w:tblCellMar>
        <w:tblLook w:val="04A0" w:firstRow="1" w:lastRow="0" w:firstColumn="1" w:lastColumn="0" w:noHBand="0" w:noVBand="1"/>
      </w:tblPr>
      <w:tblGrid>
        <w:gridCol w:w="563"/>
        <w:gridCol w:w="2267"/>
        <w:gridCol w:w="2412"/>
        <w:gridCol w:w="7443"/>
        <w:gridCol w:w="1773"/>
      </w:tblGrid>
      <w:tr w:rsidR="00C832D1" w:rsidRPr="008E4396" w14:paraId="61A4C0D2" w14:textId="77777777" w:rsidTr="006D0B51">
        <w:trPr>
          <w:trHeight w:val="60"/>
        </w:trPr>
        <w:tc>
          <w:tcPr>
            <w:tcW w:w="195" w:type="pct"/>
            <w:shd w:val="clear" w:color="000000" w:fill="404040"/>
            <w:vAlign w:val="bottom"/>
            <w:hideMark/>
          </w:tcPr>
          <w:p w14:paraId="44B546D1" w14:textId="77777777" w:rsidR="00C832D1" w:rsidRPr="008E4396" w:rsidRDefault="00C832D1" w:rsidP="00F325E7">
            <w:pPr>
              <w:keepNext/>
              <w:keepLines/>
              <w:spacing w:after="0" w:line="240" w:lineRule="auto"/>
              <w:rPr>
                <w:rFonts w:cs="Arial"/>
                <w:b/>
                <w:bCs/>
                <w:color w:val="FFFFFF"/>
                <w:szCs w:val="20"/>
              </w:rPr>
            </w:pPr>
            <w:r w:rsidRPr="008E4396">
              <w:rPr>
                <w:rFonts w:cs="Arial"/>
                <w:b/>
                <w:bCs/>
                <w:color w:val="FFFFFF"/>
                <w:szCs w:val="20"/>
              </w:rPr>
              <w:t>Ref </w:t>
            </w:r>
          </w:p>
        </w:tc>
        <w:tc>
          <w:tcPr>
            <w:tcW w:w="784" w:type="pct"/>
            <w:shd w:val="clear" w:color="000000" w:fill="404040"/>
            <w:vAlign w:val="bottom"/>
            <w:hideMark/>
          </w:tcPr>
          <w:p w14:paraId="796AA227" w14:textId="77777777" w:rsidR="00C832D1" w:rsidRPr="005E1BCD" w:rsidRDefault="00C832D1" w:rsidP="00F325E7">
            <w:pPr>
              <w:keepNext/>
              <w:keepLines/>
              <w:spacing w:after="0" w:line="240" w:lineRule="auto"/>
              <w:rPr>
                <w:rFonts w:cs="Arial"/>
                <w:b/>
                <w:bCs/>
                <w:color w:val="FFFFFF"/>
                <w:szCs w:val="20"/>
              </w:rPr>
            </w:pPr>
            <w:r w:rsidRPr="005E1BCD">
              <w:rPr>
                <w:rFonts w:cs="Arial"/>
                <w:b/>
                <w:bCs/>
                <w:color w:val="FFFFFF"/>
                <w:szCs w:val="20"/>
              </w:rPr>
              <w:t>Fee type </w:t>
            </w:r>
          </w:p>
        </w:tc>
        <w:tc>
          <w:tcPr>
            <w:tcW w:w="834" w:type="pct"/>
            <w:shd w:val="clear" w:color="000000" w:fill="404040"/>
            <w:vAlign w:val="bottom"/>
            <w:hideMark/>
          </w:tcPr>
          <w:p w14:paraId="0ADBB765" w14:textId="72EDA4C4" w:rsidR="00C832D1" w:rsidRPr="005E1BCD" w:rsidRDefault="00C832D1" w:rsidP="00F325E7">
            <w:pPr>
              <w:keepNext/>
              <w:keepLines/>
              <w:spacing w:after="0" w:line="240" w:lineRule="auto"/>
              <w:rPr>
                <w:rFonts w:cs="Arial"/>
                <w:b/>
                <w:bCs/>
                <w:color w:val="FFFFFF"/>
                <w:szCs w:val="20"/>
              </w:rPr>
            </w:pPr>
            <w:r>
              <w:rPr>
                <w:rFonts w:cs="Arial"/>
                <w:b/>
                <w:bCs/>
                <w:color w:val="FFFFFF"/>
                <w:szCs w:val="20"/>
              </w:rPr>
              <w:t>Relevant section</w:t>
            </w:r>
          </w:p>
        </w:tc>
        <w:tc>
          <w:tcPr>
            <w:tcW w:w="2574" w:type="pct"/>
            <w:shd w:val="clear" w:color="000000" w:fill="404040"/>
            <w:vAlign w:val="bottom"/>
            <w:hideMark/>
          </w:tcPr>
          <w:p w14:paraId="2A174FAC" w14:textId="77777777" w:rsidR="00C832D1" w:rsidRPr="005E1BCD" w:rsidRDefault="00C832D1" w:rsidP="00F325E7">
            <w:pPr>
              <w:keepNext/>
              <w:keepLines/>
              <w:spacing w:after="0" w:line="240" w:lineRule="auto"/>
              <w:rPr>
                <w:rFonts w:cs="Arial"/>
                <w:b/>
                <w:bCs/>
                <w:color w:val="FFFFFF"/>
                <w:szCs w:val="20"/>
              </w:rPr>
            </w:pPr>
            <w:r w:rsidRPr="005E1BCD">
              <w:rPr>
                <w:rFonts w:cs="Arial"/>
                <w:b/>
                <w:bCs/>
                <w:color w:val="FFFFFF"/>
                <w:szCs w:val="20"/>
              </w:rPr>
              <w:t>Description </w:t>
            </w:r>
          </w:p>
        </w:tc>
        <w:tc>
          <w:tcPr>
            <w:tcW w:w="613" w:type="pct"/>
            <w:shd w:val="clear" w:color="000000" w:fill="404040"/>
            <w:vAlign w:val="bottom"/>
            <w:hideMark/>
          </w:tcPr>
          <w:p w14:paraId="5B5832E1" w14:textId="77777777" w:rsidR="00C832D1" w:rsidRPr="005E1BCD" w:rsidRDefault="00C832D1" w:rsidP="006D0B51">
            <w:pPr>
              <w:keepNext/>
              <w:keepLines/>
              <w:spacing w:after="0" w:line="240" w:lineRule="auto"/>
              <w:jc w:val="right"/>
              <w:rPr>
                <w:rFonts w:cs="Arial"/>
                <w:b/>
                <w:bCs/>
                <w:color w:val="FFFFFF"/>
                <w:szCs w:val="20"/>
              </w:rPr>
            </w:pPr>
            <w:r w:rsidRPr="005E1BCD">
              <w:rPr>
                <w:rFonts w:cs="Arial"/>
                <w:b/>
                <w:bCs/>
                <w:color w:val="FFFFFF"/>
                <w:szCs w:val="20"/>
              </w:rPr>
              <w:t>Fee</w:t>
            </w:r>
          </w:p>
        </w:tc>
      </w:tr>
      <w:tr w:rsidR="00C832D1" w:rsidRPr="008E4396" w14:paraId="20C4725A" w14:textId="77777777" w:rsidTr="00C832D1">
        <w:trPr>
          <w:trHeight w:val="268"/>
        </w:trPr>
        <w:tc>
          <w:tcPr>
            <w:tcW w:w="195" w:type="pct"/>
            <w:shd w:val="clear" w:color="auto" w:fill="auto"/>
            <w:vAlign w:val="center"/>
            <w:hideMark/>
          </w:tcPr>
          <w:p w14:paraId="62CA73AF" w14:textId="77777777" w:rsidR="00C832D1" w:rsidRPr="008E4396" w:rsidRDefault="00C832D1" w:rsidP="00F325E7">
            <w:pPr>
              <w:keepNext/>
              <w:keepLines/>
              <w:spacing w:after="0" w:line="240" w:lineRule="auto"/>
              <w:rPr>
                <w:rFonts w:cs="Arial"/>
                <w:szCs w:val="20"/>
              </w:rPr>
            </w:pPr>
            <w:r w:rsidRPr="008E4396">
              <w:rPr>
                <w:rFonts w:cs="Arial"/>
                <w:szCs w:val="20"/>
              </w:rPr>
              <w:t>1</w:t>
            </w:r>
            <w:r>
              <w:rPr>
                <w:rFonts w:cs="Arial"/>
                <w:szCs w:val="20"/>
              </w:rPr>
              <w:t>28</w:t>
            </w:r>
          </w:p>
        </w:tc>
        <w:tc>
          <w:tcPr>
            <w:tcW w:w="784" w:type="pct"/>
            <w:shd w:val="clear" w:color="auto" w:fill="auto"/>
            <w:vAlign w:val="center"/>
            <w:hideMark/>
          </w:tcPr>
          <w:p w14:paraId="0BC4E25C" w14:textId="77777777" w:rsidR="00C832D1" w:rsidRPr="005E1BCD" w:rsidRDefault="00C832D1" w:rsidP="00F325E7">
            <w:pPr>
              <w:keepNext/>
              <w:keepLines/>
              <w:spacing w:after="0" w:line="240" w:lineRule="auto"/>
              <w:rPr>
                <w:rFonts w:cs="Arial"/>
                <w:b/>
                <w:bCs/>
                <w:szCs w:val="20"/>
              </w:rPr>
            </w:pPr>
            <w:r w:rsidRPr="005E1BCD">
              <w:rPr>
                <w:rFonts w:cs="Arial"/>
                <w:b/>
                <w:bCs/>
                <w:szCs w:val="20"/>
              </w:rPr>
              <w:t>Carrier licence application charge </w:t>
            </w:r>
          </w:p>
        </w:tc>
        <w:tc>
          <w:tcPr>
            <w:tcW w:w="834" w:type="pct"/>
            <w:shd w:val="clear" w:color="auto" w:fill="auto"/>
            <w:vAlign w:val="center"/>
            <w:hideMark/>
          </w:tcPr>
          <w:p w14:paraId="1B2C9879" w14:textId="77777777" w:rsidR="00C832D1" w:rsidRPr="00F4450B" w:rsidRDefault="00C832D1" w:rsidP="00F325E7">
            <w:pPr>
              <w:keepNext/>
              <w:keepLines/>
              <w:spacing w:after="0" w:line="240" w:lineRule="auto"/>
              <w:rPr>
                <w:rFonts w:cs="Arial"/>
                <w:szCs w:val="20"/>
              </w:rPr>
            </w:pPr>
            <w:r w:rsidRPr="00F4450B">
              <w:rPr>
                <w:rFonts w:cs="Arial"/>
                <w:szCs w:val="20"/>
              </w:rPr>
              <w:t>Section 5</w:t>
            </w:r>
          </w:p>
        </w:tc>
        <w:tc>
          <w:tcPr>
            <w:tcW w:w="2574" w:type="pct"/>
            <w:shd w:val="clear" w:color="auto" w:fill="auto"/>
            <w:vAlign w:val="center"/>
            <w:hideMark/>
          </w:tcPr>
          <w:p w14:paraId="18E22483" w14:textId="77777777" w:rsidR="00C832D1" w:rsidRPr="008E4396" w:rsidRDefault="00C832D1" w:rsidP="00F325E7">
            <w:pPr>
              <w:keepNext/>
              <w:keepLines/>
              <w:spacing w:after="0" w:line="240" w:lineRule="auto"/>
              <w:rPr>
                <w:rFonts w:cs="Arial"/>
                <w:szCs w:val="20"/>
              </w:rPr>
            </w:pPr>
            <w:r w:rsidRPr="008E4396">
              <w:rPr>
                <w:rFonts w:cs="Arial"/>
                <w:szCs w:val="20"/>
              </w:rPr>
              <w:t>Charge imposed on an application for a carrier licence</w:t>
            </w:r>
            <w:r>
              <w:rPr>
                <w:rFonts w:cs="Arial"/>
                <w:szCs w:val="20"/>
              </w:rPr>
              <w:t>.</w:t>
            </w:r>
          </w:p>
        </w:tc>
        <w:tc>
          <w:tcPr>
            <w:tcW w:w="613" w:type="pct"/>
            <w:shd w:val="clear" w:color="auto" w:fill="auto"/>
            <w:vAlign w:val="center"/>
            <w:hideMark/>
          </w:tcPr>
          <w:p w14:paraId="369F852A" w14:textId="77777777" w:rsidR="00C832D1" w:rsidRPr="008E4396" w:rsidRDefault="00C832D1" w:rsidP="006D0B51">
            <w:pPr>
              <w:keepNext/>
              <w:keepLines/>
              <w:spacing w:after="0" w:line="240" w:lineRule="auto"/>
              <w:jc w:val="right"/>
              <w:rPr>
                <w:rFonts w:cs="Arial"/>
                <w:szCs w:val="20"/>
              </w:rPr>
            </w:pPr>
            <w:r w:rsidRPr="008E4396">
              <w:rPr>
                <w:rFonts w:cs="Arial"/>
                <w:szCs w:val="20"/>
              </w:rPr>
              <w:t>$2,708.00</w:t>
            </w:r>
          </w:p>
        </w:tc>
      </w:tr>
    </w:tbl>
    <w:p w14:paraId="25B9EA00" w14:textId="3582F2DA" w:rsidR="00C832D1" w:rsidRDefault="00C832D1" w:rsidP="00C832D1">
      <w:pPr>
        <w:pStyle w:val="Paragraph"/>
      </w:pPr>
    </w:p>
    <w:p w14:paraId="6558905C" w14:textId="259D23DB" w:rsidR="00663C68" w:rsidRPr="00C832D1" w:rsidRDefault="001D1C75" w:rsidP="00C832D1">
      <w:pPr>
        <w:pStyle w:val="Heading2"/>
        <w:spacing w:after="120"/>
      </w:pPr>
      <w:bookmarkStart w:id="132" w:name="_Toc143267723"/>
      <w:r>
        <w:t xml:space="preserve">Fees under the </w:t>
      </w:r>
      <w:r w:rsidR="00C832D1" w:rsidRPr="005E1BCD">
        <w:t>Broadcasting (Charges) Determination 2017 </w:t>
      </w:r>
      <w:bookmarkEnd w:id="132"/>
      <w:r w:rsidR="00663C68">
        <w:fldChar w:fldCharType="begin"/>
      </w:r>
      <w:r w:rsidR="00663C68">
        <w:instrText xml:space="preserve"> LINK </w:instrText>
      </w:r>
      <w:r w:rsidR="00B252F0">
        <w:instrText xml:space="preserve">Excel.Sheet.12 https://acmagovau.sharepoint.com/sites/2023-24FeesforServiceCRIS/Shared%20Documents/General/CRIS/Copy%20of%20Att%20A%20to%20Fees%20CRIS(V1).xlsx "Attachment A - CRIS!R156C2:R168C6" </w:instrText>
      </w:r>
      <w:r w:rsidR="00663C68">
        <w:instrText xml:space="preserve">\a \f 4 \h </w:instrText>
      </w:r>
      <w:r w:rsidR="00072B81">
        <w:instrText xml:space="preserve"> \* MERGEFORMAT </w:instrText>
      </w:r>
      <w:r w:rsidR="00663C68">
        <w:fldChar w:fldCharType="separate"/>
      </w:r>
      <w:bookmarkStart w:id="133" w:name="_1741672023"/>
      <w:bookmarkStart w:id="134" w:name="_1742188884"/>
      <w:bookmarkEnd w:id="133"/>
      <w:bookmarkEnd w:id="134"/>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670"/>
        <w:gridCol w:w="2239"/>
        <w:gridCol w:w="2384"/>
        <w:gridCol w:w="7342"/>
        <w:gridCol w:w="1812"/>
      </w:tblGrid>
      <w:tr w:rsidR="00D4749A" w:rsidRPr="001C3DB3" w14:paraId="70B7AEF9" w14:textId="77777777" w:rsidTr="00C832D1">
        <w:trPr>
          <w:trHeight w:val="81"/>
          <w:tblHeader/>
        </w:trPr>
        <w:tc>
          <w:tcPr>
            <w:tcW w:w="232" w:type="pct"/>
            <w:shd w:val="clear" w:color="auto" w:fill="404040" w:themeFill="text1" w:themeFillTint="BF"/>
            <w:vAlign w:val="bottom"/>
          </w:tcPr>
          <w:p w14:paraId="3B1CBE10" w14:textId="36E2CFFB" w:rsidR="00D4749A" w:rsidRPr="001C3DB3" w:rsidRDefault="00D4749A" w:rsidP="00C832D1">
            <w:pPr>
              <w:pStyle w:val="Paragraph"/>
              <w:spacing w:after="0"/>
              <w:rPr>
                <w:szCs w:val="20"/>
              </w:rPr>
            </w:pPr>
            <w:r w:rsidRPr="001C3DB3">
              <w:rPr>
                <w:b/>
                <w:color w:val="FFFFFF"/>
                <w:szCs w:val="20"/>
              </w:rPr>
              <w:t>Ref </w:t>
            </w:r>
          </w:p>
        </w:tc>
        <w:tc>
          <w:tcPr>
            <w:tcW w:w="775" w:type="pct"/>
            <w:shd w:val="clear" w:color="auto" w:fill="404040" w:themeFill="text1" w:themeFillTint="BF"/>
            <w:vAlign w:val="bottom"/>
          </w:tcPr>
          <w:p w14:paraId="58B444AD" w14:textId="36519E43" w:rsidR="00D4749A" w:rsidRPr="005E1BCD" w:rsidRDefault="00D4749A" w:rsidP="00C832D1">
            <w:pPr>
              <w:pStyle w:val="Paragraph"/>
              <w:spacing w:after="0"/>
              <w:rPr>
                <w:b/>
                <w:bCs/>
                <w:szCs w:val="20"/>
              </w:rPr>
            </w:pPr>
            <w:r w:rsidRPr="005E1BCD">
              <w:rPr>
                <w:b/>
                <w:bCs/>
                <w:color w:val="FFFFFF"/>
                <w:szCs w:val="20"/>
              </w:rPr>
              <w:t>Fee type </w:t>
            </w:r>
          </w:p>
        </w:tc>
        <w:tc>
          <w:tcPr>
            <w:tcW w:w="825" w:type="pct"/>
            <w:shd w:val="clear" w:color="auto" w:fill="404040" w:themeFill="text1" w:themeFillTint="BF"/>
            <w:vAlign w:val="bottom"/>
          </w:tcPr>
          <w:p w14:paraId="16BB8B06" w14:textId="146643B7" w:rsidR="00D4749A" w:rsidRDefault="00C832D1" w:rsidP="00C832D1">
            <w:pPr>
              <w:pStyle w:val="Paragraph"/>
              <w:spacing w:after="0"/>
            </w:pPr>
            <w:r>
              <w:rPr>
                <w:b/>
                <w:bCs/>
                <w:color w:val="FFFFFF"/>
                <w:szCs w:val="20"/>
              </w:rPr>
              <w:t>Relevant section</w:t>
            </w:r>
          </w:p>
        </w:tc>
        <w:tc>
          <w:tcPr>
            <w:tcW w:w="2541" w:type="pct"/>
            <w:shd w:val="clear" w:color="auto" w:fill="404040" w:themeFill="text1" w:themeFillTint="BF"/>
            <w:vAlign w:val="bottom"/>
          </w:tcPr>
          <w:p w14:paraId="33D1276B" w14:textId="6855891F" w:rsidR="00D4749A" w:rsidRPr="001C3DB3" w:rsidRDefault="00D4749A" w:rsidP="00C832D1">
            <w:pPr>
              <w:pStyle w:val="Paragraph"/>
              <w:spacing w:after="0"/>
              <w:rPr>
                <w:szCs w:val="20"/>
              </w:rPr>
            </w:pPr>
            <w:r w:rsidRPr="005E1BCD">
              <w:rPr>
                <w:b/>
                <w:bCs/>
                <w:color w:val="FFFFFF"/>
                <w:szCs w:val="20"/>
              </w:rPr>
              <w:t>Description </w:t>
            </w:r>
          </w:p>
        </w:tc>
        <w:tc>
          <w:tcPr>
            <w:tcW w:w="627" w:type="pct"/>
            <w:shd w:val="clear" w:color="auto" w:fill="404040" w:themeFill="text1" w:themeFillTint="BF"/>
            <w:vAlign w:val="bottom"/>
          </w:tcPr>
          <w:p w14:paraId="79E1FD39" w14:textId="706C9E5F" w:rsidR="00D4749A" w:rsidRPr="001C3DB3" w:rsidRDefault="00D4749A" w:rsidP="00C832D1">
            <w:pPr>
              <w:pStyle w:val="Paragraph"/>
              <w:spacing w:after="0"/>
              <w:jc w:val="right"/>
              <w:rPr>
                <w:szCs w:val="20"/>
              </w:rPr>
            </w:pPr>
            <w:r w:rsidRPr="005E1BCD">
              <w:rPr>
                <w:b/>
                <w:bCs/>
                <w:color w:val="FFFFFF"/>
                <w:szCs w:val="20"/>
              </w:rPr>
              <w:t>Fee</w:t>
            </w:r>
          </w:p>
        </w:tc>
      </w:tr>
      <w:tr w:rsidR="00D4749A" w:rsidRPr="001C3DB3" w14:paraId="1230FFB5" w14:textId="77777777" w:rsidTr="00C832D1">
        <w:trPr>
          <w:trHeight w:val="438"/>
        </w:trPr>
        <w:tc>
          <w:tcPr>
            <w:tcW w:w="232" w:type="pct"/>
            <w:shd w:val="clear" w:color="auto" w:fill="auto"/>
            <w:vAlign w:val="center"/>
            <w:hideMark/>
          </w:tcPr>
          <w:p w14:paraId="6E07A432" w14:textId="27D647F9" w:rsidR="00D4749A" w:rsidRPr="001C3DB3" w:rsidRDefault="00D4749A" w:rsidP="00C832D1">
            <w:pPr>
              <w:pStyle w:val="Paragraph"/>
              <w:spacing w:after="0"/>
              <w:rPr>
                <w:szCs w:val="20"/>
              </w:rPr>
            </w:pPr>
            <w:r w:rsidRPr="001C3DB3">
              <w:rPr>
                <w:szCs w:val="20"/>
              </w:rPr>
              <w:t>1</w:t>
            </w:r>
            <w:r>
              <w:rPr>
                <w:szCs w:val="20"/>
              </w:rPr>
              <w:t>2</w:t>
            </w:r>
            <w:r w:rsidR="0072649E">
              <w:rPr>
                <w:szCs w:val="20"/>
              </w:rPr>
              <w:t>9</w:t>
            </w:r>
          </w:p>
        </w:tc>
        <w:tc>
          <w:tcPr>
            <w:tcW w:w="775" w:type="pct"/>
            <w:vMerge w:val="restart"/>
            <w:shd w:val="clear" w:color="auto" w:fill="auto"/>
            <w:vAlign w:val="center"/>
            <w:hideMark/>
          </w:tcPr>
          <w:p w14:paraId="363302C9" w14:textId="4B6EDAC3" w:rsidR="00D4749A" w:rsidRPr="00CE3DE5" w:rsidRDefault="00D4749A" w:rsidP="00C832D1">
            <w:pPr>
              <w:pStyle w:val="Paragraph"/>
              <w:spacing w:after="0"/>
              <w:rPr>
                <w:b/>
                <w:bCs/>
                <w:szCs w:val="20"/>
              </w:rPr>
            </w:pPr>
            <w:r w:rsidRPr="00CE3DE5">
              <w:rPr>
                <w:b/>
                <w:bCs/>
                <w:szCs w:val="20"/>
              </w:rPr>
              <w:t>Broadcasting licences</w:t>
            </w:r>
          </w:p>
        </w:tc>
        <w:tc>
          <w:tcPr>
            <w:tcW w:w="825" w:type="pct"/>
            <w:shd w:val="clear" w:color="auto" w:fill="auto"/>
            <w:vAlign w:val="center"/>
            <w:hideMark/>
          </w:tcPr>
          <w:p w14:paraId="5DFE9B2E" w14:textId="28CF9F61" w:rsidR="00D4749A" w:rsidRPr="00CE3DE5" w:rsidRDefault="00077338" w:rsidP="00C832D1">
            <w:pPr>
              <w:pStyle w:val="Paragraph"/>
              <w:spacing w:after="0"/>
              <w:rPr>
                <w:rFonts w:ascii="Calibri" w:hAnsi="Calibri" w:cs="Calibri"/>
                <w:sz w:val="22"/>
                <w:szCs w:val="22"/>
                <w:u w:val="single"/>
              </w:rPr>
            </w:pPr>
            <w:r>
              <w:t xml:space="preserve">Part 1 </w:t>
            </w:r>
            <w:r w:rsidR="008A3046" w:rsidRPr="00CE3DE5">
              <w:t>of Schedule 1</w:t>
            </w:r>
            <w:r>
              <w:t xml:space="preserve"> </w:t>
            </w:r>
            <w:r w:rsidR="008A3046" w:rsidRPr="00CE3DE5">
              <w:t>(Table item 1)</w:t>
            </w:r>
          </w:p>
        </w:tc>
        <w:tc>
          <w:tcPr>
            <w:tcW w:w="2541" w:type="pct"/>
            <w:shd w:val="clear" w:color="auto" w:fill="auto"/>
            <w:vAlign w:val="center"/>
            <w:hideMark/>
          </w:tcPr>
          <w:p w14:paraId="0B941C77" w14:textId="3A55FBC0" w:rsidR="00D4749A" w:rsidRPr="001C3DB3" w:rsidRDefault="00D4749A" w:rsidP="00C832D1">
            <w:pPr>
              <w:pStyle w:val="Paragraph"/>
              <w:spacing w:after="0"/>
              <w:rPr>
                <w:szCs w:val="20"/>
              </w:rPr>
            </w:pPr>
            <w:r w:rsidRPr="001C3DB3">
              <w:rPr>
                <w:szCs w:val="20"/>
              </w:rPr>
              <w:t>Considering and processing an application made under section 38A or 38B of the Broadcasting Services Act for an additional television licence in a 1 or 2 station market</w:t>
            </w:r>
            <w:r>
              <w:rPr>
                <w:szCs w:val="20"/>
              </w:rPr>
              <w:t>.</w:t>
            </w:r>
            <w:r w:rsidRPr="001C3DB3">
              <w:rPr>
                <w:szCs w:val="20"/>
              </w:rPr>
              <w:t> </w:t>
            </w:r>
          </w:p>
        </w:tc>
        <w:tc>
          <w:tcPr>
            <w:tcW w:w="627" w:type="pct"/>
            <w:shd w:val="clear" w:color="auto" w:fill="auto"/>
            <w:vAlign w:val="center"/>
            <w:hideMark/>
          </w:tcPr>
          <w:p w14:paraId="4C14B229" w14:textId="77777777" w:rsidR="00D4749A" w:rsidRPr="001C3DB3" w:rsidRDefault="00D4749A" w:rsidP="00C832D1">
            <w:pPr>
              <w:pStyle w:val="Paragraph"/>
              <w:spacing w:after="0"/>
              <w:jc w:val="right"/>
              <w:rPr>
                <w:szCs w:val="20"/>
              </w:rPr>
            </w:pPr>
            <w:r w:rsidRPr="001C3DB3">
              <w:rPr>
                <w:szCs w:val="20"/>
              </w:rPr>
              <w:t>$2,787.00</w:t>
            </w:r>
          </w:p>
        </w:tc>
      </w:tr>
      <w:tr w:rsidR="00D4749A" w:rsidRPr="001C3DB3" w14:paraId="7B7CB842" w14:textId="77777777" w:rsidTr="00C832D1">
        <w:trPr>
          <w:trHeight w:val="705"/>
        </w:trPr>
        <w:tc>
          <w:tcPr>
            <w:tcW w:w="232" w:type="pct"/>
            <w:shd w:val="clear" w:color="auto" w:fill="auto"/>
            <w:vAlign w:val="center"/>
            <w:hideMark/>
          </w:tcPr>
          <w:p w14:paraId="7CCE843D" w14:textId="6293E629" w:rsidR="00D4749A" w:rsidRPr="001C3DB3" w:rsidRDefault="00D4749A" w:rsidP="00C832D1">
            <w:pPr>
              <w:pStyle w:val="Paragraph"/>
              <w:spacing w:after="0"/>
              <w:rPr>
                <w:szCs w:val="20"/>
              </w:rPr>
            </w:pPr>
            <w:r w:rsidRPr="001C3DB3">
              <w:rPr>
                <w:szCs w:val="20"/>
              </w:rPr>
              <w:t>1</w:t>
            </w:r>
            <w:r w:rsidR="0072649E">
              <w:rPr>
                <w:szCs w:val="20"/>
              </w:rPr>
              <w:t>30</w:t>
            </w:r>
          </w:p>
        </w:tc>
        <w:tc>
          <w:tcPr>
            <w:tcW w:w="775" w:type="pct"/>
            <w:vMerge/>
            <w:vAlign w:val="center"/>
            <w:hideMark/>
          </w:tcPr>
          <w:p w14:paraId="19B40EED" w14:textId="77777777" w:rsidR="00D4749A" w:rsidRPr="00CE3DE5" w:rsidRDefault="00D4749A" w:rsidP="00C832D1">
            <w:pPr>
              <w:pStyle w:val="Paragraph"/>
              <w:spacing w:after="0"/>
              <w:rPr>
                <w:b/>
                <w:bCs/>
                <w:szCs w:val="20"/>
              </w:rPr>
            </w:pPr>
          </w:p>
        </w:tc>
        <w:tc>
          <w:tcPr>
            <w:tcW w:w="825" w:type="pct"/>
            <w:shd w:val="clear" w:color="auto" w:fill="auto"/>
            <w:vAlign w:val="center"/>
            <w:hideMark/>
          </w:tcPr>
          <w:p w14:paraId="2BAD49D4" w14:textId="402213F2" w:rsidR="00D4749A" w:rsidRPr="00CE3DE5" w:rsidRDefault="00F84CD0" w:rsidP="00C832D1">
            <w:pPr>
              <w:pStyle w:val="Paragraph"/>
              <w:spacing w:after="0"/>
              <w:rPr>
                <w:rFonts w:ascii="Calibri" w:hAnsi="Calibri" w:cs="Calibri"/>
                <w:sz w:val="22"/>
                <w:szCs w:val="22"/>
                <w:u w:val="single"/>
              </w:rPr>
            </w:pPr>
            <w:r>
              <w:t xml:space="preserve">Part 1 </w:t>
            </w:r>
            <w:r w:rsidR="00D4749A" w:rsidRPr="00CE3DE5">
              <w:t>of Schedule 1</w:t>
            </w:r>
            <w:r>
              <w:t xml:space="preserve"> </w:t>
            </w:r>
            <w:r w:rsidR="00D4749A" w:rsidRPr="00CE3DE5">
              <w:t>(Table item 2)</w:t>
            </w:r>
          </w:p>
        </w:tc>
        <w:tc>
          <w:tcPr>
            <w:tcW w:w="2541" w:type="pct"/>
            <w:shd w:val="clear" w:color="auto" w:fill="auto"/>
            <w:vAlign w:val="center"/>
            <w:hideMark/>
          </w:tcPr>
          <w:p w14:paraId="31F6188B" w14:textId="4B15CF22" w:rsidR="00D4749A" w:rsidRPr="001C3DB3" w:rsidRDefault="00D4749A" w:rsidP="00C832D1">
            <w:pPr>
              <w:pStyle w:val="Paragraph"/>
              <w:spacing w:after="0"/>
              <w:rPr>
                <w:szCs w:val="20"/>
              </w:rPr>
            </w:pPr>
            <w:r w:rsidRPr="001C3DB3">
              <w:rPr>
                <w:szCs w:val="20"/>
              </w:rPr>
              <w:t>Considering and processing an application under section 40 of the Broadcasting Services Act for a non-broadcasting services bands commercial television broadcasting licence or commercial radio broadcasting licence</w:t>
            </w:r>
            <w:r>
              <w:rPr>
                <w:szCs w:val="20"/>
              </w:rPr>
              <w:t>.</w:t>
            </w:r>
            <w:r w:rsidRPr="001C3DB3">
              <w:rPr>
                <w:szCs w:val="20"/>
              </w:rPr>
              <w:t> </w:t>
            </w:r>
          </w:p>
        </w:tc>
        <w:tc>
          <w:tcPr>
            <w:tcW w:w="627" w:type="pct"/>
            <w:shd w:val="clear" w:color="auto" w:fill="auto"/>
            <w:vAlign w:val="center"/>
            <w:hideMark/>
          </w:tcPr>
          <w:p w14:paraId="49184DC2" w14:textId="77777777" w:rsidR="00D4749A" w:rsidRPr="001C3DB3" w:rsidRDefault="00D4749A" w:rsidP="00C832D1">
            <w:pPr>
              <w:pStyle w:val="Paragraph"/>
              <w:spacing w:after="0"/>
              <w:jc w:val="right"/>
              <w:rPr>
                <w:szCs w:val="20"/>
              </w:rPr>
            </w:pPr>
            <w:r w:rsidRPr="001C3DB3">
              <w:rPr>
                <w:szCs w:val="20"/>
              </w:rPr>
              <w:t>$451.00</w:t>
            </w:r>
          </w:p>
        </w:tc>
      </w:tr>
      <w:tr w:rsidR="00D4749A" w:rsidRPr="001C3DB3" w14:paraId="3D00381A" w14:textId="77777777" w:rsidTr="00C832D1">
        <w:trPr>
          <w:trHeight w:val="676"/>
        </w:trPr>
        <w:tc>
          <w:tcPr>
            <w:tcW w:w="232" w:type="pct"/>
            <w:shd w:val="clear" w:color="auto" w:fill="auto"/>
            <w:vAlign w:val="center"/>
            <w:hideMark/>
          </w:tcPr>
          <w:p w14:paraId="7AB5A8C5" w14:textId="5EF19067" w:rsidR="00D4749A" w:rsidRPr="001C3DB3" w:rsidRDefault="00D4749A" w:rsidP="00C832D1">
            <w:pPr>
              <w:pStyle w:val="Paragraph"/>
              <w:spacing w:after="0"/>
              <w:rPr>
                <w:szCs w:val="20"/>
              </w:rPr>
            </w:pPr>
            <w:r w:rsidRPr="001C3DB3">
              <w:rPr>
                <w:szCs w:val="20"/>
              </w:rPr>
              <w:t>13</w:t>
            </w:r>
            <w:r w:rsidR="0072649E">
              <w:rPr>
                <w:szCs w:val="20"/>
              </w:rPr>
              <w:t>1</w:t>
            </w:r>
          </w:p>
        </w:tc>
        <w:tc>
          <w:tcPr>
            <w:tcW w:w="775" w:type="pct"/>
            <w:vMerge/>
            <w:vAlign w:val="center"/>
            <w:hideMark/>
          </w:tcPr>
          <w:p w14:paraId="261883E1" w14:textId="77777777" w:rsidR="00D4749A" w:rsidRPr="00CE3DE5" w:rsidRDefault="00D4749A" w:rsidP="00C832D1">
            <w:pPr>
              <w:pStyle w:val="Paragraph"/>
              <w:spacing w:after="0"/>
              <w:rPr>
                <w:b/>
                <w:bCs/>
                <w:szCs w:val="20"/>
              </w:rPr>
            </w:pPr>
          </w:p>
        </w:tc>
        <w:tc>
          <w:tcPr>
            <w:tcW w:w="825" w:type="pct"/>
            <w:shd w:val="clear" w:color="auto" w:fill="auto"/>
            <w:vAlign w:val="center"/>
            <w:hideMark/>
          </w:tcPr>
          <w:p w14:paraId="15882163" w14:textId="7663FE3B" w:rsidR="00D4749A" w:rsidRPr="00CE3DE5" w:rsidRDefault="006F1699" w:rsidP="00C832D1">
            <w:pPr>
              <w:pStyle w:val="Paragraph"/>
              <w:spacing w:after="0"/>
              <w:rPr>
                <w:rFonts w:ascii="Calibri" w:hAnsi="Calibri" w:cs="Calibri"/>
                <w:sz w:val="22"/>
                <w:szCs w:val="22"/>
                <w:u w:val="single"/>
              </w:rPr>
            </w:pPr>
            <w:r>
              <w:t xml:space="preserve">Part 1 </w:t>
            </w:r>
            <w:r w:rsidR="00036E29" w:rsidRPr="00CE3DE5">
              <w:t>of Schedule 1</w:t>
            </w:r>
            <w:r w:rsidR="00460A7E">
              <w:t xml:space="preserve"> </w:t>
            </w:r>
            <w:r w:rsidR="00036E29" w:rsidRPr="00CE3DE5">
              <w:t>(Table item 3)</w:t>
            </w:r>
          </w:p>
        </w:tc>
        <w:tc>
          <w:tcPr>
            <w:tcW w:w="2541" w:type="pct"/>
            <w:shd w:val="clear" w:color="auto" w:fill="auto"/>
            <w:vAlign w:val="center"/>
            <w:hideMark/>
          </w:tcPr>
          <w:p w14:paraId="227593DB" w14:textId="4A8507FF" w:rsidR="00D4749A" w:rsidRPr="001C3DB3" w:rsidRDefault="00D4749A" w:rsidP="00C832D1">
            <w:pPr>
              <w:pStyle w:val="Paragraph"/>
              <w:spacing w:after="0"/>
              <w:rPr>
                <w:szCs w:val="20"/>
              </w:rPr>
            </w:pPr>
            <w:r w:rsidRPr="001C3DB3">
              <w:rPr>
                <w:szCs w:val="20"/>
              </w:rPr>
              <w:t>Considering and processing an application under section 46 of the Broadcasting Services Act for renewal of a commercial television broadcasting licence or commercial radio broadcasting licence</w:t>
            </w:r>
            <w:r>
              <w:rPr>
                <w:szCs w:val="20"/>
              </w:rPr>
              <w:t>.</w:t>
            </w:r>
          </w:p>
        </w:tc>
        <w:tc>
          <w:tcPr>
            <w:tcW w:w="627" w:type="pct"/>
            <w:shd w:val="clear" w:color="auto" w:fill="auto"/>
            <w:vAlign w:val="center"/>
            <w:hideMark/>
          </w:tcPr>
          <w:p w14:paraId="13B5F794" w14:textId="77777777" w:rsidR="00D4749A" w:rsidRPr="001C3DB3" w:rsidRDefault="00D4749A" w:rsidP="00C832D1">
            <w:pPr>
              <w:pStyle w:val="Paragraph"/>
              <w:spacing w:after="0"/>
              <w:jc w:val="right"/>
              <w:rPr>
                <w:szCs w:val="20"/>
              </w:rPr>
            </w:pPr>
            <w:r w:rsidRPr="001C3DB3">
              <w:rPr>
                <w:szCs w:val="20"/>
              </w:rPr>
              <w:t>$202.00</w:t>
            </w:r>
          </w:p>
        </w:tc>
      </w:tr>
      <w:tr w:rsidR="00D4749A" w:rsidRPr="001C3DB3" w14:paraId="7EBA582C" w14:textId="77777777" w:rsidTr="00C832D1">
        <w:trPr>
          <w:trHeight w:val="390"/>
        </w:trPr>
        <w:tc>
          <w:tcPr>
            <w:tcW w:w="232" w:type="pct"/>
            <w:shd w:val="clear" w:color="auto" w:fill="auto"/>
            <w:vAlign w:val="center"/>
            <w:hideMark/>
          </w:tcPr>
          <w:p w14:paraId="4C751F00" w14:textId="743DB3A1" w:rsidR="00D4749A" w:rsidRPr="001C3DB3" w:rsidRDefault="00D4749A" w:rsidP="00C832D1">
            <w:pPr>
              <w:pStyle w:val="Paragraph"/>
              <w:spacing w:after="0"/>
              <w:rPr>
                <w:szCs w:val="20"/>
              </w:rPr>
            </w:pPr>
            <w:r w:rsidRPr="001C3DB3">
              <w:rPr>
                <w:szCs w:val="20"/>
              </w:rPr>
              <w:t>13</w:t>
            </w:r>
            <w:r w:rsidR="0072649E">
              <w:rPr>
                <w:szCs w:val="20"/>
              </w:rPr>
              <w:t>2</w:t>
            </w:r>
          </w:p>
        </w:tc>
        <w:tc>
          <w:tcPr>
            <w:tcW w:w="775" w:type="pct"/>
            <w:vMerge/>
            <w:vAlign w:val="center"/>
            <w:hideMark/>
          </w:tcPr>
          <w:p w14:paraId="44332FDF" w14:textId="77777777" w:rsidR="00D4749A" w:rsidRPr="00CE3DE5" w:rsidRDefault="00D4749A" w:rsidP="00C832D1">
            <w:pPr>
              <w:pStyle w:val="Paragraph"/>
              <w:spacing w:after="0"/>
              <w:rPr>
                <w:b/>
                <w:bCs/>
                <w:szCs w:val="20"/>
              </w:rPr>
            </w:pPr>
          </w:p>
        </w:tc>
        <w:tc>
          <w:tcPr>
            <w:tcW w:w="825" w:type="pct"/>
            <w:shd w:val="clear" w:color="auto" w:fill="auto"/>
            <w:vAlign w:val="center"/>
            <w:hideMark/>
          </w:tcPr>
          <w:p w14:paraId="7AC054ED" w14:textId="751D1D09" w:rsidR="00D4749A" w:rsidRPr="00CE3DE5" w:rsidRDefault="00460A7E" w:rsidP="00C832D1">
            <w:pPr>
              <w:pStyle w:val="Paragraph"/>
              <w:spacing w:after="0"/>
              <w:rPr>
                <w:rFonts w:ascii="Calibri" w:hAnsi="Calibri" w:cs="Calibri"/>
                <w:sz w:val="22"/>
                <w:szCs w:val="22"/>
                <w:u w:val="single"/>
              </w:rPr>
            </w:pPr>
            <w:r>
              <w:t>Part 1</w:t>
            </w:r>
            <w:r w:rsidR="00D4749A" w:rsidRPr="00CE3DE5">
              <w:t xml:space="preserve"> of Schedule 1</w:t>
            </w:r>
            <w:r>
              <w:t xml:space="preserve"> </w:t>
            </w:r>
            <w:r w:rsidR="00D4749A" w:rsidRPr="00CE3DE5">
              <w:t xml:space="preserve">(Table item 4) </w:t>
            </w:r>
          </w:p>
        </w:tc>
        <w:tc>
          <w:tcPr>
            <w:tcW w:w="2541" w:type="pct"/>
            <w:shd w:val="clear" w:color="auto" w:fill="auto"/>
            <w:vAlign w:val="center"/>
            <w:hideMark/>
          </w:tcPr>
          <w:p w14:paraId="3F86FCE9" w14:textId="61DF0185" w:rsidR="00D4749A" w:rsidRPr="001C3DB3" w:rsidRDefault="00D4749A" w:rsidP="00C832D1">
            <w:pPr>
              <w:pStyle w:val="Paragraph"/>
              <w:spacing w:after="0"/>
              <w:rPr>
                <w:szCs w:val="20"/>
              </w:rPr>
            </w:pPr>
            <w:r w:rsidRPr="001C3DB3">
              <w:rPr>
                <w:szCs w:val="20"/>
              </w:rPr>
              <w:t>Considering and processing an application under section 96 of the Broadcasting Services Act for a subscription television broadcasting licence</w:t>
            </w:r>
            <w:r>
              <w:rPr>
                <w:szCs w:val="20"/>
              </w:rPr>
              <w:t>.</w:t>
            </w:r>
          </w:p>
        </w:tc>
        <w:tc>
          <w:tcPr>
            <w:tcW w:w="627" w:type="pct"/>
            <w:shd w:val="clear" w:color="auto" w:fill="auto"/>
            <w:vAlign w:val="center"/>
            <w:hideMark/>
          </w:tcPr>
          <w:p w14:paraId="38A15761" w14:textId="77777777" w:rsidR="00D4749A" w:rsidRPr="001C3DB3" w:rsidRDefault="00D4749A" w:rsidP="00C832D1">
            <w:pPr>
              <w:pStyle w:val="Paragraph"/>
              <w:spacing w:after="0"/>
              <w:jc w:val="right"/>
              <w:rPr>
                <w:szCs w:val="20"/>
              </w:rPr>
            </w:pPr>
            <w:r w:rsidRPr="001C3DB3">
              <w:rPr>
                <w:szCs w:val="20"/>
              </w:rPr>
              <w:t>$236.00</w:t>
            </w:r>
          </w:p>
        </w:tc>
      </w:tr>
      <w:tr w:rsidR="00D4749A" w:rsidRPr="001C3DB3" w14:paraId="5E68AAB3" w14:textId="77777777" w:rsidTr="00C832D1">
        <w:trPr>
          <w:trHeight w:val="267"/>
        </w:trPr>
        <w:tc>
          <w:tcPr>
            <w:tcW w:w="232" w:type="pct"/>
            <w:shd w:val="clear" w:color="auto" w:fill="auto"/>
            <w:vAlign w:val="center"/>
            <w:hideMark/>
          </w:tcPr>
          <w:p w14:paraId="3D934E77" w14:textId="7E211D1F" w:rsidR="00D4749A" w:rsidRPr="001C3DB3" w:rsidRDefault="0099160B" w:rsidP="00C832D1">
            <w:pPr>
              <w:pStyle w:val="Paragraph"/>
              <w:spacing w:after="0"/>
              <w:rPr>
                <w:szCs w:val="20"/>
              </w:rPr>
            </w:pPr>
            <w:r>
              <w:rPr>
                <w:szCs w:val="20"/>
              </w:rPr>
              <w:t>13</w:t>
            </w:r>
            <w:r w:rsidR="0072649E">
              <w:rPr>
                <w:szCs w:val="20"/>
              </w:rPr>
              <w:t>3</w:t>
            </w:r>
          </w:p>
        </w:tc>
        <w:tc>
          <w:tcPr>
            <w:tcW w:w="775" w:type="pct"/>
            <w:vMerge/>
            <w:vAlign w:val="center"/>
            <w:hideMark/>
          </w:tcPr>
          <w:p w14:paraId="5735F9D4" w14:textId="77777777" w:rsidR="00D4749A" w:rsidRPr="00CE3DE5" w:rsidRDefault="00D4749A" w:rsidP="00C832D1">
            <w:pPr>
              <w:pStyle w:val="Paragraph"/>
              <w:spacing w:after="0"/>
              <w:rPr>
                <w:b/>
                <w:bCs/>
                <w:szCs w:val="20"/>
              </w:rPr>
            </w:pPr>
          </w:p>
        </w:tc>
        <w:tc>
          <w:tcPr>
            <w:tcW w:w="825" w:type="pct"/>
            <w:shd w:val="clear" w:color="auto" w:fill="auto"/>
            <w:vAlign w:val="center"/>
            <w:hideMark/>
          </w:tcPr>
          <w:p w14:paraId="4CBE289C" w14:textId="4B329D62" w:rsidR="00D4749A" w:rsidRPr="00CE3DE5" w:rsidRDefault="00043A40" w:rsidP="00C832D1">
            <w:pPr>
              <w:pStyle w:val="Paragraph"/>
              <w:spacing w:after="0"/>
              <w:rPr>
                <w:rFonts w:ascii="Calibri" w:hAnsi="Calibri" w:cs="Calibri"/>
                <w:sz w:val="22"/>
                <w:szCs w:val="22"/>
                <w:u w:val="single"/>
              </w:rPr>
            </w:pPr>
            <w:r>
              <w:t xml:space="preserve">Part 1 </w:t>
            </w:r>
            <w:r w:rsidR="006A78AF" w:rsidRPr="00CE3DE5">
              <w:t>of Schedule 1</w:t>
            </w:r>
            <w:r>
              <w:t xml:space="preserve"> </w:t>
            </w:r>
            <w:r w:rsidR="006A78AF" w:rsidRPr="00CE3DE5">
              <w:t>(Table item 5)</w:t>
            </w:r>
          </w:p>
        </w:tc>
        <w:tc>
          <w:tcPr>
            <w:tcW w:w="2541" w:type="pct"/>
            <w:shd w:val="clear" w:color="auto" w:fill="auto"/>
            <w:vAlign w:val="center"/>
            <w:hideMark/>
          </w:tcPr>
          <w:p w14:paraId="3628C668" w14:textId="1E5DF711" w:rsidR="00D4749A" w:rsidRPr="001C3DB3" w:rsidRDefault="00D4749A" w:rsidP="00C832D1">
            <w:pPr>
              <w:pStyle w:val="Paragraph"/>
              <w:spacing w:after="0"/>
              <w:rPr>
                <w:szCs w:val="20"/>
              </w:rPr>
            </w:pPr>
            <w:r w:rsidRPr="001C3DB3">
              <w:rPr>
                <w:szCs w:val="20"/>
              </w:rPr>
              <w:t>Considering and processing an application under clause 7 of Schedule 6 to the Broadcasting Services Act for a datacasting licence</w:t>
            </w:r>
            <w:r>
              <w:rPr>
                <w:szCs w:val="20"/>
              </w:rPr>
              <w:t>.</w:t>
            </w:r>
          </w:p>
        </w:tc>
        <w:tc>
          <w:tcPr>
            <w:tcW w:w="627" w:type="pct"/>
            <w:shd w:val="clear" w:color="auto" w:fill="auto"/>
            <w:vAlign w:val="center"/>
            <w:hideMark/>
          </w:tcPr>
          <w:p w14:paraId="55506689" w14:textId="77777777" w:rsidR="00D4749A" w:rsidRPr="001C3DB3" w:rsidRDefault="00D4749A" w:rsidP="00C832D1">
            <w:pPr>
              <w:pStyle w:val="Paragraph"/>
              <w:spacing w:after="0"/>
              <w:jc w:val="right"/>
              <w:rPr>
                <w:szCs w:val="20"/>
              </w:rPr>
            </w:pPr>
            <w:r w:rsidRPr="001C3DB3">
              <w:rPr>
                <w:szCs w:val="20"/>
              </w:rPr>
              <w:t>$424.00</w:t>
            </w:r>
          </w:p>
        </w:tc>
      </w:tr>
      <w:tr w:rsidR="00D4749A" w:rsidRPr="001C3DB3" w14:paraId="6A752E9F" w14:textId="77777777" w:rsidTr="00C832D1">
        <w:trPr>
          <w:trHeight w:val="288"/>
        </w:trPr>
        <w:tc>
          <w:tcPr>
            <w:tcW w:w="232" w:type="pct"/>
            <w:shd w:val="clear" w:color="auto" w:fill="auto"/>
            <w:vAlign w:val="center"/>
            <w:hideMark/>
          </w:tcPr>
          <w:p w14:paraId="70698FD5" w14:textId="5767355B" w:rsidR="00D4749A" w:rsidRPr="001C3DB3" w:rsidRDefault="0099160B" w:rsidP="00C832D1">
            <w:pPr>
              <w:pStyle w:val="Paragraph"/>
              <w:spacing w:after="0"/>
              <w:rPr>
                <w:szCs w:val="20"/>
              </w:rPr>
            </w:pPr>
            <w:r>
              <w:rPr>
                <w:szCs w:val="20"/>
              </w:rPr>
              <w:t>13</w:t>
            </w:r>
            <w:r w:rsidR="0072649E">
              <w:rPr>
                <w:szCs w:val="20"/>
              </w:rPr>
              <w:t>4</w:t>
            </w:r>
          </w:p>
        </w:tc>
        <w:tc>
          <w:tcPr>
            <w:tcW w:w="775" w:type="pct"/>
            <w:vMerge w:val="restart"/>
            <w:shd w:val="clear" w:color="auto" w:fill="auto"/>
            <w:vAlign w:val="center"/>
            <w:hideMark/>
          </w:tcPr>
          <w:p w14:paraId="1CBFD36B" w14:textId="3A38881F" w:rsidR="00D4749A" w:rsidRPr="005E1BCD" w:rsidRDefault="00D4749A" w:rsidP="00C832D1">
            <w:pPr>
              <w:pStyle w:val="Paragraph"/>
              <w:spacing w:after="0"/>
              <w:rPr>
                <w:b/>
                <w:bCs/>
                <w:szCs w:val="20"/>
              </w:rPr>
            </w:pPr>
            <w:r w:rsidRPr="005E1BCD">
              <w:rPr>
                <w:b/>
                <w:bCs/>
                <w:szCs w:val="20"/>
              </w:rPr>
              <w:t xml:space="preserve">Broadcasting </w:t>
            </w:r>
            <w:r>
              <w:rPr>
                <w:b/>
                <w:bCs/>
                <w:szCs w:val="20"/>
              </w:rPr>
              <w:t>o</w:t>
            </w:r>
            <w:r w:rsidRPr="005E1BCD">
              <w:rPr>
                <w:b/>
                <w:bCs/>
                <w:szCs w:val="20"/>
              </w:rPr>
              <w:t>pinions</w:t>
            </w:r>
            <w:r w:rsidRPr="001C3DB3">
              <w:rPr>
                <w:szCs w:val="20"/>
              </w:rPr>
              <w:t> </w:t>
            </w:r>
          </w:p>
        </w:tc>
        <w:tc>
          <w:tcPr>
            <w:tcW w:w="825" w:type="pct"/>
            <w:shd w:val="clear" w:color="auto" w:fill="auto"/>
            <w:vAlign w:val="center"/>
            <w:hideMark/>
          </w:tcPr>
          <w:p w14:paraId="061E7F39" w14:textId="67A9F010" w:rsidR="00D4749A" w:rsidRPr="003B1764" w:rsidRDefault="009654D9" w:rsidP="00C832D1">
            <w:pPr>
              <w:pStyle w:val="Paragraph"/>
              <w:spacing w:after="0"/>
              <w:rPr>
                <w:rFonts w:ascii="Calibri" w:hAnsi="Calibri" w:cs="Calibri"/>
                <w:sz w:val="22"/>
                <w:szCs w:val="22"/>
                <w:u w:val="single"/>
              </w:rPr>
            </w:pPr>
            <w:r>
              <w:t xml:space="preserve">Part 2 </w:t>
            </w:r>
            <w:r w:rsidR="008070AC" w:rsidRPr="003B1764">
              <w:t>of Schedule 1</w:t>
            </w:r>
            <w:r>
              <w:t xml:space="preserve"> (Table item 1)</w:t>
            </w:r>
          </w:p>
        </w:tc>
        <w:tc>
          <w:tcPr>
            <w:tcW w:w="2541" w:type="pct"/>
            <w:shd w:val="clear" w:color="auto" w:fill="auto"/>
            <w:vAlign w:val="center"/>
            <w:hideMark/>
          </w:tcPr>
          <w:p w14:paraId="5B036EE5" w14:textId="34399320" w:rsidR="00D4749A" w:rsidRPr="001C3DB3" w:rsidRDefault="00D4749A" w:rsidP="00C832D1">
            <w:pPr>
              <w:pStyle w:val="Paragraph"/>
              <w:spacing w:after="0"/>
              <w:rPr>
                <w:szCs w:val="20"/>
              </w:rPr>
            </w:pPr>
            <w:r w:rsidRPr="00CA0363">
              <w:rPr>
                <w:szCs w:val="20"/>
              </w:rPr>
              <w:t>Preparing and giving an opinion on application under section 21 of the Broadcasting Services Act</w:t>
            </w:r>
            <w:r>
              <w:rPr>
                <w:szCs w:val="20"/>
              </w:rPr>
              <w:t>.</w:t>
            </w:r>
          </w:p>
        </w:tc>
        <w:tc>
          <w:tcPr>
            <w:tcW w:w="627" w:type="pct"/>
            <w:shd w:val="clear" w:color="auto" w:fill="auto"/>
            <w:vAlign w:val="center"/>
            <w:hideMark/>
          </w:tcPr>
          <w:p w14:paraId="2DC22215" w14:textId="77777777" w:rsidR="00D4749A" w:rsidRPr="001C3DB3" w:rsidRDefault="00D4749A" w:rsidP="00C832D1">
            <w:pPr>
              <w:pStyle w:val="Paragraph"/>
              <w:spacing w:after="0"/>
              <w:jc w:val="right"/>
              <w:rPr>
                <w:szCs w:val="20"/>
              </w:rPr>
            </w:pPr>
            <w:r w:rsidRPr="001C3DB3">
              <w:rPr>
                <w:szCs w:val="20"/>
              </w:rPr>
              <w:t xml:space="preserve">Hourly rate </w:t>
            </w:r>
          </w:p>
        </w:tc>
      </w:tr>
      <w:tr w:rsidR="00D4749A" w:rsidRPr="001C3DB3" w14:paraId="38E2643D" w14:textId="77777777" w:rsidTr="00C832D1">
        <w:trPr>
          <w:trHeight w:val="500"/>
        </w:trPr>
        <w:tc>
          <w:tcPr>
            <w:tcW w:w="232" w:type="pct"/>
            <w:shd w:val="clear" w:color="auto" w:fill="auto"/>
            <w:vAlign w:val="center"/>
            <w:hideMark/>
          </w:tcPr>
          <w:p w14:paraId="2C8A8399" w14:textId="2D76D115" w:rsidR="00D4749A" w:rsidRPr="001C3DB3" w:rsidRDefault="0099160B" w:rsidP="00C832D1">
            <w:pPr>
              <w:pStyle w:val="Paragraph"/>
              <w:spacing w:after="0"/>
              <w:rPr>
                <w:szCs w:val="20"/>
              </w:rPr>
            </w:pPr>
            <w:r>
              <w:rPr>
                <w:szCs w:val="20"/>
              </w:rPr>
              <w:t>13</w:t>
            </w:r>
            <w:r w:rsidR="0072649E">
              <w:rPr>
                <w:szCs w:val="20"/>
              </w:rPr>
              <w:t>5</w:t>
            </w:r>
          </w:p>
        </w:tc>
        <w:tc>
          <w:tcPr>
            <w:tcW w:w="775" w:type="pct"/>
            <w:vMerge/>
            <w:vAlign w:val="center"/>
            <w:hideMark/>
          </w:tcPr>
          <w:p w14:paraId="58E74565" w14:textId="77777777" w:rsidR="00D4749A" w:rsidRPr="005E1BCD" w:rsidRDefault="00D4749A" w:rsidP="00C832D1">
            <w:pPr>
              <w:pStyle w:val="Paragraph"/>
              <w:spacing w:after="0"/>
              <w:rPr>
                <w:b/>
                <w:bCs/>
                <w:szCs w:val="20"/>
              </w:rPr>
            </w:pPr>
          </w:p>
        </w:tc>
        <w:tc>
          <w:tcPr>
            <w:tcW w:w="825" w:type="pct"/>
            <w:shd w:val="clear" w:color="auto" w:fill="auto"/>
            <w:vAlign w:val="center"/>
            <w:hideMark/>
          </w:tcPr>
          <w:p w14:paraId="3B5E121A" w14:textId="21CC9337" w:rsidR="00D4749A" w:rsidRPr="003B1764" w:rsidRDefault="0012092E" w:rsidP="00C832D1">
            <w:pPr>
              <w:pStyle w:val="Paragraph"/>
              <w:spacing w:after="0"/>
              <w:rPr>
                <w:rFonts w:ascii="Calibri" w:hAnsi="Calibri" w:cs="Calibri"/>
                <w:sz w:val="22"/>
                <w:szCs w:val="22"/>
                <w:u w:val="single"/>
              </w:rPr>
            </w:pPr>
            <w:r>
              <w:t xml:space="preserve">Part 2 </w:t>
            </w:r>
            <w:r w:rsidR="00834890" w:rsidRPr="003B1764">
              <w:t>of Schedule 1</w:t>
            </w:r>
            <w:r w:rsidR="000A79E9">
              <w:t xml:space="preserve"> (Table item 2</w:t>
            </w:r>
            <w:r w:rsidR="00DC6AC2">
              <w:t>)</w:t>
            </w:r>
          </w:p>
        </w:tc>
        <w:tc>
          <w:tcPr>
            <w:tcW w:w="2541" w:type="pct"/>
            <w:shd w:val="clear" w:color="auto" w:fill="auto"/>
            <w:vAlign w:val="center"/>
            <w:hideMark/>
          </w:tcPr>
          <w:p w14:paraId="22E94431" w14:textId="7E811774" w:rsidR="00D4749A" w:rsidRPr="001C3DB3" w:rsidRDefault="00D4749A" w:rsidP="00C832D1">
            <w:pPr>
              <w:pStyle w:val="Paragraph"/>
              <w:spacing w:after="0"/>
              <w:rPr>
                <w:szCs w:val="20"/>
              </w:rPr>
            </w:pPr>
            <w:r w:rsidRPr="00CA0363">
              <w:rPr>
                <w:szCs w:val="20"/>
              </w:rPr>
              <w:t>Preparing and giving an opinion on application under section 74 of the Broadcasting Services Act</w:t>
            </w:r>
            <w:r>
              <w:rPr>
                <w:szCs w:val="20"/>
              </w:rPr>
              <w:t>.</w:t>
            </w:r>
          </w:p>
        </w:tc>
        <w:tc>
          <w:tcPr>
            <w:tcW w:w="627" w:type="pct"/>
            <w:shd w:val="clear" w:color="auto" w:fill="auto"/>
            <w:vAlign w:val="center"/>
            <w:hideMark/>
          </w:tcPr>
          <w:p w14:paraId="69E9CFFC" w14:textId="77777777" w:rsidR="00D4749A" w:rsidRPr="001C3DB3" w:rsidRDefault="00D4749A" w:rsidP="00C832D1">
            <w:pPr>
              <w:pStyle w:val="Paragraph"/>
              <w:spacing w:after="0"/>
              <w:jc w:val="right"/>
              <w:rPr>
                <w:szCs w:val="20"/>
              </w:rPr>
            </w:pPr>
            <w:r w:rsidRPr="001C3DB3">
              <w:rPr>
                <w:szCs w:val="20"/>
              </w:rPr>
              <w:t>Hourly rate</w:t>
            </w:r>
          </w:p>
        </w:tc>
      </w:tr>
      <w:tr w:rsidR="00D4749A" w:rsidRPr="001C3DB3" w14:paraId="6797005C" w14:textId="77777777" w:rsidTr="00C832D1">
        <w:trPr>
          <w:trHeight w:val="287"/>
        </w:trPr>
        <w:tc>
          <w:tcPr>
            <w:tcW w:w="232" w:type="pct"/>
            <w:shd w:val="clear" w:color="auto" w:fill="auto"/>
            <w:vAlign w:val="center"/>
            <w:hideMark/>
          </w:tcPr>
          <w:p w14:paraId="602C4D34" w14:textId="423FD11F" w:rsidR="00D4749A" w:rsidRPr="001C3DB3" w:rsidRDefault="0099160B" w:rsidP="00C832D1">
            <w:pPr>
              <w:pStyle w:val="Paragraph"/>
              <w:spacing w:after="0"/>
              <w:rPr>
                <w:szCs w:val="20"/>
              </w:rPr>
            </w:pPr>
            <w:r>
              <w:rPr>
                <w:szCs w:val="20"/>
              </w:rPr>
              <w:t>13</w:t>
            </w:r>
            <w:r w:rsidR="0072649E">
              <w:rPr>
                <w:szCs w:val="20"/>
              </w:rPr>
              <w:t>6</w:t>
            </w:r>
          </w:p>
        </w:tc>
        <w:tc>
          <w:tcPr>
            <w:tcW w:w="775" w:type="pct"/>
            <w:vMerge w:val="restart"/>
            <w:shd w:val="clear" w:color="auto" w:fill="auto"/>
            <w:vAlign w:val="center"/>
            <w:hideMark/>
          </w:tcPr>
          <w:p w14:paraId="1E9AA3F3" w14:textId="77777777" w:rsidR="00D4749A" w:rsidRPr="005E1BCD" w:rsidRDefault="00D4749A" w:rsidP="00C832D1">
            <w:pPr>
              <w:pStyle w:val="Paragraph"/>
              <w:spacing w:after="0"/>
              <w:rPr>
                <w:b/>
                <w:bCs/>
                <w:szCs w:val="20"/>
              </w:rPr>
            </w:pPr>
            <w:r w:rsidRPr="005E1BCD">
              <w:rPr>
                <w:b/>
                <w:bCs/>
                <w:szCs w:val="20"/>
              </w:rPr>
              <w:t>International broadcasting licences</w:t>
            </w:r>
          </w:p>
        </w:tc>
        <w:tc>
          <w:tcPr>
            <w:tcW w:w="825" w:type="pct"/>
            <w:shd w:val="clear" w:color="auto" w:fill="auto"/>
            <w:vAlign w:val="center"/>
            <w:hideMark/>
          </w:tcPr>
          <w:p w14:paraId="2D9075DF" w14:textId="78B2EFF4" w:rsidR="00D4749A" w:rsidRPr="003B1764" w:rsidRDefault="00EF3C85" w:rsidP="00C832D1">
            <w:pPr>
              <w:pStyle w:val="Paragraph"/>
              <w:spacing w:after="0"/>
              <w:rPr>
                <w:rFonts w:ascii="Calibri" w:hAnsi="Calibri" w:cs="Calibri"/>
                <w:sz w:val="22"/>
                <w:szCs w:val="22"/>
                <w:u w:val="single"/>
              </w:rPr>
            </w:pPr>
            <w:r>
              <w:t xml:space="preserve">Part 3 </w:t>
            </w:r>
            <w:r w:rsidRPr="003B1764">
              <w:t>of Schedule 1</w:t>
            </w:r>
            <w:r w:rsidRPr="003B1764">
              <w:rPr>
                <w:rFonts w:ascii="Calibri" w:hAnsi="Calibri" w:cs="Calibri"/>
                <w:sz w:val="22"/>
                <w:szCs w:val="22"/>
                <w:u w:val="single"/>
              </w:rPr>
              <w:br/>
            </w:r>
            <w:r w:rsidRPr="003B1764">
              <w:t>(Table item 1)</w:t>
            </w:r>
          </w:p>
        </w:tc>
        <w:tc>
          <w:tcPr>
            <w:tcW w:w="2541" w:type="pct"/>
            <w:shd w:val="clear" w:color="auto" w:fill="auto"/>
            <w:vAlign w:val="center"/>
            <w:hideMark/>
          </w:tcPr>
          <w:p w14:paraId="1A06C8A0" w14:textId="4851C01C" w:rsidR="00D4749A" w:rsidRPr="001C3DB3" w:rsidRDefault="00D4749A" w:rsidP="00C832D1">
            <w:pPr>
              <w:pStyle w:val="Paragraph"/>
              <w:spacing w:after="0"/>
              <w:rPr>
                <w:szCs w:val="20"/>
              </w:rPr>
            </w:pPr>
            <w:r w:rsidRPr="001C3DB3">
              <w:rPr>
                <w:szCs w:val="20"/>
              </w:rPr>
              <w:t>Deposit to accompany an application under section 121FA of the Broadcasting Services Act for an international broadcasting licence</w:t>
            </w:r>
            <w:r>
              <w:rPr>
                <w:szCs w:val="20"/>
              </w:rPr>
              <w:t>.</w:t>
            </w:r>
            <w:r w:rsidRPr="001C3DB3">
              <w:rPr>
                <w:szCs w:val="20"/>
              </w:rPr>
              <w:t> </w:t>
            </w:r>
          </w:p>
        </w:tc>
        <w:tc>
          <w:tcPr>
            <w:tcW w:w="627" w:type="pct"/>
            <w:shd w:val="clear" w:color="auto" w:fill="auto"/>
            <w:vAlign w:val="center"/>
            <w:hideMark/>
          </w:tcPr>
          <w:p w14:paraId="114B6916" w14:textId="77777777" w:rsidR="00D4749A" w:rsidRPr="001C3DB3" w:rsidRDefault="00D4749A" w:rsidP="00C832D1">
            <w:pPr>
              <w:pStyle w:val="Paragraph"/>
              <w:spacing w:after="0"/>
              <w:jc w:val="right"/>
              <w:rPr>
                <w:szCs w:val="20"/>
              </w:rPr>
            </w:pPr>
            <w:r w:rsidRPr="001C3DB3">
              <w:rPr>
                <w:szCs w:val="20"/>
              </w:rPr>
              <w:t>$4,500.00</w:t>
            </w:r>
          </w:p>
        </w:tc>
      </w:tr>
      <w:tr w:rsidR="00D4749A" w:rsidRPr="001C3DB3" w14:paraId="71143C7A" w14:textId="77777777" w:rsidTr="00C832D1">
        <w:trPr>
          <w:trHeight w:val="498"/>
        </w:trPr>
        <w:tc>
          <w:tcPr>
            <w:tcW w:w="232" w:type="pct"/>
            <w:shd w:val="clear" w:color="auto" w:fill="auto"/>
            <w:vAlign w:val="center"/>
            <w:hideMark/>
          </w:tcPr>
          <w:p w14:paraId="26F5AC54" w14:textId="25465879" w:rsidR="00D4749A" w:rsidRPr="001C3DB3" w:rsidRDefault="0099160B" w:rsidP="00C832D1">
            <w:pPr>
              <w:pStyle w:val="Paragraph"/>
              <w:spacing w:after="0"/>
              <w:rPr>
                <w:szCs w:val="20"/>
              </w:rPr>
            </w:pPr>
            <w:r>
              <w:rPr>
                <w:szCs w:val="20"/>
              </w:rPr>
              <w:lastRenderedPageBreak/>
              <w:t>13</w:t>
            </w:r>
            <w:r w:rsidR="0072649E">
              <w:rPr>
                <w:szCs w:val="20"/>
              </w:rPr>
              <w:t>7</w:t>
            </w:r>
          </w:p>
        </w:tc>
        <w:tc>
          <w:tcPr>
            <w:tcW w:w="775" w:type="pct"/>
            <w:vMerge/>
            <w:vAlign w:val="center"/>
            <w:hideMark/>
          </w:tcPr>
          <w:p w14:paraId="39E0E35D" w14:textId="77777777" w:rsidR="00D4749A" w:rsidRPr="005E1BCD" w:rsidRDefault="00D4749A" w:rsidP="00C832D1">
            <w:pPr>
              <w:pStyle w:val="Paragraph"/>
              <w:spacing w:after="0"/>
              <w:rPr>
                <w:b/>
                <w:bCs/>
                <w:szCs w:val="20"/>
              </w:rPr>
            </w:pPr>
          </w:p>
        </w:tc>
        <w:tc>
          <w:tcPr>
            <w:tcW w:w="825" w:type="pct"/>
            <w:shd w:val="clear" w:color="auto" w:fill="auto"/>
            <w:vAlign w:val="center"/>
            <w:hideMark/>
          </w:tcPr>
          <w:p w14:paraId="037F4041" w14:textId="1D1B39C0" w:rsidR="00D4749A" w:rsidRPr="003B1764" w:rsidRDefault="00382DE6" w:rsidP="00C832D1">
            <w:pPr>
              <w:pStyle w:val="Paragraph"/>
              <w:spacing w:after="0"/>
              <w:rPr>
                <w:rFonts w:ascii="Calibri" w:hAnsi="Calibri" w:cs="Calibri"/>
                <w:sz w:val="22"/>
                <w:szCs w:val="22"/>
                <w:u w:val="single"/>
              </w:rPr>
            </w:pPr>
            <w:r>
              <w:t xml:space="preserve">Part 3 </w:t>
            </w:r>
            <w:r w:rsidRPr="003B1764">
              <w:t>of Schedule 1</w:t>
            </w:r>
            <w:r>
              <w:t xml:space="preserve"> </w:t>
            </w:r>
            <w:r w:rsidRPr="003B1764">
              <w:t>(Table item 2)</w:t>
            </w:r>
          </w:p>
        </w:tc>
        <w:tc>
          <w:tcPr>
            <w:tcW w:w="2541" w:type="pct"/>
            <w:shd w:val="clear" w:color="auto" w:fill="auto"/>
            <w:vAlign w:val="center"/>
            <w:hideMark/>
          </w:tcPr>
          <w:p w14:paraId="43D0AC72" w14:textId="6235D67D" w:rsidR="00D4749A" w:rsidRPr="001C3DB3" w:rsidRDefault="00D4749A" w:rsidP="00C832D1">
            <w:pPr>
              <w:pStyle w:val="Paragraph"/>
              <w:spacing w:after="0"/>
              <w:rPr>
                <w:szCs w:val="20"/>
              </w:rPr>
            </w:pPr>
            <w:r w:rsidRPr="001C3DB3">
              <w:rPr>
                <w:szCs w:val="20"/>
              </w:rPr>
              <w:t>Considering and processing an application under section 121FA of the Broadcasting Services Act for an international broadcasting licence</w:t>
            </w:r>
            <w:r>
              <w:rPr>
                <w:szCs w:val="20"/>
              </w:rPr>
              <w:t>.</w:t>
            </w:r>
          </w:p>
        </w:tc>
        <w:tc>
          <w:tcPr>
            <w:tcW w:w="627" w:type="pct"/>
            <w:shd w:val="clear" w:color="auto" w:fill="auto"/>
            <w:vAlign w:val="center"/>
            <w:hideMark/>
          </w:tcPr>
          <w:p w14:paraId="3774590C" w14:textId="7CD38107" w:rsidR="00D4749A" w:rsidRPr="001C3DB3" w:rsidRDefault="00D4749A" w:rsidP="00C832D1">
            <w:pPr>
              <w:pStyle w:val="Paragraph"/>
              <w:spacing w:after="0"/>
              <w:jc w:val="right"/>
              <w:rPr>
                <w:szCs w:val="20"/>
              </w:rPr>
            </w:pPr>
            <w:r w:rsidRPr="001C3DB3">
              <w:rPr>
                <w:szCs w:val="20"/>
              </w:rPr>
              <w:t>Hourly rate</w:t>
            </w:r>
          </w:p>
        </w:tc>
      </w:tr>
    </w:tbl>
    <w:p w14:paraId="051CBCF9" w14:textId="6098C840" w:rsidR="003B614A" w:rsidRPr="005E1BCD" w:rsidRDefault="00663C68" w:rsidP="00C832D1">
      <w:pPr>
        <w:pStyle w:val="Paragraph"/>
      </w:pPr>
      <w:r>
        <w:fldChar w:fldCharType="end"/>
      </w:r>
    </w:p>
    <w:sectPr w:rsidR="003B614A" w:rsidRPr="005E1BCD" w:rsidSect="00B15EB2">
      <w:footerReference w:type="even" r:id="rId148"/>
      <w:footerReference w:type="default" r:id="rId149"/>
      <w:pgSz w:w="16838" w:h="11906" w:orient="landscape" w:code="9"/>
      <w:pgMar w:top="1134" w:right="1945" w:bottom="1418" w:left="86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F001" w14:textId="77777777" w:rsidR="00397AA6" w:rsidRDefault="00397AA6">
      <w:r>
        <w:separator/>
      </w:r>
    </w:p>
  </w:endnote>
  <w:endnote w:type="continuationSeparator" w:id="0">
    <w:p w14:paraId="3F71DFF6" w14:textId="77777777" w:rsidR="00397AA6" w:rsidRDefault="00397AA6">
      <w:r>
        <w:continuationSeparator/>
      </w:r>
    </w:p>
  </w:endnote>
  <w:endnote w:type="continuationNotice" w:id="1">
    <w:p w14:paraId="20EECE34" w14:textId="77777777" w:rsidR="00397AA6" w:rsidRDefault="00397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0962" w14:textId="745F8C41" w:rsidR="00F43965" w:rsidRPr="00A5474E" w:rsidRDefault="00AF4063" w:rsidP="00AF4063">
    <w:pPr>
      <w:pStyle w:val="Footer"/>
      <w:tabs>
        <w:tab w:val="left" w:pos="7215"/>
        <w:tab w:val="right" w:pos="9780"/>
      </w:tabs>
      <w:ind w:right="-806"/>
    </w:pPr>
    <w:r>
      <w:tab/>
    </w:r>
    <w:r>
      <w:tab/>
    </w:r>
    <w:r>
      <w:tab/>
    </w:r>
    <w:r w:rsidRPr="005E250B">
      <w:rPr>
        <w:noProof/>
        <w:vertAlign w:val="subscript"/>
      </w:rPr>
      <w:drawing>
        <wp:inline distT="0" distB="0" distL="0" distR="0" wp14:anchorId="1C917F88" wp14:editId="14D63304">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07A" w14:textId="77777777" w:rsidR="00F83102" w:rsidRPr="00622A3B" w:rsidRDefault="00F83102" w:rsidP="00871FB6">
    <w:pPr>
      <w:pStyle w:val="FooterLeft"/>
      <w:framePr w:wrap="around" w:x="13779" w:y="11380"/>
      <w:tabs>
        <w:tab w:val="clear" w:pos="113"/>
        <w:tab w:val="right" w:pos="397"/>
      </w:tabs>
    </w:pPr>
    <w:r w:rsidRPr="00575AC5">
      <w:fldChar w:fldCharType="begin"/>
    </w:r>
    <w:r w:rsidRPr="00575AC5">
      <w:instrText xml:space="preserve"> PAGE  \* Arabic  \* MERGEFORMAT </w:instrText>
    </w:r>
    <w:r w:rsidRPr="00575AC5">
      <w:fldChar w:fldCharType="separate"/>
    </w:r>
    <w: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89E8854" w14:textId="77777777" w:rsidR="006E7650" w:rsidRDefault="006E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D44B" w14:textId="77777777" w:rsidR="00F43965" w:rsidRDefault="00F4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E77D" w14:textId="77777777" w:rsidR="00F43965" w:rsidRDefault="00F439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069C" w14:textId="77777777" w:rsidR="00F43965" w:rsidRPr="00622A3B" w:rsidRDefault="00F43965"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9E97BD7" w14:textId="77777777" w:rsidR="00F43965" w:rsidRPr="00A5474E" w:rsidRDefault="00F43965"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0A86" w14:textId="77777777" w:rsidR="00F43965" w:rsidRPr="00622A3B" w:rsidRDefault="00F43965"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C447279" w14:textId="77777777" w:rsidR="00F43965" w:rsidRPr="00A5474E" w:rsidRDefault="00F43965"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5824" w14:textId="77777777" w:rsidR="00F43965" w:rsidRPr="00622A3B" w:rsidRDefault="00F43965"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738154E3" w14:textId="77777777" w:rsidR="00F43965" w:rsidRPr="00A5474E" w:rsidRDefault="00F43965"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947" w14:textId="77777777" w:rsidR="008409EB" w:rsidRPr="00622A3B" w:rsidRDefault="008409EB" w:rsidP="00F9532A">
    <w:pPr>
      <w:pStyle w:val="FooterLeft"/>
      <w:framePr w:wrap="notBeside" w:x="1141" w:y="16166"/>
      <w:tabs>
        <w:tab w:val="clear" w:pos="113"/>
        <w:tab w:val="right" w:pos="397"/>
      </w:tabs>
    </w:pPr>
    <w:r w:rsidRPr="00575AC5">
      <w:fldChar w:fldCharType="begin"/>
    </w:r>
    <w:r w:rsidRPr="00575AC5">
      <w:instrText xml:space="preserve"> PAGE  \* Arabic  \* MERGEFORMAT </w:instrText>
    </w:r>
    <w:r w:rsidRPr="00575AC5">
      <w:fldChar w:fldCharType="separate"/>
    </w:r>
    <w:r>
      <w:t>22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3A6AD01" w14:textId="77777777" w:rsidR="00F43965" w:rsidRDefault="00F43965" w:rsidP="0064022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B367" w14:textId="77777777" w:rsidR="00EA751A" w:rsidRPr="00622A3B" w:rsidRDefault="00EA751A" w:rsidP="00EA751A">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0858ECBD" w14:textId="77777777" w:rsidR="00F43965" w:rsidRPr="005E1BCD" w:rsidRDefault="00F43965" w:rsidP="00CB1E45">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69A5" w14:textId="77777777" w:rsidR="00D10CA3" w:rsidRPr="00622A3B" w:rsidRDefault="00D10CA3" w:rsidP="00871FB6">
    <w:pPr>
      <w:pStyle w:val="FooterLeft"/>
      <w:framePr w:wrap="notBeside" w:x="1141" w:y="11397"/>
      <w:tabs>
        <w:tab w:val="clear" w:pos="113"/>
        <w:tab w:val="right" w:pos="397"/>
      </w:tabs>
    </w:pPr>
    <w:r w:rsidRPr="00575AC5">
      <w:fldChar w:fldCharType="begin"/>
    </w:r>
    <w:r w:rsidRPr="00575AC5">
      <w:instrText xml:space="preserve"> PAGE  \* Arabic  \* MERGEFORMAT </w:instrText>
    </w:r>
    <w:r w:rsidRPr="00575AC5">
      <w:fldChar w:fldCharType="separate"/>
    </w:r>
    <w:r>
      <w:t>22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B10FD12" w14:textId="77777777" w:rsidR="006E7650" w:rsidRDefault="006E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3272" w14:textId="77777777" w:rsidR="00397AA6" w:rsidRDefault="00397AA6" w:rsidP="0045208C">
      <w:pPr>
        <w:spacing w:after="0"/>
      </w:pPr>
      <w:r>
        <w:separator/>
      </w:r>
    </w:p>
  </w:footnote>
  <w:footnote w:type="continuationSeparator" w:id="0">
    <w:p w14:paraId="4D0F47FB" w14:textId="77777777" w:rsidR="00397AA6" w:rsidRDefault="00397AA6">
      <w:r>
        <w:continuationSeparator/>
      </w:r>
    </w:p>
  </w:footnote>
  <w:footnote w:type="continuationNotice" w:id="1">
    <w:p w14:paraId="396009E8" w14:textId="77777777" w:rsidR="00397AA6" w:rsidRDefault="00397AA6">
      <w:pPr>
        <w:spacing w:after="0" w:line="240" w:lineRule="auto"/>
      </w:pPr>
    </w:p>
  </w:footnote>
  <w:footnote w:id="2">
    <w:p w14:paraId="0283EFA9" w14:textId="77777777" w:rsidR="00F51753" w:rsidRDefault="00F51753" w:rsidP="00F51753">
      <w:pPr>
        <w:pStyle w:val="FootnoteText"/>
      </w:pPr>
      <w:r>
        <w:rPr>
          <w:rStyle w:val="FootnoteReference"/>
        </w:rPr>
        <w:footnoteRef/>
      </w:r>
      <w:r>
        <w:t xml:space="preserve"> </w:t>
      </w:r>
      <w:r w:rsidRPr="00275ED9">
        <w:t>HAREC arrangements are outlined in European Conference of Postal and Telecommunications Administration’s (CEPT) T/R 61-02 (Harmonised Amateur Radio Examination Certificate).</w:t>
      </w:r>
    </w:p>
  </w:footnote>
  <w:footnote w:id="3">
    <w:p w14:paraId="1A8DD561" w14:textId="77777777" w:rsidR="00F51753" w:rsidRDefault="00F51753" w:rsidP="00F51753">
      <w:pPr>
        <w:pStyle w:val="FootnoteText"/>
      </w:pPr>
      <w:r w:rsidRPr="00AC033A">
        <w:rPr>
          <w:rStyle w:val="FootnoteReference"/>
        </w:rPr>
        <w:footnoteRef/>
      </w:r>
      <w:r w:rsidRPr="00AC033A">
        <w:t xml:space="preserve"> </w:t>
      </w:r>
      <w:r w:rsidRPr="00AD1EF7">
        <w:t>HAREC arrangements are outlined in European Conference of Postal and Telecommunications Administration’s (CEPT) T/R 61-02 (Harmonised Amateur Radio Examination Certificate).</w:t>
      </w:r>
    </w:p>
  </w:footnote>
  <w:footnote w:id="4">
    <w:p w14:paraId="6376FC6E" w14:textId="1245F581" w:rsidR="000A6D98" w:rsidRDefault="000A6D98" w:rsidP="000A6D98">
      <w:pPr>
        <w:pStyle w:val="FootnoteText"/>
      </w:pPr>
      <w:r>
        <w:rPr>
          <w:rStyle w:val="FootnoteReference"/>
        </w:rPr>
        <w:footnoteRef/>
      </w:r>
      <w:r>
        <w:t xml:space="preserve"> The ACMA’s hourly rate was based on the 2020</w:t>
      </w:r>
      <w:r w:rsidR="002443F3">
        <w:t>–</w:t>
      </w:r>
      <w:r>
        <w:t>21 net cost of service as reflected in its 2020</w:t>
      </w:r>
      <w:r w:rsidR="002443F3">
        <w:t>–</w:t>
      </w:r>
      <w:r>
        <w:t xml:space="preserve">21 annual financial statements. </w:t>
      </w:r>
    </w:p>
  </w:footnote>
  <w:footnote w:id="5">
    <w:p w14:paraId="76E7BD58" w14:textId="77777777" w:rsidR="002B5379" w:rsidRDefault="002B5379" w:rsidP="002B5379">
      <w:pPr>
        <w:pStyle w:val="FootnoteText"/>
      </w:pPr>
      <w:r>
        <w:rPr>
          <w:rStyle w:val="FootnoteReference"/>
        </w:rPr>
        <w:footnoteRef/>
      </w:r>
      <w:r>
        <w:t xml:space="preserve"> See the Radiocommunications Determination for definition of these terms.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C6AC" w14:textId="77777777" w:rsidR="00AF4063" w:rsidRPr="00A5474E" w:rsidRDefault="00AF4063" w:rsidP="00AF4063">
    <w:pPr>
      <w:pStyle w:val="Header"/>
    </w:pPr>
    <w:r>
      <w:rPr>
        <w:noProof/>
      </w:rPr>
      <w:drawing>
        <wp:inline distT="0" distB="0" distL="0" distR="0" wp14:anchorId="2B63A315" wp14:editId="28741401">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D429" w14:textId="77777777" w:rsidR="00EA751A" w:rsidRPr="00A5474E" w:rsidRDefault="00EA751A" w:rsidP="00EA751A">
    <w:pPr>
      <w:pStyle w:val="TOCHeading"/>
    </w:pPr>
    <w:r w:rsidRPr="0029593B">
      <w:t>Contents</w:t>
    </w:r>
  </w:p>
  <w:p w14:paraId="0890DEEE" w14:textId="77777777" w:rsidR="00EA751A" w:rsidRDefault="00EA7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9F46" w14:textId="4D726B37" w:rsidR="00F43965" w:rsidRDefault="00F439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26A3" w14:textId="77777777" w:rsidR="00F43965" w:rsidRDefault="00F439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43965" w14:paraId="1E80EC6C" w14:textId="77777777" w:rsidTr="00D97458">
      <w:trPr>
        <w:trHeight w:hRule="exact" w:val="988"/>
      </w:trPr>
      <w:tc>
        <w:tcPr>
          <w:tcW w:w="7678" w:type="dxa"/>
          <w:shd w:val="clear" w:color="auto" w:fill="auto"/>
        </w:tcPr>
        <w:p w14:paraId="25007B24" w14:textId="77777777" w:rsidR="00F43965" w:rsidRDefault="00F43965" w:rsidP="00971914">
          <w:pPr>
            <w:pStyle w:val="Header"/>
          </w:pPr>
        </w:p>
      </w:tc>
    </w:tr>
    <w:tr w:rsidR="00F43965" w14:paraId="748A9392" w14:textId="77777777" w:rsidTr="00D97458">
      <w:tc>
        <w:tcPr>
          <w:tcW w:w="7678" w:type="dxa"/>
          <w:shd w:val="clear" w:color="auto" w:fill="auto"/>
        </w:tcPr>
        <w:p w14:paraId="52FAA4A1" w14:textId="77777777" w:rsidR="00F43965" w:rsidRDefault="00F43965" w:rsidP="00971914">
          <w:pPr>
            <w:pStyle w:val="GridTable31"/>
          </w:pPr>
          <w:r>
            <w:t xml:space="preserve">Contents </w:t>
          </w:r>
          <w:r w:rsidRPr="00915B1C">
            <w:rPr>
              <w:b w:val="0"/>
              <w:spacing w:val="0"/>
              <w:sz w:val="28"/>
              <w:szCs w:val="28"/>
            </w:rPr>
            <w:t>(Continued)</w:t>
          </w:r>
        </w:p>
      </w:tc>
    </w:tr>
    <w:tr w:rsidR="00F43965" w14:paraId="1D9F452D" w14:textId="77777777" w:rsidTr="00D97458">
      <w:trPr>
        <w:trHeight w:val="1220"/>
      </w:trPr>
      <w:tc>
        <w:tcPr>
          <w:tcW w:w="7678" w:type="dxa"/>
          <w:shd w:val="clear" w:color="auto" w:fill="auto"/>
        </w:tcPr>
        <w:p w14:paraId="034C3524" w14:textId="77777777" w:rsidR="00F43965" w:rsidRDefault="00F43965" w:rsidP="00971914"/>
      </w:tc>
    </w:tr>
  </w:tbl>
  <w:p w14:paraId="022D9171" w14:textId="77777777" w:rsidR="00F43965" w:rsidRDefault="00F43965"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43965" w14:paraId="68C0CCB2" w14:textId="77777777" w:rsidTr="00D97458">
      <w:trPr>
        <w:trHeight w:hRule="exact" w:val="988"/>
      </w:trPr>
      <w:tc>
        <w:tcPr>
          <w:tcW w:w="7678" w:type="dxa"/>
          <w:shd w:val="clear" w:color="auto" w:fill="auto"/>
        </w:tcPr>
        <w:p w14:paraId="62A82C85" w14:textId="77777777" w:rsidR="00F43965" w:rsidRDefault="00F43965" w:rsidP="00971914">
          <w:pPr>
            <w:pStyle w:val="Header"/>
          </w:pPr>
        </w:p>
      </w:tc>
    </w:tr>
    <w:tr w:rsidR="00F43965" w14:paraId="23333FD1" w14:textId="77777777" w:rsidTr="00D97458">
      <w:tc>
        <w:tcPr>
          <w:tcW w:w="7678" w:type="dxa"/>
          <w:shd w:val="clear" w:color="auto" w:fill="auto"/>
        </w:tcPr>
        <w:p w14:paraId="4779B576" w14:textId="77777777" w:rsidR="00F43965" w:rsidRDefault="00F43965" w:rsidP="00971914">
          <w:pPr>
            <w:pStyle w:val="GridTable31"/>
          </w:pPr>
          <w:r>
            <w:t xml:space="preserve">Contents </w:t>
          </w:r>
          <w:r w:rsidRPr="00915B1C">
            <w:rPr>
              <w:b w:val="0"/>
              <w:spacing w:val="0"/>
              <w:sz w:val="28"/>
              <w:szCs w:val="28"/>
            </w:rPr>
            <w:t>(Continued)</w:t>
          </w:r>
        </w:p>
      </w:tc>
    </w:tr>
    <w:tr w:rsidR="00F43965" w14:paraId="0140736C" w14:textId="77777777" w:rsidTr="00D97458">
      <w:trPr>
        <w:trHeight w:val="1220"/>
      </w:trPr>
      <w:tc>
        <w:tcPr>
          <w:tcW w:w="7678" w:type="dxa"/>
          <w:shd w:val="clear" w:color="auto" w:fill="auto"/>
        </w:tcPr>
        <w:p w14:paraId="00240780" w14:textId="77777777" w:rsidR="00F43965" w:rsidRDefault="00F43965" w:rsidP="00971914"/>
      </w:tc>
    </w:tr>
  </w:tbl>
  <w:p w14:paraId="2098B960" w14:textId="77777777" w:rsidR="00F43965" w:rsidRPr="00A5474E" w:rsidRDefault="00F43965"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F709" w14:textId="77777777" w:rsidR="00F43965" w:rsidRPr="005E1BCD" w:rsidRDefault="00F43965" w:rsidP="00CB1E45">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8B9E" w14:textId="77777777" w:rsidR="00F43965" w:rsidRPr="005E1BCD" w:rsidRDefault="00F43965" w:rsidP="005E1BCD">
    <w:pPr>
      <w:pStyle w:val="Header"/>
      <w:ind w:firstLine="284"/>
      <w:rPr>
        <w:sz w:val="2"/>
        <w:szCs w:val="2"/>
      </w:rPr>
    </w:pPr>
  </w:p>
  <w:p w14:paraId="19D821AA" w14:textId="77777777" w:rsidR="00F43965" w:rsidRPr="005E1BCD" w:rsidRDefault="00F4396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623F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DBE4AE2"/>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3" w15:restartNumberingAfterBreak="0">
    <w:nsid w:val="FFFFFF83"/>
    <w:multiLevelType w:val="singleLevel"/>
    <w:tmpl w:val="FEB88996"/>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4"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5" w15:restartNumberingAfterBreak="0">
    <w:nsid w:val="FFFFFF89"/>
    <w:multiLevelType w:val="singleLevel"/>
    <w:tmpl w:val="E552FEBA"/>
    <w:lvl w:ilvl="0">
      <w:start w:val="1"/>
      <w:numFmt w:val="bullet"/>
      <w:pStyle w:val="ListBullet"/>
      <w:lvlText w:val="&gt;"/>
      <w:lvlJc w:val="left"/>
      <w:pPr>
        <w:tabs>
          <w:tab w:val="num" w:pos="436"/>
        </w:tabs>
        <w:ind w:left="436" w:hanging="295"/>
      </w:pPr>
      <w:rPr>
        <w:rFonts w:ascii="HelveticaNeueLT Std Lt" w:hAnsi="HelveticaNeueLT Std Lt" w:hint="default"/>
        <w:sz w:val="20"/>
      </w:rPr>
    </w:lvl>
  </w:abstractNum>
  <w:abstractNum w:abstractNumId="6" w15:restartNumberingAfterBreak="0">
    <w:nsid w:val="041835E9"/>
    <w:multiLevelType w:val="hybridMultilevel"/>
    <w:tmpl w:val="830E3B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44506FB"/>
    <w:multiLevelType w:val="hybridMultilevel"/>
    <w:tmpl w:val="D2DCE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0E0AF1"/>
    <w:multiLevelType w:val="hybridMultilevel"/>
    <w:tmpl w:val="B6A8D486"/>
    <w:lvl w:ilvl="0" w:tplc="7C2E6824">
      <w:start w:val="8"/>
      <w:numFmt w:val="bullet"/>
      <w:lvlText w:val="-"/>
      <w:lvlJc w:val="left"/>
      <w:pPr>
        <w:ind w:left="645" w:hanging="360"/>
      </w:pPr>
      <w:rPr>
        <w:rFonts w:ascii="Arial" w:eastAsia="Times New Roman"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9" w15:restartNumberingAfterBreak="0">
    <w:nsid w:val="0A43708D"/>
    <w:multiLevelType w:val="hybridMultilevel"/>
    <w:tmpl w:val="497EF3E4"/>
    <w:lvl w:ilvl="0" w:tplc="44EEC084">
      <w:start w:val="1"/>
      <w:numFmt w:val="bullet"/>
      <w:lvlText w:val="&gt;"/>
      <w:lvlJc w:val="left"/>
      <w:pPr>
        <w:ind w:left="360" w:hanging="360"/>
      </w:pPr>
      <w:rPr>
        <w:rFonts w:ascii="HelveticaNeueLT Std" w:hAnsi="HelveticaNeueLT Std"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4630FD"/>
    <w:multiLevelType w:val="multilevel"/>
    <w:tmpl w:val="49023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DF764C6"/>
    <w:multiLevelType w:val="hybridMultilevel"/>
    <w:tmpl w:val="830E133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E402C"/>
    <w:multiLevelType w:val="hybridMultilevel"/>
    <w:tmpl w:val="2D68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F34CB"/>
    <w:multiLevelType w:val="hybridMultilevel"/>
    <w:tmpl w:val="00B69A66"/>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1E080B"/>
    <w:multiLevelType w:val="hybridMultilevel"/>
    <w:tmpl w:val="7FD2337E"/>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F4F5E4D"/>
    <w:multiLevelType w:val="hybridMultilevel"/>
    <w:tmpl w:val="FDD4435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1FB80C08"/>
    <w:multiLevelType w:val="hybridMultilevel"/>
    <w:tmpl w:val="7840CF9A"/>
    <w:lvl w:ilvl="0" w:tplc="2B326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087853"/>
    <w:multiLevelType w:val="hybridMultilevel"/>
    <w:tmpl w:val="B3BA6864"/>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E23495"/>
    <w:multiLevelType w:val="hybridMultilevel"/>
    <w:tmpl w:val="78024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B51F8E"/>
    <w:multiLevelType w:val="hybridMultilevel"/>
    <w:tmpl w:val="94FA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C81232"/>
    <w:multiLevelType w:val="hybridMultilevel"/>
    <w:tmpl w:val="95FE9D30"/>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1" w15:restartNumberingAfterBreak="0">
    <w:nsid w:val="22CF0EF8"/>
    <w:multiLevelType w:val="hybridMultilevel"/>
    <w:tmpl w:val="F61C4A24"/>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22E67770"/>
    <w:multiLevelType w:val="hybridMultilevel"/>
    <w:tmpl w:val="B5ECCC5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334C7F"/>
    <w:multiLevelType w:val="hybridMultilevel"/>
    <w:tmpl w:val="D3585AC6"/>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58810BF"/>
    <w:multiLevelType w:val="hybridMultilevel"/>
    <w:tmpl w:val="604248BC"/>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034E8D"/>
    <w:multiLevelType w:val="hybridMultilevel"/>
    <w:tmpl w:val="58A045D6"/>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6" w15:restartNumberingAfterBreak="0">
    <w:nsid w:val="28894832"/>
    <w:multiLevelType w:val="hybridMultilevel"/>
    <w:tmpl w:val="BC3280C2"/>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8E0483B"/>
    <w:multiLevelType w:val="hybridMultilevel"/>
    <w:tmpl w:val="AAE22A6E"/>
    <w:lvl w:ilvl="0" w:tplc="44EEC084">
      <w:start w:val="1"/>
      <w:numFmt w:val="bullet"/>
      <w:lvlText w:val="&gt;"/>
      <w:lvlJc w:val="left"/>
      <w:pPr>
        <w:ind w:left="360" w:hanging="360"/>
      </w:pPr>
      <w:rPr>
        <w:rFonts w:ascii="HelveticaNeueLT Std" w:hAnsi="HelveticaNeueLT Std" w:hint="default"/>
      </w:rPr>
    </w:lvl>
    <w:lvl w:ilvl="1" w:tplc="2AF415F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C3A6DB3"/>
    <w:multiLevelType w:val="hybridMultilevel"/>
    <w:tmpl w:val="688079BE"/>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D47B1A1"/>
    <w:multiLevelType w:val="hybridMultilevel"/>
    <w:tmpl w:val="C01437CA"/>
    <w:lvl w:ilvl="0" w:tplc="97307962">
      <w:start w:val="1"/>
      <w:numFmt w:val="bullet"/>
      <w:lvlText w:val=""/>
      <w:lvlJc w:val="left"/>
      <w:pPr>
        <w:ind w:left="720" w:hanging="360"/>
      </w:pPr>
      <w:rPr>
        <w:rFonts w:ascii="Symbol" w:hAnsi="Symbol" w:hint="default"/>
      </w:rPr>
    </w:lvl>
    <w:lvl w:ilvl="1" w:tplc="39A61758">
      <w:start w:val="1"/>
      <w:numFmt w:val="bullet"/>
      <w:lvlText w:val="o"/>
      <w:lvlJc w:val="left"/>
      <w:pPr>
        <w:ind w:left="1440" w:hanging="360"/>
      </w:pPr>
      <w:rPr>
        <w:rFonts w:ascii="Courier New" w:hAnsi="Courier New" w:hint="default"/>
      </w:rPr>
    </w:lvl>
    <w:lvl w:ilvl="2" w:tplc="E812BB90">
      <w:start w:val="1"/>
      <w:numFmt w:val="bullet"/>
      <w:lvlText w:val=""/>
      <w:lvlJc w:val="left"/>
      <w:pPr>
        <w:ind w:left="2160" w:hanging="360"/>
      </w:pPr>
      <w:rPr>
        <w:rFonts w:ascii="Wingdings" w:hAnsi="Wingdings" w:hint="default"/>
      </w:rPr>
    </w:lvl>
    <w:lvl w:ilvl="3" w:tplc="3B603178">
      <w:start w:val="1"/>
      <w:numFmt w:val="bullet"/>
      <w:lvlText w:val=""/>
      <w:lvlJc w:val="left"/>
      <w:pPr>
        <w:ind w:left="2880" w:hanging="360"/>
      </w:pPr>
      <w:rPr>
        <w:rFonts w:ascii="Symbol" w:hAnsi="Symbol" w:hint="default"/>
      </w:rPr>
    </w:lvl>
    <w:lvl w:ilvl="4" w:tplc="3806CF58">
      <w:start w:val="1"/>
      <w:numFmt w:val="bullet"/>
      <w:lvlText w:val="o"/>
      <w:lvlJc w:val="left"/>
      <w:pPr>
        <w:ind w:left="3600" w:hanging="360"/>
      </w:pPr>
      <w:rPr>
        <w:rFonts w:ascii="Courier New" w:hAnsi="Courier New" w:hint="default"/>
      </w:rPr>
    </w:lvl>
    <w:lvl w:ilvl="5" w:tplc="E2C405E2">
      <w:start w:val="1"/>
      <w:numFmt w:val="bullet"/>
      <w:lvlText w:val=""/>
      <w:lvlJc w:val="left"/>
      <w:pPr>
        <w:ind w:left="4320" w:hanging="360"/>
      </w:pPr>
      <w:rPr>
        <w:rFonts w:ascii="Wingdings" w:hAnsi="Wingdings" w:hint="default"/>
      </w:rPr>
    </w:lvl>
    <w:lvl w:ilvl="6" w:tplc="26840896">
      <w:start w:val="1"/>
      <w:numFmt w:val="bullet"/>
      <w:lvlText w:val=""/>
      <w:lvlJc w:val="left"/>
      <w:pPr>
        <w:ind w:left="5040" w:hanging="360"/>
      </w:pPr>
      <w:rPr>
        <w:rFonts w:ascii="Symbol" w:hAnsi="Symbol" w:hint="default"/>
      </w:rPr>
    </w:lvl>
    <w:lvl w:ilvl="7" w:tplc="DFF44CFA">
      <w:start w:val="1"/>
      <w:numFmt w:val="bullet"/>
      <w:lvlText w:val="o"/>
      <w:lvlJc w:val="left"/>
      <w:pPr>
        <w:ind w:left="5760" w:hanging="360"/>
      </w:pPr>
      <w:rPr>
        <w:rFonts w:ascii="Courier New" w:hAnsi="Courier New" w:hint="default"/>
      </w:rPr>
    </w:lvl>
    <w:lvl w:ilvl="8" w:tplc="85DCF004">
      <w:start w:val="1"/>
      <w:numFmt w:val="bullet"/>
      <w:lvlText w:val=""/>
      <w:lvlJc w:val="left"/>
      <w:pPr>
        <w:ind w:left="6480" w:hanging="360"/>
      </w:pPr>
      <w:rPr>
        <w:rFonts w:ascii="Wingdings" w:hAnsi="Wingdings" w:hint="default"/>
      </w:rPr>
    </w:lvl>
  </w:abstractNum>
  <w:abstractNum w:abstractNumId="30" w15:restartNumberingAfterBreak="0">
    <w:nsid w:val="2DDC7EE5"/>
    <w:multiLevelType w:val="hybridMultilevel"/>
    <w:tmpl w:val="FA761CE2"/>
    <w:lvl w:ilvl="0" w:tplc="6BAE58A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301DD4"/>
    <w:multiLevelType w:val="multilevel"/>
    <w:tmpl w:val="2AA2EC5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2F33044C"/>
    <w:multiLevelType w:val="hybridMultilevel"/>
    <w:tmpl w:val="0D62D6C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F02C11"/>
    <w:multiLevelType w:val="hybridMultilevel"/>
    <w:tmpl w:val="EF206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270B0E"/>
    <w:multiLevelType w:val="hybridMultilevel"/>
    <w:tmpl w:val="A5066790"/>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7976C9D"/>
    <w:multiLevelType w:val="hybridMultilevel"/>
    <w:tmpl w:val="439E5F6C"/>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86531B1"/>
    <w:multiLevelType w:val="hybridMultilevel"/>
    <w:tmpl w:val="3A30C746"/>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94A0908"/>
    <w:multiLevelType w:val="hybridMultilevel"/>
    <w:tmpl w:val="F87067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39616E35"/>
    <w:multiLevelType w:val="hybridMultilevel"/>
    <w:tmpl w:val="AF36603A"/>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B834944"/>
    <w:multiLevelType w:val="hybridMultilevel"/>
    <w:tmpl w:val="5B46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F6064F"/>
    <w:multiLevelType w:val="hybridMultilevel"/>
    <w:tmpl w:val="0C2A05E0"/>
    <w:lvl w:ilvl="0" w:tplc="FFFFFFFF">
      <w:start w:val="1"/>
      <w:numFmt w:val="lowerLetter"/>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41" w15:restartNumberingAfterBreak="0">
    <w:nsid w:val="3CF9636C"/>
    <w:multiLevelType w:val="hybridMultilevel"/>
    <w:tmpl w:val="D8EC5AEC"/>
    <w:lvl w:ilvl="0" w:tplc="0C090013">
      <w:start w:val="1"/>
      <w:numFmt w:val="upperRoman"/>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2" w15:restartNumberingAfterBreak="0">
    <w:nsid w:val="3E0C1E95"/>
    <w:multiLevelType w:val="hybridMultilevel"/>
    <w:tmpl w:val="BFE08498"/>
    <w:lvl w:ilvl="0" w:tplc="44EEC084">
      <w:start w:val="1"/>
      <w:numFmt w:val="bullet"/>
      <w:lvlText w:val="&gt;"/>
      <w:lvlJc w:val="left"/>
      <w:pPr>
        <w:ind w:left="360" w:hanging="360"/>
      </w:pPr>
      <w:rPr>
        <w:rFonts w:ascii="HelveticaNeueLT Std" w:hAnsi="HelveticaNeueLT St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3F642A7D"/>
    <w:multiLevelType w:val="hybridMultilevel"/>
    <w:tmpl w:val="1B8402C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4" w15:restartNumberingAfterBreak="0">
    <w:nsid w:val="431C42EB"/>
    <w:multiLevelType w:val="hybridMultilevel"/>
    <w:tmpl w:val="C80AD5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4363007C"/>
    <w:multiLevelType w:val="hybridMultilevel"/>
    <w:tmpl w:val="4E5CAAC4"/>
    <w:lvl w:ilvl="0" w:tplc="A3907946">
      <w:start w:val="1"/>
      <w:numFmt w:val="bullet"/>
      <w:lvlText w:val=""/>
      <w:lvlJc w:val="left"/>
      <w:pPr>
        <w:ind w:left="720" w:hanging="360"/>
      </w:pPr>
      <w:rPr>
        <w:rFonts w:ascii="Symbol" w:hAnsi="Symbol" w:hint="default"/>
      </w:rPr>
    </w:lvl>
    <w:lvl w:ilvl="1" w:tplc="FD02CB20">
      <w:start w:val="1"/>
      <w:numFmt w:val="bullet"/>
      <w:lvlText w:val="o"/>
      <w:lvlJc w:val="left"/>
      <w:pPr>
        <w:ind w:left="1440" w:hanging="360"/>
      </w:pPr>
      <w:rPr>
        <w:rFonts w:ascii="Courier New" w:hAnsi="Courier New" w:hint="default"/>
      </w:rPr>
    </w:lvl>
    <w:lvl w:ilvl="2" w:tplc="3FD2BC98">
      <w:start w:val="1"/>
      <w:numFmt w:val="bullet"/>
      <w:lvlText w:val=""/>
      <w:lvlJc w:val="left"/>
      <w:pPr>
        <w:ind w:left="2160" w:hanging="360"/>
      </w:pPr>
      <w:rPr>
        <w:rFonts w:ascii="Wingdings" w:hAnsi="Wingdings" w:hint="default"/>
      </w:rPr>
    </w:lvl>
    <w:lvl w:ilvl="3" w:tplc="A17821D4">
      <w:start w:val="1"/>
      <w:numFmt w:val="bullet"/>
      <w:lvlText w:val=""/>
      <w:lvlJc w:val="left"/>
      <w:pPr>
        <w:ind w:left="2880" w:hanging="360"/>
      </w:pPr>
      <w:rPr>
        <w:rFonts w:ascii="Symbol" w:hAnsi="Symbol" w:hint="default"/>
      </w:rPr>
    </w:lvl>
    <w:lvl w:ilvl="4" w:tplc="14542C40">
      <w:start w:val="1"/>
      <w:numFmt w:val="bullet"/>
      <w:lvlText w:val="o"/>
      <w:lvlJc w:val="left"/>
      <w:pPr>
        <w:ind w:left="3600" w:hanging="360"/>
      </w:pPr>
      <w:rPr>
        <w:rFonts w:ascii="Courier New" w:hAnsi="Courier New" w:hint="default"/>
      </w:rPr>
    </w:lvl>
    <w:lvl w:ilvl="5" w:tplc="1018B5E8">
      <w:start w:val="1"/>
      <w:numFmt w:val="bullet"/>
      <w:lvlText w:val=""/>
      <w:lvlJc w:val="left"/>
      <w:pPr>
        <w:ind w:left="4320" w:hanging="360"/>
      </w:pPr>
      <w:rPr>
        <w:rFonts w:ascii="Wingdings" w:hAnsi="Wingdings" w:hint="default"/>
      </w:rPr>
    </w:lvl>
    <w:lvl w:ilvl="6" w:tplc="2B12BA34">
      <w:start w:val="1"/>
      <w:numFmt w:val="bullet"/>
      <w:lvlText w:val=""/>
      <w:lvlJc w:val="left"/>
      <w:pPr>
        <w:ind w:left="5040" w:hanging="360"/>
      </w:pPr>
      <w:rPr>
        <w:rFonts w:ascii="Symbol" w:hAnsi="Symbol" w:hint="default"/>
      </w:rPr>
    </w:lvl>
    <w:lvl w:ilvl="7" w:tplc="114AB3E6">
      <w:start w:val="1"/>
      <w:numFmt w:val="bullet"/>
      <w:lvlText w:val="o"/>
      <w:lvlJc w:val="left"/>
      <w:pPr>
        <w:ind w:left="5760" w:hanging="360"/>
      </w:pPr>
      <w:rPr>
        <w:rFonts w:ascii="Courier New" w:hAnsi="Courier New" w:hint="default"/>
      </w:rPr>
    </w:lvl>
    <w:lvl w:ilvl="8" w:tplc="30EAD4F8">
      <w:start w:val="1"/>
      <w:numFmt w:val="bullet"/>
      <w:lvlText w:val=""/>
      <w:lvlJc w:val="left"/>
      <w:pPr>
        <w:ind w:left="6480" w:hanging="360"/>
      </w:pPr>
      <w:rPr>
        <w:rFonts w:ascii="Wingdings" w:hAnsi="Wingdings" w:hint="default"/>
      </w:rPr>
    </w:lvl>
  </w:abstractNum>
  <w:abstractNum w:abstractNumId="46" w15:restartNumberingAfterBreak="0">
    <w:nsid w:val="49C26CA9"/>
    <w:multiLevelType w:val="hybridMultilevel"/>
    <w:tmpl w:val="2EC0C006"/>
    <w:lvl w:ilvl="0" w:tplc="BA3653E6">
      <w:numFmt w:val="bullet"/>
      <w:lvlText w:val="•"/>
      <w:lvlJc w:val="left"/>
      <w:pPr>
        <w:ind w:left="1095" w:hanging="73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6A6D58"/>
    <w:multiLevelType w:val="hybridMultilevel"/>
    <w:tmpl w:val="4632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A332D1"/>
    <w:multiLevelType w:val="hybridMultilevel"/>
    <w:tmpl w:val="641E5728"/>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DD47BF5"/>
    <w:multiLevelType w:val="hybridMultilevel"/>
    <w:tmpl w:val="744E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354E0A"/>
    <w:multiLevelType w:val="hybridMultilevel"/>
    <w:tmpl w:val="568EE33E"/>
    <w:lvl w:ilvl="0" w:tplc="5D24AD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50AA3FD5"/>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2" w15:restartNumberingAfterBreak="0">
    <w:nsid w:val="51D819BE"/>
    <w:multiLevelType w:val="hybridMultilevel"/>
    <w:tmpl w:val="654ED720"/>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482E69"/>
    <w:multiLevelType w:val="hybridMultilevel"/>
    <w:tmpl w:val="1E54E32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8D94EE0"/>
    <w:multiLevelType w:val="hybridMultilevel"/>
    <w:tmpl w:val="63FC1156"/>
    <w:lvl w:ilvl="0" w:tplc="6A98E0B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910D72"/>
    <w:multiLevelType w:val="hybridMultilevel"/>
    <w:tmpl w:val="113A5B6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2133999"/>
    <w:multiLevelType w:val="hybridMultilevel"/>
    <w:tmpl w:val="6D8E61D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8" w15:restartNumberingAfterBreak="0">
    <w:nsid w:val="638541CE"/>
    <w:multiLevelType w:val="hybridMultilevel"/>
    <w:tmpl w:val="6B340E96"/>
    <w:lvl w:ilvl="0" w:tplc="44EEC084">
      <w:start w:val="1"/>
      <w:numFmt w:val="bullet"/>
      <w:lvlText w:val="&gt;"/>
      <w:lvlJc w:val="left"/>
      <w:pPr>
        <w:ind w:left="360" w:hanging="360"/>
      </w:pPr>
      <w:rPr>
        <w:rFonts w:ascii="HelveticaNeueLT Std" w:hAnsi="HelveticaNeueLT Std"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364562"/>
    <w:multiLevelType w:val="hybridMultilevel"/>
    <w:tmpl w:val="19B0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0E1F62"/>
    <w:multiLevelType w:val="hybridMultilevel"/>
    <w:tmpl w:val="FBFC8C96"/>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B1129D5"/>
    <w:multiLevelType w:val="hybridMultilevel"/>
    <w:tmpl w:val="3D8C7B9A"/>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B9A4390"/>
    <w:multiLevelType w:val="hybridMultilevel"/>
    <w:tmpl w:val="6C4C2D20"/>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C9433F9"/>
    <w:multiLevelType w:val="hybridMultilevel"/>
    <w:tmpl w:val="2ED0338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CF26043"/>
    <w:multiLevelType w:val="hybridMultilevel"/>
    <w:tmpl w:val="7CD8EE7A"/>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D720D79"/>
    <w:multiLevelType w:val="hybridMultilevel"/>
    <w:tmpl w:val="1722BBFA"/>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CC6A95"/>
    <w:multiLevelType w:val="hybridMultilevel"/>
    <w:tmpl w:val="3BEAC94C"/>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F12554E"/>
    <w:multiLevelType w:val="hybridMultilevel"/>
    <w:tmpl w:val="997CBE24"/>
    <w:lvl w:ilvl="0" w:tplc="44EEC084">
      <w:start w:val="1"/>
      <w:numFmt w:val="bullet"/>
      <w:lvlText w:val="&gt;"/>
      <w:lvlJc w:val="left"/>
      <w:pPr>
        <w:ind w:left="885" w:hanging="360"/>
      </w:pPr>
      <w:rPr>
        <w:rFonts w:ascii="HelveticaNeueLT Std" w:hAnsi="HelveticaNeueLT Std"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71" w15:restartNumberingAfterBreak="0">
    <w:nsid w:val="782D229D"/>
    <w:multiLevelType w:val="hybridMultilevel"/>
    <w:tmpl w:val="3CF01000"/>
    <w:lvl w:ilvl="0" w:tplc="5D24AD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AEB5E60"/>
    <w:multiLevelType w:val="hybridMultilevel"/>
    <w:tmpl w:val="89C607F8"/>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3" w15:restartNumberingAfterBreak="0">
    <w:nsid w:val="7D002992"/>
    <w:multiLevelType w:val="hybridMultilevel"/>
    <w:tmpl w:val="1C7052E8"/>
    <w:lvl w:ilvl="0" w:tplc="7D549D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D9467BA"/>
    <w:multiLevelType w:val="hybridMultilevel"/>
    <w:tmpl w:val="0C2A05E0"/>
    <w:lvl w:ilvl="0" w:tplc="FFFFFFFF">
      <w:start w:val="1"/>
      <w:numFmt w:val="lowerLetter"/>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75" w15:restartNumberingAfterBreak="0">
    <w:nsid w:val="7DBE2B0E"/>
    <w:multiLevelType w:val="hybridMultilevel"/>
    <w:tmpl w:val="830E3B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F0E20A6"/>
    <w:multiLevelType w:val="hybridMultilevel"/>
    <w:tmpl w:val="6F66385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9244145">
    <w:abstractNumId w:val="5"/>
  </w:num>
  <w:num w:numId="2" w16cid:durableId="1075014526">
    <w:abstractNumId w:val="3"/>
  </w:num>
  <w:num w:numId="3" w16cid:durableId="1539270084">
    <w:abstractNumId w:val="4"/>
  </w:num>
  <w:num w:numId="4" w16cid:durableId="2009284102">
    <w:abstractNumId w:val="2"/>
  </w:num>
  <w:num w:numId="5" w16cid:durableId="1431270618">
    <w:abstractNumId w:val="31"/>
  </w:num>
  <w:num w:numId="6" w16cid:durableId="1453592532">
    <w:abstractNumId w:val="61"/>
  </w:num>
  <w:num w:numId="7" w16cid:durableId="223685371">
    <w:abstractNumId w:val="53"/>
  </w:num>
  <w:num w:numId="8" w16cid:durableId="884676968">
    <w:abstractNumId w:val="59"/>
  </w:num>
  <w:num w:numId="9" w16cid:durableId="1601065732">
    <w:abstractNumId w:val="68"/>
  </w:num>
  <w:num w:numId="10" w16cid:durableId="1534926097">
    <w:abstractNumId w:val="23"/>
  </w:num>
  <w:num w:numId="11" w16cid:durableId="1291783576">
    <w:abstractNumId w:val="51"/>
  </w:num>
  <w:num w:numId="12" w16cid:durableId="301930073">
    <w:abstractNumId w:val="40"/>
  </w:num>
  <w:num w:numId="13" w16cid:durableId="105194897">
    <w:abstractNumId w:val="75"/>
  </w:num>
  <w:num w:numId="14" w16cid:durableId="750812229">
    <w:abstractNumId w:val="6"/>
  </w:num>
  <w:num w:numId="15" w16cid:durableId="2008093606">
    <w:abstractNumId w:val="30"/>
  </w:num>
  <w:num w:numId="16" w16cid:durableId="1823885906">
    <w:abstractNumId w:val="71"/>
  </w:num>
  <w:num w:numId="17" w16cid:durableId="1065880138">
    <w:abstractNumId w:val="67"/>
  </w:num>
  <w:num w:numId="18" w16cid:durableId="1893686348">
    <w:abstractNumId w:val="63"/>
  </w:num>
  <w:num w:numId="19" w16cid:durableId="97336388">
    <w:abstractNumId w:val="16"/>
  </w:num>
  <w:num w:numId="20" w16cid:durableId="633557447">
    <w:abstractNumId w:val="26"/>
  </w:num>
  <w:num w:numId="21" w16cid:durableId="630985223">
    <w:abstractNumId w:val="20"/>
  </w:num>
  <w:num w:numId="22" w16cid:durableId="1830317830">
    <w:abstractNumId w:val="21"/>
  </w:num>
  <w:num w:numId="23" w16cid:durableId="1146705296">
    <w:abstractNumId w:val="34"/>
  </w:num>
  <w:num w:numId="24" w16cid:durableId="910234835">
    <w:abstractNumId w:val="17"/>
  </w:num>
  <w:num w:numId="25" w16cid:durableId="1433283309">
    <w:abstractNumId w:val="14"/>
  </w:num>
  <w:num w:numId="26" w16cid:durableId="431173156">
    <w:abstractNumId w:val="35"/>
  </w:num>
  <w:num w:numId="27" w16cid:durableId="1280455035">
    <w:abstractNumId w:val="36"/>
  </w:num>
  <w:num w:numId="28" w16cid:durableId="419840943">
    <w:abstractNumId w:val="28"/>
  </w:num>
  <w:num w:numId="29" w16cid:durableId="1313024669">
    <w:abstractNumId w:val="62"/>
  </w:num>
  <w:num w:numId="30" w16cid:durableId="633175176">
    <w:abstractNumId w:val="72"/>
  </w:num>
  <w:num w:numId="31" w16cid:durableId="116529219">
    <w:abstractNumId w:val="25"/>
  </w:num>
  <w:num w:numId="32" w16cid:durableId="1049720439">
    <w:abstractNumId w:val="48"/>
  </w:num>
  <w:num w:numId="33" w16cid:durableId="1007945750">
    <w:abstractNumId w:val="66"/>
  </w:num>
  <w:num w:numId="34" w16cid:durableId="1094400480">
    <w:abstractNumId w:val="10"/>
  </w:num>
  <w:num w:numId="35" w16cid:durableId="1117797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6276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5484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5464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2986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382200">
    <w:abstractNumId w:val="1"/>
  </w:num>
  <w:num w:numId="41" w16cid:durableId="934435637">
    <w:abstractNumId w:val="73"/>
  </w:num>
  <w:num w:numId="42" w16cid:durableId="2107997676">
    <w:abstractNumId w:val="52"/>
  </w:num>
  <w:num w:numId="43" w16cid:durableId="1218009837">
    <w:abstractNumId w:val="13"/>
  </w:num>
  <w:num w:numId="44" w16cid:durableId="1358627012">
    <w:abstractNumId w:val="41"/>
  </w:num>
  <w:num w:numId="45" w16cid:durableId="441539219">
    <w:abstractNumId w:val="50"/>
  </w:num>
  <w:num w:numId="46" w16cid:durableId="1852450760">
    <w:abstractNumId w:val="39"/>
  </w:num>
  <w:num w:numId="47" w16cid:durableId="1806779243">
    <w:abstractNumId w:val="44"/>
  </w:num>
  <w:num w:numId="48" w16cid:durableId="460271201">
    <w:abstractNumId w:val="12"/>
  </w:num>
  <w:num w:numId="49" w16cid:durableId="397243712">
    <w:abstractNumId w:val="60"/>
  </w:num>
  <w:num w:numId="50" w16cid:durableId="567574116">
    <w:abstractNumId w:val="7"/>
  </w:num>
  <w:num w:numId="51" w16cid:durableId="382367821">
    <w:abstractNumId w:val="46"/>
  </w:num>
  <w:num w:numId="52" w16cid:durableId="2066366599">
    <w:abstractNumId w:val="65"/>
  </w:num>
  <w:num w:numId="53" w16cid:durableId="667253965">
    <w:abstractNumId w:val="42"/>
  </w:num>
  <w:num w:numId="54" w16cid:durableId="1867669721">
    <w:abstractNumId w:val="27"/>
  </w:num>
  <w:num w:numId="55" w16cid:durableId="2013794551">
    <w:abstractNumId w:val="76"/>
  </w:num>
  <w:num w:numId="56" w16cid:durableId="711417862">
    <w:abstractNumId w:val="18"/>
  </w:num>
  <w:num w:numId="57" w16cid:durableId="1536502469">
    <w:abstractNumId w:val="9"/>
  </w:num>
  <w:num w:numId="58" w16cid:durableId="368116208">
    <w:abstractNumId w:val="58"/>
  </w:num>
  <w:num w:numId="59" w16cid:durableId="2022587146">
    <w:abstractNumId w:val="0"/>
  </w:num>
  <w:num w:numId="60" w16cid:durableId="1290433798">
    <w:abstractNumId w:val="47"/>
  </w:num>
  <w:num w:numId="61" w16cid:durableId="1655336697">
    <w:abstractNumId w:val="37"/>
  </w:num>
  <w:num w:numId="62" w16cid:durableId="960066130">
    <w:abstractNumId w:val="74"/>
  </w:num>
  <w:num w:numId="63" w16cid:durableId="2058237060">
    <w:abstractNumId w:val="49"/>
  </w:num>
  <w:num w:numId="64" w16cid:durableId="59790352">
    <w:abstractNumId w:val="8"/>
  </w:num>
  <w:num w:numId="65" w16cid:durableId="830557882">
    <w:abstractNumId w:val="32"/>
  </w:num>
  <w:num w:numId="66" w16cid:durableId="2067797742">
    <w:abstractNumId w:val="55"/>
  </w:num>
  <w:num w:numId="67" w16cid:durableId="1832402918">
    <w:abstractNumId w:val="69"/>
  </w:num>
  <w:num w:numId="68" w16cid:durableId="1797865626">
    <w:abstractNumId w:val="70"/>
  </w:num>
  <w:num w:numId="69" w16cid:durableId="2001811624">
    <w:abstractNumId w:val="24"/>
  </w:num>
  <w:num w:numId="70" w16cid:durableId="376273737">
    <w:abstractNumId w:val="56"/>
  </w:num>
  <w:num w:numId="71" w16cid:durableId="290600924">
    <w:abstractNumId w:val="22"/>
  </w:num>
  <w:num w:numId="72" w16cid:durableId="1238974102">
    <w:abstractNumId w:val="64"/>
  </w:num>
  <w:num w:numId="73" w16cid:durableId="1809201613">
    <w:abstractNumId w:val="61"/>
  </w:num>
  <w:num w:numId="74" w16cid:durableId="913587630">
    <w:abstractNumId w:val="53"/>
  </w:num>
  <w:num w:numId="75" w16cid:durableId="1984113386">
    <w:abstractNumId w:val="5"/>
  </w:num>
  <w:num w:numId="76" w16cid:durableId="397748411">
    <w:abstractNumId w:val="5"/>
  </w:num>
  <w:num w:numId="77" w16cid:durableId="1137605237">
    <w:abstractNumId w:val="5"/>
  </w:num>
  <w:num w:numId="78" w16cid:durableId="666909016">
    <w:abstractNumId w:val="5"/>
  </w:num>
  <w:num w:numId="79" w16cid:durableId="337735891">
    <w:abstractNumId w:val="3"/>
  </w:num>
  <w:num w:numId="80" w16cid:durableId="194738023">
    <w:abstractNumId w:val="3"/>
  </w:num>
  <w:num w:numId="81" w16cid:durableId="1807620334">
    <w:abstractNumId w:val="3"/>
  </w:num>
  <w:num w:numId="82" w16cid:durableId="108352770">
    <w:abstractNumId w:val="68"/>
  </w:num>
  <w:num w:numId="83" w16cid:durableId="1818296610">
    <w:abstractNumId w:val="59"/>
  </w:num>
  <w:num w:numId="84" w16cid:durableId="380636560">
    <w:abstractNumId w:val="61"/>
  </w:num>
  <w:num w:numId="85" w16cid:durableId="286081010">
    <w:abstractNumId w:val="31"/>
  </w:num>
  <w:num w:numId="86" w16cid:durableId="378211111">
    <w:abstractNumId w:val="31"/>
  </w:num>
  <w:num w:numId="87" w16cid:durableId="455878506">
    <w:abstractNumId w:val="31"/>
  </w:num>
  <w:num w:numId="88" w16cid:durableId="1295528067">
    <w:abstractNumId w:val="31"/>
  </w:num>
  <w:num w:numId="89" w16cid:durableId="1826627529">
    <w:abstractNumId w:val="31"/>
  </w:num>
  <w:num w:numId="90" w16cid:durableId="720787713">
    <w:abstractNumId w:val="4"/>
  </w:num>
  <w:num w:numId="91" w16cid:durableId="1000692918">
    <w:abstractNumId w:val="2"/>
  </w:num>
  <w:num w:numId="92" w16cid:durableId="1883050787">
    <w:abstractNumId w:val="2"/>
  </w:num>
  <w:num w:numId="93" w16cid:durableId="1495533188">
    <w:abstractNumId w:val="4"/>
  </w:num>
  <w:num w:numId="94" w16cid:durableId="562064487">
    <w:abstractNumId w:val="4"/>
  </w:num>
  <w:num w:numId="95" w16cid:durableId="1846093382">
    <w:abstractNumId w:val="4"/>
  </w:num>
  <w:num w:numId="96" w16cid:durableId="253514196">
    <w:abstractNumId w:val="2"/>
  </w:num>
  <w:num w:numId="97" w16cid:durableId="106582824">
    <w:abstractNumId w:val="2"/>
  </w:num>
  <w:num w:numId="98" w16cid:durableId="1590695000">
    <w:abstractNumId w:val="53"/>
  </w:num>
  <w:num w:numId="99" w16cid:durableId="879629854">
    <w:abstractNumId w:val="5"/>
  </w:num>
  <w:num w:numId="100" w16cid:durableId="138692026">
    <w:abstractNumId w:val="5"/>
  </w:num>
  <w:num w:numId="101" w16cid:durableId="2136026512">
    <w:abstractNumId w:val="5"/>
  </w:num>
  <w:num w:numId="102" w16cid:durableId="439878102">
    <w:abstractNumId w:val="5"/>
  </w:num>
  <w:num w:numId="103" w16cid:durableId="1631088497">
    <w:abstractNumId w:val="5"/>
  </w:num>
  <w:num w:numId="104" w16cid:durableId="526722071">
    <w:abstractNumId w:val="5"/>
  </w:num>
  <w:num w:numId="105" w16cid:durableId="1478645762">
    <w:abstractNumId w:val="5"/>
  </w:num>
  <w:num w:numId="106" w16cid:durableId="1240677657">
    <w:abstractNumId w:val="5"/>
  </w:num>
  <w:num w:numId="107" w16cid:durableId="896084738">
    <w:abstractNumId w:val="5"/>
  </w:num>
  <w:num w:numId="108" w16cid:durableId="1931040023">
    <w:abstractNumId w:val="5"/>
  </w:num>
  <w:num w:numId="109" w16cid:durableId="151606497">
    <w:abstractNumId w:val="5"/>
  </w:num>
  <w:num w:numId="110" w16cid:durableId="2027635816">
    <w:abstractNumId w:val="5"/>
  </w:num>
  <w:num w:numId="111" w16cid:durableId="1100879777">
    <w:abstractNumId w:val="5"/>
  </w:num>
  <w:num w:numId="112" w16cid:durableId="1723409839">
    <w:abstractNumId w:val="5"/>
  </w:num>
  <w:num w:numId="113" w16cid:durableId="1422606184">
    <w:abstractNumId w:val="5"/>
  </w:num>
  <w:num w:numId="114" w16cid:durableId="739258115">
    <w:abstractNumId w:val="5"/>
  </w:num>
  <w:num w:numId="115" w16cid:durableId="1845971073">
    <w:abstractNumId w:val="5"/>
  </w:num>
  <w:num w:numId="116" w16cid:durableId="417798085">
    <w:abstractNumId w:val="5"/>
  </w:num>
  <w:num w:numId="117" w16cid:durableId="524365390">
    <w:abstractNumId w:val="5"/>
  </w:num>
  <w:num w:numId="118" w16cid:durableId="419986286">
    <w:abstractNumId w:val="5"/>
  </w:num>
  <w:num w:numId="119" w16cid:durableId="1084952331">
    <w:abstractNumId w:val="5"/>
  </w:num>
  <w:num w:numId="120" w16cid:durableId="1288120036">
    <w:abstractNumId w:val="5"/>
  </w:num>
  <w:num w:numId="121" w16cid:durableId="883098393">
    <w:abstractNumId w:val="5"/>
  </w:num>
  <w:num w:numId="122" w16cid:durableId="516310669">
    <w:abstractNumId w:val="5"/>
  </w:num>
  <w:num w:numId="123" w16cid:durableId="1805076727">
    <w:abstractNumId w:val="5"/>
  </w:num>
  <w:num w:numId="124" w16cid:durableId="1330062746">
    <w:abstractNumId w:val="3"/>
  </w:num>
  <w:num w:numId="125" w16cid:durableId="448008368">
    <w:abstractNumId w:val="3"/>
  </w:num>
  <w:num w:numId="126" w16cid:durableId="1835729170">
    <w:abstractNumId w:val="3"/>
  </w:num>
  <w:num w:numId="127" w16cid:durableId="1148009664">
    <w:abstractNumId w:val="3"/>
  </w:num>
  <w:num w:numId="128" w16cid:durableId="1739668437">
    <w:abstractNumId w:val="3"/>
  </w:num>
  <w:num w:numId="129" w16cid:durableId="503709949">
    <w:abstractNumId w:val="3"/>
  </w:num>
  <w:num w:numId="130" w16cid:durableId="819659789">
    <w:abstractNumId w:val="3"/>
  </w:num>
  <w:num w:numId="131" w16cid:durableId="536478597">
    <w:abstractNumId w:val="3"/>
  </w:num>
  <w:num w:numId="132" w16cid:durableId="782000937">
    <w:abstractNumId w:val="5"/>
  </w:num>
  <w:num w:numId="133" w16cid:durableId="1513763450">
    <w:abstractNumId w:val="5"/>
  </w:num>
  <w:num w:numId="134" w16cid:durableId="1289974265">
    <w:abstractNumId w:val="5"/>
  </w:num>
  <w:num w:numId="135" w16cid:durableId="1527479945">
    <w:abstractNumId w:val="5"/>
  </w:num>
  <w:num w:numId="136" w16cid:durableId="1767849312">
    <w:abstractNumId w:val="5"/>
  </w:num>
  <w:num w:numId="137" w16cid:durableId="1629772864">
    <w:abstractNumId w:val="5"/>
  </w:num>
  <w:num w:numId="138" w16cid:durableId="378209535">
    <w:abstractNumId w:val="5"/>
  </w:num>
  <w:num w:numId="139" w16cid:durableId="1330325370">
    <w:abstractNumId w:val="5"/>
  </w:num>
  <w:num w:numId="140" w16cid:durableId="2081753245">
    <w:abstractNumId w:val="5"/>
  </w:num>
  <w:num w:numId="141" w16cid:durableId="1351879564">
    <w:abstractNumId w:val="5"/>
  </w:num>
  <w:num w:numId="142" w16cid:durableId="452603986">
    <w:abstractNumId w:val="5"/>
  </w:num>
  <w:num w:numId="143" w16cid:durableId="1192063529">
    <w:abstractNumId w:val="54"/>
  </w:num>
  <w:num w:numId="144" w16cid:durableId="358556396">
    <w:abstractNumId w:val="11"/>
  </w:num>
  <w:num w:numId="145" w16cid:durableId="560941095">
    <w:abstractNumId w:val="38"/>
  </w:num>
  <w:num w:numId="146" w16cid:durableId="188688158">
    <w:abstractNumId w:val="29"/>
  </w:num>
  <w:num w:numId="147" w16cid:durableId="1597446512">
    <w:abstractNumId w:val="45"/>
  </w:num>
  <w:num w:numId="148" w16cid:durableId="349525361">
    <w:abstractNumId w:val="19"/>
  </w:num>
  <w:num w:numId="149" w16cid:durableId="901863657">
    <w:abstractNumId w:val="33"/>
  </w:num>
  <w:num w:numId="150" w16cid:durableId="1779645049">
    <w:abstractNumId w:val="15"/>
  </w:num>
  <w:num w:numId="151" w16cid:durableId="1937787652">
    <w:abstractNumId w:val="57"/>
  </w:num>
  <w:num w:numId="152" w16cid:durableId="1092243044">
    <w:abstractNumId w:val="43"/>
  </w:num>
  <w:num w:numId="153" w16cid:durableId="400368377">
    <w:abstractNumId w:val="5"/>
  </w:num>
  <w:num w:numId="154" w16cid:durableId="252982797">
    <w:abstractNumId w:val="5"/>
  </w:num>
  <w:num w:numId="155" w16cid:durableId="1603144721">
    <w:abstractNumId w:val="5"/>
  </w:num>
  <w:num w:numId="156" w16cid:durableId="1180897891">
    <w:abstractNumId w:val="5"/>
  </w:num>
  <w:num w:numId="157" w16cid:durableId="270405480">
    <w:abstractNumId w:val="5"/>
  </w:num>
  <w:num w:numId="158" w16cid:durableId="992756144">
    <w:abstractNumId w:val="5"/>
  </w:num>
  <w:num w:numId="159" w16cid:durableId="1741756917">
    <w:abstractNumId w:val="5"/>
  </w:num>
  <w:num w:numId="160" w16cid:durableId="1604993154">
    <w:abstractNumId w:val="5"/>
  </w:num>
  <w:num w:numId="161" w16cid:durableId="1408573499">
    <w:abstractNumId w:val="5"/>
  </w:num>
  <w:num w:numId="162" w16cid:durableId="1048645172">
    <w:abstractNumId w:val="5"/>
  </w:num>
  <w:num w:numId="163" w16cid:durableId="1745376675">
    <w:abstractNumId w:val="5"/>
  </w:num>
  <w:num w:numId="164" w16cid:durableId="678895596">
    <w:abstractNumId w:val="5"/>
  </w:num>
  <w:num w:numId="165" w16cid:durableId="1835027594">
    <w:abstractNumId w:val="5"/>
  </w:num>
  <w:num w:numId="166" w16cid:durableId="1949385447">
    <w:abstractNumId w:val="5"/>
  </w:num>
  <w:num w:numId="167" w16cid:durableId="838735578">
    <w:abstractNumId w:val="5"/>
  </w:num>
  <w:num w:numId="168" w16cid:durableId="67115917">
    <w:abstractNumId w:val="5"/>
  </w:num>
  <w:num w:numId="169" w16cid:durableId="1894274524">
    <w:abstractNumId w:val="5"/>
  </w:num>
  <w:num w:numId="170" w16cid:durableId="1365599418">
    <w:abstractNumId w:val="5"/>
  </w:num>
  <w:num w:numId="171" w16cid:durableId="923535877">
    <w:abstractNumId w:val="5"/>
  </w:num>
  <w:num w:numId="172" w16cid:durableId="1448356869">
    <w:abstractNumId w:val="5"/>
  </w:num>
  <w:num w:numId="173" w16cid:durableId="62653725">
    <w:abstractNumId w:val="5"/>
  </w:num>
  <w:num w:numId="174" w16cid:durableId="1580408741">
    <w:abstractNumId w:val="5"/>
  </w:num>
  <w:num w:numId="175" w16cid:durableId="1605920477">
    <w:abstractNumId w:val="5"/>
  </w:num>
  <w:num w:numId="176" w16cid:durableId="1479106085">
    <w:abstractNumId w:val="5"/>
  </w:num>
  <w:num w:numId="177" w16cid:durableId="784419789">
    <w:abstractNumId w:val="5"/>
  </w:num>
  <w:num w:numId="178" w16cid:durableId="714356155">
    <w:abstractNumId w:val="5"/>
  </w:num>
  <w:num w:numId="179" w16cid:durableId="1057585634">
    <w:abstractNumId w:val="5"/>
  </w:num>
  <w:num w:numId="180" w16cid:durableId="560337132">
    <w:abstractNumId w:val="5"/>
  </w:num>
  <w:num w:numId="181" w16cid:durableId="410666808">
    <w:abstractNumId w:val="5"/>
  </w:num>
  <w:num w:numId="182" w16cid:durableId="129637842">
    <w:abstractNumId w:val="5"/>
  </w:num>
  <w:num w:numId="183" w16cid:durableId="248121968">
    <w:abstractNumId w:val="5"/>
  </w:num>
  <w:num w:numId="184" w16cid:durableId="963582558">
    <w:abstractNumId w:val="5"/>
  </w:num>
  <w:num w:numId="185" w16cid:durableId="169489756">
    <w:abstractNumId w:val="5"/>
  </w:num>
  <w:num w:numId="186" w16cid:durableId="514152097">
    <w:abstractNumId w:val="5"/>
  </w:num>
  <w:num w:numId="187" w16cid:durableId="197159931">
    <w:abstractNumId w:val="5"/>
  </w:num>
  <w:num w:numId="188" w16cid:durableId="208685544">
    <w:abstractNumId w:val="5"/>
  </w:num>
  <w:num w:numId="189" w16cid:durableId="2099207507">
    <w:abstractNumId w:val="5"/>
  </w:num>
  <w:num w:numId="190" w16cid:durableId="681705495">
    <w:abstractNumId w:val="5"/>
  </w:num>
  <w:num w:numId="191" w16cid:durableId="1745834278">
    <w:abstractNumId w:val="5"/>
  </w:num>
  <w:num w:numId="192" w16cid:durableId="1584298624">
    <w:abstractNumId w:val="5"/>
  </w:num>
  <w:num w:numId="193" w16cid:durableId="1150748018">
    <w:abstractNumId w:val="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00132"/>
    <w:rsid w:val="000002F0"/>
    <w:rsid w:val="0000056C"/>
    <w:rsid w:val="00000B0F"/>
    <w:rsid w:val="00000B97"/>
    <w:rsid w:val="00001FDC"/>
    <w:rsid w:val="00001FE4"/>
    <w:rsid w:val="00002662"/>
    <w:rsid w:val="00002C93"/>
    <w:rsid w:val="0000314F"/>
    <w:rsid w:val="00003239"/>
    <w:rsid w:val="00003677"/>
    <w:rsid w:val="00003894"/>
    <w:rsid w:val="0000398B"/>
    <w:rsid w:val="00003D4B"/>
    <w:rsid w:val="00003E01"/>
    <w:rsid w:val="0000428C"/>
    <w:rsid w:val="00004505"/>
    <w:rsid w:val="00004747"/>
    <w:rsid w:val="00005621"/>
    <w:rsid w:val="00005813"/>
    <w:rsid w:val="00005C3F"/>
    <w:rsid w:val="00005CE4"/>
    <w:rsid w:val="00006A7E"/>
    <w:rsid w:val="00006EF0"/>
    <w:rsid w:val="000074FC"/>
    <w:rsid w:val="00010667"/>
    <w:rsid w:val="000108F2"/>
    <w:rsid w:val="00010BB3"/>
    <w:rsid w:val="00010E6B"/>
    <w:rsid w:val="000118A8"/>
    <w:rsid w:val="000119BD"/>
    <w:rsid w:val="00011EFC"/>
    <w:rsid w:val="000129D5"/>
    <w:rsid w:val="00013D97"/>
    <w:rsid w:val="0001459F"/>
    <w:rsid w:val="0001478A"/>
    <w:rsid w:val="00014A73"/>
    <w:rsid w:val="00014D3D"/>
    <w:rsid w:val="00015536"/>
    <w:rsid w:val="000156FD"/>
    <w:rsid w:val="000157E3"/>
    <w:rsid w:val="00015AE7"/>
    <w:rsid w:val="00016374"/>
    <w:rsid w:val="0001698F"/>
    <w:rsid w:val="000169BC"/>
    <w:rsid w:val="00016D44"/>
    <w:rsid w:val="00016E21"/>
    <w:rsid w:val="00016E2E"/>
    <w:rsid w:val="00016E7B"/>
    <w:rsid w:val="00016E9A"/>
    <w:rsid w:val="0001719C"/>
    <w:rsid w:val="00017246"/>
    <w:rsid w:val="000174D5"/>
    <w:rsid w:val="0001792C"/>
    <w:rsid w:val="00017C41"/>
    <w:rsid w:val="00017D63"/>
    <w:rsid w:val="00020592"/>
    <w:rsid w:val="0002061F"/>
    <w:rsid w:val="000209A8"/>
    <w:rsid w:val="00020FEA"/>
    <w:rsid w:val="0002136A"/>
    <w:rsid w:val="000218C9"/>
    <w:rsid w:val="0002193A"/>
    <w:rsid w:val="00021A65"/>
    <w:rsid w:val="00021B04"/>
    <w:rsid w:val="00021B43"/>
    <w:rsid w:val="00021D5E"/>
    <w:rsid w:val="00021F28"/>
    <w:rsid w:val="00021F8B"/>
    <w:rsid w:val="00021FDA"/>
    <w:rsid w:val="000220BC"/>
    <w:rsid w:val="00022588"/>
    <w:rsid w:val="00022A6A"/>
    <w:rsid w:val="00023B93"/>
    <w:rsid w:val="00023D18"/>
    <w:rsid w:val="00023DD0"/>
    <w:rsid w:val="00024D45"/>
    <w:rsid w:val="00024E8E"/>
    <w:rsid w:val="0002506A"/>
    <w:rsid w:val="000254B0"/>
    <w:rsid w:val="00025BB1"/>
    <w:rsid w:val="00026262"/>
    <w:rsid w:val="00026A6B"/>
    <w:rsid w:val="00026F91"/>
    <w:rsid w:val="000274AC"/>
    <w:rsid w:val="00027639"/>
    <w:rsid w:val="000279B9"/>
    <w:rsid w:val="000304A2"/>
    <w:rsid w:val="00030B68"/>
    <w:rsid w:val="0003105F"/>
    <w:rsid w:val="000312D9"/>
    <w:rsid w:val="000313FE"/>
    <w:rsid w:val="0003162E"/>
    <w:rsid w:val="000316E8"/>
    <w:rsid w:val="00031E88"/>
    <w:rsid w:val="00031F4A"/>
    <w:rsid w:val="00032822"/>
    <w:rsid w:val="000330CF"/>
    <w:rsid w:val="00033BCB"/>
    <w:rsid w:val="00034BCD"/>
    <w:rsid w:val="00034F9A"/>
    <w:rsid w:val="00035367"/>
    <w:rsid w:val="00035500"/>
    <w:rsid w:val="0003576C"/>
    <w:rsid w:val="00035AAA"/>
    <w:rsid w:val="00035E55"/>
    <w:rsid w:val="000364FE"/>
    <w:rsid w:val="000367A9"/>
    <w:rsid w:val="000368B4"/>
    <w:rsid w:val="00036AD5"/>
    <w:rsid w:val="00036E29"/>
    <w:rsid w:val="00036F2C"/>
    <w:rsid w:val="00037DAC"/>
    <w:rsid w:val="00037E10"/>
    <w:rsid w:val="0004062F"/>
    <w:rsid w:val="000409E1"/>
    <w:rsid w:val="00040ADA"/>
    <w:rsid w:val="00040EBB"/>
    <w:rsid w:val="00041028"/>
    <w:rsid w:val="000411DB"/>
    <w:rsid w:val="0004130D"/>
    <w:rsid w:val="000418B4"/>
    <w:rsid w:val="00041942"/>
    <w:rsid w:val="00041A1D"/>
    <w:rsid w:val="00041D1C"/>
    <w:rsid w:val="00041EE3"/>
    <w:rsid w:val="00042355"/>
    <w:rsid w:val="0004276A"/>
    <w:rsid w:val="0004324D"/>
    <w:rsid w:val="00043579"/>
    <w:rsid w:val="0004396C"/>
    <w:rsid w:val="00043A40"/>
    <w:rsid w:val="00043CFD"/>
    <w:rsid w:val="00044B98"/>
    <w:rsid w:val="00044D57"/>
    <w:rsid w:val="00044FDD"/>
    <w:rsid w:val="000454C3"/>
    <w:rsid w:val="000459D3"/>
    <w:rsid w:val="00046AED"/>
    <w:rsid w:val="00046C4D"/>
    <w:rsid w:val="00046EC5"/>
    <w:rsid w:val="00046F70"/>
    <w:rsid w:val="00047A2D"/>
    <w:rsid w:val="0005011A"/>
    <w:rsid w:val="0005045A"/>
    <w:rsid w:val="00050487"/>
    <w:rsid w:val="000504B9"/>
    <w:rsid w:val="000504E2"/>
    <w:rsid w:val="000508E0"/>
    <w:rsid w:val="0005122E"/>
    <w:rsid w:val="0005189F"/>
    <w:rsid w:val="00051C1E"/>
    <w:rsid w:val="00051F1E"/>
    <w:rsid w:val="00052544"/>
    <w:rsid w:val="00052EAA"/>
    <w:rsid w:val="000531B1"/>
    <w:rsid w:val="0005340E"/>
    <w:rsid w:val="00053478"/>
    <w:rsid w:val="00053648"/>
    <w:rsid w:val="0005391A"/>
    <w:rsid w:val="000539F9"/>
    <w:rsid w:val="00053DFE"/>
    <w:rsid w:val="00053E19"/>
    <w:rsid w:val="00053E67"/>
    <w:rsid w:val="00053F30"/>
    <w:rsid w:val="00054009"/>
    <w:rsid w:val="00054C1B"/>
    <w:rsid w:val="00054C27"/>
    <w:rsid w:val="00054FCD"/>
    <w:rsid w:val="000554CC"/>
    <w:rsid w:val="0005590E"/>
    <w:rsid w:val="00055EC3"/>
    <w:rsid w:val="000561F9"/>
    <w:rsid w:val="000563CE"/>
    <w:rsid w:val="0005673F"/>
    <w:rsid w:val="00057394"/>
    <w:rsid w:val="00060173"/>
    <w:rsid w:val="00060FEF"/>
    <w:rsid w:val="0006148C"/>
    <w:rsid w:val="000615C6"/>
    <w:rsid w:val="00061889"/>
    <w:rsid w:val="000618B8"/>
    <w:rsid w:val="0006196F"/>
    <w:rsid w:val="000622C0"/>
    <w:rsid w:val="00062356"/>
    <w:rsid w:val="0006274F"/>
    <w:rsid w:val="00063B10"/>
    <w:rsid w:val="00063E5C"/>
    <w:rsid w:val="000642D4"/>
    <w:rsid w:val="00064EFF"/>
    <w:rsid w:val="000659B6"/>
    <w:rsid w:val="00065AFD"/>
    <w:rsid w:val="00065D2A"/>
    <w:rsid w:val="00065F88"/>
    <w:rsid w:val="00066020"/>
    <w:rsid w:val="00066E22"/>
    <w:rsid w:val="000670FC"/>
    <w:rsid w:val="00067125"/>
    <w:rsid w:val="0006722A"/>
    <w:rsid w:val="0006769E"/>
    <w:rsid w:val="0006778B"/>
    <w:rsid w:val="00067DE4"/>
    <w:rsid w:val="00067F1B"/>
    <w:rsid w:val="00070B51"/>
    <w:rsid w:val="00070C73"/>
    <w:rsid w:val="000710EB"/>
    <w:rsid w:val="00071679"/>
    <w:rsid w:val="00071874"/>
    <w:rsid w:val="00071C78"/>
    <w:rsid w:val="00071E81"/>
    <w:rsid w:val="000724A4"/>
    <w:rsid w:val="00072AB8"/>
    <w:rsid w:val="00072B81"/>
    <w:rsid w:val="00072C73"/>
    <w:rsid w:val="00072CAF"/>
    <w:rsid w:val="000732CF"/>
    <w:rsid w:val="0007398D"/>
    <w:rsid w:val="00074D89"/>
    <w:rsid w:val="00074F27"/>
    <w:rsid w:val="00074FEA"/>
    <w:rsid w:val="0007535D"/>
    <w:rsid w:val="000754D0"/>
    <w:rsid w:val="00075B96"/>
    <w:rsid w:val="00077338"/>
    <w:rsid w:val="00077425"/>
    <w:rsid w:val="00077600"/>
    <w:rsid w:val="0007770D"/>
    <w:rsid w:val="0007779F"/>
    <w:rsid w:val="00077947"/>
    <w:rsid w:val="00080050"/>
    <w:rsid w:val="000804D1"/>
    <w:rsid w:val="0008068B"/>
    <w:rsid w:val="00080D0F"/>
    <w:rsid w:val="00080ECD"/>
    <w:rsid w:val="0008196A"/>
    <w:rsid w:val="000826F2"/>
    <w:rsid w:val="00082984"/>
    <w:rsid w:val="00082DDB"/>
    <w:rsid w:val="00083481"/>
    <w:rsid w:val="000838F1"/>
    <w:rsid w:val="00083A7B"/>
    <w:rsid w:val="00083E0C"/>
    <w:rsid w:val="00084213"/>
    <w:rsid w:val="00084E3D"/>
    <w:rsid w:val="000856D1"/>
    <w:rsid w:val="00085C72"/>
    <w:rsid w:val="00085D8A"/>
    <w:rsid w:val="00086036"/>
    <w:rsid w:val="0008621A"/>
    <w:rsid w:val="00086359"/>
    <w:rsid w:val="0008655E"/>
    <w:rsid w:val="00086C8C"/>
    <w:rsid w:val="00087450"/>
    <w:rsid w:val="000878D5"/>
    <w:rsid w:val="00087AFB"/>
    <w:rsid w:val="00087C6C"/>
    <w:rsid w:val="0009016B"/>
    <w:rsid w:val="00090EE1"/>
    <w:rsid w:val="00091023"/>
    <w:rsid w:val="000915ED"/>
    <w:rsid w:val="00091693"/>
    <w:rsid w:val="00091760"/>
    <w:rsid w:val="00092056"/>
    <w:rsid w:val="0009209D"/>
    <w:rsid w:val="00093438"/>
    <w:rsid w:val="000934AD"/>
    <w:rsid w:val="00093C1B"/>
    <w:rsid w:val="00094591"/>
    <w:rsid w:val="0009491D"/>
    <w:rsid w:val="00094BD8"/>
    <w:rsid w:val="00094C44"/>
    <w:rsid w:val="0009508E"/>
    <w:rsid w:val="00095407"/>
    <w:rsid w:val="00095C0B"/>
    <w:rsid w:val="000969BD"/>
    <w:rsid w:val="000969BF"/>
    <w:rsid w:val="00096A53"/>
    <w:rsid w:val="00096F0A"/>
    <w:rsid w:val="00096F1F"/>
    <w:rsid w:val="00097659"/>
    <w:rsid w:val="00097698"/>
    <w:rsid w:val="00097EC2"/>
    <w:rsid w:val="000A03EB"/>
    <w:rsid w:val="000A0470"/>
    <w:rsid w:val="000A0C22"/>
    <w:rsid w:val="000A0EFC"/>
    <w:rsid w:val="000A15E2"/>
    <w:rsid w:val="000A185C"/>
    <w:rsid w:val="000A20DF"/>
    <w:rsid w:val="000A2805"/>
    <w:rsid w:val="000A2C47"/>
    <w:rsid w:val="000A3448"/>
    <w:rsid w:val="000A3460"/>
    <w:rsid w:val="000A3C43"/>
    <w:rsid w:val="000A3DCC"/>
    <w:rsid w:val="000A3E9F"/>
    <w:rsid w:val="000A3F9B"/>
    <w:rsid w:val="000A4138"/>
    <w:rsid w:val="000A4A51"/>
    <w:rsid w:val="000A4B3B"/>
    <w:rsid w:val="000A4F93"/>
    <w:rsid w:val="000A5D2B"/>
    <w:rsid w:val="000A600A"/>
    <w:rsid w:val="000A6234"/>
    <w:rsid w:val="000A62F2"/>
    <w:rsid w:val="000A6959"/>
    <w:rsid w:val="000A6D98"/>
    <w:rsid w:val="000A6E9A"/>
    <w:rsid w:val="000A703E"/>
    <w:rsid w:val="000A79E9"/>
    <w:rsid w:val="000A7CB8"/>
    <w:rsid w:val="000B0078"/>
    <w:rsid w:val="000B029D"/>
    <w:rsid w:val="000B0771"/>
    <w:rsid w:val="000B0994"/>
    <w:rsid w:val="000B13C1"/>
    <w:rsid w:val="000B152D"/>
    <w:rsid w:val="000B156D"/>
    <w:rsid w:val="000B1BD6"/>
    <w:rsid w:val="000B2962"/>
    <w:rsid w:val="000B2A42"/>
    <w:rsid w:val="000B2AA8"/>
    <w:rsid w:val="000B301A"/>
    <w:rsid w:val="000B317B"/>
    <w:rsid w:val="000B3427"/>
    <w:rsid w:val="000B34E6"/>
    <w:rsid w:val="000B35C4"/>
    <w:rsid w:val="000B3A80"/>
    <w:rsid w:val="000B4C62"/>
    <w:rsid w:val="000B4CA7"/>
    <w:rsid w:val="000B4EDF"/>
    <w:rsid w:val="000B5493"/>
    <w:rsid w:val="000B54A0"/>
    <w:rsid w:val="000B5D60"/>
    <w:rsid w:val="000B5D9F"/>
    <w:rsid w:val="000B5DE3"/>
    <w:rsid w:val="000B5E06"/>
    <w:rsid w:val="000B5F00"/>
    <w:rsid w:val="000B6A8A"/>
    <w:rsid w:val="000B6D3A"/>
    <w:rsid w:val="000B7358"/>
    <w:rsid w:val="000C0A57"/>
    <w:rsid w:val="000C0B48"/>
    <w:rsid w:val="000C1D5E"/>
    <w:rsid w:val="000C2277"/>
    <w:rsid w:val="000C230C"/>
    <w:rsid w:val="000C319D"/>
    <w:rsid w:val="000C333C"/>
    <w:rsid w:val="000C3D49"/>
    <w:rsid w:val="000C3F9E"/>
    <w:rsid w:val="000C44E4"/>
    <w:rsid w:val="000C4A0D"/>
    <w:rsid w:val="000C4E28"/>
    <w:rsid w:val="000C59F8"/>
    <w:rsid w:val="000C63D2"/>
    <w:rsid w:val="000C6AB4"/>
    <w:rsid w:val="000C6AC1"/>
    <w:rsid w:val="000C6DB5"/>
    <w:rsid w:val="000C727A"/>
    <w:rsid w:val="000C7FD2"/>
    <w:rsid w:val="000D0594"/>
    <w:rsid w:val="000D0E61"/>
    <w:rsid w:val="000D0F6F"/>
    <w:rsid w:val="000D17C8"/>
    <w:rsid w:val="000D184E"/>
    <w:rsid w:val="000D2282"/>
    <w:rsid w:val="000D3572"/>
    <w:rsid w:val="000D37F8"/>
    <w:rsid w:val="000D42D4"/>
    <w:rsid w:val="000D4B65"/>
    <w:rsid w:val="000D4D8A"/>
    <w:rsid w:val="000D50A1"/>
    <w:rsid w:val="000D58F7"/>
    <w:rsid w:val="000D5EC6"/>
    <w:rsid w:val="000D6176"/>
    <w:rsid w:val="000D6303"/>
    <w:rsid w:val="000D6363"/>
    <w:rsid w:val="000D71D9"/>
    <w:rsid w:val="000D75E8"/>
    <w:rsid w:val="000D7684"/>
    <w:rsid w:val="000D7697"/>
    <w:rsid w:val="000D76E0"/>
    <w:rsid w:val="000D7AEB"/>
    <w:rsid w:val="000D7E8B"/>
    <w:rsid w:val="000D7F72"/>
    <w:rsid w:val="000E0427"/>
    <w:rsid w:val="000E0788"/>
    <w:rsid w:val="000E0DFD"/>
    <w:rsid w:val="000E1014"/>
    <w:rsid w:val="000E136A"/>
    <w:rsid w:val="000E1617"/>
    <w:rsid w:val="000E18E0"/>
    <w:rsid w:val="000E19BE"/>
    <w:rsid w:val="000E1B67"/>
    <w:rsid w:val="000E1EBB"/>
    <w:rsid w:val="000E2265"/>
    <w:rsid w:val="000E24A3"/>
    <w:rsid w:val="000E2596"/>
    <w:rsid w:val="000E2789"/>
    <w:rsid w:val="000E2AFF"/>
    <w:rsid w:val="000E3515"/>
    <w:rsid w:val="000E3678"/>
    <w:rsid w:val="000E3AAE"/>
    <w:rsid w:val="000E3BE6"/>
    <w:rsid w:val="000E4449"/>
    <w:rsid w:val="000E464F"/>
    <w:rsid w:val="000E4858"/>
    <w:rsid w:val="000E4C95"/>
    <w:rsid w:val="000E5259"/>
    <w:rsid w:val="000E5332"/>
    <w:rsid w:val="000E5642"/>
    <w:rsid w:val="000E5834"/>
    <w:rsid w:val="000E590E"/>
    <w:rsid w:val="000E6097"/>
    <w:rsid w:val="000E677E"/>
    <w:rsid w:val="000E6AEC"/>
    <w:rsid w:val="000E6B33"/>
    <w:rsid w:val="000E6BFD"/>
    <w:rsid w:val="000E7D45"/>
    <w:rsid w:val="000E7DBA"/>
    <w:rsid w:val="000E7E54"/>
    <w:rsid w:val="000F0BBD"/>
    <w:rsid w:val="000F148F"/>
    <w:rsid w:val="000F1714"/>
    <w:rsid w:val="000F1B5A"/>
    <w:rsid w:val="000F1BBF"/>
    <w:rsid w:val="000F39C0"/>
    <w:rsid w:val="000F4413"/>
    <w:rsid w:val="000F5235"/>
    <w:rsid w:val="000F53CC"/>
    <w:rsid w:val="000F564B"/>
    <w:rsid w:val="000F57F3"/>
    <w:rsid w:val="000F5AD6"/>
    <w:rsid w:val="000F5CF8"/>
    <w:rsid w:val="000F6834"/>
    <w:rsid w:val="000F696E"/>
    <w:rsid w:val="000F7A3C"/>
    <w:rsid w:val="0010012D"/>
    <w:rsid w:val="00100C0B"/>
    <w:rsid w:val="00100CE1"/>
    <w:rsid w:val="00101859"/>
    <w:rsid w:val="0010210A"/>
    <w:rsid w:val="00102B10"/>
    <w:rsid w:val="00102CEB"/>
    <w:rsid w:val="00102D0C"/>
    <w:rsid w:val="00102E53"/>
    <w:rsid w:val="00103829"/>
    <w:rsid w:val="00103F69"/>
    <w:rsid w:val="00104E70"/>
    <w:rsid w:val="00105BCC"/>
    <w:rsid w:val="001061BC"/>
    <w:rsid w:val="00106270"/>
    <w:rsid w:val="00106818"/>
    <w:rsid w:val="00106C46"/>
    <w:rsid w:val="00106FED"/>
    <w:rsid w:val="00107493"/>
    <w:rsid w:val="001074C6"/>
    <w:rsid w:val="00110054"/>
    <w:rsid w:val="001114F9"/>
    <w:rsid w:val="00111656"/>
    <w:rsid w:val="00111B93"/>
    <w:rsid w:val="00111CE0"/>
    <w:rsid w:val="00111F87"/>
    <w:rsid w:val="00111FA3"/>
    <w:rsid w:val="00111FCE"/>
    <w:rsid w:val="00112515"/>
    <w:rsid w:val="00112C00"/>
    <w:rsid w:val="00112D32"/>
    <w:rsid w:val="0011353A"/>
    <w:rsid w:val="00113573"/>
    <w:rsid w:val="00113A83"/>
    <w:rsid w:val="00113B51"/>
    <w:rsid w:val="00113CB8"/>
    <w:rsid w:val="00113F67"/>
    <w:rsid w:val="001144E9"/>
    <w:rsid w:val="001151C4"/>
    <w:rsid w:val="00115FE8"/>
    <w:rsid w:val="0011626F"/>
    <w:rsid w:val="00116777"/>
    <w:rsid w:val="00116A97"/>
    <w:rsid w:val="00117901"/>
    <w:rsid w:val="0012092E"/>
    <w:rsid w:val="0012097B"/>
    <w:rsid w:val="00120A4C"/>
    <w:rsid w:val="00120ABF"/>
    <w:rsid w:val="00120BFD"/>
    <w:rsid w:val="00121F3F"/>
    <w:rsid w:val="001223C8"/>
    <w:rsid w:val="00122578"/>
    <w:rsid w:val="001226D9"/>
    <w:rsid w:val="001229A5"/>
    <w:rsid w:val="00122E73"/>
    <w:rsid w:val="00122F39"/>
    <w:rsid w:val="00123089"/>
    <w:rsid w:val="001236F9"/>
    <w:rsid w:val="00123738"/>
    <w:rsid w:val="001243E4"/>
    <w:rsid w:val="00124600"/>
    <w:rsid w:val="0012489B"/>
    <w:rsid w:val="001253E7"/>
    <w:rsid w:val="00125951"/>
    <w:rsid w:val="001259DE"/>
    <w:rsid w:val="001259EE"/>
    <w:rsid w:val="00125A14"/>
    <w:rsid w:val="00125A71"/>
    <w:rsid w:val="00125B66"/>
    <w:rsid w:val="00125B8C"/>
    <w:rsid w:val="00126218"/>
    <w:rsid w:val="0012649D"/>
    <w:rsid w:val="00126A15"/>
    <w:rsid w:val="0012776A"/>
    <w:rsid w:val="00127895"/>
    <w:rsid w:val="00127F88"/>
    <w:rsid w:val="00130017"/>
    <w:rsid w:val="00130029"/>
    <w:rsid w:val="001302DD"/>
    <w:rsid w:val="0013035A"/>
    <w:rsid w:val="00130DAC"/>
    <w:rsid w:val="00130DCB"/>
    <w:rsid w:val="00130F3C"/>
    <w:rsid w:val="00130F91"/>
    <w:rsid w:val="00131B30"/>
    <w:rsid w:val="00132088"/>
    <w:rsid w:val="001328C4"/>
    <w:rsid w:val="00132AE6"/>
    <w:rsid w:val="00132B63"/>
    <w:rsid w:val="00132BA7"/>
    <w:rsid w:val="00132E77"/>
    <w:rsid w:val="00132F0E"/>
    <w:rsid w:val="001333B1"/>
    <w:rsid w:val="001333B5"/>
    <w:rsid w:val="001335B0"/>
    <w:rsid w:val="0013415D"/>
    <w:rsid w:val="001349ED"/>
    <w:rsid w:val="00134D73"/>
    <w:rsid w:val="00135331"/>
    <w:rsid w:val="001355BC"/>
    <w:rsid w:val="00135F7C"/>
    <w:rsid w:val="001360D6"/>
    <w:rsid w:val="001362D3"/>
    <w:rsid w:val="00136433"/>
    <w:rsid w:val="00136A2E"/>
    <w:rsid w:val="001371A5"/>
    <w:rsid w:val="001373DD"/>
    <w:rsid w:val="00137424"/>
    <w:rsid w:val="001375CD"/>
    <w:rsid w:val="001375F7"/>
    <w:rsid w:val="00140318"/>
    <w:rsid w:val="001405FE"/>
    <w:rsid w:val="00140699"/>
    <w:rsid w:val="00140CAB"/>
    <w:rsid w:val="001411E9"/>
    <w:rsid w:val="001413E6"/>
    <w:rsid w:val="001417BA"/>
    <w:rsid w:val="00141A07"/>
    <w:rsid w:val="00141AD9"/>
    <w:rsid w:val="00142579"/>
    <w:rsid w:val="001434C9"/>
    <w:rsid w:val="00143723"/>
    <w:rsid w:val="00144A31"/>
    <w:rsid w:val="001455E6"/>
    <w:rsid w:val="0014577B"/>
    <w:rsid w:val="00145F7A"/>
    <w:rsid w:val="00146436"/>
    <w:rsid w:val="00146C5B"/>
    <w:rsid w:val="00146CE6"/>
    <w:rsid w:val="00146D45"/>
    <w:rsid w:val="00147602"/>
    <w:rsid w:val="00147797"/>
    <w:rsid w:val="00147A23"/>
    <w:rsid w:val="00147E70"/>
    <w:rsid w:val="00150406"/>
    <w:rsid w:val="0015070D"/>
    <w:rsid w:val="00150894"/>
    <w:rsid w:val="00150AC8"/>
    <w:rsid w:val="00150EC6"/>
    <w:rsid w:val="001514FB"/>
    <w:rsid w:val="00151625"/>
    <w:rsid w:val="0015168C"/>
    <w:rsid w:val="00151727"/>
    <w:rsid w:val="00152360"/>
    <w:rsid w:val="00152903"/>
    <w:rsid w:val="00152BB2"/>
    <w:rsid w:val="00152CC6"/>
    <w:rsid w:val="001540C5"/>
    <w:rsid w:val="00154E76"/>
    <w:rsid w:val="00154FB8"/>
    <w:rsid w:val="00154FF9"/>
    <w:rsid w:val="0015555F"/>
    <w:rsid w:val="00155F73"/>
    <w:rsid w:val="0015614F"/>
    <w:rsid w:val="0015639B"/>
    <w:rsid w:val="00156435"/>
    <w:rsid w:val="00156CAB"/>
    <w:rsid w:val="00157139"/>
    <w:rsid w:val="00157154"/>
    <w:rsid w:val="001577C2"/>
    <w:rsid w:val="00157CC7"/>
    <w:rsid w:val="00157D43"/>
    <w:rsid w:val="00160723"/>
    <w:rsid w:val="0016148D"/>
    <w:rsid w:val="00161947"/>
    <w:rsid w:val="00161D51"/>
    <w:rsid w:val="0016216D"/>
    <w:rsid w:val="001624A0"/>
    <w:rsid w:val="00162F02"/>
    <w:rsid w:val="001633C4"/>
    <w:rsid w:val="00163ABF"/>
    <w:rsid w:val="00164035"/>
    <w:rsid w:val="001651B5"/>
    <w:rsid w:val="0016586E"/>
    <w:rsid w:val="00165D45"/>
    <w:rsid w:val="00166BFD"/>
    <w:rsid w:val="00166CE6"/>
    <w:rsid w:val="00167B86"/>
    <w:rsid w:val="001701E6"/>
    <w:rsid w:val="00170406"/>
    <w:rsid w:val="0017081C"/>
    <w:rsid w:val="00170B2B"/>
    <w:rsid w:val="00171591"/>
    <w:rsid w:val="00171635"/>
    <w:rsid w:val="00171661"/>
    <w:rsid w:val="001720CB"/>
    <w:rsid w:val="001721C1"/>
    <w:rsid w:val="0017236E"/>
    <w:rsid w:val="00173456"/>
    <w:rsid w:val="0017385B"/>
    <w:rsid w:val="00173981"/>
    <w:rsid w:val="00174119"/>
    <w:rsid w:val="0017439B"/>
    <w:rsid w:val="0017482D"/>
    <w:rsid w:val="001751CF"/>
    <w:rsid w:val="00175C89"/>
    <w:rsid w:val="00176413"/>
    <w:rsid w:val="00176436"/>
    <w:rsid w:val="0017719D"/>
    <w:rsid w:val="00177A8C"/>
    <w:rsid w:val="001800B5"/>
    <w:rsid w:val="00180175"/>
    <w:rsid w:val="00180A98"/>
    <w:rsid w:val="00180AFC"/>
    <w:rsid w:val="001811B2"/>
    <w:rsid w:val="001811B3"/>
    <w:rsid w:val="0018213F"/>
    <w:rsid w:val="001823B5"/>
    <w:rsid w:val="0018290D"/>
    <w:rsid w:val="00182B5B"/>
    <w:rsid w:val="0018313A"/>
    <w:rsid w:val="00183AF1"/>
    <w:rsid w:val="00184358"/>
    <w:rsid w:val="00185788"/>
    <w:rsid w:val="00185AC9"/>
    <w:rsid w:val="00185CAB"/>
    <w:rsid w:val="0018602B"/>
    <w:rsid w:val="00186074"/>
    <w:rsid w:val="00186421"/>
    <w:rsid w:val="00186C5E"/>
    <w:rsid w:val="00186DEB"/>
    <w:rsid w:val="00187148"/>
    <w:rsid w:val="001875B7"/>
    <w:rsid w:val="001877D5"/>
    <w:rsid w:val="00187CB3"/>
    <w:rsid w:val="0019050A"/>
    <w:rsid w:val="001908DC"/>
    <w:rsid w:val="0019097A"/>
    <w:rsid w:val="00191023"/>
    <w:rsid w:val="001910D4"/>
    <w:rsid w:val="001913C8"/>
    <w:rsid w:val="00191758"/>
    <w:rsid w:val="0019279A"/>
    <w:rsid w:val="001929A3"/>
    <w:rsid w:val="001929D8"/>
    <w:rsid w:val="00193619"/>
    <w:rsid w:val="00193699"/>
    <w:rsid w:val="00193C0F"/>
    <w:rsid w:val="00193D04"/>
    <w:rsid w:val="00193E56"/>
    <w:rsid w:val="0019406E"/>
    <w:rsid w:val="00194948"/>
    <w:rsid w:val="00194959"/>
    <w:rsid w:val="00194A4B"/>
    <w:rsid w:val="00194C80"/>
    <w:rsid w:val="0019508A"/>
    <w:rsid w:val="00195110"/>
    <w:rsid w:val="00195164"/>
    <w:rsid w:val="001952AB"/>
    <w:rsid w:val="001953E2"/>
    <w:rsid w:val="0019654A"/>
    <w:rsid w:val="001969EC"/>
    <w:rsid w:val="00196CCE"/>
    <w:rsid w:val="00196CEE"/>
    <w:rsid w:val="00196D58"/>
    <w:rsid w:val="00196E16"/>
    <w:rsid w:val="001976E3"/>
    <w:rsid w:val="00197796"/>
    <w:rsid w:val="001A068E"/>
    <w:rsid w:val="001A0892"/>
    <w:rsid w:val="001A10A3"/>
    <w:rsid w:val="001A209F"/>
    <w:rsid w:val="001A2276"/>
    <w:rsid w:val="001A25D7"/>
    <w:rsid w:val="001A265F"/>
    <w:rsid w:val="001A44EC"/>
    <w:rsid w:val="001A4560"/>
    <w:rsid w:val="001A48C9"/>
    <w:rsid w:val="001A5469"/>
    <w:rsid w:val="001A5E8C"/>
    <w:rsid w:val="001A6264"/>
    <w:rsid w:val="001A6507"/>
    <w:rsid w:val="001A6876"/>
    <w:rsid w:val="001A6944"/>
    <w:rsid w:val="001A6B12"/>
    <w:rsid w:val="001A6DC9"/>
    <w:rsid w:val="001A7050"/>
    <w:rsid w:val="001A7464"/>
    <w:rsid w:val="001A7FB6"/>
    <w:rsid w:val="001B0115"/>
    <w:rsid w:val="001B02B5"/>
    <w:rsid w:val="001B0929"/>
    <w:rsid w:val="001B0A0C"/>
    <w:rsid w:val="001B12E3"/>
    <w:rsid w:val="001B1445"/>
    <w:rsid w:val="001B1A6D"/>
    <w:rsid w:val="001B1C0F"/>
    <w:rsid w:val="001B203D"/>
    <w:rsid w:val="001B2EEC"/>
    <w:rsid w:val="001B30F4"/>
    <w:rsid w:val="001B35FB"/>
    <w:rsid w:val="001B3E89"/>
    <w:rsid w:val="001B42B0"/>
    <w:rsid w:val="001B4522"/>
    <w:rsid w:val="001B47DA"/>
    <w:rsid w:val="001B4EE5"/>
    <w:rsid w:val="001B5820"/>
    <w:rsid w:val="001B58AA"/>
    <w:rsid w:val="001B666E"/>
    <w:rsid w:val="001B7C47"/>
    <w:rsid w:val="001B7E48"/>
    <w:rsid w:val="001C00D2"/>
    <w:rsid w:val="001C0CEF"/>
    <w:rsid w:val="001C17CE"/>
    <w:rsid w:val="001C1B64"/>
    <w:rsid w:val="001C1EA9"/>
    <w:rsid w:val="001C216E"/>
    <w:rsid w:val="001C253A"/>
    <w:rsid w:val="001C27A8"/>
    <w:rsid w:val="001C3475"/>
    <w:rsid w:val="001C36CA"/>
    <w:rsid w:val="001C36E5"/>
    <w:rsid w:val="001C390D"/>
    <w:rsid w:val="001C3A1D"/>
    <w:rsid w:val="001C3CBD"/>
    <w:rsid w:val="001C3DB3"/>
    <w:rsid w:val="001C3DC8"/>
    <w:rsid w:val="001C3F4E"/>
    <w:rsid w:val="001C400D"/>
    <w:rsid w:val="001C420F"/>
    <w:rsid w:val="001C44D1"/>
    <w:rsid w:val="001C44F9"/>
    <w:rsid w:val="001C4873"/>
    <w:rsid w:val="001C4924"/>
    <w:rsid w:val="001C4BA8"/>
    <w:rsid w:val="001C56A4"/>
    <w:rsid w:val="001C668E"/>
    <w:rsid w:val="001C6AEE"/>
    <w:rsid w:val="001C6F61"/>
    <w:rsid w:val="001C703A"/>
    <w:rsid w:val="001C70CD"/>
    <w:rsid w:val="001C71BE"/>
    <w:rsid w:val="001C7475"/>
    <w:rsid w:val="001C7630"/>
    <w:rsid w:val="001D105E"/>
    <w:rsid w:val="001D1377"/>
    <w:rsid w:val="001D1853"/>
    <w:rsid w:val="001D1C75"/>
    <w:rsid w:val="001D1EC2"/>
    <w:rsid w:val="001D20DE"/>
    <w:rsid w:val="001D24D2"/>
    <w:rsid w:val="001D2565"/>
    <w:rsid w:val="001D2933"/>
    <w:rsid w:val="001D2C38"/>
    <w:rsid w:val="001D3310"/>
    <w:rsid w:val="001D38FC"/>
    <w:rsid w:val="001D3F02"/>
    <w:rsid w:val="001D3FA9"/>
    <w:rsid w:val="001D46EC"/>
    <w:rsid w:val="001D4955"/>
    <w:rsid w:val="001D4EE0"/>
    <w:rsid w:val="001D4F12"/>
    <w:rsid w:val="001D58C0"/>
    <w:rsid w:val="001D5915"/>
    <w:rsid w:val="001D5ECD"/>
    <w:rsid w:val="001D6401"/>
    <w:rsid w:val="001D6451"/>
    <w:rsid w:val="001D68DF"/>
    <w:rsid w:val="001D6C47"/>
    <w:rsid w:val="001D6D15"/>
    <w:rsid w:val="001D723F"/>
    <w:rsid w:val="001D7435"/>
    <w:rsid w:val="001D7E9A"/>
    <w:rsid w:val="001D7FEC"/>
    <w:rsid w:val="001E0DEF"/>
    <w:rsid w:val="001E23A0"/>
    <w:rsid w:val="001E240E"/>
    <w:rsid w:val="001E35C5"/>
    <w:rsid w:val="001E3EC0"/>
    <w:rsid w:val="001E51D8"/>
    <w:rsid w:val="001E55D3"/>
    <w:rsid w:val="001E578F"/>
    <w:rsid w:val="001E5A5B"/>
    <w:rsid w:val="001E5ABA"/>
    <w:rsid w:val="001E5BA4"/>
    <w:rsid w:val="001E657A"/>
    <w:rsid w:val="001E6FE7"/>
    <w:rsid w:val="001E7F5E"/>
    <w:rsid w:val="001F01A0"/>
    <w:rsid w:val="001F025A"/>
    <w:rsid w:val="001F06AA"/>
    <w:rsid w:val="001F1E3F"/>
    <w:rsid w:val="001F2334"/>
    <w:rsid w:val="001F2786"/>
    <w:rsid w:val="001F2A83"/>
    <w:rsid w:val="001F3B43"/>
    <w:rsid w:val="001F3C5B"/>
    <w:rsid w:val="001F49A8"/>
    <w:rsid w:val="001F4F1D"/>
    <w:rsid w:val="001F5221"/>
    <w:rsid w:val="001F5DC7"/>
    <w:rsid w:val="001F604C"/>
    <w:rsid w:val="001F62E2"/>
    <w:rsid w:val="001F6515"/>
    <w:rsid w:val="001F6B33"/>
    <w:rsid w:val="001F6B6C"/>
    <w:rsid w:val="001F734A"/>
    <w:rsid w:val="001F73B6"/>
    <w:rsid w:val="001F753D"/>
    <w:rsid w:val="001F7558"/>
    <w:rsid w:val="001F7CA7"/>
    <w:rsid w:val="001F7CDA"/>
    <w:rsid w:val="001F7EC4"/>
    <w:rsid w:val="001F7EF4"/>
    <w:rsid w:val="002005B0"/>
    <w:rsid w:val="00200E91"/>
    <w:rsid w:val="00200EC3"/>
    <w:rsid w:val="002012A6"/>
    <w:rsid w:val="00201FBF"/>
    <w:rsid w:val="00202570"/>
    <w:rsid w:val="00202A37"/>
    <w:rsid w:val="00202B63"/>
    <w:rsid w:val="002036A7"/>
    <w:rsid w:val="002039CB"/>
    <w:rsid w:val="002046B0"/>
    <w:rsid w:val="0020597C"/>
    <w:rsid w:val="00205B57"/>
    <w:rsid w:val="002070B3"/>
    <w:rsid w:val="0020747D"/>
    <w:rsid w:val="00207510"/>
    <w:rsid w:val="0020755B"/>
    <w:rsid w:val="00207868"/>
    <w:rsid w:val="00207CE3"/>
    <w:rsid w:val="00207E21"/>
    <w:rsid w:val="00207FAA"/>
    <w:rsid w:val="002100A2"/>
    <w:rsid w:val="002113C4"/>
    <w:rsid w:val="00211658"/>
    <w:rsid w:val="00211BF2"/>
    <w:rsid w:val="00211ECE"/>
    <w:rsid w:val="00211F29"/>
    <w:rsid w:val="002123DD"/>
    <w:rsid w:val="002125B9"/>
    <w:rsid w:val="00212AB8"/>
    <w:rsid w:val="00212B84"/>
    <w:rsid w:val="002137C1"/>
    <w:rsid w:val="00214070"/>
    <w:rsid w:val="002147BD"/>
    <w:rsid w:val="0021486E"/>
    <w:rsid w:val="002149F8"/>
    <w:rsid w:val="00214BDF"/>
    <w:rsid w:val="00214FB8"/>
    <w:rsid w:val="00215028"/>
    <w:rsid w:val="0021564B"/>
    <w:rsid w:val="002157E0"/>
    <w:rsid w:val="0021587F"/>
    <w:rsid w:val="00216297"/>
    <w:rsid w:val="00216A57"/>
    <w:rsid w:val="00217619"/>
    <w:rsid w:val="002176D3"/>
    <w:rsid w:val="0021771B"/>
    <w:rsid w:val="0021788B"/>
    <w:rsid w:val="00220231"/>
    <w:rsid w:val="0022112B"/>
    <w:rsid w:val="002212A5"/>
    <w:rsid w:val="00221613"/>
    <w:rsid w:val="002218BB"/>
    <w:rsid w:val="0022217C"/>
    <w:rsid w:val="00222259"/>
    <w:rsid w:val="002224F6"/>
    <w:rsid w:val="002227E6"/>
    <w:rsid w:val="0022334F"/>
    <w:rsid w:val="002243A4"/>
    <w:rsid w:val="002245DC"/>
    <w:rsid w:val="00225168"/>
    <w:rsid w:val="002251B2"/>
    <w:rsid w:val="00225A94"/>
    <w:rsid w:val="00225CD7"/>
    <w:rsid w:val="00225D96"/>
    <w:rsid w:val="002262FF"/>
    <w:rsid w:val="002265D5"/>
    <w:rsid w:val="00226819"/>
    <w:rsid w:val="00226C16"/>
    <w:rsid w:val="00226EC3"/>
    <w:rsid w:val="00226F68"/>
    <w:rsid w:val="00227216"/>
    <w:rsid w:val="0022755F"/>
    <w:rsid w:val="00227C41"/>
    <w:rsid w:val="0023069E"/>
    <w:rsid w:val="0023092E"/>
    <w:rsid w:val="00230BB9"/>
    <w:rsid w:val="00230D44"/>
    <w:rsid w:val="002318D1"/>
    <w:rsid w:val="00231D44"/>
    <w:rsid w:val="00232A22"/>
    <w:rsid w:val="00233101"/>
    <w:rsid w:val="0023331E"/>
    <w:rsid w:val="002334D3"/>
    <w:rsid w:val="0023365B"/>
    <w:rsid w:val="00233817"/>
    <w:rsid w:val="00233850"/>
    <w:rsid w:val="002338CB"/>
    <w:rsid w:val="00233DFA"/>
    <w:rsid w:val="00233EC3"/>
    <w:rsid w:val="002346AA"/>
    <w:rsid w:val="00234AC1"/>
    <w:rsid w:val="00234CAB"/>
    <w:rsid w:val="00234CAD"/>
    <w:rsid w:val="00234F23"/>
    <w:rsid w:val="00235691"/>
    <w:rsid w:val="002358E0"/>
    <w:rsid w:val="002359BA"/>
    <w:rsid w:val="0023665E"/>
    <w:rsid w:val="002367FF"/>
    <w:rsid w:val="00237304"/>
    <w:rsid w:val="0023759E"/>
    <w:rsid w:val="002376CB"/>
    <w:rsid w:val="00237DCA"/>
    <w:rsid w:val="00240621"/>
    <w:rsid w:val="00240CE9"/>
    <w:rsid w:val="00240E4E"/>
    <w:rsid w:val="0024151D"/>
    <w:rsid w:val="00242014"/>
    <w:rsid w:val="0024214A"/>
    <w:rsid w:val="002421F8"/>
    <w:rsid w:val="002424C4"/>
    <w:rsid w:val="00242DAA"/>
    <w:rsid w:val="00242E3F"/>
    <w:rsid w:val="002434BA"/>
    <w:rsid w:val="002435BB"/>
    <w:rsid w:val="00243A09"/>
    <w:rsid w:val="002443F3"/>
    <w:rsid w:val="00244C3E"/>
    <w:rsid w:val="00244D38"/>
    <w:rsid w:val="00244E08"/>
    <w:rsid w:val="002456B2"/>
    <w:rsid w:val="00245753"/>
    <w:rsid w:val="002457A3"/>
    <w:rsid w:val="00245D26"/>
    <w:rsid w:val="00245E1C"/>
    <w:rsid w:val="00245ED0"/>
    <w:rsid w:val="00246089"/>
    <w:rsid w:val="00246093"/>
    <w:rsid w:val="002461F0"/>
    <w:rsid w:val="002465D1"/>
    <w:rsid w:val="00246702"/>
    <w:rsid w:val="0024681B"/>
    <w:rsid w:val="00246BCE"/>
    <w:rsid w:val="00246F38"/>
    <w:rsid w:val="00247391"/>
    <w:rsid w:val="0024775F"/>
    <w:rsid w:val="00247ACD"/>
    <w:rsid w:val="00247C59"/>
    <w:rsid w:val="00247E12"/>
    <w:rsid w:val="00247E17"/>
    <w:rsid w:val="00247F2E"/>
    <w:rsid w:val="00250ADC"/>
    <w:rsid w:val="00250B07"/>
    <w:rsid w:val="00250BD5"/>
    <w:rsid w:val="00250C90"/>
    <w:rsid w:val="002511B5"/>
    <w:rsid w:val="002514E7"/>
    <w:rsid w:val="00251DCC"/>
    <w:rsid w:val="002522BD"/>
    <w:rsid w:val="002522F5"/>
    <w:rsid w:val="00253818"/>
    <w:rsid w:val="00253CDA"/>
    <w:rsid w:val="00254754"/>
    <w:rsid w:val="00255870"/>
    <w:rsid w:val="002563D5"/>
    <w:rsid w:val="0025645A"/>
    <w:rsid w:val="00256BCC"/>
    <w:rsid w:val="002573AF"/>
    <w:rsid w:val="00257553"/>
    <w:rsid w:val="00257AE4"/>
    <w:rsid w:val="00257C5E"/>
    <w:rsid w:val="00260FB2"/>
    <w:rsid w:val="00261023"/>
    <w:rsid w:val="002610B6"/>
    <w:rsid w:val="0026124D"/>
    <w:rsid w:val="00261454"/>
    <w:rsid w:val="00261976"/>
    <w:rsid w:val="002619BC"/>
    <w:rsid w:val="00262128"/>
    <w:rsid w:val="002621D0"/>
    <w:rsid w:val="0026261E"/>
    <w:rsid w:val="00262750"/>
    <w:rsid w:val="00263C3C"/>
    <w:rsid w:val="00263D48"/>
    <w:rsid w:val="00263E00"/>
    <w:rsid w:val="00263E4C"/>
    <w:rsid w:val="002641D3"/>
    <w:rsid w:val="00264B4F"/>
    <w:rsid w:val="00264B7F"/>
    <w:rsid w:val="00265013"/>
    <w:rsid w:val="0026610A"/>
    <w:rsid w:val="00266233"/>
    <w:rsid w:val="00266709"/>
    <w:rsid w:val="0026675D"/>
    <w:rsid w:val="0026677B"/>
    <w:rsid w:val="0026706E"/>
    <w:rsid w:val="00267457"/>
    <w:rsid w:val="00267509"/>
    <w:rsid w:val="002675C1"/>
    <w:rsid w:val="00267B7A"/>
    <w:rsid w:val="0027047F"/>
    <w:rsid w:val="00270536"/>
    <w:rsid w:val="00270D7C"/>
    <w:rsid w:val="002711E3"/>
    <w:rsid w:val="00271384"/>
    <w:rsid w:val="0027160C"/>
    <w:rsid w:val="0027165D"/>
    <w:rsid w:val="0027197A"/>
    <w:rsid w:val="00271F21"/>
    <w:rsid w:val="00272088"/>
    <w:rsid w:val="00272ADB"/>
    <w:rsid w:val="00272AF6"/>
    <w:rsid w:val="00273106"/>
    <w:rsid w:val="0027312F"/>
    <w:rsid w:val="00273C84"/>
    <w:rsid w:val="00273CEB"/>
    <w:rsid w:val="00273EE9"/>
    <w:rsid w:val="002743E4"/>
    <w:rsid w:val="0027445D"/>
    <w:rsid w:val="00274C94"/>
    <w:rsid w:val="00274D33"/>
    <w:rsid w:val="002751A1"/>
    <w:rsid w:val="00275CF5"/>
    <w:rsid w:val="00276291"/>
    <w:rsid w:val="00276D69"/>
    <w:rsid w:val="0027703E"/>
    <w:rsid w:val="002772D8"/>
    <w:rsid w:val="00277329"/>
    <w:rsid w:val="0028003C"/>
    <w:rsid w:val="00280C54"/>
    <w:rsid w:val="00280CB9"/>
    <w:rsid w:val="00280D51"/>
    <w:rsid w:val="00280F1E"/>
    <w:rsid w:val="00281224"/>
    <w:rsid w:val="00281C89"/>
    <w:rsid w:val="0028215F"/>
    <w:rsid w:val="0028258E"/>
    <w:rsid w:val="0028282F"/>
    <w:rsid w:val="00282B43"/>
    <w:rsid w:val="00282C94"/>
    <w:rsid w:val="00282D3D"/>
    <w:rsid w:val="002830B5"/>
    <w:rsid w:val="002834C1"/>
    <w:rsid w:val="002836AA"/>
    <w:rsid w:val="00283899"/>
    <w:rsid w:val="002839D4"/>
    <w:rsid w:val="00283DC8"/>
    <w:rsid w:val="00284520"/>
    <w:rsid w:val="002845B7"/>
    <w:rsid w:val="00286190"/>
    <w:rsid w:val="00286587"/>
    <w:rsid w:val="00287299"/>
    <w:rsid w:val="002873F2"/>
    <w:rsid w:val="00287773"/>
    <w:rsid w:val="00287868"/>
    <w:rsid w:val="00287907"/>
    <w:rsid w:val="0028792D"/>
    <w:rsid w:val="00287F7A"/>
    <w:rsid w:val="002903AF"/>
    <w:rsid w:val="0029082D"/>
    <w:rsid w:val="00290EAE"/>
    <w:rsid w:val="00290F70"/>
    <w:rsid w:val="002911D2"/>
    <w:rsid w:val="002912BB"/>
    <w:rsid w:val="00291643"/>
    <w:rsid w:val="0029198F"/>
    <w:rsid w:val="00291C2C"/>
    <w:rsid w:val="00291DC1"/>
    <w:rsid w:val="00291ED9"/>
    <w:rsid w:val="00291F34"/>
    <w:rsid w:val="00292D9B"/>
    <w:rsid w:val="00292DA6"/>
    <w:rsid w:val="0029339C"/>
    <w:rsid w:val="00293539"/>
    <w:rsid w:val="00293B49"/>
    <w:rsid w:val="002941A5"/>
    <w:rsid w:val="002949BD"/>
    <w:rsid w:val="0029503E"/>
    <w:rsid w:val="00295348"/>
    <w:rsid w:val="002956A8"/>
    <w:rsid w:val="0029593B"/>
    <w:rsid w:val="00296309"/>
    <w:rsid w:val="002964D0"/>
    <w:rsid w:val="00296952"/>
    <w:rsid w:val="00296B1F"/>
    <w:rsid w:val="00297F8F"/>
    <w:rsid w:val="00297FC5"/>
    <w:rsid w:val="002A01FA"/>
    <w:rsid w:val="002A0417"/>
    <w:rsid w:val="002A16D8"/>
    <w:rsid w:val="002A1922"/>
    <w:rsid w:val="002A1BC8"/>
    <w:rsid w:val="002A2045"/>
    <w:rsid w:val="002A2E1F"/>
    <w:rsid w:val="002A312C"/>
    <w:rsid w:val="002A3503"/>
    <w:rsid w:val="002A3549"/>
    <w:rsid w:val="002A37AA"/>
    <w:rsid w:val="002A3ACF"/>
    <w:rsid w:val="002A3CD5"/>
    <w:rsid w:val="002A3EF2"/>
    <w:rsid w:val="002A4021"/>
    <w:rsid w:val="002A478B"/>
    <w:rsid w:val="002A4C93"/>
    <w:rsid w:val="002A4DAD"/>
    <w:rsid w:val="002A518A"/>
    <w:rsid w:val="002A5330"/>
    <w:rsid w:val="002A543A"/>
    <w:rsid w:val="002A56C2"/>
    <w:rsid w:val="002A574A"/>
    <w:rsid w:val="002A5863"/>
    <w:rsid w:val="002A626E"/>
    <w:rsid w:val="002A6649"/>
    <w:rsid w:val="002A6C86"/>
    <w:rsid w:val="002A6D8C"/>
    <w:rsid w:val="002A6D9F"/>
    <w:rsid w:val="002A6E79"/>
    <w:rsid w:val="002A6F7B"/>
    <w:rsid w:val="002A7019"/>
    <w:rsid w:val="002A7A79"/>
    <w:rsid w:val="002B012A"/>
    <w:rsid w:val="002B03E2"/>
    <w:rsid w:val="002B04B7"/>
    <w:rsid w:val="002B067F"/>
    <w:rsid w:val="002B08E1"/>
    <w:rsid w:val="002B0DED"/>
    <w:rsid w:val="002B13E1"/>
    <w:rsid w:val="002B1521"/>
    <w:rsid w:val="002B192D"/>
    <w:rsid w:val="002B19A2"/>
    <w:rsid w:val="002B1D86"/>
    <w:rsid w:val="002B1E3A"/>
    <w:rsid w:val="002B2486"/>
    <w:rsid w:val="002B24BA"/>
    <w:rsid w:val="002B2802"/>
    <w:rsid w:val="002B2E52"/>
    <w:rsid w:val="002B3752"/>
    <w:rsid w:val="002B3811"/>
    <w:rsid w:val="002B381A"/>
    <w:rsid w:val="002B4075"/>
    <w:rsid w:val="002B47D8"/>
    <w:rsid w:val="002B4FCC"/>
    <w:rsid w:val="002B5379"/>
    <w:rsid w:val="002B5492"/>
    <w:rsid w:val="002B5745"/>
    <w:rsid w:val="002B5792"/>
    <w:rsid w:val="002B58EC"/>
    <w:rsid w:val="002B5A49"/>
    <w:rsid w:val="002B60AB"/>
    <w:rsid w:val="002B6806"/>
    <w:rsid w:val="002B6965"/>
    <w:rsid w:val="002B6A2E"/>
    <w:rsid w:val="002B6B9B"/>
    <w:rsid w:val="002B7408"/>
    <w:rsid w:val="002B7504"/>
    <w:rsid w:val="002B7CFD"/>
    <w:rsid w:val="002B7DFA"/>
    <w:rsid w:val="002C02BF"/>
    <w:rsid w:val="002C1EF1"/>
    <w:rsid w:val="002C210F"/>
    <w:rsid w:val="002C2B88"/>
    <w:rsid w:val="002C2F71"/>
    <w:rsid w:val="002C366C"/>
    <w:rsid w:val="002C3F60"/>
    <w:rsid w:val="002C4AE2"/>
    <w:rsid w:val="002C4C22"/>
    <w:rsid w:val="002C4ECB"/>
    <w:rsid w:val="002C52F2"/>
    <w:rsid w:val="002C54BD"/>
    <w:rsid w:val="002C5B4C"/>
    <w:rsid w:val="002C5FDF"/>
    <w:rsid w:val="002C6317"/>
    <w:rsid w:val="002C6675"/>
    <w:rsid w:val="002C6D1A"/>
    <w:rsid w:val="002C74C8"/>
    <w:rsid w:val="002C7501"/>
    <w:rsid w:val="002C7F1B"/>
    <w:rsid w:val="002D0213"/>
    <w:rsid w:val="002D11A5"/>
    <w:rsid w:val="002D2571"/>
    <w:rsid w:val="002D2AF4"/>
    <w:rsid w:val="002D2C47"/>
    <w:rsid w:val="002D2D92"/>
    <w:rsid w:val="002D33B5"/>
    <w:rsid w:val="002D3600"/>
    <w:rsid w:val="002D3642"/>
    <w:rsid w:val="002D373B"/>
    <w:rsid w:val="002D47BD"/>
    <w:rsid w:val="002D48B4"/>
    <w:rsid w:val="002D4A6A"/>
    <w:rsid w:val="002D4DA4"/>
    <w:rsid w:val="002D525A"/>
    <w:rsid w:val="002D5425"/>
    <w:rsid w:val="002D6447"/>
    <w:rsid w:val="002E019B"/>
    <w:rsid w:val="002E0EB1"/>
    <w:rsid w:val="002E0FAA"/>
    <w:rsid w:val="002E1100"/>
    <w:rsid w:val="002E181C"/>
    <w:rsid w:val="002E183D"/>
    <w:rsid w:val="002E193E"/>
    <w:rsid w:val="002E2381"/>
    <w:rsid w:val="002E2394"/>
    <w:rsid w:val="002E2B8E"/>
    <w:rsid w:val="002E2C3D"/>
    <w:rsid w:val="002E3D6D"/>
    <w:rsid w:val="002E49B6"/>
    <w:rsid w:val="002E4AE6"/>
    <w:rsid w:val="002E4DDC"/>
    <w:rsid w:val="002E51A8"/>
    <w:rsid w:val="002E52E8"/>
    <w:rsid w:val="002E5408"/>
    <w:rsid w:val="002E55D9"/>
    <w:rsid w:val="002E5948"/>
    <w:rsid w:val="002E5BB6"/>
    <w:rsid w:val="002E5E3D"/>
    <w:rsid w:val="002E5E7C"/>
    <w:rsid w:val="002E6673"/>
    <w:rsid w:val="002E66BE"/>
    <w:rsid w:val="002E6D37"/>
    <w:rsid w:val="002E6F24"/>
    <w:rsid w:val="002E6F95"/>
    <w:rsid w:val="002E7644"/>
    <w:rsid w:val="002E7AEE"/>
    <w:rsid w:val="002E7CA5"/>
    <w:rsid w:val="002F0008"/>
    <w:rsid w:val="002F02D3"/>
    <w:rsid w:val="002F07B0"/>
    <w:rsid w:val="002F0873"/>
    <w:rsid w:val="002F0B35"/>
    <w:rsid w:val="002F0DE1"/>
    <w:rsid w:val="002F11F8"/>
    <w:rsid w:val="002F1848"/>
    <w:rsid w:val="002F197F"/>
    <w:rsid w:val="002F20B9"/>
    <w:rsid w:val="002F2B48"/>
    <w:rsid w:val="002F3D38"/>
    <w:rsid w:val="002F3D63"/>
    <w:rsid w:val="002F4000"/>
    <w:rsid w:val="002F4193"/>
    <w:rsid w:val="002F45FF"/>
    <w:rsid w:val="002F52E0"/>
    <w:rsid w:val="002F5766"/>
    <w:rsid w:val="002F5C83"/>
    <w:rsid w:val="002F62A1"/>
    <w:rsid w:val="002F66C0"/>
    <w:rsid w:val="002F6717"/>
    <w:rsid w:val="002F6DAA"/>
    <w:rsid w:val="002F761B"/>
    <w:rsid w:val="002F7734"/>
    <w:rsid w:val="002F7CB9"/>
    <w:rsid w:val="0030018C"/>
    <w:rsid w:val="00300A69"/>
    <w:rsid w:val="0030138C"/>
    <w:rsid w:val="00301989"/>
    <w:rsid w:val="00301BF3"/>
    <w:rsid w:val="00302480"/>
    <w:rsid w:val="003025BE"/>
    <w:rsid w:val="00302A9F"/>
    <w:rsid w:val="00302FEB"/>
    <w:rsid w:val="003032BA"/>
    <w:rsid w:val="00303AC5"/>
    <w:rsid w:val="0030440B"/>
    <w:rsid w:val="003045DB"/>
    <w:rsid w:val="00304F74"/>
    <w:rsid w:val="003054FA"/>
    <w:rsid w:val="003056CE"/>
    <w:rsid w:val="00305B29"/>
    <w:rsid w:val="0030621B"/>
    <w:rsid w:val="00306561"/>
    <w:rsid w:val="003068FE"/>
    <w:rsid w:val="00306AD5"/>
    <w:rsid w:val="00307A61"/>
    <w:rsid w:val="00307BB8"/>
    <w:rsid w:val="003103FA"/>
    <w:rsid w:val="0031116C"/>
    <w:rsid w:val="0031166F"/>
    <w:rsid w:val="003120E6"/>
    <w:rsid w:val="00312A7C"/>
    <w:rsid w:val="00313C39"/>
    <w:rsid w:val="003140AA"/>
    <w:rsid w:val="00314137"/>
    <w:rsid w:val="00314D3D"/>
    <w:rsid w:val="0031500C"/>
    <w:rsid w:val="00315556"/>
    <w:rsid w:val="00315C42"/>
    <w:rsid w:val="00316239"/>
    <w:rsid w:val="003165E6"/>
    <w:rsid w:val="00317391"/>
    <w:rsid w:val="00317C55"/>
    <w:rsid w:val="00317E90"/>
    <w:rsid w:val="00320506"/>
    <w:rsid w:val="00320D02"/>
    <w:rsid w:val="00320F3C"/>
    <w:rsid w:val="00321078"/>
    <w:rsid w:val="003211F7"/>
    <w:rsid w:val="00321B3F"/>
    <w:rsid w:val="00321F93"/>
    <w:rsid w:val="0032209D"/>
    <w:rsid w:val="003221CF"/>
    <w:rsid w:val="00322916"/>
    <w:rsid w:val="00322A4F"/>
    <w:rsid w:val="00322C68"/>
    <w:rsid w:val="00322EB4"/>
    <w:rsid w:val="003233ED"/>
    <w:rsid w:val="003235CA"/>
    <w:rsid w:val="00323835"/>
    <w:rsid w:val="00323A79"/>
    <w:rsid w:val="00323C0E"/>
    <w:rsid w:val="0032440E"/>
    <w:rsid w:val="00324887"/>
    <w:rsid w:val="0032488E"/>
    <w:rsid w:val="0032499A"/>
    <w:rsid w:val="00324D9F"/>
    <w:rsid w:val="00325220"/>
    <w:rsid w:val="00325517"/>
    <w:rsid w:val="00325CD8"/>
    <w:rsid w:val="00326184"/>
    <w:rsid w:val="003266FC"/>
    <w:rsid w:val="0032670D"/>
    <w:rsid w:val="00326C52"/>
    <w:rsid w:val="00326DB9"/>
    <w:rsid w:val="0032723D"/>
    <w:rsid w:val="003272F0"/>
    <w:rsid w:val="00327948"/>
    <w:rsid w:val="0033000F"/>
    <w:rsid w:val="003300C1"/>
    <w:rsid w:val="0033027F"/>
    <w:rsid w:val="00330297"/>
    <w:rsid w:val="00330DDC"/>
    <w:rsid w:val="003317D7"/>
    <w:rsid w:val="00331B81"/>
    <w:rsid w:val="00332011"/>
    <w:rsid w:val="0033213A"/>
    <w:rsid w:val="00332518"/>
    <w:rsid w:val="00332558"/>
    <w:rsid w:val="003328F1"/>
    <w:rsid w:val="00332925"/>
    <w:rsid w:val="00332FF4"/>
    <w:rsid w:val="00333192"/>
    <w:rsid w:val="003331C1"/>
    <w:rsid w:val="003332ED"/>
    <w:rsid w:val="0033337A"/>
    <w:rsid w:val="003334B8"/>
    <w:rsid w:val="00333B69"/>
    <w:rsid w:val="00333CF3"/>
    <w:rsid w:val="00334A83"/>
    <w:rsid w:val="00334CCE"/>
    <w:rsid w:val="0033597A"/>
    <w:rsid w:val="003362F0"/>
    <w:rsid w:val="00336539"/>
    <w:rsid w:val="003368DC"/>
    <w:rsid w:val="003369C2"/>
    <w:rsid w:val="00337357"/>
    <w:rsid w:val="0033770E"/>
    <w:rsid w:val="0033772D"/>
    <w:rsid w:val="00337B11"/>
    <w:rsid w:val="00337E3A"/>
    <w:rsid w:val="0034059F"/>
    <w:rsid w:val="00340796"/>
    <w:rsid w:val="00340BC8"/>
    <w:rsid w:val="00340C04"/>
    <w:rsid w:val="00340F27"/>
    <w:rsid w:val="00341248"/>
    <w:rsid w:val="00341599"/>
    <w:rsid w:val="00341852"/>
    <w:rsid w:val="003423C6"/>
    <w:rsid w:val="00342939"/>
    <w:rsid w:val="0034316A"/>
    <w:rsid w:val="00343371"/>
    <w:rsid w:val="00343AEF"/>
    <w:rsid w:val="00343BA7"/>
    <w:rsid w:val="00343D34"/>
    <w:rsid w:val="00343D3B"/>
    <w:rsid w:val="00343F7E"/>
    <w:rsid w:val="0034483B"/>
    <w:rsid w:val="003448C2"/>
    <w:rsid w:val="00344A89"/>
    <w:rsid w:val="00344ABF"/>
    <w:rsid w:val="00344C3D"/>
    <w:rsid w:val="003454DE"/>
    <w:rsid w:val="00345834"/>
    <w:rsid w:val="00345927"/>
    <w:rsid w:val="00345C57"/>
    <w:rsid w:val="00346097"/>
    <w:rsid w:val="003470DB"/>
    <w:rsid w:val="003474EF"/>
    <w:rsid w:val="00347BF4"/>
    <w:rsid w:val="0035032C"/>
    <w:rsid w:val="003504CB"/>
    <w:rsid w:val="003504D9"/>
    <w:rsid w:val="00350584"/>
    <w:rsid w:val="0035063B"/>
    <w:rsid w:val="003509CE"/>
    <w:rsid w:val="00350EA7"/>
    <w:rsid w:val="003510BD"/>
    <w:rsid w:val="003513C8"/>
    <w:rsid w:val="00351617"/>
    <w:rsid w:val="00351807"/>
    <w:rsid w:val="00351857"/>
    <w:rsid w:val="00351E13"/>
    <w:rsid w:val="00351FB2"/>
    <w:rsid w:val="003522A1"/>
    <w:rsid w:val="00352903"/>
    <w:rsid w:val="003531FB"/>
    <w:rsid w:val="00353209"/>
    <w:rsid w:val="0035363E"/>
    <w:rsid w:val="00353B1A"/>
    <w:rsid w:val="00353BBA"/>
    <w:rsid w:val="00353D80"/>
    <w:rsid w:val="00353E4C"/>
    <w:rsid w:val="003540E3"/>
    <w:rsid w:val="003548BB"/>
    <w:rsid w:val="00354DB3"/>
    <w:rsid w:val="00354F29"/>
    <w:rsid w:val="003550D5"/>
    <w:rsid w:val="003552C6"/>
    <w:rsid w:val="00356C40"/>
    <w:rsid w:val="00356E1D"/>
    <w:rsid w:val="0035733D"/>
    <w:rsid w:val="00357473"/>
    <w:rsid w:val="003577C2"/>
    <w:rsid w:val="003609AF"/>
    <w:rsid w:val="00360A9C"/>
    <w:rsid w:val="003610E1"/>
    <w:rsid w:val="0036133F"/>
    <w:rsid w:val="003615D0"/>
    <w:rsid w:val="00361A71"/>
    <w:rsid w:val="003621DA"/>
    <w:rsid w:val="003622E9"/>
    <w:rsid w:val="003623E5"/>
    <w:rsid w:val="003626A2"/>
    <w:rsid w:val="00362BF2"/>
    <w:rsid w:val="00362DF6"/>
    <w:rsid w:val="00363076"/>
    <w:rsid w:val="0036327D"/>
    <w:rsid w:val="00363793"/>
    <w:rsid w:val="00363BAD"/>
    <w:rsid w:val="00363C9A"/>
    <w:rsid w:val="003644A9"/>
    <w:rsid w:val="00364597"/>
    <w:rsid w:val="0036486E"/>
    <w:rsid w:val="003648B8"/>
    <w:rsid w:val="00364BBC"/>
    <w:rsid w:val="00364BE2"/>
    <w:rsid w:val="003659D9"/>
    <w:rsid w:val="003667C4"/>
    <w:rsid w:val="003671BE"/>
    <w:rsid w:val="0036746E"/>
    <w:rsid w:val="003677DD"/>
    <w:rsid w:val="00371067"/>
    <w:rsid w:val="0037163A"/>
    <w:rsid w:val="00371B0E"/>
    <w:rsid w:val="00371B23"/>
    <w:rsid w:val="00371ECD"/>
    <w:rsid w:val="00372485"/>
    <w:rsid w:val="0037298B"/>
    <w:rsid w:val="00373200"/>
    <w:rsid w:val="00373750"/>
    <w:rsid w:val="00373AC5"/>
    <w:rsid w:val="00373BE1"/>
    <w:rsid w:val="00373DF9"/>
    <w:rsid w:val="003743F7"/>
    <w:rsid w:val="0037448C"/>
    <w:rsid w:val="003745DC"/>
    <w:rsid w:val="00374748"/>
    <w:rsid w:val="00374950"/>
    <w:rsid w:val="00374EFC"/>
    <w:rsid w:val="00374F31"/>
    <w:rsid w:val="003751D3"/>
    <w:rsid w:val="003751FF"/>
    <w:rsid w:val="00375497"/>
    <w:rsid w:val="0037556D"/>
    <w:rsid w:val="00375730"/>
    <w:rsid w:val="0037591E"/>
    <w:rsid w:val="00375A66"/>
    <w:rsid w:val="00375EF5"/>
    <w:rsid w:val="00375FF0"/>
    <w:rsid w:val="00376154"/>
    <w:rsid w:val="00376402"/>
    <w:rsid w:val="003766E9"/>
    <w:rsid w:val="00376767"/>
    <w:rsid w:val="003767A5"/>
    <w:rsid w:val="00376A88"/>
    <w:rsid w:val="0037745C"/>
    <w:rsid w:val="003802E9"/>
    <w:rsid w:val="00380743"/>
    <w:rsid w:val="003814A5"/>
    <w:rsid w:val="0038228B"/>
    <w:rsid w:val="00382DE6"/>
    <w:rsid w:val="0038361D"/>
    <w:rsid w:val="00383697"/>
    <w:rsid w:val="0038438E"/>
    <w:rsid w:val="003843DC"/>
    <w:rsid w:val="00384537"/>
    <w:rsid w:val="00384AB5"/>
    <w:rsid w:val="00384BD1"/>
    <w:rsid w:val="00384E80"/>
    <w:rsid w:val="0038522C"/>
    <w:rsid w:val="00385254"/>
    <w:rsid w:val="003858C8"/>
    <w:rsid w:val="00385C58"/>
    <w:rsid w:val="00386C4A"/>
    <w:rsid w:val="00387692"/>
    <w:rsid w:val="00387842"/>
    <w:rsid w:val="00387883"/>
    <w:rsid w:val="003904DA"/>
    <w:rsid w:val="003906D8"/>
    <w:rsid w:val="00390CC6"/>
    <w:rsid w:val="00390DD5"/>
    <w:rsid w:val="003913D8"/>
    <w:rsid w:val="00391690"/>
    <w:rsid w:val="00393637"/>
    <w:rsid w:val="003941AC"/>
    <w:rsid w:val="003948F0"/>
    <w:rsid w:val="00394B1A"/>
    <w:rsid w:val="0039515A"/>
    <w:rsid w:val="00395935"/>
    <w:rsid w:val="00395A88"/>
    <w:rsid w:val="00395EE5"/>
    <w:rsid w:val="00396402"/>
    <w:rsid w:val="003969DF"/>
    <w:rsid w:val="003975CA"/>
    <w:rsid w:val="00397AA6"/>
    <w:rsid w:val="003A0C15"/>
    <w:rsid w:val="003A0F6D"/>
    <w:rsid w:val="003A11E9"/>
    <w:rsid w:val="003A25C3"/>
    <w:rsid w:val="003A2630"/>
    <w:rsid w:val="003A299D"/>
    <w:rsid w:val="003A2B16"/>
    <w:rsid w:val="003A31F8"/>
    <w:rsid w:val="003A3332"/>
    <w:rsid w:val="003A43BA"/>
    <w:rsid w:val="003A453D"/>
    <w:rsid w:val="003A4CC2"/>
    <w:rsid w:val="003A4D28"/>
    <w:rsid w:val="003A58A1"/>
    <w:rsid w:val="003A5F5B"/>
    <w:rsid w:val="003A6493"/>
    <w:rsid w:val="003A650F"/>
    <w:rsid w:val="003A6C17"/>
    <w:rsid w:val="003A6C28"/>
    <w:rsid w:val="003A6C41"/>
    <w:rsid w:val="003A7217"/>
    <w:rsid w:val="003A745E"/>
    <w:rsid w:val="003A7524"/>
    <w:rsid w:val="003A789A"/>
    <w:rsid w:val="003A7C0F"/>
    <w:rsid w:val="003B02AD"/>
    <w:rsid w:val="003B0408"/>
    <w:rsid w:val="003B0657"/>
    <w:rsid w:val="003B0786"/>
    <w:rsid w:val="003B0916"/>
    <w:rsid w:val="003B09FF"/>
    <w:rsid w:val="003B0D8D"/>
    <w:rsid w:val="003B12EC"/>
    <w:rsid w:val="003B16A1"/>
    <w:rsid w:val="003B1764"/>
    <w:rsid w:val="003B1964"/>
    <w:rsid w:val="003B1CCD"/>
    <w:rsid w:val="003B1F20"/>
    <w:rsid w:val="003B2EA1"/>
    <w:rsid w:val="003B3CA3"/>
    <w:rsid w:val="003B40D0"/>
    <w:rsid w:val="003B4720"/>
    <w:rsid w:val="003B4A58"/>
    <w:rsid w:val="003B510D"/>
    <w:rsid w:val="003B5C3F"/>
    <w:rsid w:val="003B5E21"/>
    <w:rsid w:val="003B614A"/>
    <w:rsid w:val="003B6594"/>
    <w:rsid w:val="003B66B7"/>
    <w:rsid w:val="003B6A3C"/>
    <w:rsid w:val="003B6B27"/>
    <w:rsid w:val="003B6CEB"/>
    <w:rsid w:val="003B71A3"/>
    <w:rsid w:val="003B7878"/>
    <w:rsid w:val="003B7DE1"/>
    <w:rsid w:val="003B7EC5"/>
    <w:rsid w:val="003B7FC6"/>
    <w:rsid w:val="003C0508"/>
    <w:rsid w:val="003C0522"/>
    <w:rsid w:val="003C07A1"/>
    <w:rsid w:val="003C1156"/>
    <w:rsid w:val="003C1D9E"/>
    <w:rsid w:val="003C2157"/>
    <w:rsid w:val="003C26CB"/>
    <w:rsid w:val="003C276B"/>
    <w:rsid w:val="003C2A1F"/>
    <w:rsid w:val="003C2B27"/>
    <w:rsid w:val="003C317D"/>
    <w:rsid w:val="003C3592"/>
    <w:rsid w:val="003C3CFD"/>
    <w:rsid w:val="003C4309"/>
    <w:rsid w:val="003C46E8"/>
    <w:rsid w:val="003C522D"/>
    <w:rsid w:val="003C55D5"/>
    <w:rsid w:val="003C55ED"/>
    <w:rsid w:val="003C5640"/>
    <w:rsid w:val="003C5C96"/>
    <w:rsid w:val="003C5D1F"/>
    <w:rsid w:val="003C6048"/>
    <w:rsid w:val="003C6854"/>
    <w:rsid w:val="003C6CB2"/>
    <w:rsid w:val="003C6FA1"/>
    <w:rsid w:val="003C77E0"/>
    <w:rsid w:val="003C7F0D"/>
    <w:rsid w:val="003D1299"/>
    <w:rsid w:val="003D1437"/>
    <w:rsid w:val="003D17D7"/>
    <w:rsid w:val="003D1C49"/>
    <w:rsid w:val="003D22D8"/>
    <w:rsid w:val="003D25D0"/>
    <w:rsid w:val="003D2678"/>
    <w:rsid w:val="003D2801"/>
    <w:rsid w:val="003D2B93"/>
    <w:rsid w:val="003D2FBF"/>
    <w:rsid w:val="003D48ED"/>
    <w:rsid w:val="003D4978"/>
    <w:rsid w:val="003D498E"/>
    <w:rsid w:val="003D4BBD"/>
    <w:rsid w:val="003D4D6D"/>
    <w:rsid w:val="003D4F43"/>
    <w:rsid w:val="003D5993"/>
    <w:rsid w:val="003D5D6E"/>
    <w:rsid w:val="003D5E7B"/>
    <w:rsid w:val="003D625D"/>
    <w:rsid w:val="003D71A3"/>
    <w:rsid w:val="003D773D"/>
    <w:rsid w:val="003E024B"/>
    <w:rsid w:val="003E087F"/>
    <w:rsid w:val="003E09B1"/>
    <w:rsid w:val="003E1218"/>
    <w:rsid w:val="003E16E4"/>
    <w:rsid w:val="003E18C5"/>
    <w:rsid w:val="003E1BB0"/>
    <w:rsid w:val="003E209A"/>
    <w:rsid w:val="003E25D6"/>
    <w:rsid w:val="003E2805"/>
    <w:rsid w:val="003E2839"/>
    <w:rsid w:val="003E2B8A"/>
    <w:rsid w:val="003E3045"/>
    <w:rsid w:val="003E32FE"/>
    <w:rsid w:val="003E34E2"/>
    <w:rsid w:val="003E3A5F"/>
    <w:rsid w:val="003E413D"/>
    <w:rsid w:val="003E4B04"/>
    <w:rsid w:val="003E4DF0"/>
    <w:rsid w:val="003E53A0"/>
    <w:rsid w:val="003E5A84"/>
    <w:rsid w:val="003E5D02"/>
    <w:rsid w:val="003E6541"/>
    <w:rsid w:val="003E69EB"/>
    <w:rsid w:val="003E6FCF"/>
    <w:rsid w:val="003E70BF"/>
    <w:rsid w:val="003E76A7"/>
    <w:rsid w:val="003E7962"/>
    <w:rsid w:val="003E79A7"/>
    <w:rsid w:val="003E7CC7"/>
    <w:rsid w:val="003E7CFF"/>
    <w:rsid w:val="003E7E22"/>
    <w:rsid w:val="003F0040"/>
    <w:rsid w:val="003F0BF5"/>
    <w:rsid w:val="003F10EE"/>
    <w:rsid w:val="003F1285"/>
    <w:rsid w:val="003F12E3"/>
    <w:rsid w:val="003F16F6"/>
    <w:rsid w:val="003F1DEE"/>
    <w:rsid w:val="003F20AE"/>
    <w:rsid w:val="003F2B72"/>
    <w:rsid w:val="003F2FFE"/>
    <w:rsid w:val="003F38A2"/>
    <w:rsid w:val="003F3C1E"/>
    <w:rsid w:val="003F3CD6"/>
    <w:rsid w:val="003F3E59"/>
    <w:rsid w:val="003F4357"/>
    <w:rsid w:val="003F4600"/>
    <w:rsid w:val="003F4AFE"/>
    <w:rsid w:val="003F4DC7"/>
    <w:rsid w:val="003F5235"/>
    <w:rsid w:val="003F6005"/>
    <w:rsid w:val="003F66D2"/>
    <w:rsid w:val="003F6E53"/>
    <w:rsid w:val="003F6F77"/>
    <w:rsid w:val="003F7B3D"/>
    <w:rsid w:val="003F7DA1"/>
    <w:rsid w:val="003F7E84"/>
    <w:rsid w:val="0040075A"/>
    <w:rsid w:val="00401C81"/>
    <w:rsid w:val="004023B5"/>
    <w:rsid w:val="00402443"/>
    <w:rsid w:val="004027E4"/>
    <w:rsid w:val="00402B2B"/>
    <w:rsid w:val="00402C15"/>
    <w:rsid w:val="00403063"/>
    <w:rsid w:val="00403B90"/>
    <w:rsid w:val="00403BAF"/>
    <w:rsid w:val="004045CE"/>
    <w:rsid w:val="00404677"/>
    <w:rsid w:val="004046BB"/>
    <w:rsid w:val="00404A93"/>
    <w:rsid w:val="004051CD"/>
    <w:rsid w:val="0040566B"/>
    <w:rsid w:val="00405BE2"/>
    <w:rsid w:val="00405DA4"/>
    <w:rsid w:val="0040634B"/>
    <w:rsid w:val="0040683C"/>
    <w:rsid w:val="00406966"/>
    <w:rsid w:val="00406AA4"/>
    <w:rsid w:val="00406B02"/>
    <w:rsid w:val="00406DC0"/>
    <w:rsid w:val="00407334"/>
    <w:rsid w:val="00407521"/>
    <w:rsid w:val="00407746"/>
    <w:rsid w:val="00407D87"/>
    <w:rsid w:val="00407F5E"/>
    <w:rsid w:val="00410099"/>
    <w:rsid w:val="0041071D"/>
    <w:rsid w:val="00410D10"/>
    <w:rsid w:val="00410DAC"/>
    <w:rsid w:val="004111B2"/>
    <w:rsid w:val="00411488"/>
    <w:rsid w:val="00412213"/>
    <w:rsid w:val="0041231B"/>
    <w:rsid w:val="00412747"/>
    <w:rsid w:val="004136A9"/>
    <w:rsid w:val="00413DFC"/>
    <w:rsid w:val="00414530"/>
    <w:rsid w:val="00414AFC"/>
    <w:rsid w:val="004151A7"/>
    <w:rsid w:val="00415310"/>
    <w:rsid w:val="004153BD"/>
    <w:rsid w:val="004153F1"/>
    <w:rsid w:val="00415603"/>
    <w:rsid w:val="00415E68"/>
    <w:rsid w:val="004169E7"/>
    <w:rsid w:val="0041763F"/>
    <w:rsid w:val="00417989"/>
    <w:rsid w:val="00417AC4"/>
    <w:rsid w:val="004200ED"/>
    <w:rsid w:val="00421709"/>
    <w:rsid w:val="00421C57"/>
    <w:rsid w:val="00422490"/>
    <w:rsid w:val="0042263F"/>
    <w:rsid w:val="00422E97"/>
    <w:rsid w:val="00422EFE"/>
    <w:rsid w:val="004234EB"/>
    <w:rsid w:val="00423763"/>
    <w:rsid w:val="0042379A"/>
    <w:rsid w:val="00423ADD"/>
    <w:rsid w:val="00424574"/>
    <w:rsid w:val="00424840"/>
    <w:rsid w:val="00424DF7"/>
    <w:rsid w:val="0042508F"/>
    <w:rsid w:val="004254C2"/>
    <w:rsid w:val="00425B11"/>
    <w:rsid w:val="00425D6A"/>
    <w:rsid w:val="00426055"/>
    <w:rsid w:val="004260A0"/>
    <w:rsid w:val="00426996"/>
    <w:rsid w:val="00426D61"/>
    <w:rsid w:val="0042707A"/>
    <w:rsid w:val="0042762F"/>
    <w:rsid w:val="00427A4F"/>
    <w:rsid w:val="00427DC7"/>
    <w:rsid w:val="00431453"/>
    <w:rsid w:val="00431613"/>
    <w:rsid w:val="004316D1"/>
    <w:rsid w:val="00431792"/>
    <w:rsid w:val="00431E0F"/>
    <w:rsid w:val="004321BF"/>
    <w:rsid w:val="0043297A"/>
    <w:rsid w:val="00432AB3"/>
    <w:rsid w:val="00432EB2"/>
    <w:rsid w:val="00433835"/>
    <w:rsid w:val="00433F1C"/>
    <w:rsid w:val="00433F4F"/>
    <w:rsid w:val="004341A0"/>
    <w:rsid w:val="00434B48"/>
    <w:rsid w:val="00434BF6"/>
    <w:rsid w:val="00435054"/>
    <w:rsid w:val="004357CF"/>
    <w:rsid w:val="00435977"/>
    <w:rsid w:val="00436091"/>
    <w:rsid w:val="004361B8"/>
    <w:rsid w:val="004361F5"/>
    <w:rsid w:val="0043714F"/>
    <w:rsid w:val="00437210"/>
    <w:rsid w:val="0043729B"/>
    <w:rsid w:val="0043741B"/>
    <w:rsid w:val="0043745C"/>
    <w:rsid w:val="00440069"/>
    <w:rsid w:val="004407F2"/>
    <w:rsid w:val="00441381"/>
    <w:rsid w:val="004418D3"/>
    <w:rsid w:val="004419D3"/>
    <w:rsid w:val="00442B8A"/>
    <w:rsid w:val="00442C3E"/>
    <w:rsid w:val="00442DC6"/>
    <w:rsid w:val="00442F92"/>
    <w:rsid w:val="0044338A"/>
    <w:rsid w:val="004438B5"/>
    <w:rsid w:val="00443D56"/>
    <w:rsid w:val="0044471E"/>
    <w:rsid w:val="00444CB1"/>
    <w:rsid w:val="00445400"/>
    <w:rsid w:val="00445431"/>
    <w:rsid w:val="00445936"/>
    <w:rsid w:val="00445A35"/>
    <w:rsid w:val="00445AF9"/>
    <w:rsid w:val="004461DB"/>
    <w:rsid w:val="00446B27"/>
    <w:rsid w:val="00446DB9"/>
    <w:rsid w:val="00447037"/>
    <w:rsid w:val="00447433"/>
    <w:rsid w:val="00447695"/>
    <w:rsid w:val="00447989"/>
    <w:rsid w:val="00447B5F"/>
    <w:rsid w:val="00447DFB"/>
    <w:rsid w:val="004501F6"/>
    <w:rsid w:val="004503D3"/>
    <w:rsid w:val="00450409"/>
    <w:rsid w:val="00450710"/>
    <w:rsid w:val="004507E0"/>
    <w:rsid w:val="00450B28"/>
    <w:rsid w:val="00451089"/>
    <w:rsid w:val="00451196"/>
    <w:rsid w:val="00451237"/>
    <w:rsid w:val="0045124D"/>
    <w:rsid w:val="004515F6"/>
    <w:rsid w:val="004519A5"/>
    <w:rsid w:val="00451A08"/>
    <w:rsid w:val="00451EE1"/>
    <w:rsid w:val="00452054"/>
    <w:rsid w:val="0045208C"/>
    <w:rsid w:val="004525FB"/>
    <w:rsid w:val="00452A7C"/>
    <w:rsid w:val="0045365E"/>
    <w:rsid w:val="004544DE"/>
    <w:rsid w:val="00454596"/>
    <w:rsid w:val="004545C1"/>
    <w:rsid w:val="00455695"/>
    <w:rsid w:val="00455795"/>
    <w:rsid w:val="00455C74"/>
    <w:rsid w:val="0045605D"/>
    <w:rsid w:val="00456755"/>
    <w:rsid w:val="004568E9"/>
    <w:rsid w:val="00456C7B"/>
    <w:rsid w:val="00457B81"/>
    <w:rsid w:val="00460498"/>
    <w:rsid w:val="0046058A"/>
    <w:rsid w:val="00460A7E"/>
    <w:rsid w:val="00460CF3"/>
    <w:rsid w:val="0046135B"/>
    <w:rsid w:val="0046179F"/>
    <w:rsid w:val="00461A6F"/>
    <w:rsid w:val="00461ACC"/>
    <w:rsid w:val="00461ADF"/>
    <w:rsid w:val="00461BBC"/>
    <w:rsid w:val="00461CAF"/>
    <w:rsid w:val="00462930"/>
    <w:rsid w:val="00462A53"/>
    <w:rsid w:val="00463D12"/>
    <w:rsid w:val="00464222"/>
    <w:rsid w:val="00464E12"/>
    <w:rsid w:val="00465238"/>
    <w:rsid w:val="0046585C"/>
    <w:rsid w:val="00465ABE"/>
    <w:rsid w:val="004663E7"/>
    <w:rsid w:val="004664A7"/>
    <w:rsid w:val="004666D3"/>
    <w:rsid w:val="00466961"/>
    <w:rsid w:val="00466A6C"/>
    <w:rsid w:val="00466B7B"/>
    <w:rsid w:val="00467428"/>
    <w:rsid w:val="00467835"/>
    <w:rsid w:val="00467D6E"/>
    <w:rsid w:val="00467DED"/>
    <w:rsid w:val="00470149"/>
    <w:rsid w:val="0047056A"/>
    <w:rsid w:val="00470AAF"/>
    <w:rsid w:val="0047127E"/>
    <w:rsid w:val="00471774"/>
    <w:rsid w:val="004718CC"/>
    <w:rsid w:val="00471EFF"/>
    <w:rsid w:val="00472A20"/>
    <w:rsid w:val="00472B19"/>
    <w:rsid w:val="004734BE"/>
    <w:rsid w:val="004734C8"/>
    <w:rsid w:val="00473C9F"/>
    <w:rsid w:val="0047410B"/>
    <w:rsid w:val="0047436A"/>
    <w:rsid w:val="004744AE"/>
    <w:rsid w:val="004749D8"/>
    <w:rsid w:val="00474C20"/>
    <w:rsid w:val="00475702"/>
    <w:rsid w:val="0047585B"/>
    <w:rsid w:val="00475A39"/>
    <w:rsid w:val="00475AC8"/>
    <w:rsid w:val="00475DF1"/>
    <w:rsid w:val="0047759A"/>
    <w:rsid w:val="00477A08"/>
    <w:rsid w:val="00477D97"/>
    <w:rsid w:val="0048061C"/>
    <w:rsid w:val="00480B6A"/>
    <w:rsid w:val="0048133D"/>
    <w:rsid w:val="00481695"/>
    <w:rsid w:val="00482DEC"/>
    <w:rsid w:val="004830AC"/>
    <w:rsid w:val="004832E0"/>
    <w:rsid w:val="004833DE"/>
    <w:rsid w:val="0048413C"/>
    <w:rsid w:val="00484372"/>
    <w:rsid w:val="00484648"/>
    <w:rsid w:val="00484A39"/>
    <w:rsid w:val="00484A65"/>
    <w:rsid w:val="00484F76"/>
    <w:rsid w:val="00485177"/>
    <w:rsid w:val="004851E9"/>
    <w:rsid w:val="00485226"/>
    <w:rsid w:val="0048592C"/>
    <w:rsid w:val="00485B29"/>
    <w:rsid w:val="00485E01"/>
    <w:rsid w:val="0048632E"/>
    <w:rsid w:val="00486751"/>
    <w:rsid w:val="004868CD"/>
    <w:rsid w:val="00486A84"/>
    <w:rsid w:val="00486A8D"/>
    <w:rsid w:val="00486CDE"/>
    <w:rsid w:val="00486D3B"/>
    <w:rsid w:val="0048748C"/>
    <w:rsid w:val="00487789"/>
    <w:rsid w:val="00487A25"/>
    <w:rsid w:val="00487B33"/>
    <w:rsid w:val="00490304"/>
    <w:rsid w:val="004908D7"/>
    <w:rsid w:val="00491461"/>
    <w:rsid w:val="00491DC3"/>
    <w:rsid w:val="00492733"/>
    <w:rsid w:val="00492939"/>
    <w:rsid w:val="00492A37"/>
    <w:rsid w:val="00492B79"/>
    <w:rsid w:val="00492C3B"/>
    <w:rsid w:val="00492F92"/>
    <w:rsid w:val="00493093"/>
    <w:rsid w:val="00493663"/>
    <w:rsid w:val="00493A12"/>
    <w:rsid w:val="00493ABB"/>
    <w:rsid w:val="00494185"/>
    <w:rsid w:val="004952B7"/>
    <w:rsid w:val="004957C6"/>
    <w:rsid w:val="004959F0"/>
    <w:rsid w:val="00495A69"/>
    <w:rsid w:val="00495A96"/>
    <w:rsid w:val="00495BB3"/>
    <w:rsid w:val="00495C8A"/>
    <w:rsid w:val="0049617C"/>
    <w:rsid w:val="00496A82"/>
    <w:rsid w:val="0049784A"/>
    <w:rsid w:val="004978DE"/>
    <w:rsid w:val="00497B56"/>
    <w:rsid w:val="00497F9C"/>
    <w:rsid w:val="004A01F1"/>
    <w:rsid w:val="004A037A"/>
    <w:rsid w:val="004A0669"/>
    <w:rsid w:val="004A0FA9"/>
    <w:rsid w:val="004A10A6"/>
    <w:rsid w:val="004A157D"/>
    <w:rsid w:val="004A1FDD"/>
    <w:rsid w:val="004A3430"/>
    <w:rsid w:val="004A4131"/>
    <w:rsid w:val="004A4553"/>
    <w:rsid w:val="004A4639"/>
    <w:rsid w:val="004A4717"/>
    <w:rsid w:val="004A472F"/>
    <w:rsid w:val="004A47D2"/>
    <w:rsid w:val="004A4C7D"/>
    <w:rsid w:val="004A569C"/>
    <w:rsid w:val="004A56BB"/>
    <w:rsid w:val="004A57B3"/>
    <w:rsid w:val="004A5A1D"/>
    <w:rsid w:val="004A5CF2"/>
    <w:rsid w:val="004A62F2"/>
    <w:rsid w:val="004A65D0"/>
    <w:rsid w:val="004A6BC3"/>
    <w:rsid w:val="004A7F99"/>
    <w:rsid w:val="004B0ED4"/>
    <w:rsid w:val="004B1751"/>
    <w:rsid w:val="004B1A15"/>
    <w:rsid w:val="004B2674"/>
    <w:rsid w:val="004B2992"/>
    <w:rsid w:val="004B2C3F"/>
    <w:rsid w:val="004B3A6B"/>
    <w:rsid w:val="004B49AF"/>
    <w:rsid w:val="004B4C63"/>
    <w:rsid w:val="004B5244"/>
    <w:rsid w:val="004B551B"/>
    <w:rsid w:val="004B57A4"/>
    <w:rsid w:val="004B5E84"/>
    <w:rsid w:val="004B6431"/>
    <w:rsid w:val="004B6B69"/>
    <w:rsid w:val="004B6DF6"/>
    <w:rsid w:val="004B749A"/>
    <w:rsid w:val="004B7730"/>
    <w:rsid w:val="004B7907"/>
    <w:rsid w:val="004B7EC4"/>
    <w:rsid w:val="004C0253"/>
    <w:rsid w:val="004C0500"/>
    <w:rsid w:val="004C0677"/>
    <w:rsid w:val="004C085E"/>
    <w:rsid w:val="004C0D97"/>
    <w:rsid w:val="004C0F9B"/>
    <w:rsid w:val="004C15BB"/>
    <w:rsid w:val="004C1D62"/>
    <w:rsid w:val="004C2240"/>
    <w:rsid w:val="004C2488"/>
    <w:rsid w:val="004C2548"/>
    <w:rsid w:val="004C2E45"/>
    <w:rsid w:val="004C310F"/>
    <w:rsid w:val="004C35AA"/>
    <w:rsid w:val="004C457E"/>
    <w:rsid w:val="004C499E"/>
    <w:rsid w:val="004C4C6A"/>
    <w:rsid w:val="004C5000"/>
    <w:rsid w:val="004C5246"/>
    <w:rsid w:val="004C53A0"/>
    <w:rsid w:val="004C5F04"/>
    <w:rsid w:val="004C629F"/>
    <w:rsid w:val="004C63EC"/>
    <w:rsid w:val="004C7578"/>
    <w:rsid w:val="004C7953"/>
    <w:rsid w:val="004C7BE1"/>
    <w:rsid w:val="004C7CEF"/>
    <w:rsid w:val="004D00B3"/>
    <w:rsid w:val="004D00C6"/>
    <w:rsid w:val="004D0199"/>
    <w:rsid w:val="004D03F1"/>
    <w:rsid w:val="004D0A3A"/>
    <w:rsid w:val="004D0F63"/>
    <w:rsid w:val="004D128D"/>
    <w:rsid w:val="004D18D9"/>
    <w:rsid w:val="004D1CB6"/>
    <w:rsid w:val="004D1EB5"/>
    <w:rsid w:val="004D2B1F"/>
    <w:rsid w:val="004D2E5D"/>
    <w:rsid w:val="004D33E5"/>
    <w:rsid w:val="004D39A4"/>
    <w:rsid w:val="004D3A27"/>
    <w:rsid w:val="004D3C81"/>
    <w:rsid w:val="004D42E2"/>
    <w:rsid w:val="004D4639"/>
    <w:rsid w:val="004D4FEE"/>
    <w:rsid w:val="004D56FF"/>
    <w:rsid w:val="004D598D"/>
    <w:rsid w:val="004D5FD5"/>
    <w:rsid w:val="004D64B2"/>
    <w:rsid w:val="004D65DF"/>
    <w:rsid w:val="004D6627"/>
    <w:rsid w:val="004D6AE3"/>
    <w:rsid w:val="004D6E56"/>
    <w:rsid w:val="004D6FF1"/>
    <w:rsid w:val="004D74C2"/>
    <w:rsid w:val="004D770A"/>
    <w:rsid w:val="004D7CE6"/>
    <w:rsid w:val="004E01AF"/>
    <w:rsid w:val="004E0A2F"/>
    <w:rsid w:val="004E0BD1"/>
    <w:rsid w:val="004E0C23"/>
    <w:rsid w:val="004E0DB9"/>
    <w:rsid w:val="004E0FB2"/>
    <w:rsid w:val="004E1875"/>
    <w:rsid w:val="004E1A64"/>
    <w:rsid w:val="004E20E8"/>
    <w:rsid w:val="004E2953"/>
    <w:rsid w:val="004E328C"/>
    <w:rsid w:val="004E341A"/>
    <w:rsid w:val="004E3483"/>
    <w:rsid w:val="004E34A6"/>
    <w:rsid w:val="004E3521"/>
    <w:rsid w:val="004E39D3"/>
    <w:rsid w:val="004E507E"/>
    <w:rsid w:val="004E508A"/>
    <w:rsid w:val="004E585F"/>
    <w:rsid w:val="004E5E6A"/>
    <w:rsid w:val="004E616D"/>
    <w:rsid w:val="004E63BD"/>
    <w:rsid w:val="004E63C0"/>
    <w:rsid w:val="004E6571"/>
    <w:rsid w:val="004E6B31"/>
    <w:rsid w:val="004E6FA5"/>
    <w:rsid w:val="004E78DD"/>
    <w:rsid w:val="004E7D67"/>
    <w:rsid w:val="004E7DFA"/>
    <w:rsid w:val="004F07D8"/>
    <w:rsid w:val="004F0D4F"/>
    <w:rsid w:val="004F0E08"/>
    <w:rsid w:val="004F100E"/>
    <w:rsid w:val="004F10B3"/>
    <w:rsid w:val="004F12F7"/>
    <w:rsid w:val="004F1686"/>
    <w:rsid w:val="004F1BDE"/>
    <w:rsid w:val="004F1E92"/>
    <w:rsid w:val="004F2CEE"/>
    <w:rsid w:val="004F2DDD"/>
    <w:rsid w:val="004F303D"/>
    <w:rsid w:val="004F32D1"/>
    <w:rsid w:val="004F3616"/>
    <w:rsid w:val="004F3936"/>
    <w:rsid w:val="004F53AB"/>
    <w:rsid w:val="004F5552"/>
    <w:rsid w:val="004F556E"/>
    <w:rsid w:val="004F562D"/>
    <w:rsid w:val="004F57B6"/>
    <w:rsid w:val="004F69DA"/>
    <w:rsid w:val="004F6DE4"/>
    <w:rsid w:val="004F6E94"/>
    <w:rsid w:val="004F798E"/>
    <w:rsid w:val="004F7AC2"/>
    <w:rsid w:val="004F7BB4"/>
    <w:rsid w:val="004F7BF3"/>
    <w:rsid w:val="004F7F19"/>
    <w:rsid w:val="004F7F44"/>
    <w:rsid w:val="004F7F63"/>
    <w:rsid w:val="0050084C"/>
    <w:rsid w:val="00500EF0"/>
    <w:rsid w:val="005010AD"/>
    <w:rsid w:val="005017DE"/>
    <w:rsid w:val="00501A05"/>
    <w:rsid w:val="00501AC6"/>
    <w:rsid w:val="00502203"/>
    <w:rsid w:val="005022C2"/>
    <w:rsid w:val="005026D7"/>
    <w:rsid w:val="00502C34"/>
    <w:rsid w:val="005037B4"/>
    <w:rsid w:val="00504380"/>
    <w:rsid w:val="00504603"/>
    <w:rsid w:val="00504BF3"/>
    <w:rsid w:val="0050567C"/>
    <w:rsid w:val="00505B0F"/>
    <w:rsid w:val="00505B81"/>
    <w:rsid w:val="005064F6"/>
    <w:rsid w:val="005064FD"/>
    <w:rsid w:val="00506ABF"/>
    <w:rsid w:val="00506B68"/>
    <w:rsid w:val="00506E65"/>
    <w:rsid w:val="00506F81"/>
    <w:rsid w:val="005079BF"/>
    <w:rsid w:val="00507A14"/>
    <w:rsid w:val="00510402"/>
    <w:rsid w:val="00510BCF"/>
    <w:rsid w:val="00510F4D"/>
    <w:rsid w:val="0051142B"/>
    <w:rsid w:val="00511675"/>
    <w:rsid w:val="00511E69"/>
    <w:rsid w:val="005123C9"/>
    <w:rsid w:val="0051277C"/>
    <w:rsid w:val="00513698"/>
    <w:rsid w:val="00513CCC"/>
    <w:rsid w:val="00514374"/>
    <w:rsid w:val="005144DF"/>
    <w:rsid w:val="005145AA"/>
    <w:rsid w:val="00514913"/>
    <w:rsid w:val="00514E4B"/>
    <w:rsid w:val="00514F9C"/>
    <w:rsid w:val="005155CC"/>
    <w:rsid w:val="00515670"/>
    <w:rsid w:val="00515847"/>
    <w:rsid w:val="00516558"/>
    <w:rsid w:val="00516F2C"/>
    <w:rsid w:val="005170E7"/>
    <w:rsid w:val="00517712"/>
    <w:rsid w:val="00517A35"/>
    <w:rsid w:val="00517B50"/>
    <w:rsid w:val="00517E5C"/>
    <w:rsid w:val="00520278"/>
    <w:rsid w:val="005202B0"/>
    <w:rsid w:val="00520341"/>
    <w:rsid w:val="005203AE"/>
    <w:rsid w:val="00520B17"/>
    <w:rsid w:val="005211AC"/>
    <w:rsid w:val="005212CE"/>
    <w:rsid w:val="005216EC"/>
    <w:rsid w:val="005219E7"/>
    <w:rsid w:val="00521B00"/>
    <w:rsid w:val="00522A93"/>
    <w:rsid w:val="00522AD2"/>
    <w:rsid w:val="00523673"/>
    <w:rsid w:val="00523BF0"/>
    <w:rsid w:val="00523E75"/>
    <w:rsid w:val="0052419D"/>
    <w:rsid w:val="00524511"/>
    <w:rsid w:val="0052483B"/>
    <w:rsid w:val="00524A04"/>
    <w:rsid w:val="0052558E"/>
    <w:rsid w:val="005255AD"/>
    <w:rsid w:val="00525C24"/>
    <w:rsid w:val="00526130"/>
    <w:rsid w:val="0052642E"/>
    <w:rsid w:val="00527912"/>
    <w:rsid w:val="00527B5A"/>
    <w:rsid w:val="0053009C"/>
    <w:rsid w:val="00530155"/>
    <w:rsid w:val="00530190"/>
    <w:rsid w:val="00530652"/>
    <w:rsid w:val="00530EDE"/>
    <w:rsid w:val="00530FB5"/>
    <w:rsid w:val="00531B9A"/>
    <w:rsid w:val="00531D15"/>
    <w:rsid w:val="0053263E"/>
    <w:rsid w:val="00532BAD"/>
    <w:rsid w:val="00532FC7"/>
    <w:rsid w:val="00533AD0"/>
    <w:rsid w:val="00533B56"/>
    <w:rsid w:val="00533BB5"/>
    <w:rsid w:val="00534198"/>
    <w:rsid w:val="005345C9"/>
    <w:rsid w:val="00534647"/>
    <w:rsid w:val="005353A3"/>
    <w:rsid w:val="005353D8"/>
    <w:rsid w:val="0053555A"/>
    <w:rsid w:val="00535849"/>
    <w:rsid w:val="00535931"/>
    <w:rsid w:val="00535F1C"/>
    <w:rsid w:val="00535FE4"/>
    <w:rsid w:val="00536AF8"/>
    <w:rsid w:val="00536D51"/>
    <w:rsid w:val="00537478"/>
    <w:rsid w:val="00537604"/>
    <w:rsid w:val="0053781E"/>
    <w:rsid w:val="00537CAB"/>
    <w:rsid w:val="00537FCD"/>
    <w:rsid w:val="00540805"/>
    <w:rsid w:val="0054089A"/>
    <w:rsid w:val="005409C8"/>
    <w:rsid w:val="00540AF6"/>
    <w:rsid w:val="00540F4E"/>
    <w:rsid w:val="00541145"/>
    <w:rsid w:val="005413E9"/>
    <w:rsid w:val="00542047"/>
    <w:rsid w:val="005420B7"/>
    <w:rsid w:val="005420ED"/>
    <w:rsid w:val="00542377"/>
    <w:rsid w:val="005423AF"/>
    <w:rsid w:val="00542E5D"/>
    <w:rsid w:val="00543055"/>
    <w:rsid w:val="005432EE"/>
    <w:rsid w:val="005438AD"/>
    <w:rsid w:val="00543F14"/>
    <w:rsid w:val="00544508"/>
    <w:rsid w:val="0054475B"/>
    <w:rsid w:val="005449B9"/>
    <w:rsid w:val="00545096"/>
    <w:rsid w:val="00545263"/>
    <w:rsid w:val="0054666F"/>
    <w:rsid w:val="00546AC4"/>
    <w:rsid w:val="00546B8A"/>
    <w:rsid w:val="00546C94"/>
    <w:rsid w:val="005471A6"/>
    <w:rsid w:val="005472F5"/>
    <w:rsid w:val="00547525"/>
    <w:rsid w:val="0054764F"/>
    <w:rsid w:val="005476EB"/>
    <w:rsid w:val="00550593"/>
    <w:rsid w:val="0055064E"/>
    <w:rsid w:val="005507BB"/>
    <w:rsid w:val="00550956"/>
    <w:rsid w:val="00550B59"/>
    <w:rsid w:val="00550EDF"/>
    <w:rsid w:val="00551553"/>
    <w:rsid w:val="00551782"/>
    <w:rsid w:val="00551D52"/>
    <w:rsid w:val="005520A0"/>
    <w:rsid w:val="0055241A"/>
    <w:rsid w:val="00552E86"/>
    <w:rsid w:val="005538B5"/>
    <w:rsid w:val="00553B25"/>
    <w:rsid w:val="00553F71"/>
    <w:rsid w:val="00555182"/>
    <w:rsid w:val="0055528B"/>
    <w:rsid w:val="005554C3"/>
    <w:rsid w:val="005555C5"/>
    <w:rsid w:val="00556648"/>
    <w:rsid w:val="0055684D"/>
    <w:rsid w:val="00556C13"/>
    <w:rsid w:val="00556D03"/>
    <w:rsid w:val="00556F8B"/>
    <w:rsid w:val="0055702F"/>
    <w:rsid w:val="0055707D"/>
    <w:rsid w:val="0055773C"/>
    <w:rsid w:val="00557BE8"/>
    <w:rsid w:val="00560886"/>
    <w:rsid w:val="00560BA6"/>
    <w:rsid w:val="005613D7"/>
    <w:rsid w:val="005614BA"/>
    <w:rsid w:val="005619C3"/>
    <w:rsid w:val="005622DB"/>
    <w:rsid w:val="00562497"/>
    <w:rsid w:val="00562932"/>
    <w:rsid w:val="0056298E"/>
    <w:rsid w:val="00562C22"/>
    <w:rsid w:val="0056343A"/>
    <w:rsid w:val="005636BC"/>
    <w:rsid w:val="00563DC6"/>
    <w:rsid w:val="00563EF1"/>
    <w:rsid w:val="00564191"/>
    <w:rsid w:val="00564425"/>
    <w:rsid w:val="00564568"/>
    <w:rsid w:val="00564803"/>
    <w:rsid w:val="00564FFA"/>
    <w:rsid w:val="005657E5"/>
    <w:rsid w:val="0056618D"/>
    <w:rsid w:val="005664AA"/>
    <w:rsid w:val="005664B0"/>
    <w:rsid w:val="00566731"/>
    <w:rsid w:val="005669B1"/>
    <w:rsid w:val="005669C0"/>
    <w:rsid w:val="00566AB4"/>
    <w:rsid w:val="00566B7C"/>
    <w:rsid w:val="0056777E"/>
    <w:rsid w:val="005678F1"/>
    <w:rsid w:val="00567982"/>
    <w:rsid w:val="00567C5B"/>
    <w:rsid w:val="005702B8"/>
    <w:rsid w:val="00570DD5"/>
    <w:rsid w:val="0057104B"/>
    <w:rsid w:val="00571124"/>
    <w:rsid w:val="005714A1"/>
    <w:rsid w:val="00571596"/>
    <w:rsid w:val="0057181A"/>
    <w:rsid w:val="00571D79"/>
    <w:rsid w:val="005725CC"/>
    <w:rsid w:val="00572B0B"/>
    <w:rsid w:val="00572D24"/>
    <w:rsid w:val="005733B0"/>
    <w:rsid w:val="005736E1"/>
    <w:rsid w:val="00573AC8"/>
    <w:rsid w:val="00573C52"/>
    <w:rsid w:val="00573E42"/>
    <w:rsid w:val="0057463E"/>
    <w:rsid w:val="005750AD"/>
    <w:rsid w:val="00575207"/>
    <w:rsid w:val="00575469"/>
    <w:rsid w:val="00575669"/>
    <w:rsid w:val="005757BB"/>
    <w:rsid w:val="00575855"/>
    <w:rsid w:val="00575AC5"/>
    <w:rsid w:val="00575ED7"/>
    <w:rsid w:val="00575F1E"/>
    <w:rsid w:val="0057605D"/>
    <w:rsid w:val="00576F62"/>
    <w:rsid w:val="005774AC"/>
    <w:rsid w:val="005774B5"/>
    <w:rsid w:val="005778FC"/>
    <w:rsid w:val="00577AE1"/>
    <w:rsid w:val="00580C7E"/>
    <w:rsid w:val="00581347"/>
    <w:rsid w:val="00581602"/>
    <w:rsid w:val="00581AC9"/>
    <w:rsid w:val="00582A18"/>
    <w:rsid w:val="00582B5E"/>
    <w:rsid w:val="00582B98"/>
    <w:rsid w:val="0058301D"/>
    <w:rsid w:val="005832D7"/>
    <w:rsid w:val="00583612"/>
    <w:rsid w:val="00583825"/>
    <w:rsid w:val="00583B0C"/>
    <w:rsid w:val="0058424A"/>
    <w:rsid w:val="00584254"/>
    <w:rsid w:val="005842B3"/>
    <w:rsid w:val="005849A5"/>
    <w:rsid w:val="005849F0"/>
    <w:rsid w:val="005849F8"/>
    <w:rsid w:val="00584D6F"/>
    <w:rsid w:val="00584E2F"/>
    <w:rsid w:val="00585579"/>
    <w:rsid w:val="005855BD"/>
    <w:rsid w:val="00585A85"/>
    <w:rsid w:val="00586653"/>
    <w:rsid w:val="00586810"/>
    <w:rsid w:val="00586942"/>
    <w:rsid w:val="00586A9B"/>
    <w:rsid w:val="00586FCE"/>
    <w:rsid w:val="005873C0"/>
    <w:rsid w:val="00587CDC"/>
    <w:rsid w:val="00587D6A"/>
    <w:rsid w:val="00587E63"/>
    <w:rsid w:val="005900E4"/>
    <w:rsid w:val="00590149"/>
    <w:rsid w:val="00590925"/>
    <w:rsid w:val="005910F1"/>
    <w:rsid w:val="0059252B"/>
    <w:rsid w:val="005929F9"/>
    <w:rsid w:val="00592EF2"/>
    <w:rsid w:val="005931BD"/>
    <w:rsid w:val="005936E8"/>
    <w:rsid w:val="005938DF"/>
    <w:rsid w:val="00593B4A"/>
    <w:rsid w:val="00593CB1"/>
    <w:rsid w:val="00593D3A"/>
    <w:rsid w:val="00593E4F"/>
    <w:rsid w:val="00593F12"/>
    <w:rsid w:val="00594304"/>
    <w:rsid w:val="005947E7"/>
    <w:rsid w:val="00594E9C"/>
    <w:rsid w:val="00594EA8"/>
    <w:rsid w:val="00595321"/>
    <w:rsid w:val="0059562E"/>
    <w:rsid w:val="00595653"/>
    <w:rsid w:val="00595EB8"/>
    <w:rsid w:val="0059600B"/>
    <w:rsid w:val="0059600E"/>
    <w:rsid w:val="0059723F"/>
    <w:rsid w:val="00597700"/>
    <w:rsid w:val="005A01B5"/>
    <w:rsid w:val="005A0254"/>
    <w:rsid w:val="005A096E"/>
    <w:rsid w:val="005A099B"/>
    <w:rsid w:val="005A0F9D"/>
    <w:rsid w:val="005A115D"/>
    <w:rsid w:val="005A1F7C"/>
    <w:rsid w:val="005A2C74"/>
    <w:rsid w:val="005A2CED"/>
    <w:rsid w:val="005A2D90"/>
    <w:rsid w:val="005A2D9C"/>
    <w:rsid w:val="005A3079"/>
    <w:rsid w:val="005A3378"/>
    <w:rsid w:val="005A3E2F"/>
    <w:rsid w:val="005A4778"/>
    <w:rsid w:val="005A4E7F"/>
    <w:rsid w:val="005A55FE"/>
    <w:rsid w:val="005A5B31"/>
    <w:rsid w:val="005A5C3D"/>
    <w:rsid w:val="005A68BC"/>
    <w:rsid w:val="005A6A11"/>
    <w:rsid w:val="005A6F41"/>
    <w:rsid w:val="005A7380"/>
    <w:rsid w:val="005A78A2"/>
    <w:rsid w:val="005B0A19"/>
    <w:rsid w:val="005B0FD5"/>
    <w:rsid w:val="005B12DD"/>
    <w:rsid w:val="005B1617"/>
    <w:rsid w:val="005B17D5"/>
    <w:rsid w:val="005B1A43"/>
    <w:rsid w:val="005B21C9"/>
    <w:rsid w:val="005B2514"/>
    <w:rsid w:val="005B2A20"/>
    <w:rsid w:val="005B2CF8"/>
    <w:rsid w:val="005B4F5A"/>
    <w:rsid w:val="005B5041"/>
    <w:rsid w:val="005B58FA"/>
    <w:rsid w:val="005B5D9D"/>
    <w:rsid w:val="005B60BC"/>
    <w:rsid w:val="005B656C"/>
    <w:rsid w:val="005B66D6"/>
    <w:rsid w:val="005B6A58"/>
    <w:rsid w:val="005B6C91"/>
    <w:rsid w:val="005B6DA4"/>
    <w:rsid w:val="005B6DCE"/>
    <w:rsid w:val="005B7717"/>
    <w:rsid w:val="005B7CC4"/>
    <w:rsid w:val="005C07FD"/>
    <w:rsid w:val="005C0B45"/>
    <w:rsid w:val="005C0E4B"/>
    <w:rsid w:val="005C10C9"/>
    <w:rsid w:val="005C1E94"/>
    <w:rsid w:val="005C1EF5"/>
    <w:rsid w:val="005C1FAB"/>
    <w:rsid w:val="005C25F3"/>
    <w:rsid w:val="005C2AD4"/>
    <w:rsid w:val="005C2D96"/>
    <w:rsid w:val="005C369B"/>
    <w:rsid w:val="005C3860"/>
    <w:rsid w:val="005C4591"/>
    <w:rsid w:val="005C4631"/>
    <w:rsid w:val="005C48FE"/>
    <w:rsid w:val="005C4D1C"/>
    <w:rsid w:val="005C5305"/>
    <w:rsid w:val="005C5643"/>
    <w:rsid w:val="005C6052"/>
    <w:rsid w:val="005C6455"/>
    <w:rsid w:val="005C66C0"/>
    <w:rsid w:val="005C68A1"/>
    <w:rsid w:val="005C7D2A"/>
    <w:rsid w:val="005C7E5B"/>
    <w:rsid w:val="005C7ED8"/>
    <w:rsid w:val="005D01D8"/>
    <w:rsid w:val="005D0CDC"/>
    <w:rsid w:val="005D1968"/>
    <w:rsid w:val="005D1ADF"/>
    <w:rsid w:val="005D1B24"/>
    <w:rsid w:val="005D2200"/>
    <w:rsid w:val="005D2502"/>
    <w:rsid w:val="005D27DB"/>
    <w:rsid w:val="005D351E"/>
    <w:rsid w:val="005D3529"/>
    <w:rsid w:val="005D3FB3"/>
    <w:rsid w:val="005D42F8"/>
    <w:rsid w:val="005D4594"/>
    <w:rsid w:val="005D47F3"/>
    <w:rsid w:val="005D49BF"/>
    <w:rsid w:val="005D4A87"/>
    <w:rsid w:val="005D4B27"/>
    <w:rsid w:val="005D50EF"/>
    <w:rsid w:val="005D518B"/>
    <w:rsid w:val="005D51D0"/>
    <w:rsid w:val="005D58B8"/>
    <w:rsid w:val="005D64D4"/>
    <w:rsid w:val="005D6F4E"/>
    <w:rsid w:val="005D7577"/>
    <w:rsid w:val="005D78CA"/>
    <w:rsid w:val="005E0F6C"/>
    <w:rsid w:val="005E1026"/>
    <w:rsid w:val="005E142B"/>
    <w:rsid w:val="005E1BCD"/>
    <w:rsid w:val="005E1D77"/>
    <w:rsid w:val="005E1FF9"/>
    <w:rsid w:val="005E2D25"/>
    <w:rsid w:val="005E2EE9"/>
    <w:rsid w:val="005E3ACD"/>
    <w:rsid w:val="005E4651"/>
    <w:rsid w:val="005E4C4D"/>
    <w:rsid w:val="005E54AD"/>
    <w:rsid w:val="005E5504"/>
    <w:rsid w:val="005E573B"/>
    <w:rsid w:val="005E5C27"/>
    <w:rsid w:val="005E7226"/>
    <w:rsid w:val="005E76BB"/>
    <w:rsid w:val="005E7840"/>
    <w:rsid w:val="005E7A57"/>
    <w:rsid w:val="005E7AE1"/>
    <w:rsid w:val="005F0008"/>
    <w:rsid w:val="005F08FB"/>
    <w:rsid w:val="005F1766"/>
    <w:rsid w:val="005F1E5A"/>
    <w:rsid w:val="005F2133"/>
    <w:rsid w:val="005F2234"/>
    <w:rsid w:val="005F24B0"/>
    <w:rsid w:val="005F2757"/>
    <w:rsid w:val="005F2A1C"/>
    <w:rsid w:val="005F2B2F"/>
    <w:rsid w:val="005F362C"/>
    <w:rsid w:val="005F3CFF"/>
    <w:rsid w:val="005F4188"/>
    <w:rsid w:val="005F4BFB"/>
    <w:rsid w:val="005F59FE"/>
    <w:rsid w:val="005F5CC0"/>
    <w:rsid w:val="005F5E05"/>
    <w:rsid w:val="005F60E6"/>
    <w:rsid w:val="005F6C33"/>
    <w:rsid w:val="005F6C85"/>
    <w:rsid w:val="005F6E72"/>
    <w:rsid w:val="005F6EDD"/>
    <w:rsid w:val="005F74F0"/>
    <w:rsid w:val="005F7D24"/>
    <w:rsid w:val="005F7DAF"/>
    <w:rsid w:val="006003B3"/>
    <w:rsid w:val="00600482"/>
    <w:rsid w:val="006008B5"/>
    <w:rsid w:val="00601066"/>
    <w:rsid w:val="00602179"/>
    <w:rsid w:val="006028FC"/>
    <w:rsid w:val="00602955"/>
    <w:rsid w:val="00602BB0"/>
    <w:rsid w:val="0060399C"/>
    <w:rsid w:val="006039D0"/>
    <w:rsid w:val="00604315"/>
    <w:rsid w:val="00604B30"/>
    <w:rsid w:val="00604B4A"/>
    <w:rsid w:val="00604BA2"/>
    <w:rsid w:val="00604E26"/>
    <w:rsid w:val="00605081"/>
    <w:rsid w:val="006052CF"/>
    <w:rsid w:val="00605B13"/>
    <w:rsid w:val="00605ECF"/>
    <w:rsid w:val="0060614D"/>
    <w:rsid w:val="00606230"/>
    <w:rsid w:val="00607631"/>
    <w:rsid w:val="00607691"/>
    <w:rsid w:val="00607A5A"/>
    <w:rsid w:val="00607B8D"/>
    <w:rsid w:val="00610449"/>
    <w:rsid w:val="00610D42"/>
    <w:rsid w:val="00610DEB"/>
    <w:rsid w:val="006111C5"/>
    <w:rsid w:val="00611560"/>
    <w:rsid w:val="00611B2E"/>
    <w:rsid w:val="00611D03"/>
    <w:rsid w:val="00611D3D"/>
    <w:rsid w:val="00611F5C"/>
    <w:rsid w:val="00611FCB"/>
    <w:rsid w:val="0061295C"/>
    <w:rsid w:val="00612962"/>
    <w:rsid w:val="00612997"/>
    <w:rsid w:val="00613427"/>
    <w:rsid w:val="00613BB7"/>
    <w:rsid w:val="00613D28"/>
    <w:rsid w:val="0061432B"/>
    <w:rsid w:val="00614B3B"/>
    <w:rsid w:val="00616241"/>
    <w:rsid w:val="0061664B"/>
    <w:rsid w:val="0061679D"/>
    <w:rsid w:val="00616A19"/>
    <w:rsid w:val="00616E09"/>
    <w:rsid w:val="00617578"/>
    <w:rsid w:val="00617CA6"/>
    <w:rsid w:val="00620013"/>
    <w:rsid w:val="00620D6A"/>
    <w:rsid w:val="006219DC"/>
    <w:rsid w:val="00621DEC"/>
    <w:rsid w:val="00621EAC"/>
    <w:rsid w:val="00622217"/>
    <w:rsid w:val="00622645"/>
    <w:rsid w:val="00622735"/>
    <w:rsid w:val="00622A3B"/>
    <w:rsid w:val="00622EEA"/>
    <w:rsid w:val="006235AA"/>
    <w:rsid w:val="0062396C"/>
    <w:rsid w:val="00623CAF"/>
    <w:rsid w:val="00623DA3"/>
    <w:rsid w:val="00623DE8"/>
    <w:rsid w:val="00623ED3"/>
    <w:rsid w:val="00623FF9"/>
    <w:rsid w:val="00624472"/>
    <w:rsid w:val="0062471A"/>
    <w:rsid w:val="00624E99"/>
    <w:rsid w:val="00624FF7"/>
    <w:rsid w:val="00625615"/>
    <w:rsid w:val="00626351"/>
    <w:rsid w:val="00626827"/>
    <w:rsid w:val="00626AB9"/>
    <w:rsid w:val="00626B74"/>
    <w:rsid w:val="006272DF"/>
    <w:rsid w:val="006273FF"/>
    <w:rsid w:val="00627680"/>
    <w:rsid w:val="00627BD8"/>
    <w:rsid w:val="00627D10"/>
    <w:rsid w:val="00627D4E"/>
    <w:rsid w:val="006301AC"/>
    <w:rsid w:val="00630758"/>
    <w:rsid w:val="006307BB"/>
    <w:rsid w:val="006309B9"/>
    <w:rsid w:val="00631141"/>
    <w:rsid w:val="00631286"/>
    <w:rsid w:val="00631AB9"/>
    <w:rsid w:val="00631B35"/>
    <w:rsid w:val="006323EA"/>
    <w:rsid w:val="006326DC"/>
    <w:rsid w:val="00632AFB"/>
    <w:rsid w:val="00632B1D"/>
    <w:rsid w:val="00632B5A"/>
    <w:rsid w:val="00633419"/>
    <w:rsid w:val="00633822"/>
    <w:rsid w:val="00633954"/>
    <w:rsid w:val="00634051"/>
    <w:rsid w:val="00634478"/>
    <w:rsid w:val="006344AD"/>
    <w:rsid w:val="006348A8"/>
    <w:rsid w:val="00635125"/>
    <w:rsid w:val="006353C4"/>
    <w:rsid w:val="00635962"/>
    <w:rsid w:val="00635F30"/>
    <w:rsid w:val="00635FDA"/>
    <w:rsid w:val="00636354"/>
    <w:rsid w:val="006367C2"/>
    <w:rsid w:val="006368CF"/>
    <w:rsid w:val="006370AC"/>
    <w:rsid w:val="00637F88"/>
    <w:rsid w:val="00640224"/>
    <w:rsid w:val="006410D2"/>
    <w:rsid w:val="0064154C"/>
    <w:rsid w:val="0064163A"/>
    <w:rsid w:val="00641663"/>
    <w:rsid w:val="00641A3C"/>
    <w:rsid w:val="00641B3B"/>
    <w:rsid w:val="006420A0"/>
    <w:rsid w:val="00642A24"/>
    <w:rsid w:val="006433B3"/>
    <w:rsid w:val="0064344D"/>
    <w:rsid w:val="006434DF"/>
    <w:rsid w:val="00643D2C"/>
    <w:rsid w:val="00643ED5"/>
    <w:rsid w:val="0064419B"/>
    <w:rsid w:val="00644373"/>
    <w:rsid w:val="006454E3"/>
    <w:rsid w:val="0064563A"/>
    <w:rsid w:val="00645915"/>
    <w:rsid w:val="00645EEC"/>
    <w:rsid w:val="00646404"/>
    <w:rsid w:val="006467D0"/>
    <w:rsid w:val="0064698B"/>
    <w:rsid w:val="0064707C"/>
    <w:rsid w:val="00647860"/>
    <w:rsid w:val="00647E6E"/>
    <w:rsid w:val="00650363"/>
    <w:rsid w:val="006503A6"/>
    <w:rsid w:val="00650965"/>
    <w:rsid w:val="00650E99"/>
    <w:rsid w:val="00651077"/>
    <w:rsid w:val="0065164E"/>
    <w:rsid w:val="00651816"/>
    <w:rsid w:val="006519C3"/>
    <w:rsid w:val="00652B30"/>
    <w:rsid w:val="00652B87"/>
    <w:rsid w:val="0065321B"/>
    <w:rsid w:val="00653412"/>
    <w:rsid w:val="0065365B"/>
    <w:rsid w:val="00654179"/>
    <w:rsid w:val="00654C71"/>
    <w:rsid w:val="00654D2C"/>
    <w:rsid w:val="00654F32"/>
    <w:rsid w:val="006551FD"/>
    <w:rsid w:val="00655B0D"/>
    <w:rsid w:val="00655B8E"/>
    <w:rsid w:val="00655BBB"/>
    <w:rsid w:val="00655DD4"/>
    <w:rsid w:val="00655EB9"/>
    <w:rsid w:val="00656111"/>
    <w:rsid w:val="00656345"/>
    <w:rsid w:val="00656A4A"/>
    <w:rsid w:val="00656C51"/>
    <w:rsid w:val="00656DC6"/>
    <w:rsid w:val="00657037"/>
    <w:rsid w:val="00657B4B"/>
    <w:rsid w:val="00657FD1"/>
    <w:rsid w:val="006605F2"/>
    <w:rsid w:val="0066078A"/>
    <w:rsid w:val="00660E1F"/>
    <w:rsid w:val="0066155A"/>
    <w:rsid w:val="00661663"/>
    <w:rsid w:val="00661827"/>
    <w:rsid w:val="0066184A"/>
    <w:rsid w:val="00661899"/>
    <w:rsid w:val="00662BB2"/>
    <w:rsid w:val="00663545"/>
    <w:rsid w:val="00663B55"/>
    <w:rsid w:val="00663C68"/>
    <w:rsid w:val="00663F15"/>
    <w:rsid w:val="00663FCA"/>
    <w:rsid w:val="00664110"/>
    <w:rsid w:val="00664502"/>
    <w:rsid w:val="00664BEB"/>
    <w:rsid w:val="00664D17"/>
    <w:rsid w:val="00665CC7"/>
    <w:rsid w:val="00666353"/>
    <w:rsid w:val="00666520"/>
    <w:rsid w:val="00666660"/>
    <w:rsid w:val="006669A2"/>
    <w:rsid w:val="00666A53"/>
    <w:rsid w:val="006673A2"/>
    <w:rsid w:val="00667877"/>
    <w:rsid w:val="00667A4E"/>
    <w:rsid w:val="00667C04"/>
    <w:rsid w:val="00667C5B"/>
    <w:rsid w:val="00667D8D"/>
    <w:rsid w:val="00667E05"/>
    <w:rsid w:val="0067077B"/>
    <w:rsid w:val="00670957"/>
    <w:rsid w:val="00670D56"/>
    <w:rsid w:val="006715B9"/>
    <w:rsid w:val="00671BA2"/>
    <w:rsid w:val="00671D75"/>
    <w:rsid w:val="00671E6B"/>
    <w:rsid w:val="006729F9"/>
    <w:rsid w:val="00672ABE"/>
    <w:rsid w:val="00672B3D"/>
    <w:rsid w:val="00672C2C"/>
    <w:rsid w:val="0067330B"/>
    <w:rsid w:val="0067387E"/>
    <w:rsid w:val="00673B1F"/>
    <w:rsid w:val="00673F50"/>
    <w:rsid w:val="0067497B"/>
    <w:rsid w:val="00674986"/>
    <w:rsid w:val="0067539D"/>
    <w:rsid w:val="006755D4"/>
    <w:rsid w:val="0067577E"/>
    <w:rsid w:val="006758AA"/>
    <w:rsid w:val="0067597D"/>
    <w:rsid w:val="00676FD0"/>
    <w:rsid w:val="006771C6"/>
    <w:rsid w:val="00677D18"/>
    <w:rsid w:val="0068002B"/>
    <w:rsid w:val="0068058C"/>
    <w:rsid w:val="006816E9"/>
    <w:rsid w:val="00681823"/>
    <w:rsid w:val="006818A5"/>
    <w:rsid w:val="00681B45"/>
    <w:rsid w:val="00681F49"/>
    <w:rsid w:val="006821D2"/>
    <w:rsid w:val="00682527"/>
    <w:rsid w:val="00682B0B"/>
    <w:rsid w:val="00682D3D"/>
    <w:rsid w:val="00683DC3"/>
    <w:rsid w:val="00684448"/>
    <w:rsid w:val="00684AC0"/>
    <w:rsid w:val="00684CC6"/>
    <w:rsid w:val="006851D8"/>
    <w:rsid w:val="00685463"/>
    <w:rsid w:val="006862CA"/>
    <w:rsid w:val="00686D0D"/>
    <w:rsid w:val="006873A9"/>
    <w:rsid w:val="0069039A"/>
    <w:rsid w:val="00690776"/>
    <w:rsid w:val="0069122E"/>
    <w:rsid w:val="006925A7"/>
    <w:rsid w:val="006926A5"/>
    <w:rsid w:val="00692CDE"/>
    <w:rsid w:val="00692F44"/>
    <w:rsid w:val="00693073"/>
    <w:rsid w:val="006937B4"/>
    <w:rsid w:val="0069394E"/>
    <w:rsid w:val="00694192"/>
    <w:rsid w:val="00694272"/>
    <w:rsid w:val="0069466F"/>
    <w:rsid w:val="006946F8"/>
    <w:rsid w:val="00694902"/>
    <w:rsid w:val="0069523C"/>
    <w:rsid w:val="006953DF"/>
    <w:rsid w:val="00695BB6"/>
    <w:rsid w:val="00695CBC"/>
    <w:rsid w:val="00695DDE"/>
    <w:rsid w:val="00696AA9"/>
    <w:rsid w:val="00696DFC"/>
    <w:rsid w:val="00696F3B"/>
    <w:rsid w:val="00697671"/>
    <w:rsid w:val="006977EE"/>
    <w:rsid w:val="006977FF"/>
    <w:rsid w:val="00697E13"/>
    <w:rsid w:val="006A01FA"/>
    <w:rsid w:val="006A0E9E"/>
    <w:rsid w:val="006A156A"/>
    <w:rsid w:val="006A15C3"/>
    <w:rsid w:val="006A15FE"/>
    <w:rsid w:val="006A17DA"/>
    <w:rsid w:val="006A1BE8"/>
    <w:rsid w:val="006A2055"/>
    <w:rsid w:val="006A2187"/>
    <w:rsid w:val="006A25C7"/>
    <w:rsid w:val="006A3229"/>
    <w:rsid w:val="006A358D"/>
    <w:rsid w:val="006A3837"/>
    <w:rsid w:val="006A3E6A"/>
    <w:rsid w:val="006A446B"/>
    <w:rsid w:val="006A453A"/>
    <w:rsid w:val="006A4665"/>
    <w:rsid w:val="006A46A1"/>
    <w:rsid w:val="006A4714"/>
    <w:rsid w:val="006A4819"/>
    <w:rsid w:val="006A4AAD"/>
    <w:rsid w:val="006A4BD1"/>
    <w:rsid w:val="006A539B"/>
    <w:rsid w:val="006A56E5"/>
    <w:rsid w:val="006A58E3"/>
    <w:rsid w:val="006A5D6E"/>
    <w:rsid w:val="006A6279"/>
    <w:rsid w:val="006A6441"/>
    <w:rsid w:val="006A6A15"/>
    <w:rsid w:val="006A6DA2"/>
    <w:rsid w:val="006A6DDF"/>
    <w:rsid w:val="006A6FE9"/>
    <w:rsid w:val="006A78AF"/>
    <w:rsid w:val="006A79B3"/>
    <w:rsid w:val="006A7AB2"/>
    <w:rsid w:val="006A7E5A"/>
    <w:rsid w:val="006B0410"/>
    <w:rsid w:val="006B0A2B"/>
    <w:rsid w:val="006B131E"/>
    <w:rsid w:val="006B141D"/>
    <w:rsid w:val="006B1460"/>
    <w:rsid w:val="006B1870"/>
    <w:rsid w:val="006B19A9"/>
    <w:rsid w:val="006B1D7D"/>
    <w:rsid w:val="006B1E48"/>
    <w:rsid w:val="006B2896"/>
    <w:rsid w:val="006B2F34"/>
    <w:rsid w:val="006B3A73"/>
    <w:rsid w:val="006B3EE5"/>
    <w:rsid w:val="006B3F56"/>
    <w:rsid w:val="006B43D5"/>
    <w:rsid w:val="006B4D75"/>
    <w:rsid w:val="006B4D87"/>
    <w:rsid w:val="006B5717"/>
    <w:rsid w:val="006B582F"/>
    <w:rsid w:val="006B5C46"/>
    <w:rsid w:val="006B659B"/>
    <w:rsid w:val="006B696C"/>
    <w:rsid w:val="006B7017"/>
    <w:rsid w:val="006B7122"/>
    <w:rsid w:val="006B7AED"/>
    <w:rsid w:val="006C00DB"/>
    <w:rsid w:val="006C042C"/>
    <w:rsid w:val="006C051B"/>
    <w:rsid w:val="006C0CEB"/>
    <w:rsid w:val="006C11A4"/>
    <w:rsid w:val="006C14C4"/>
    <w:rsid w:val="006C167A"/>
    <w:rsid w:val="006C1D61"/>
    <w:rsid w:val="006C1EBA"/>
    <w:rsid w:val="006C2028"/>
    <w:rsid w:val="006C2425"/>
    <w:rsid w:val="006C2BE3"/>
    <w:rsid w:val="006C2DA0"/>
    <w:rsid w:val="006C2E41"/>
    <w:rsid w:val="006C2F83"/>
    <w:rsid w:val="006C32D4"/>
    <w:rsid w:val="006C384D"/>
    <w:rsid w:val="006C3AA1"/>
    <w:rsid w:val="006C3B1E"/>
    <w:rsid w:val="006C3EA4"/>
    <w:rsid w:val="006C47FD"/>
    <w:rsid w:val="006C4835"/>
    <w:rsid w:val="006C4A63"/>
    <w:rsid w:val="006C4E73"/>
    <w:rsid w:val="006C509C"/>
    <w:rsid w:val="006C5539"/>
    <w:rsid w:val="006C5D77"/>
    <w:rsid w:val="006C5F54"/>
    <w:rsid w:val="006C5FBF"/>
    <w:rsid w:val="006C6749"/>
    <w:rsid w:val="006C6CA8"/>
    <w:rsid w:val="006C70A0"/>
    <w:rsid w:val="006C7338"/>
    <w:rsid w:val="006C7545"/>
    <w:rsid w:val="006C7629"/>
    <w:rsid w:val="006C7E5A"/>
    <w:rsid w:val="006D008B"/>
    <w:rsid w:val="006D0727"/>
    <w:rsid w:val="006D0956"/>
    <w:rsid w:val="006D0B2E"/>
    <w:rsid w:val="006D0B51"/>
    <w:rsid w:val="006D0D76"/>
    <w:rsid w:val="006D14AE"/>
    <w:rsid w:val="006D15E1"/>
    <w:rsid w:val="006D17A8"/>
    <w:rsid w:val="006D1852"/>
    <w:rsid w:val="006D1CC8"/>
    <w:rsid w:val="006D24CB"/>
    <w:rsid w:val="006D267B"/>
    <w:rsid w:val="006D27CB"/>
    <w:rsid w:val="006D2895"/>
    <w:rsid w:val="006D2B50"/>
    <w:rsid w:val="006D2F08"/>
    <w:rsid w:val="006D326C"/>
    <w:rsid w:val="006D3EF8"/>
    <w:rsid w:val="006D3FD9"/>
    <w:rsid w:val="006D4502"/>
    <w:rsid w:val="006D4DF4"/>
    <w:rsid w:val="006D5069"/>
    <w:rsid w:val="006D576C"/>
    <w:rsid w:val="006D5865"/>
    <w:rsid w:val="006D5BAC"/>
    <w:rsid w:val="006D5DF0"/>
    <w:rsid w:val="006D6418"/>
    <w:rsid w:val="006D6EB9"/>
    <w:rsid w:val="006D723C"/>
    <w:rsid w:val="006E0939"/>
    <w:rsid w:val="006E0A78"/>
    <w:rsid w:val="006E0EA6"/>
    <w:rsid w:val="006E1151"/>
    <w:rsid w:val="006E1F3C"/>
    <w:rsid w:val="006E207D"/>
    <w:rsid w:val="006E20C7"/>
    <w:rsid w:val="006E237A"/>
    <w:rsid w:val="006E304F"/>
    <w:rsid w:val="006E3C56"/>
    <w:rsid w:val="006E3DF6"/>
    <w:rsid w:val="006E4677"/>
    <w:rsid w:val="006E478D"/>
    <w:rsid w:val="006E47F1"/>
    <w:rsid w:val="006E4B1B"/>
    <w:rsid w:val="006E4BF4"/>
    <w:rsid w:val="006E53C4"/>
    <w:rsid w:val="006E5445"/>
    <w:rsid w:val="006E59E7"/>
    <w:rsid w:val="006E617A"/>
    <w:rsid w:val="006E6508"/>
    <w:rsid w:val="006E6FD6"/>
    <w:rsid w:val="006E71A2"/>
    <w:rsid w:val="006E7488"/>
    <w:rsid w:val="006E7650"/>
    <w:rsid w:val="006E79A2"/>
    <w:rsid w:val="006E7D93"/>
    <w:rsid w:val="006F011D"/>
    <w:rsid w:val="006F0ABD"/>
    <w:rsid w:val="006F0BD5"/>
    <w:rsid w:val="006F0D6E"/>
    <w:rsid w:val="006F115E"/>
    <w:rsid w:val="006F1165"/>
    <w:rsid w:val="006F125A"/>
    <w:rsid w:val="006F1699"/>
    <w:rsid w:val="006F18D7"/>
    <w:rsid w:val="006F1939"/>
    <w:rsid w:val="006F1CBC"/>
    <w:rsid w:val="006F1F7F"/>
    <w:rsid w:val="006F236A"/>
    <w:rsid w:val="006F248C"/>
    <w:rsid w:val="006F293A"/>
    <w:rsid w:val="006F3141"/>
    <w:rsid w:val="006F3384"/>
    <w:rsid w:val="006F36F5"/>
    <w:rsid w:val="006F3D58"/>
    <w:rsid w:val="006F4327"/>
    <w:rsid w:val="006F441A"/>
    <w:rsid w:val="006F476B"/>
    <w:rsid w:val="006F50F1"/>
    <w:rsid w:val="006F5602"/>
    <w:rsid w:val="006F5E5E"/>
    <w:rsid w:val="006F6288"/>
    <w:rsid w:val="006F63CA"/>
    <w:rsid w:val="006F6756"/>
    <w:rsid w:val="006F75DF"/>
    <w:rsid w:val="00700671"/>
    <w:rsid w:val="007006D4"/>
    <w:rsid w:val="00700B10"/>
    <w:rsid w:val="0070155C"/>
    <w:rsid w:val="00701C63"/>
    <w:rsid w:val="00701CE1"/>
    <w:rsid w:val="00702250"/>
    <w:rsid w:val="007022CA"/>
    <w:rsid w:val="00702601"/>
    <w:rsid w:val="007026E9"/>
    <w:rsid w:val="007029A3"/>
    <w:rsid w:val="00703A0D"/>
    <w:rsid w:val="00704415"/>
    <w:rsid w:val="007046CA"/>
    <w:rsid w:val="0070495C"/>
    <w:rsid w:val="00705052"/>
    <w:rsid w:val="00705B3F"/>
    <w:rsid w:val="0070644F"/>
    <w:rsid w:val="00706E4E"/>
    <w:rsid w:val="007077C3"/>
    <w:rsid w:val="007078BE"/>
    <w:rsid w:val="0070791C"/>
    <w:rsid w:val="00707D2F"/>
    <w:rsid w:val="00710589"/>
    <w:rsid w:val="007106DD"/>
    <w:rsid w:val="0071087E"/>
    <w:rsid w:val="00711910"/>
    <w:rsid w:val="00711A38"/>
    <w:rsid w:val="00711EDA"/>
    <w:rsid w:val="0071277E"/>
    <w:rsid w:val="007129EA"/>
    <w:rsid w:val="00712F21"/>
    <w:rsid w:val="0071383C"/>
    <w:rsid w:val="00713E4E"/>
    <w:rsid w:val="0071402A"/>
    <w:rsid w:val="007141A7"/>
    <w:rsid w:val="00714999"/>
    <w:rsid w:val="00714E00"/>
    <w:rsid w:val="00715495"/>
    <w:rsid w:val="0071562A"/>
    <w:rsid w:val="00715A5D"/>
    <w:rsid w:val="00715FE9"/>
    <w:rsid w:val="00716260"/>
    <w:rsid w:val="0071652B"/>
    <w:rsid w:val="0071674E"/>
    <w:rsid w:val="0071680D"/>
    <w:rsid w:val="00716BD6"/>
    <w:rsid w:val="00717510"/>
    <w:rsid w:val="00717795"/>
    <w:rsid w:val="00720050"/>
    <w:rsid w:val="00720257"/>
    <w:rsid w:val="00720343"/>
    <w:rsid w:val="007208A5"/>
    <w:rsid w:val="00720DC2"/>
    <w:rsid w:val="00721032"/>
    <w:rsid w:val="007214B9"/>
    <w:rsid w:val="00721B55"/>
    <w:rsid w:val="00722EED"/>
    <w:rsid w:val="00723503"/>
    <w:rsid w:val="00723CEA"/>
    <w:rsid w:val="00723D28"/>
    <w:rsid w:val="00723F8F"/>
    <w:rsid w:val="00724113"/>
    <w:rsid w:val="00724F0D"/>
    <w:rsid w:val="007251CB"/>
    <w:rsid w:val="007252B5"/>
    <w:rsid w:val="007257CE"/>
    <w:rsid w:val="00725DB4"/>
    <w:rsid w:val="0072649E"/>
    <w:rsid w:val="007266D9"/>
    <w:rsid w:val="00726CE4"/>
    <w:rsid w:val="0072780E"/>
    <w:rsid w:val="00727931"/>
    <w:rsid w:val="00727966"/>
    <w:rsid w:val="00727D48"/>
    <w:rsid w:val="007300D5"/>
    <w:rsid w:val="00730C93"/>
    <w:rsid w:val="00730FA2"/>
    <w:rsid w:val="007325B8"/>
    <w:rsid w:val="00733071"/>
    <w:rsid w:val="007332F1"/>
    <w:rsid w:val="00733395"/>
    <w:rsid w:val="007336C3"/>
    <w:rsid w:val="00734143"/>
    <w:rsid w:val="007344D8"/>
    <w:rsid w:val="00734733"/>
    <w:rsid w:val="00734AE2"/>
    <w:rsid w:val="007351BA"/>
    <w:rsid w:val="007354B3"/>
    <w:rsid w:val="00735C5D"/>
    <w:rsid w:val="007364C9"/>
    <w:rsid w:val="00737422"/>
    <w:rsid w:val="00737E47"/>
    <w:rsid w:val="00737F6B"/>
    <w:rsid w:val="007407FB"/>
    <w:rsid w:val="00740905"/>
    <w:rsid w:val="00740C6A"/>
    <w:rsid w:val="00740EAC"/>
    <w:rsid w:val="00740F4C"/>
    <w:rsid w:val="00741AED"/>
    <w:rsid w:val="00741B8C"/>
    <w:rsid w:val="00742ABE"/>
    <w:rsid w:val="007437FC"/>
    <w:rsid w:val="007441C4"/>
    <w:rsid w:val="0074429D"/>
    <w:rsid w:val="00744650"/>
    <w:rsid w:val="00744956"/>
    <w:rsid w:val="00744C0A"/>
    <w:rsid w:val="0074504E"/>
    <w:rsid w:val="0074551A"/>
    <w:rsid w:val="00745A5C"/>
    <w:rsid w:val="0074605F"/>
    <w:rsid w:val="007463B2"/>
    <w:rsid w:val="0074641C"/>
    <w:rsid w:val="00746834"/>
    <w:rsid w:val="00746F20"/>
    <w:rsid w:val="00747E94"/>
    <w:rsid w:val="00750E27"/>
    <w:rsid w:val="00750F05"/>
    <w:rsid w:val="00751175"/>
    <w:rsid w:val="00751ABB"/>
    <w:rsid w:val="00752297"/>
    <w:rsid w:val="007524AF"/>
    <w:rsid w:val="00752559"/>
    <w:rsid w:val="007529F5"/>
    <w:rsid w:val="00752EDA"/>
    <w:rsid w:val="00753844"/>
    <w:rsid w:val="00753CD5"/>
    <w:rsid w:val="00753E7C"/>
    <w:rsid w:val="0075494B"/>
    <w:rsid w:val="007556C9"/>
    <w:rsid w:val="00755B86"/>
    <w:rsid w:val="0075695A"/>
    <w:rsid w:val="0075782B"/>
    <w:rsid w:val="00760B88"/>
    <w:rsid w:val="00760C88"/>
    <w:rsid w:val="00761576"/>
    <w:rsid w:val="00761828"/>
    <w:rsid w:val="00761C0A"/>
    <w:rsid w:val="00762500"/>
    <w:rsid w:val="0076298C"/>
    <w:rsid w:val="0076338D"/>
    <w:rsid w:val="00763777"/>
    <w:rsid w:val="00764770"/>
    <w:rsid w:val="007647A0"/>
    <w:rsid w:val="00765E54"/>
    <w:rsid w:val="00766104"/>
    <w:rsid w:val="00766144"/>
    <w:rsid w:val="00766749"/>
    <w:rsid w:val="00766842"/>
    <w:rsid w:val="00766A9F"/>
    <w:rsid w:val="00766EB6"/>
    <w:rsid w:val="00766F59"/>
    <w:rsid w:val="007672DC"/>
    <w:rsid w:val="007675FF"/>
    <w:rsid w:val="00767725"/>
    <w:rsid w:val="007678AB"/>
    <w:rsid w:val="00767C1B"/>
    <w:rsid w:val="00770F3C"/>
    <w:rsid w:val="007714A9"/>
    <w:rsid w:val="00771546"/>
    <w:rsid w:val="00771EDF"/>
    <w:rsid w:val="00772269"/>
    <w:rsid w:val="007722D1"/>
    <w:rsid w:val="0077278F"/>
    <w:rsid w:val="007740E0"/>
    <w:rsid w:val="00774A58"/>
    <w:rsid w:val="00774B3F"/>
    <w:rsid w:val="00774E85"/>
    <w:rsid w:val="00774F88"/>
    <w:rsid w:val="00774FDB"/>
    <w:rsid w:val="00775236"/>
    <w:rsid w:val="00775B47"/>
    <w:rsid w:val="00775EA1"/>
    <w:rsid w:val="00775EAE"/>
    <w:rsid w:val="00775FDE"/>
    <w:rsid w:val="007766CE"/>
    <w:rsid w:val="0077689B"/>
    <w:rsid w:val="007768DC"/>
    <w:rsid w:val="00776B09"/>
    <w:rsid w:val="0077725E"/>
    <w:rsid w:val="00777978"/>
    <w:rsid w:val="007779EC"/>
    <w:rsid w:val="00777BA2"/>
    <w:rsid w:val="00777E3D"/>
    <w:rsid w:val="0078002A"/>
    <w:rsid w:val="0078040D"/>
    <w:rsid w:val="007807CB"/>
    <w:rsid w:val="00780C76"/>
    <w:rsid w:val="00780D6A"/>
    <w:rsid w:val="00781194"/>
    <w:rsid w:val="007812C3"/>
    <w:rsid w:val="00781408"/>
    <w:rsid w:val="00781964"/>
    <w:rsid w:val="00781A8B"/>
    <w:rsid w:val="00781DB2"/>
    <w:rsid w:val="00782AB7"/>
    <w:rsid w:val="00782CE3"/>
    <w:rsid w:val="007835F8"/>
    <w:rsid w:val="007839A5"/>
    <w:rsid w:val="00783B11"/>
    <w:rsid w:val="00783E4A"/>
    <w:rsid w:val="0078433E"/>
    <w:rsid w:val="0078469F"/>
    <w:rsid w:val="0078493B"/>
    <w:rsid w:val="00784F7F"/>
    <w:rsid w:val="0078542A"/>
    <w:rsid w:val="00785AF9"/>
    <w:rsid w:val="00785FEF"/>
    <w:rsid w:val="007861BE"/>
    <w:rsid w:val="0078716D"/>
    <w:rsid w:val="00787448"/>
    <w:rsid w:val="0078766B"/>
    <w:rsid w:val="00787C58"/>
    <w:rsid w:val="0079069E"/>
    <w:rsid w:val="00791173"/>
    <w:rsid w:val="00791388"/>
    <w:rsid w:val="007913C8"/>
    <w:rsid w:val="007914F8"/>
    <w:rsid w:val="00792BD2"/>
    <w:rsid w:val="00792E7F"/>
    <w:rsid w:val="00793509"/>
    <w:rsid w:val="00793DE9"/>
    <w:rsid w:val="00794246"/>
    <w:rsid w:val="007943EC"/>
    <w:rsid w:val="00794D8C"/>
    <w:rsid w:val="00794E1F"/>
    <w:rsid w:val="00794F74"/>
    <w:rsid w:val="007951A4"/>
    <w:rsid w:val="00795F8F"/>
    <w:rsid w:val="0079646F"/>
    <w:rsid w:val="0079687B"/>
    <w:rsid w:val="00796AF0"/>
    <w:rsid w:val="00796D37"/>
    <w:rsid w:val="00796F25"/>
    <w:rsid w:val="007974E7"/>
    <w:rsid w:val="00797522"/>
    <w:rsid w:val="0079780F"/>
    <w:rsid w:val="007A078C"/>
    <w:rsid w:val="007A11AC"/>
    <w:rsid w:val="007A1411"/>
    <w:rsid w:val="007A1BEE"/>
    <w:rsid w:val="007A219C"/>
    <w:rsid w:val="007A29DB"/>
    <w:rsid w:val="007A2E98"/>
    <w:rsid w:val="007A3131"/>
    <w:rsid w:val="007A33B0"/>
    <w:rsid w:val="007A374B"/>
    <w:rsid w:val="007A3BA3"/>
    <w:rsid w:val="007A41D3"/>
    <w:rsid w:val="007A426D"/>
    <w:rsid w:val="007A4349"/>
    <w:rsid w:val="007A4371"/>
    <w:rsid w:val="007A4BCE"/>
    <w:rsid w:val="007A4E85"/>
    <w:rsid w:val="007A503B"/>
    <w:rsid w:val="007A52AC"/>
    <w:rsid w:val="007A567F"/>
    <w:rsid w:val="007A5C39"/>
    <w:rsid w:val="007A5CC0"/>
    <w:rsid w:val="007A5DD3"/>
    <w:rsid w:val="007A60D2"/>
    <w:rsid w:val="007A64A7"/>
    <w:rsid w:val="007A64F3"/>
    <w:rsid w:val="007A66E2"/>
    <w:rsid w:val="007A6A86"/>
    <w:rsid w:val="007A6CC0"/>
    <w:rsid w:val="007A6D03"/>
    <w:rsid w:val="007A6D2F"/>
    <w:rsid w:val="007A7274"/>
    <w:rsid w:val="007A76E1"/>
    <w:rsid w:val="007A7CD5"/>
    <w:rsid w:val="007A7FEC"/>
    <w:rsid w:val="007B01F7"/>
    <w:rsid w:val="007B056F"/>
    <w:rsid w:val="007B0676"/>
    <w:rsid w:val="007B06ED"/>
    <w:rsid w:val="007B0978"/>
    <w:rsid w:val="007B12AF"/>
    <w:rsid w:val="007B1499"/>
    <w:rsid w:val="007B160A"/>
    <w:rsid w:val="007B197C"/>
    <w:rsid w:val="007B1B9B"/>
    <w:rsid w:val="007B1BBF"/>
    <w:rsid w:val="007B2960"/>
    <w:rsid w:val="007B2A9F"/>
    <w:rsid w:val="007B2D6A"/>
    <w:rsid w:val="007B2FC9"/>
    <w:rsid w:val="007B2FF4"/>
    <w:rsid w:val="007B355D"/>
    <w:rsid w:val="007B3C60"/>
    <w:rsid w:val="007B3CF3"/>
    <w:rsid w:val="007B3FAC"/>
    <w:rsid w:val="007B40EE"/>
    <w:rsid w:val="007B4791"/>
    <w:rsid w:val="007B4B5A"/>
    <w:rsid w:val="007B4BCD"/>
    <w:rsid w:val="007B57B0"/>
    <w:rsid w:val="007B632E"/>
    <w:rsid w:val="007B6532"/>
    <w:rsid w:val="007B6729"/>
    <w:rsid w:val="007B6A11"/>
    <w:rsid w:val="007B717C"/>
    <w:rsid w:val="007B73F9"/>
    <w:rsid w:val="007B77AE"/>
    <w:rsid w:val="007B7881"/>
    <w:rsid w:val="007B7980"/>
    <w:rsid w:val="007C0488"/>
    <w:rsid w:val="007C07DC"/>
    <w:rsid w:val="007C092E"/>
    <w:rsid w:val="007C107E"/>
    <w:rsid w:val="007C10DD"/>
    <w:rsid w:val="007C1397"/>
    <w:rsid w:val="007C13E4"/>
    <w:rsid w:val="007C18EE"/>
    <w:rsid w:val="007C198A"/>
    <w:rsid w:val="007C1C91"/>
    <w:rsid w:val="007C1DBE"/>
    <w:rsid w:val="007C1E65"/>
    <w:rsid w:val="007C1E81"/>
    <w:rsid w:val="007C1EA9"/>
    <w:rsid w:val="007C1FFC"/>
    <w:rsid w:val="007C2103"/>
    <w:rsid w:val="007C2D94"/>
    <w:rsid w:val="007C31D4"/>
    <w:rsid w:val="007C35A3"/>
    <w:rsid w:val="007C45F5"/>
    <w:rsid w:val="007C587E"/>
    <w:rsid w:val="007C5AA0"/>
    <w:rsid w:val="007C5D5A"/>
    <w:rsid w:val="007C5E03"/>
    <w:rsid w:val="007C607F"/>
    <w:rsid w:val="007C6550"/>
    <w:rsid w:val="007C695C"/>
    <w:rsid w:val="007C74B9"/>
    <w:rsid w:val="007C79DD"/>
    <w:rsid w:val="007D1102"/>
    <w:rsid w:val="007D1415"/>
    <w:rsid w:val="007D156F"/>
    <w:rsid w:val="007D1590"/>
    <w:rsid w:val="007D1A97"/>
    <w:rsid w:val="007D1AE1"/>
    <w:rsid w:val="007D28E0"/>
    <w:rsid w:val="007D2B36"/>
    <w:rsid w:val="007D2BBC"/>
    <w:rsid w:val="007D2BDB"/>
    <w:rsid w:val="007D2CD6"/>
    <w:rsid w:val="007D2E2A"/>
    <w:rsid w:val="007D2E84"/>
    <w:rsid w:val="007D3063"/>
    <w:rsid w:val="007D3CEB"/>
    <w:rsid w:val="007D3D57"/>
    <w:rsid w:val="007D4257"/>
    <w:rsid w:val="007D474F"/>
    <w:rsid w:val="007D597A"/>
    <w:rsid w:val="007D5DEA"/>
    <w:rsid w:val="007D6315"/>
    <w:rsid w:val="007D6810"/>
    <w:rsid w:val="007D69B0"/>
    <w:rsid w:val="007D6A11"/>
    <w:rsid w:val="007D6BDA"/>
    <w:rsid w:val="007D793C"/>
    <w:rsid w:val="007D79E4"/>
    <w:rsid w:val="007E0245"/>
    <w:rsid w:val="007E09D1"/>
    <w:rsid w:val="007E1B8B"/>
    <w:rsid w:val="007E1EAE"/>
    <w:rsid w:val="007E21BA"/>
    <w:rsid w:val="007E29E7"/>
    <w:rsid w:val="007E302C"/>
    <w:rsid w:val="007E3405"/>
    <w:rsid w:val="007E3F80"/>
    <w:rsid w:val="007E3FC2"/>
    <w:rsid w:val="007E4083"/>
    <w:rsid w:val="007E45B7"/>
    <w:rsid w:val="007E4CEC"/>
    <w:rsid w:val="007E53AA"/>
    <w:rsid w:val="007E638C"/>
    <w:rsid w:val="007E65DE"/>
    <w:rsid w:val="007E6F48"/>
    <w:rsid w:val="007E7250"/>
    <w:rsid w:val="007E7683"/>
    <w:rsid w:val="007E768F"/>
    <w:rsid w:val="007E775E"/>
    <w:rsid w:val="007E78AD"/>
    <w:rsid w:val="007E7E60"/>
    <w:rsid w:val="007F0006"/>
    <w:rsid w:val="007F019E"/>
    <w:rsid w:val="007F0501"/>
    <w:rsid w:val="007F0A53"/>
    <w:rsid w:val="007F0C05"/>
    <w:rsid w:val="007F0FFF"/>
    <w:rsid w:val="007F19C6"/>
    <w:rsid w:val="007F1CE6"/>
    <w:rsid w:val="007F1DF2"/>
    <w:rsid w:val="007F2C4B"/>
    <w:rsid w:val="007F2CF0"/>
    <w:rsid w:val="007F2CFE"/>
    <w:rsid w:val="007F333B"/>
    <w:rsid w:val="007F35AF"/>
    <w:rsid w:val="007F44CB"/>
    <w:rsid w:val="007F49FA"/>
    <w:rsid w:val="007F4BDD"/>
    <w:rsid w:val="007F4E3E"/>
    <w:rsid w:val="007F4F15"/>
    <w:rsid w:val="007F53E3"/>
    <w:rsid w:val="007F54C4"/>
    <w:rsid w:val="007F56E8"/>
    <w:rsid w:val="007F6491"/>
    <w:rsid w:val="007F6744"/>
    <w:rsid w:val="007F6AE3"/>
    <w:rsid w:val="007F6E9A"/>
    <w:rsid w:val="007F7750"/>
    <w:rsid w:val="007F7D94"/>
    <w:rsid w:val="00800134"/>
    <w:rsid w:val="0080030F"/>
    <w:rsid w:val="008007B9"/>
    <w:rsid w:val="00800E9F"/>
    <w:rsid w:val="008011F9"/>
    <w:rsid w:val="00801472"/>
    <w:rsid w:val="00801AA4"/>
    <w:rsid w:val="00801B63"/>
    <w:rsid w:val="00801CF9"/>
    <w:rsid w:val="008021D2"/>
    <w:rsid w:val="0080237F"/>
    <w:rsid w:val="00802AA1"/>
    <w:rsid w:val="00802AD8"/>
    <w:rsid w:val="00803068"/>
    <w:rsid w:val="008039B2"/>
    <w:rsid w:val="00804066"/>
    <w:rsid w:val="008041E8"/>
    <w:rsid w:val="008042F9"/>
    <w:rsid w:val="008044D4"/>
    <w:rsid w:val="00804B0C"/>
    <w:rsid w:val="00804BF8"/>
    <w:rsid w:val="00804F3A"/>
    <w:rsid w:val="0080611E"/>
    <w:rsid w:val="008070AC"/>
    <w:rsid w:val="00807197"/>
    <w:rsid w:val="008103CD"/>
    <w:rsid w:val="00810677"/>
    <w:rsid w:val="008106B1"/>
    <w:rsid w:val="00810AB4"/>
    <w:rsid w:val="00810BA0"/>
    <w:rsid w:val="00811966"/>
    <w:rsid w:val="00812DB4"/>
    <w:rsid w:val="00813060"/>
    <w:rsid w:val="008131A2"/>
    <w:rsid w:val="0081391B"/>
    <w:rsid w:val="00813B22"/>
    <w:rsid w:val="00813E18"/>
    <w:rsid w:val="00814BE5"/>
    <w:rsid w:val="00814FFE"/>
    <w:rsid w:val="008153EE"/>
    <w:rsid w:val="00815670"/>
    <w:rsid w:val="008175B5"/>
    <w:rsid w:val="00817B56"/>
    <w:rsid w:val="00817CC2"/>
    <w:rsid w:val="00820D2E"/>
    <w:rsid w:val="00820DB3"/>
    <w:rsid w:val="0082119E"/>
    <w:rsid w:val="00821395"/>
    <w:rsid w:val="0082163D"/>
    <w:rsid w:val="0082176E"/>
    <w:rsid w:val="00821876"/>
    <w:rsid w:val="00821A88"/>
    <w:rsid w:val="00821E84"/>
    <w:rsid w:val="00822908"/>
    <w:rsid w:val="008229C4"/>
    <w:rsid w:val="00822CBE"/>
    <w:rsid w:val="0082355D"/>
    <w:rsid w:val="0082380B"/>
    <w:rsid w:val="00823B83"/>
    <w:rsid w:val="008248EF"/>
    <w:rsid w:val="0082495D"/>
    <w:rsid w:val="00824AFF"/>
    <w:rsid w:val="008252BC"/>
    <w:rsid w:val="00825FC5"/>
    <w:rsid w:val="008261EA"/>
    <w:rsid w:val="00827180"/>
    <w:rsid w:val="008275D6"/>
    <w:rsid w:val="008278AA"/>
    <w:rsid w:val="00827BC4"/>
    <w:rsid w:val="00830099"/>
    <w:rsid w:val="00830910"/>
    <w:rsid w:val="00830BA7"/>
    <w:rsid w:val="00830C32"/>
    <w:rsid w:val="008311C2"/>
    <w:rsid w:val="008315CE"/>
    <w:rsid w:val="008317F3"/>
    <w:rsid w:val="00831AC3"/>
    <w:rsid w:val="00831B2C"/>
    <w:rsid w:val="00832B71"/>
    <w:rsid w:val="00832DDA"/>
    <w:rsid w:val="0083306D"/>
    <w:rsid w:val="0083329F"/>
    <w:rsid w:val="00833327"/>
    <w:rsid w:val="008336FA"/>
    <w:rsid w:val="008339EE"/>
    <w:rsid w:val="00833F7D"/>
    <w:rsid w:val="008340E2"/>
    <w:rsid w:val="008341D1"/>
    <w:rsid w:val="00834890"/>
    <w:rsid w:val="008348F4"/>
    <w:rsid w:val="00834B1C"/>
    <w:rsid w:val="00834BEB"/>
    <w:rsid w:val="00834FE8"/>
    <w:rsid w:val="00835243"/>
    <w:rsid w:val="008358EC"/>
    <w:rsid w:val="00835B1F"/>
    <w:rsid w:val="0083643D"/>
    <w:rsid w:val="0083686A"/>
    <w:rsid w:val="00836877"/>
    <w:rsid w:val="008374F4"/>
    <w:rsid w:val="008379FE"/>
    <w:rsid w:val="00837C18"/>
    <w:rsid w:val="0084002C"/>
    <w:rsid w:val="0084031E"/>
    <w:rsid w:val="008408FF"/>
    <w:rsid w:val="00840916"/>
    <w:rsid w:val="008409EB"/>
    <w:rsid w:val="00840B8F"/>
    <w:rsid w:val="008419D0"/>
    <w:rsid w:val="00842552"/>
    <w:rsid w:val="008425EF"/>
    <w:rsid w:val="00842C6F"/>
    <w:rsid w:val="00842E55"/>
    <w:rsid w:val="008437B2"/>
    <w:rsid w:val="00843AD5"/>
    <w:rsid w:val="00845B15"/>
    <w:rsid w:val="00845C24"/>
    <w:rsid w:val="0084608D"/>
    <w:rsid w:val="00846CD8"/>
    <w:rsid w:val="00846D84"/>
    <w:rsid w:val="00846E6A"/>
    <w:rsid w:val="00847261"/>
    <w:rsid w:val="00847590"/>
    <w:rsid w:val="00847C50"/>
    <w:rsid w:val="00851556"/>
    <w:rsid w:val="00851F3F"/>
    <w:rsid w:val="008527AA"/>
    <w:rsid w:val="00852829"/>
    <w:rsid w:val="00852869"/>
    <w:rsid w:val="00853E74"/>
    <w:rsid w:val="008542B2"/>
    <w:rsid w:val="008547A2"/>
    <w:rsid w:val="00854FDE"/>
    <w:rsid w:val="0085593A"/>
    <w:rsid w:val="00855995"/>
    <w:rsid w:val="00855EAC"/>
    <w:rsid w:val="00855F81"/>
    <w:rsid w:val="00856B0F"/>
    <w:rsid w:val="00856D95"/>
    <w:rsid w:val="00856EDC"/>
    <w:rsid w:val="008572C6"/>
    <w:rsid w:val="008576D7"/>
    <w:rsid w:val="00857D32"/>
    <w:rsid w:val="00857F74"/>
    <w:rsid w:val="008603F9"/>
    <w:rsid w:val="00860CA5"/>
    <w:rsid w:val="00860E83"/>
    <w:rsid w:val="00860EB0"/>
    <w:rsid w:val="0086115B"/>
    <w:rsid w:val="0086117E"/>
    <w:rsid w:val="0086148D"/>
    <w:rsid w:val="008616BD"/>
    <w:rsid w:val="0086187E"/>
    <w:rsid w:val="00861D66"/>
    <w:rsid w:val="0086227A"/>
    <w:rsid w:val="008623B5"/>
    <w:rsid w:val="0086284C"/>
    <w:rsid w:val="00862992"/>
    <w:rsid w:val="00862B63"/>
    <w:rsid w:val="00862E31"/>
    <w:rsid w:val="00862F46"/>
    <w:rsid w:val="008637CD"/>
    <w:rsid w:val="00864BAD"/>
    <w:rsid w:val="00864CFD"/>
    <w:rsid w:val="0086545D"/>
    <w:rsid w:val="00866906"/>
    <w:rsid w:val="00866F3E"/>
    <w:rsid w:val="00867548"/>
    <w:rsid w:val="0086782B"/>
    <w:rsid w:val="00870204"/>
    <w:rsid w:val="0087050E"/>
    <w:rsid w:val="008708A4"/>
    <w:rsid w:val="00870ABA"/>
    <w:rsid w:val="00870B4C"/>
    <w:rsid w:val="008710E1"/>
    <w:rsid w:val="0087151A"/>
    <w:rsid w:val="008716B3"/>
    <w:rsid w:val="008716E5"/>
    <w:rsid w:val="00871743"/>
    <w:rsid w:val="008719A7"/>
    <w:rsid w:val="00871FB6"/>
    <w:rsid w:val="00873016"/>
    <w:rsid w:val="0087372E"/>
    <w:rsid w:val="00873D59"/>
    <w:rsid w:val="00873E04"/>
    <w:rsid w:val="008744DA"/>
    <w:rsid w:val="0087495C"/>
    <w:rsid w:val="00874B7C"/>
    <w:rsid w:val="00875AA5"/>
    <w:rsid w:val="00875F07"/>
    <w:rsid w:val="00876165"/>
    <w:rsid w:val="008761D7"/>
    <w:rsid w:val="008763CF"/>
    <w:rsid w:val="00876428"/>
    <w:rsid w:val="00876453"/>
    <w:rsid w:val="008775FF"/>
    <w:rsid w:val="00877D57"/>
    <w:rsid w:val="0088048A"/>
    <w:rsid w:val="00880642"/>
    <w:rsid w:val="008806AF"/>
    <w:rsid w:val="008807F7"/>
    <w:rsid w:val="008811FA"/>
    <w:rsid w:val="00881C14"/>
    <w:rsid w:val="00881CA9"/>
    <w:rsid w:val="00882262"/>
    <w:rsid w:val="00882BD7"/>
    <w:rsid w:val="00882E27"/>
    <w:rsid w:val="00883628"/>
    <w:rsid w:val="00883776"/>
    <w:rsid w:val="00883EC6"/>
    <w:rsid w:val="0088454D"/>
    <w:rsid w:val="00884887"/>
    <w:rsid w:val="00884956"/>
    <w:rsid w:val="00884D9A"/>
    <w:rsid w:val="00885544"/>
    <w:rsid w:val="00885963"/>
    <w:rsid w:val="00885D21"/>
    <w:rsid w:val="00885D86"/>
    <w:rsid w:val="0088632F"/>
    <w:rsid w:val="0088634E"/>
    <w:rsid w:val="00886B38"/>
    <w:rsid w:val="00886E14"/>
    <w:rsid w:val="008877BD"/>
    <w:rsid w:val="00887917"/>
    <w:rsid w:val="00887FCE"/>
    <w:rsid w:val="00890949"/>
    <w:rsid w:val="008910E3"/>
    <w:rsid w:val="0089113F"/>
    <w:rsid w:val="0089155E"/>
    <w:rsid w:val="00891B24"/>
    <w:rsid w:val="00891DA7"/>
    <w:rsid w:val="008924B4"/>
    <w:rsid w:val="00892A00"/>
    <w:rsid w:val="00892DDC"/>
    <w:rsid w:val="0089397D"/>
    <w:rsid w:val="00893AB8"/>
    <w:rsid w:val="00893D8F"/>
    <w:rsid w:val="00893F8F"/>
    <w:rsid w:val="00894199"/>
    <w:rsid w:val="00894358"/>
    <w:rsid w:val="00894426"/>
    <w:rsid w:val="00894567"/>
    <w:rsid w:val="00894FCF"/>
    <w:rsid w:val="00895569"/>
    <w:rsid w:val="0089597D"/>
    <w:rsid w:val="00895D22"/>
    <w:rsid w:val="00896011"/>
    <w:rsid w:val="008961B2"/>
    <w:rsid w:val="0089628F"/>
    <w:rsid w:val="0089633C"/>
    <w:rsid w:val="00896598"/>
    <w:rsid w:val="008967DA"/>
    <w:rsid w:val="00896BBA"/>
    <w:rsid w:val="008974EB"/>
    <w:rsid w:val="00897AFD"/>
    <w:rsid w:val="00897B96"/>
    <w:rsid w:val="008A0058"/>
    <w:rsid w:val="008A01DA"/>
    <w:rsid w:val="008A02D0"/>
    <w:rsid w:val="008A03B7"/>
    <w:rsid w:val="008A04C8"/>
    <w:rsid w:val="008A0850"/>
    <w:rsid w:val="008A097B"/>
    <w:rsid w:val="008A1E83"/>
    <w:rsid w:val="008A219A"/>
    <w:rsid w:val="008A22AF"/>
    <w:rsid w:val="008A2839"/>
    <w:rsid w:val="008A3046"/>
    <w:rsid w:val="008A4F13"/>
    <w:rsid w:val="008A5B85"/>
    <w:rsid w:val="008A5E54"/>
    <w:rsid w:val="008A62E6"/>
    <w:rsid w:val="008A6913"/>
    <w:rsid w:val="008A69C3"/>
    <w:rsid w:val="008A6C1F"/>
    <w:rsid w:val="008A7083"/>
    <w:rsid w:val="008A70DE"/>
    <w:rsid w:val="008A726F"/>
    <w:rsid w:val="008A7323"/>
    <w:rsid w:val="008A75B6"/>
    <w:rsid w:val="008A76A7"/>
    <w:rsid w:val="008A79AD"/>
    <w:rsid w:val="008B06E8"/>
    <w:rsid w:val="008B130B"/>
    <w:rsid w:val="008B1949"/>
    <w:rsid w:val="008B1D13"/>
    <w:rsid w:val="008B2D8B"/>
    <w:rsid w:val="008B4546"/>
    <w:rsid w:val="008B538F"/>
    <w:rsid w:val="008B551D"/>
    <w:rsid w:val="008B556A"/>
    <w:rsid w:val="008B5624"/>
    <w:rsid w:val="008B5690"/>
    <w:rsid w:val="008B5C76"/>
    <w:rsid w:val="008B61E0"/>
    <w:rsid w:val="008B6309"/>
    <w:rsid w:val="008B6760"/>
    <w:rsid w:val="008B6A7C"/>
    <w:rsid w:val="008B70F3"/>
    <w:rsid w:val="008B7469"/>
    <w:rsid w:val="008B762E"/>
    <w:rsid w:val="008B76DF"/>
    <w:rsid w:val="008B7D7D"/>
    <w:rsid w:val="008B7DCB"/>
    <w:rsid w:val="008C00C1"/>
    <w:rsid w:val="008C0D82"/>
    <w:rsid w:val="008C106E"/>
    <w:rsid w:val="008C10F4"/>
    <w:rsid w:val="008C15CB"/>
    <w:rsid w:val="008C1D36"/>
    <w:rsid w:val="008C2493"/>
    <w:rsid w:val="008C27CD"/>
    <w:rsid w:val="008C2B6B"/>
    <w:rsid w:val="008C43F2"/>
    <w:rsid w:val="008C471A"/>
    <w:rsid w:val="008C4D57"/>
    <w:rsid w:val="008C5240"/>
    <w:rsid w:val="008C5619"/>
    <w:rsid w:val="008C5B46"/>
    <w:rsid w:val="008C5E5A"/>
    <w:rsid w:val="008C65F7"/>
    <w:rsid w:val="008C67D4"/>
    <w:rsid w:val="008C6A2F"/>
    <w:rsid w:val="008C6C83"/>
    <w:rsid w:val="008C6D4C"/>
    <w:rsid w:val="008C6E4D"/>
    <w:rsid w:val="008C7068"/>
    <w:rsid w:val="008C70AD"/>
    <w:rsid w:val="008C7709"/>
    <w:rsid w:val="008C7781"/>
    <w:rsid w:val="008C7C3A"/>
    <w:rsid w:val="008D00E3"/>
    <w:rsid w:val="008D13C5"/>
    <w:rsid w:val="008D150B"/>
    <w:rsid w:val="008D1F5A"/>
    <w:rsid w:val="008D20FB"/>
    <w:rsid w:val="008D240D"/>
    <w:rsid w:val="008D287A"/>
    <w:rsid w:val="008D2A66"/>
    <w:rsid w:val="008D2D90"/>
    <w:rsid w:val="008D3BA1"/>
    <w:rsid w:val="008D4027"/>
    <w:rsid w:val="008D40B1"/>
    <w:rsid w:val="008D4646"/>
    <w:rsid w:val="008D49C0"/>
    <w:rsid w:val="008D4B22"/>
    <w:rsid w:val="008D4E45"/>
    <w:rsid w:val="008D5A99"/>
    <w:rsid w:val="008D644E"/>
    <w:rsid w:val="008D646E"/>
    <w:rsid w:val="008D6A4D"/>
    <w:rsid w:val="008D7278"/>
    <w:rsid w:val="008D7427"/>
    <w:rsid w:val="008D7682"/>
    <w:rsid w:val="008D7D49"/>
    <w:rsid w:val="008E0434"/>
    <w:rsid w:val="008E0495"/>
    <w:rsid w:val="008E0C34"/>
    <w:rsid w:val="008E12C2"/>
    <w:rsid w:val="008E2440"/>
    <w:rsid w:val="008E2466"/>
    <w:rsid w:val="008E29AC"/>
    <w:rsid w:val="008E2D9C"/>
    <w:rsid w:val="008E326E"/>
    <w:rsid w:val="008E355A"/>
    <w:rsid w:val="008E3710"/>
    <w:rsid w:val="008E424A"/>
    <w:rsid w:val="008E4396"/>
    <w:rsid w:val="008E4658"/>
    <w:rsid w:val="008E46A0"/>
    <w:rsid w:val="008E4767"/>
    <w:rsid w:val="008E53CF"/>
    <w:rsid w:val="008E58E3"/>
    <w:rsid w:val="008E6391"/>
    <w:rsid w:val="008E69D8"/>
    <w:rsid w:val="008E6BC8"/>
    <w:rsid w:val="008E7517"/>
    <w:rsid w:val="008E7678"/>
    <w:rsid w:val="008E7879"/>
    <w:rsid w:val="008E7A8C"/>
    <w:rsid w:val="008E7B04"/>
    <w:rsid w:val="008F0630"/>
    <w:rsid w:val="008F0A10"/>
    <w:rsid w:val="008F0B95"/>
    <w:rsid w:val="008F0C3B"/>
    <w:rsid w:val="008F0CD7"/>
    <w:rsid w:val="008F0CDE"/>
    <w:rsid w:val="008F1C21"/>
    <w:rsid w:val="008F1E2D"/>
    <w:rsid w:val="008F1E6A"/>
    <w:rsid w:val="008F2488"/>
    <w:rsid w:val="008F2850"/>
    <w:rsid w:val="008F2B4E"/>
    <w:rsid w:val="008F3442"/>
    <w:rsid w:val="008F35A0"/>
    <w:rsid w:val="008F45A3"/>
    <w:rsid w:val="008F4A03"/>
    <w:rsid w:val="008F53CF"/>
    <w:rsid w:val="008F543A"/>
    <w:rsid w:val="008F5B9F"/>
    <w:rsid w:val="008F67A1"/>
    <w:rsid w:val="008F78A2"/>
    <w:rsid w:val="008F7CCA"/>
    <w:rsid w:val="008F7F5B"/>
    <w:rsid w:val="00900051"/>
    <w:rsid w:val="009006D2"/>
    <w:rsid w:val="00901EB6"/>
    <w:rsid w:val="00902257"/>
    <w:rsid w:val="009027CB"/>
    <w:rsid w:val="00903285"/>
    <w:rsid w:val="0090357B"/>
    <w:rsid w:val="00903620"/>
    <w:rsid w:val="0090396A"/>
    <w:rsid w:val="0090404E"/>
    <w:rsid w:val="00904496"/>
    <w:rsid w:val="0090480F"/>
    <w:rsid w:val="0090583A"/>
    <w:rsid w:val="00905BBD"/>
    <w:rsid w:val="009062AF"/>
    <w:rsid w:val="00906F40"/>
    <w:rsid w:val="0090731E"/>
    <w:rsid w:val="00910060"/>
    <w:rsid w:val="0091006C"/>
    <w:rsid w:val="009101FB"/>
    <w:rsid w:val="00910AEF"/>
    <w:rsid w:val="00911148"/>
    <w:rsid w:val="009112C2"/>
    <w:rsid w:val="00911ADD"/>
    <w:rsid w:val="0091206C"/>
    <w:rsid w:val="00912857"/>
    <w:rsid w:val="009128E1"/>
    <w:rsid w:val="00912A7F"/>
    <w:rsid w:val="00913202"/>
    <w:rsid w:val="00913ADA"/>
    <w:rsid w:val="00913E20"/>
    <w:rsid w:val="00913ECF"/>
    <w:rsid w:val="00914709"/>
    <w:rsid w:val="00914B29"/>
    <w:rsid w:val="00914E1F"/>
    <w:rsid w:val="00915B1C"/>
    <w:rsid w:val="00916219"/>
    <w:rsid w:val="009163BF"/>
    <w:rsid w:val="009166C4"/>
    <w:rsid w:val="009169FF"/>
    <w:rsid w:val="00916CDB"/>
    <w:rsid w:val="0091731D"/>
    <w:rsid w:val="009174F3"/>
    <w:rsid w:val="0091797D"/>
    <w:rsid w:val="00917AED"/>
    <w:rsid w:val="00921A97"/>
    <w:rsid w:val="00921B69"/>
    <w:rsid w:val="009221FB"/>
    <w:rsid w:val="00922B93"/>
    <w:rsid w:val="00922F0F"/>
    <w:rsid w:val="0092310E"/>
    <w:rsid w:val="009236BF"/>
    <w:rsid w:val="009239A7"/>
    <w:rsid w:val="00923CBA"/>
    <w:rsid w:val="009242C3"/>
    <w:rsid w:val="009244E5"/>
    <w:rsid w:val="00925417"/>
    <w:rsid w:val="00925993"/>
    <w:rsid w:val="00925DC5"/>
    <w:rsid w:val="00925EA7"/>
    <w:rsid w:val="0092637F"/>
    <w:rsid w:val="00926691"/>
    <w:rsid w:val="00926703"/>
    <w:rsid w:val="009267AD"/>
    <w:rsid w:val="009273A4"/>
    <w:rsid w:val="00927691"/>
    <w:rsid w:val="00927727"/>
    <w:rsid w:val="00927A5F"/>
    <w:rsid w:val="00927C9B"/>
    <w:rsid w:val="00930A2A"/>
    <w:rsid w:val="0093123E"/>
    <w:rsid w:val="0093133A"/>
    <w:rsid w:val="009319DE"/>
    <w:rsid w:val="00931B53"/>
    <w:rsid w:val="00932A0B"/>
    <w:rsid w:val="0093317B"/>
    <w:rsid w:val="009334A2"/>
    <w:rsid w:val="009338B2"/>
    <w:rsid w:val="00933A5B"/>
    <w:rsid w:val="00933D86"/>
    <w:rsid w:val="00934056"/>
    <w:rsid w:val="00934292"/>
    <w:rsid w:val="00934C7D"/>
    <w:rsid w:val="00934D33"/>
    <w:rsid w:val="00934F55"/>
    <w:rsid w:val="00935B63"/>
    <w:rsid w:val="00935C6C"/>
    <w:rsid w:val="00936016"/>
    <w:rsid w:val="009363A0"/>
    <w:rsid w:val="009367B1"/>
    <w:rsid w:val="00936B91"/>
    <w:rsid w:val="00937348"/>
    <w:rsid w:val="009374F9"/>
    <w:rsid w:val="009401CB"/>
    <w:rsid w:val="009402A9"/>
    <w:rsid w:val="0094030C"/>
    <w:rsid w:val="0094032A"/>
    <w:rsid w:val="009403C5"/>
    <w:rsid w:val="00940773"/>
    <w:rsid w:val="0094078F"/>
    <w:rsid w:val="00940AB7"/>
    <w:rsid w:val="00940AD9"/>
    <w:rsid w:val="00940AFB"/>
    <w:rsid w:val="00940FA3"/>
    <w:rsid w:val="009412AA"/>
    <w:rsid w:val="00941FB0"/>
    <w:rsid w:val="00941FCE"/>
    <w:rsid w:val="0094231A"/>
    <w:rsid w:val="009426D4"/>
    <w:rsid w:val="00942BDD"/>
    <w:rsid w:val="00942FFA"/>
    <w:rsid w:val="00943200"/>
    <w:rsid w:val="00943A69"/>
    <w:rsid w:val="00943AC7"/>
    <w:rsid w:val="0094493E"/>
    <w:rsid w:val="00944C1B"/>
    <w:rsid w:val="00944F7D"/>
    <w:rsid w:val="00945323"/>
    <w:rsid w:val="009453DB"/>
    <w:rsid w:val="0094552D"/>
    <w:rsid w:val="0094581C"/>
    <w:rsid w:val="0094611E"/>
    <w:rsid w:val="00946786"/>
    <w:rsid w:val="00947114"/>
    <w:rsid w:val="0094780A"/>
    <w:rsid w:val="00947A0A"/>
    <w:rsid w:val="00947D0E"/>
    <w:rsid w:val="00947D22"/>
    <w:rsid w:val="00947F25"/>
    <w:rsid w:val="00950081"/>
    <w:rsid w:val="00950159"/>
    <w:rsid w:val="009502DC"/>
    <w:rsid w:val="0095040C"/>
    <w:rsid w:val="009505BC"/>
    <w:rsid w:val="00950634"/>
    <w:rsid w:val="00951068"/>
    <w:rsid w:val="0095178A"/>
    <w:rsid w:val="00952061"/>
    <w:rsid w:val="00952102"/>
    <w:rsid w:val="00952C46"/>
    <w:rsid w:val="00952F47"/>
    <w:rsid w:val="0095343A"/>
    <w:rsid w:val="0095435C"/>
    <w:rsid w:val="00954420"/>
    <w:rsid w:val="0095490B"/>
    <w:rsid w:val="00954ACE"/>
    <w:rsid w:val="00954D58"/>
    <w:rsid w:val="00954ED8"/>
    <w:rsid w:val="00955424"/>
    <w:rsid w:val="0095577B"/>
    <w:rsid w:val="009565E1"/>
    <w:rsid w:val="00956BDE"/>
    <w:rsid w:val="00957B51"/>
    <w:rsid w:val="00957C90"/>
    <w:rsid w:val="0096035F"/>
    <w:rsid w:val="009605D4"/>
    <w:rsid w:val="00960622"/>
    <w:rsid w:val="00960CBA"/>
    <w:rsid w:val="00962156"/>
    <w:rsid w:val="009630CE"/>
    <w:rsid w:val="00963B06"/>
    <w:rsid w:val="00963B51"/>
    <w:rsid w:val="00963C43"/>
    <w:rsid w:val="0096421F"/>
    <w:rsid w:val="0096440F"/>
    <w:rsid w:val="009654D9"/>
    <w:rsid w:val="0096550E"/>
    <w:rsid w:val="00965765"/>
    <w:rsid w:val="00966BF2"/>
    <w:rsid w:val="00967256"/>
    <w:rsid w:val="0096756A"/>
    <w:rsid w:val="0096792F"/>
    <w:rsid w:val="00967BC2"/>
    <w:rsid w:val="00970B94"/>
    <w:rsid w:val="009712B7"/>
    <w:rsid w:val="009712C9"/>
    <w:rsid w:val="00971914"/>
    <w:rsid w:val="009721CC"/>
    <w:rsid w:val="00972475"/>
    <w:rsid w:val="0097309D"/>
    <w:rsid w:val="009734B6"/>
    <w:rsid w:val="00973547"/>
    <w:rsid w:val="009737B5"/>
    <w:rsid w:val="00973DB6"/>
    <w:rsid w:val="00974091"/>
    <w:rsid w:val="00974363"/>
    <w:rsid w:val="0097465B"/>
    <w:rsid w:val="00974F49"/>
    <w:rsid w:val="00975069"/>
    <w:rsid w:val="00975107"/>
    <w:rsid w:val="00975396"/>
    <w:rsid w:val="00975811"/>
    <w:rsid w:val="00976144"/>
    <w:rsid w:val="00976544"/>
    <w:rsid w:val="00976CF8"/>
    <w:rsid w:val="00976DB6"/>
    <w:rsid w:val="00980005"/>
    <w:rsid w:val="009803AC"/>
    <w:rsid w:val="0098051C"/>
    <w:rsid w:val="0098129B"/>
    <w:rsid w:val="00981898"/>
    <w:rsid w:val="00981D38"/>
    <w:rsid w:val="00983280"/>
    <w:rsid w:val="009833DB"/>
    <w:rsid w:val="00984AD3"/>
    <w:rsid w:val="00984D5D"/>
    <w:rsid w:val="00985008"/>
    <w:rsid w:val="0098519A"/>
    <w:rsid w:val="00985C8A"/>
    <w:rsid w:val="00985E8D"/>
    <w:rsid w:val="00985F19"/>
    <w:rsid w:val="0098790C"/>
    <w:rsid w:val="0099042A"/>
    <w:rsid w:val="0099042C"/>
    <w:rsid w:val="00990553"/>
    <w:rsid w:val="00990C0C"/>
    <w:rsid w:val="00990EDE"/>
    <w:rsid w:val="009913EA"/>
    <w:rsid w:val="0099160B"/>
    <w:rsid w:val="0099183F"/>
    <w:rsid w:val="009929FF"/>
    <w:rsid w:val="00992DE4"/>
    <w:rsid w:val="009932A9"/>
    <w:rsid w:val="00993986"/>
    <w:rsid w:val="00993A7D"/>
    <w:rsid w:val="00993C0D"/>
    <w:rsid w:val="00994576"/>
    <w:rsid w:val="00994610"/>
    <w:rsid w:val="0099467B"/>
    <w:rsid w:val="0099471E"/>
    <w:rsid w:val="0099577C"/>
    <w:rsid w:val="009961AC"/>
    <w:rsid w:val="009962FC"/>
    <w:rsid w:val="0099647C"/>
    <w:rsid w:val="009968CA"/>
    <w:rsid w:val="00996B28"/>
    <w:rsid w:val="00997368"/>
    <w:rsid w:val="00997922"/>
    <w:rsid w:val="00997D19"/>
    <w:rsid w:val="00997F10"/>
    <w:rsid w:val="009A023E"/>
    <w:rsid w:val="009A09D1"/>
    <w:rsid w:val="009A1A87"/>
    <w:rsid w:val="009A1C5E"/>
    <w:rsid w:val="009A1E2E"/>
    <w:rsid w:val="009A219B"/>
    <w:rsid w:val="009A28E0"/>
    <w:rsid w:val="009A2A96"/>
    <w:rsid w:val="009A33B1"/>
    <w:rsid w:val="009A38AD"/>
    <w:rsid w:val="009A3C39"/>
    <w:rsid w:val="009A3E5C"/>
    <w:rsid w:val="009A3F26"/>
    <w:rsid w:val="009A3F7D"/>
    <w:rsid w:val="009A3FA4"/>
    <w:rsid w:val="009A41DE"/>
    <w:rsid w:val="009A5A6F"/>
    <w:rsid w:val="009A5EE9"/>
    <w:rsid w:val="009A6435"/>
    <w:rsid w:val="009A6A44"/>
    <w:rsid w:val="009A6C9C"/>
    <w:rsid w:val="009A7506"/>
    <w:rsid w:val="009A768D"/>
    <w:rsid w:val="009A77D0"/>
    <w:rsid w:val="009A7BB7"/>
    <w:rsid w:val="009B03F8"/>
    <w:rsid w:val="009B083D"/>
    <w:rsid w:val="009B0AAB"/>
    <w:rsid w:val="009B0C00"/>
    <w:rsid w:val="009B1D33"/>
    <w:rsid w:val="009B2025"/>
    <w:rsid w:val="009B2C67"/>
    <w:rsid w:val="009B2D7C"/>
    <w:rsid w:val="009B3257"/>
    <w:rsid w:val="009B3719"/>
    <w:rsid w:val="009B3766"/>
    <w:rsid w:val="009B3A16"/>
    <w:rsid w:val="009B4018"/>
    <w:rsid w:val="009B4B8E"/>
    <w:rsid w:val="009B4E9E"/>
    <w:rsid w:val="009B6223"/>
    <w:rsid w:val="009B62C6"/>
    <w:rsid w:val="009B6530"/>
    <w:rsid w:val="009B6619"/>
    <w:rsid w:val="009B6AA1"/>
    <w:rsid w:val="009B720B"/>
    <w:rsid w:val="009B73F1"/>
    <w:rsid w:val="009B78B8"/>
    <w:rsid w:val="009C03C0"/>
    <w:rsid w:val="009C0E80"/>
    <w:rsid w:val="009C1690"/>
    <w:rsid w:val="009C173F"/>
    <w:rsid w:val="009C19B2"/>
    <w:rsid w:val="009C1B5D"/>
    <w:rsid w:val="009C2193"/>
    <w:rsid w:val="009C36D2"/>
    <w:rsid w:val="009C39B3"/>
    <w:rsid w:val="009C4C04"/>
    <w:rsid w:val="009C563E"/>
    <w:rsid w:val="009C5971"/>
    <w:rsid w:val="009C59C7"/>
    <w:rsid w:val="009C66E7"/>
    <w:rsid w:val="009C6881"/>
    <w:rsid w:val="009C703D"/>
    <w:rsid w:val="009C70AA"/>
    <w:rsid w:val="009C75DE"/>
    <w:rsid w:val="009C7602"/>
    <w:rsid w:val="009C7759"/>
    <w:rsid w:val="009C794A"/>
    <w:rsid w:val="009C7BF6"/>
    <w:rsid w:val="009D01B5"/>
    <w:rsid w:val="009D043D"/>
    <w:rsid w:val="009D0665"/>
    <w:rsid w:val="009D0C7D"/>
    <w:rsid w:val="009D13EF"/>
    <w:rsid w:val="009D17FD"/>
    <w:rsid w:val="009D1C96"/>
    <w:rsid w:val="009D2A7A"/>
    <w:rsid w:val="009D2F11"/>
    <w:rsid w:val="009D416A"/>
    <w:rsid w:val="009D48A0"/>
    <w:rsid w:val="009D6C71"/>
    <w:rsid w:val="009D7124"/>
    <w:rsid w:val="009D723A"/>
    <w:rsid w:val="009D781E"/>
    <w:rsid w:val="009D7A5D"/>
    <w:rsid w:val="009D7C80"/>
    <w:rsid w:val="009D7E02"/>
    <w:rsid w:val="009D7F93"/>
    <w:rsid w:val="009E0047"/>
    <w:rsid w:val="009E00F8"/>
    <w:rsid w:val="009E0631"/>
    <w:rsid w:val="009E09DD"/>
    <w:rsid w:val="009E0EF5"/>
    <w:rsid w:val="009E16D0"/>
    <w:rsid w:val="009E172D"/>
    <w:rsid w:val="009E2D00"/>
    <w:rsid w:val="009E38FD"/>
    <w:rsid w:val="009E3E39"/>
    <w:rsid w:val="009E4773"/>
    <w:rsid w:val="009E4E35"/>
    <w:rsid w:val="009E524B"/>
    <w:rsid w:val="009E5A93"/>
    <w:rsid w:val="009E6BB2"/>
    <w:rsid w:val="009E6DB1"/>
    <w:rsid w:val="009E6F42"/>
    <w:rsid w:val="009E776B"/>
    <w:rsid w:val="009F03DB"/>
    <w:rsid w:val="009F0BBD"/>
    <w:rsid w:val="009F0D9E"/>
    <w:rsid w:val="009F13D6"/>
    <w:rsid w:val="009F141E"/>
    <w:rsid w:val="009F1626"/>
    <w:rsid w:val="009F1EA5"/>
    <w:rsid w:val="009F30FA"/>
    <w:rsid w:val="009F39EF"/>
    <w:rsid w:val="009F405C"/>
    <w:rsid w:val="009F44B7"/>
    <w:rsid w:val="009F44FE"/>
    <w:rsid w:val="009F4C6B"/>
    <w:rsid w:val="009F56BB"/>
    <w:rsid w:val="009F5A77"/>
    <w:rsid w:val="009F5B7E"/>
    <w:rsid w:val="009F5BC6"/>
    <w:rsid w:val="009F5DB7"/>
    <w:rsid w:val="009F6098"/>
    <w:rsid w:val="009F6120"/>
    <w:rsid w:val="009F69DC"/>
    <w:rsid w:val="009F710A"/>
    <w:rsid w:val="009F72FF"/>
    <w:rsid w:val="009F7342"/>
    <w:rsid w:val="009F78A8"/>
    <w:rsid w:val="009F7FA1"/>
    <w:rsid w:val="00A001A3"/>
    <w:rsid w:val="00A0028B"/>
    <w:rsid w:val="00A00506"/>
    <w:rsid w:val="00A01218"/>
    <w:rsid w:val="00A01DC0"/>
    <w:rsid w:val="00A01FA0"/>
    <w:rsid w:val="00A020F1"/>
    <w:rsid w:val="00A02AD6"/>
    <w:rsid w:val="00A034CF"/>
    <w:rsid w:val="00A035BD"/>
    <w:rsid w:val="00A037A6"/>
    <w:rsid w:val="00A04751"/>
    <w:rsid w:val="00A049E6"/>
    <w:rsid w:val="00A04C36"/>
    <w:rsid w:val="00A05897"/>
    <w:rsid w:val="00A05D84"/>
    <w:rsid w:val="00A05F87"/>
    <w:rsid w:val="00A05FA3"/>
    <w:rsid w:val="00A06814"/>
    <w:rsid w:val="00A06AF5"/>
    <w:rsid w:val="00A06DE3"/>
    <w:rsid w:val="00A07096"/>
    <w:rsid w:val="00A07170"/>
    <w:rsid w:val="00A07318"/>
    <w:rsid w:val="00A07C00"/>
    <w:rsid w:val="00A104E5"/>
    <w:rsid w:val="00A10607"/>
    <w:rsid w:val="00A107CE"/>
    <w:rsid w:val="00A107D6"/>
    <w:rsid w:val="00A10836"/>
    <w:rsid w:val="00A10A3A"/>
    <w:rsid w:val="00A10B5F"/>
    <w:rsid w:val="00A10CD8"/>
    <w:rsid w:val="00A112F0"/>
    <w:rsid w:val="00A11370"/>
    <w:rsid w:val="00A11489"/>
    <w:rsid w:val="00A1150D"/>
    <w:rsid w:val="00A11959"/>
    <w:rsid w:val="00A1197C"/>
    <w:rsid w:val="00A11BF2"/>
    <w:rsid w:val="00A132AD"/>
    <w:rsid w:val="00A13668"/>
    <w:rsid w:val="00A137B8"/>
    <w:rsid w:val="00A13855"/>
    <w:rsid w:val="00A13ABD"/>
    <w:rsid w:val="00A13D61"/>
    <w:rsid w:val="00A13FE5"/>
    <w:rsid w:val="00A140C8"/>
    <w:rsid w:val="00A14860"/>
    <w:rsid w:val="00A14A24"/>
    <w:rsid w:val="00A14DBC"/>
    <w:rsid w:val="00A14DCA"/>
    <w:rsid w:val="00A14E6D"/>
    <w:rsid w:val="00A15B62"/>
    <w:rsid w:val="00A15D59"/>
    <w:rsid w:val="00A172B4"/>
    <w:rsid w:val="00A17310"/>
    <w:rsid w:val="00A173C9"/>
    <w:rsid w:val="00A17773"/>
    <w:rsid w:val="00A17834"/>
    <w:rsid w:val="00A178F5"/>
    <w:rsid w:val="00A17A4D"/>
    <w:rsid w:val="00A17BE9"/>
    <w:rsid w:val="00A17DB6"/>
    <w:rsid w:val="00A17FA3"/>
    <w:rsid w:val="00A2019C"/>
    <w:rsid w:val="00A20314"/>
    <w:rsid w:val="00A21194"/>
    <w:rsid w:val="00A216AF"/>
    <w:rsid w:val="00A21F51"/>
    <w:rsid w:val="00A224CE"/>
    <w:rsid w:val="00A22522"/>
    <w:rsid w:val="00A2267A"/>
    <w:rsid w:val="00A226A8"/>
    <w:rsid w:val="00A22CD6"/>
    <w:rsid w:val="00A22E22"/>
    <w:rsid w:val="00A23074"/>
    <w:rsid w:val="00A23108"/>
    <w:rsid w:val="00A23C43"/>
    <w:rsid w:val="00A23FAD"/>
    <w:rsid w:val="00A24190"/>
    <w:rsid w:val="00A247AC"/>
    <w:rsid w:val="00A24837"/>
    <w:rsid w:val="00A24A9D"/>
    <w:rsid w:val="00A24AFD"/>
    <w:rsid w:val="00A24F5C"/>
    <w:rsid w:val="00A24F84"/>
    <w:rsid w:val="00A25467"/>
    <w:rsid w:val="00A259B2"/>
    <w:rsid w:val="00A26D84"/>
    <w:rsid w:val="00A26DA9"/>
    <w:rsid w:val="00A2712E"/>
    <w:rsid w:val="00A272F1"/>
    <w:rsid w:val="00A27BD9"/>
    <w:rsid w:val="00A3030F"/>
    <w:rsid w:val="00A307F5"/>
    <w:rsid w:val="00A30B21"/>
    <w:rsid w:val="00A30CC8"/>
    <w:rsid w:val="00A311ED"/>
    <w:rsid w:val="00A31227"/>
    <w:rsid w:val="00A313CA"/>
    <w:rsid w:val="00A31429"/>
    <w:rsid w:val="00A31A76"/>
    <w:rsid w:val="00A31F2C"/>
    <w:rsid w:val="00A31F3A"/>
    <w:rsid w:val="00A321A4"/>
    <w:rsid w:val="00A3269D"/>
    <w:rsid w:val="00A32D99"/>
    <w:rsid w:val="00A32EE4"/>
    <w:rsid w:val="00A32F96"/>
    <w:rsid w:val="00A33D42"/>
    <w:rsid w:val="00A33DC1"/>
    <w:rsid w:val="00A33F06"/>
    <w:rsid w:val="00A34209"/>
    <w:rsid w:val="00A3446F"/>
    <w:rsid w:val="00A3457A"/>
    <w:rsid w:val="00A35304"/>
    <w:rsid w:val="00A35375"/>
    <w:rsid w:val="00A3538B"/>
    <w:rsid w:val="00A3549C"/>
    <w:rsid w:val="00A3577A"/>
    <w:rsid w:val="00A359DD"/>
    <w:rsid w:val="00A3634F"/>
    <w:rsid w:val="00A3638A"/>
    <w:rsid w:val="00A365DE"/>
    <w:rsid w:val="00A36B8D"/>
    <w:rsid w:val="00A36D18"/>
    <w:rsid w:val="00A37031"/>
    <w:rsid w:val="00A37275"/>
    <w:rsid w:val="00A37278"/>
    <w:rsid w:val="00A377ED"/>
    <w:rsid w:val="00A37BF8"/>
    <w:rsid w:val="00A37FB7"/>
    <w:rsid w:val="00A40871"/>
    <w:rsid w:val="00A40D92"/>
    <w:rsid w:val="00A412AB"/>
    <w:rsid w:val="00A414C2"/>
    <w:rsid w:val="00A417EE"/>
    <w:rsid w:val="00A4193E"/>
    <w:rsid w:val="00A4297C"/>
    <w:rsid w:val="00A42A76"/>
    <w:rsid w:val="00A43624"/>
    <w:rsid w:val="00A43C86"/>
    <w:rsid w:val="00A43EFB"/>
    <w:rsid w:val="00A440E0"/>
    <w:rsid w:val="00A442EF"/>
    <w:rsid w:val="00A4435B"/>
    <w:rsid w:val="00A4439E"/>
    <w:rsid w:val="00A4467A"/>
    <w:rsid w:val="00A448C8"/>
    <w:rsid w:val="00A46651"/>
    <w:rsid w:val="00A476CB"/>
    <w:rsid w:val="00A47B57"/>
    <w:rsid w:val="00A50390"/>
    <w:rsid w:val="00A50B46"/>
    <w:rsid w:val="00A50DE0"/>
    <w:rsid w:val="00A51603"/>
    <w:rsid w:val="00A51C1C"/>
    <w:rsid w:val="00A51D1A"/>
    <w:rsid w:val="00A525ED"/>
    <w:rsid w:val="00A529E9"/>
    <w:rsid w:val="00A537F4"/>
    <w:rsid w:val="00A539DA"/>
    <w:rsid w:val="00A5418D"/>
    <w:rsid w:val="00A545B6"/>
    <w:rsid w:val="00A545D1"/>
    <w:rsid w:val="00A54719"/>
    <w:rsid w:val="00A5474E"/>
    <w:rsid w:val="00A54A25"/>
    <w:rsid w:val="00A54B2A"/>
    <w:rsid w:val="00A54BAC"/>
    <w:rsid w:val="00A55822"/>
    <w:rsid w:val="00A55F6D"/>
    <w:rsid w:val="00A564A3"/>
    <w:rsid w:val="00A566B9"/>
    <w:rsid w:val="00A568D7"/>
    <w:rsid w:val="00A56A8B"/>
    <w:rsid w:val="00A56E20"/>
    <w:rsid w:val="00A57156"/>
    <w:rsid w:val="00A571AF"/>
    <w:rsid w:val="00A57796"/>
    <w:rsid w:val="00A5787B"/>
    <w:rsid w:val="00A57C01"/>
    <w:rsid w:val="00A601E0"/>
    <w:rsid w:val="00A608F5"/>
    <w:rsid w:val="00A60C6F"/>
    <w:rsid w:val="00A6159D"/>
    <w:rsid w:val="00A616DD"/>
    <w:rsid w:val="00A61C42"/>
    <w:rsid w:val="00A61F8E"/>
    <w:rsid w:val="00A62150"/>
    <w:rsid w:val="00A623F4"/>
    <w:rsid w:val="00A629C3"/>
    <w:rsid w:val="00A62C85"/>
    <w:rsid w:val="00A62D90"/>
    <w:rsid w:val="00A63426"/>
    <w:rsid w:val="00A63CE1"/>
    <w:rsid w:val="00A63EC5"/>
    <w:rsid w:val="00A645A0"/>
    <w:rsid w:val="00A65124"/>
    <w:rsid w:val="00A65717"/>
    <w:rsid w:val="00A6592A"/>
    <w:rsid w:val="00A65E6E"/>
    <w:rsid w:val="00A65E7F"/>
    <w:rsid w:val="00A66397"/>
    <w:rsid w:val="00A66B29"/>
    <w:rsid w:val="00A66D1B"/>
    <w:rsid w:val="00A6707E"/>
    <w:rsid w:val="00A6715B"/>
    <w:rsid w:val="00A67BED"/>
    <w:rsid w:val="00A67C39"/>
    <w:rsid w:val="00A67C4B"/>
    <w:rsid w:val="00A67E5F"/>
    <w:rsid w:val="00A708BC"/>
    <w:rsid w:val="00A70ADF"/>
    <w:rsid w:val="00A70E60"/>
    <w:rsid w:val="00A70E61"/>
    <w:rsid w:val="00A7124E"/>
    <w:rsid w:val="00A71330"/>
    <w:rsid w:val="00A71466"/>
    <w:rsid w:val="00A71627"/>
    <w:rsid w:val="00A71B76"/>
    <w:rsid w:val="00A71F65"/>
    <w:rsid w:val="00A72157"/>
    <w:rsid w:val="00A7248F"/>
    <w:rsid w:val="00A72CEC"/>
    <w:rsid w:val="00A73AEA"/>
    <w:rsid w:val="00A741FC"/>
    <w:rsid w:val="00A74788"/>
    <w:rsid w:val="00A74843"/>
    <w:rsid w:val="00A74B5E"/>
    <w:rsid w:val="00A74F72"/>
    <w:rsid w:val="00A7514F"/>
    <w:rsid w:val="00A75358"/>
    <w:rsid w:val="00A75598"/>
    <w:rsid w:val="00A75B1E"/>
    <w:rsid w:val="00A75F8C"/>
    <w:rsid w:val="00A762AA"/>
    <w:rsid w:val="00A76B8E"/>
    <w:rsid w:val="00A771F9"/>
    <w:rsid w:val="00A77655"/>
    <w:rsid w:val="00A77EF2"/>
    <w:rsid w:val="00A802DA"/>
    <w:rsid w:val="00A8032E"/>
    <w:rsid w:val="00A80638"/>
    <w:rsid w:val="00A816A0"/>
    <w:rsid w:val="00A81BED"/>
    <w:rsid w:val="00A81EC4"/>
    <w:rsid w:val="00A82490"/>
    <w:rsid w:val="00A82B6A"/>
    <w:rsid w:val="00A82BFC"/>
    <w:rsid w:val="00A82C08"/>
    <w:rsid w:val="00A83239"/>
    <w:rsid w:val="00A8329B"/>
    <w:rsid w:val="00A833C7"/>
    <w:rsid w:val="00A84523"/>
    <w:rsid w:val="00A846A7"/>
    <w:rsid w:val="00A84759"/>
    <w:rsid w:val="00A84826"/>
    <w:rsid w:val="00A85754"/>
    <w:rsid w:val="00A85ED2"/>
    <w:rsid w:val="00A8663F"/>
    <w:rsid w:val="00A866E0"/>
    <w:rsid w:val="00A86CF1"/>
    <w:rsid w:val="00A8739E"/>
    <w:rsid w:val="00A87589"/>
    <w:rsid w:val="00A87938"/>
    <w:rsid w:val="00A87E15"/>
    <w:rsid w:val="00A87FB0"/>
    <w:rsid w:val="00A9008E"/>
    <w:rsid w:val="00A9073D"/>
    <w:rsid w:val="00A90E49"/>
    <w:rsid w:val="00A926E0"/>
    <w:rsid w:val="00A92D9C"/>
    <w:rsid w:val="00A92F1F"/>
    <w:rsid w:val="00A93EF4"/>
    <w:rsid w:val="00A9434D"/>
    <w:rsid w:val="00A945E4"/>
    <w:rsid w:val="00A946A9"/>
    <w:rsid w:val="00A946BA"/>
    <w:rsid w:val="00A951CB"/>
    <w:rsid w:val="00A951FE"/>
    <w:rsid w:val="00A9538B"/>
    <w:rsid w:val="00A95BD1"/>
    <w:rsid w:val="00A95FCA"/>
    <w:rsid w:val="00A96732"/>
    <w:rsid w:val="00A967FD"/>
    <w:rsid w:val="00A97514"/>
    <w:rsid w:val="00A97F53"/>
    <w:rsid w:val="00AA0826"/>
    <w:rsid w:val="00AA090A"/>
    <w:rsid w:val="00AA0FD0"/>
    <w:rsid w:val="00AA1650"/>
    <w:rsid w:val="00AA1768"/>
    <w:rsid w:val="00AA212E"/>
    <w:rsid w:val="00AA2720"/>
    <w:rsid w:val="00AA2A6A"/>
    <w:rsid w:val="00AA2E94"/>
    <w:rsid w:val="00AA3401"/>
    <w:rsid w:val="00AA4F38"/>
    <w:rsid w:val="00AA5591"/>
    <w:rsid w:val="00AA5EBC"/>
    <w:rsid w:val="00AA6169"/>
    <w:rsid w:val="00AA6E85"/>
    <w:rsid w:val="00AA731E"/>
    <w:rsid w:val="00AA7384"/>
    <w:rsid w:val="00AA758F"/>
    <w:rsid w:val="00AB0474"/>
    <w:rsid w:val="00AB04D0"/>
    <w:rsid w:val="00AB0B09"/>
    <w:rsid w:val="00AB1048"/>
    <w:rsid w:val="00AB12EE"/>
    <w:rsid w:val="00AB1356"/>
    <w:rsid w:val="00AB156C"/>
    <w:rsid w:val="00AB1933"/>
    <w:rsid w:val="00AB1940"/>
    <w:rsid w:val="00AB2085"/>
    <w:rsid w:val="00AB2439"/>
    <w:rsid w:val="00AB2AEE"/>
    <w:rsid w:val="00AB2E5A"/>
    <w:rsid w:val="00AB3765"/>
    <w:rsid w:val="00AB3792"/>
    <w:rsid w:val="00AB432F"/>
    <w:rsid w:val="00AB4490"/>
    <w:rsid w:val="00AB48E4"/>
    <w:rsid w:val="00AB51F1"/>
    <w:rsid w:val="00AB583E"/>
    <w:rsid w:val="00AB5BC7"/>
    <w:rsid w:val="00AB5E03"/>
    <w:rsid w:val="00AB5E90"/>
    <w:rsid w:val="00AB6092"/>
    <w:rsid w:val="00AB6814"/>
    <w:rsid w:val="00AB6E64"/>
    <w:rsid w:val="00AB714D"/>
    <w:rsid w:val="00AB76F6"/>
    <w:rsid w:val="00AB7A8A"/>
    <w:rsid w:val="00AB7F83"/>
    <w:rsid w:val="00AC04BA"/>
    <w:rsid w:val="00AC0961"/>
    <w:rsid w:val="00AC0C32"/>
    <w:rsid w:val="00AC0E39"/>
    <w:rsid w:val="00AC1858"/>
    <w:rsid w:val="00AC1D52"/>
    <w:rsid w:val="00AC1DEB"/>
    <w:rsid w:val="00AC2225"/>
    <w:rsid w:val="00AC24A5"/>
    <w:rsid w:val="00AC257C"/>
    <w:rsid w:val="00AC3722"/>
    <w:rsid w:val="00AC3818"/>
    <w:rsid w:val="00AC3C8B"/>
    <w:rsid w:val="00AC4720"/>
    <w:rsid w:val="00AC48F6"/>
    <w:rsid w:val="00AC4BBE"/>
    <w:rsid w:val="00AC4CDD"/>
    <w:rsid w:val="00AC53D3"/>
    <w:rsid w:val="00AC59E5"/>
    <w:rsid w:val="00AC6774"/>
    <w:rsid w:val="00AC6B0C"/>
    <w:rsid w:val="00AC6FEB"/>
    <w:rsid w:val="00AC70BF"/>
    <w:rsid w:val="00AC754A"/>
    <w:rsid w:val="00AC7586"/>
    <w:rsid w:val="00AC7B62"/>
    <w:rsid w:val="00AC7EBC"/>
    <w:rsid w:val="00AD0444"/>
    <w:rsid w:val="00AD0467"/>
    <w:rsid w:val="00AD074B"/>
    <w:rsid w:val="00AD1317"/>
    <w:rsid w:val="00AD1585"/>
    <w:rsid w:val="00AD1A93"/>
    <w:rsid w:val="00AD3082"/>
    <w:rsid w:val="00AD3690"/>
    <w:rsid w:val="00AD3840"/>
    <w:rsid w:val="00AD41D4"/>
    <w:rsid w:val="00AD44C2"/>
    <w:rsid w:val="00AD4AD0"/>
    <w:rsid w:val="00AD4BEE"/>
    <w:rsid w:val="00AD5436"/>
    <w:rsid w:val="00AD565A"/>
    <w:rsid w:val="00AD5693"/>
    <w:rsid w:val="00AD60CD"/>
    <w:rsid w:val="00AD6225"/>
    <w:rsid w:val="00AD6AB5"/>
    <w:rsid w:val="00AD6C8C"/>
    <w:rsid w:val="00AD6D45"/>
    <w:rsid w:val="00AD7BA2"/>
    <w:rsid w:val="00AE091D"/>
    <w:rsid w:val="00AE09A4"/>
    <w:rsid w:val="00AE0D57"/>
    <w:rsid w:val="00AE130E"/>
    <w:rsid w:val="00AE18B9"/>
    <w:rsid w:val="00AE212D"/>
    <w:rsid w:val="00AE21C8"/>
    <w:rsid w:val="00AE2452"/>
    <w:rsid w:val="00AE274B"/>
    <w:rsid w:val="00AE28F7"/>
    <w:rsid w:val="00AE2910"/>
    <w:rsid w:val="00AE2A03"/>
    <w:rsid w:val="00AE38A6"/>
    <w:rsid w:val="00AE3B60"/>
    <w:rsid w:val="00AE3CB3"/>
    <w:rsid w:val="00AE44A8"/>
    <w:rsid w:val="00AE4715"/>
    <w:rsid w:val="00AE47D1"/>
    <w:rsid w:val="00AE48ED"/>
    <w:rsid w:val="00AE4A5D"/>
    <w:rsid w:val="00AE4CEC"/>
    <w:rsid w:val="00AE53A1"/>
    <w:rsid w:val="00AE59CB"/>
    <w:rsid w:val="00AE656D"/>
    <w:rsid w:val="00AE68AB"/>
    <w:rsid w:val="00AE6DA4"/>
    <w:rsid w:val="00AE7015"/>
    <w:rsid w:val="00AE7DBB"/>
    <w:rsid w:val="00AF0D45"/>
    <w:rsid w:val="00AF1442"/>
    <w:rsid w:val="00AF1765"/>
    <w:rsid w:val="00AF22C2"/>
    <w:rsid w:val="00AF2484"/>
    <w:rsid w:val="00AF31DE"/>
    <w:rsid w:val="00AF337C"/>
    <w:rsid w:val="00AF33AD"/>
    <w:rsid w:val="00AF36FE"/>
    <w:rsid w:val="00AF374C"/>
    <w:rsid w:val="00AF38AD"/>
    <w:rsid w:val="00AF4063"/>
    <w:rsid w:val="00AF4377"/>
    <w:rsid w:val="00AF4B03"/>
    <w:rsid w:val="00AF4B76"/>
    <w:rsid w:val="00AF4B88"/>
    <w:rsid w:val="00AF5279"/>
    <w:rsid w:val="00AF5C51"/>
    <w:rsid w:val="00AF63E7"/>
    <w:rsid w:val="00AF65D1"/>
    <w:rsid w:val="00AF67FC"/>
    <w:rsid w:val="00AF6895"/>
    <w:rsid w:val="00AF6BC2"/>
    <w:rsid w:val="00AF6ED3"/>
    <w:rsid w:val="00AF71E6"/>
    <w:rsid w:val="00AF7322"/>
    <w:rsid w:val="00AF732D"/>
    <w:rsid w:val="00AF7724"/>
    <w:rsid w:val="00AF7D5C"/>
    <w:rsid w:val="00B0033A"/>
    <w:rsid w:val="00B00689"/>
    <w:rsid w:val="00B00960"/>
    <w:rsid w:val="00B00E53"/>
    <w:rsid w:val="00B00F46"/>
    <w:rsid w:val="00B00FC8"/>
    <w:rsid w:val="00B0165D"/>
    <w:rsid w:val="00B016C8"/>
    <w:rsid w:val="00B01C83"/>
    <w:rsid w:val="00B01FAE"/>
    <w:rsid w:val="00B0203D"/>
    <w:rsid w:val="00B021AF"/>
    <w:rsid w:val="00B02821"/>
    <w:rsid w:val="00B0284C"/>
    <w:rsid w:val="00B02991"/>
    <w:rsid w:val="00B02C00"/>
    <w:rsid w:val="00B02DA7"/>
    <w:rsid w:val="00B02E43"/>
    <w:rsid w:val="00B031F3"/>
    <w:rsid w:val="00B03779"/>
    <w:rsid w:val="00B03C8F"/>
    <w:rsid w:val="00B04742"/>
    <w:rsid w:val="00B04B38"/>
    <w:rsid w:val="00B04E4A"/>
    <w:rsid w:val="00B052A4"/>
    <w:rsid w:val="00B066E5"/>
    <w:rsid w:val="00B07540"/>
    <w:rsid w:val="00B105F6"/>
    <w:rsid w:val="00B10901"/>
    <w:rsid w:val="00B10C98"/>
    <w:rsid w:val="00B11273"/>
    <w:rsid w:val="00B11496"/>
    <w:rsid w:val="00B11BE6"/>
    <w:rsid w:val="00B1202F"/>
    <w:rsid w:val="00B1237B"/>
    <w:rsid w:val="00B125DE"/>
    <w:rsid w:val="00B12B41"/>
    <w:rsid w:val="00B12B90"/>
    <w:rsid w:val="00B12CF7"/>
    <w:rsid w:val="00B132BC"/>
    <w:rsid w:val="00B1330D"/>
    <w:rsid w:val="00B13762"/>
    <w:rsid w:val="00B139B0"/>
    <w:rsid w:val="00B13B95"/>
    <w:rsid w:val="00B13C1C"/>
    <w:rsid w:val="00B13FDD"/>
    <w:rsid w:val="00B141AA"/>
    <w:rsid w:val="00B145AA"/>
    <w:rsid w:val="00B14AE1"/>
    <w:rsid w:val="00B15459"/>
    <w:rsid w:val="00B15EB2"/>
    <w:rsid w:val="00B15FB6"/>
    <w:rsid w:val="00B160F7"/>
    <w:rsid w:val="00B1613F"/>
    <w:rsid w:val="00B16D94"/>
    <w:rsid w:val="00B17486"/>
    <w:rsid w:val="00B178F4"/>
    <w:rsid w:val="00B17C81"/>
    <w:rsid w:val="00B17CA1"/>
    <w:rsid w:val="00B20166"/>
    <w:rsid w:val="00B20197"/>
    <w:rsid w:val="00B20AAF"/>
    <w:rsid w:val="00B20BD6"/>
    <w:rsid w:val="00B20C16"/>
    <w:rsid w:val="00B2111B"/>
    <w:rsid w:val="00B21DEC"/>
    <w:rsid w:val="00B2261B"/>
    <w:rsid w:val="00B22755"/>
    <w:rsid w:val="00B2295A"/>
    <w:rsid w:val="00B22DD9"/>
    <w:rsid w:val="00B22DDA"/>
    <w:rsid w:val="00B22EB2"/>
    <w:rsid w:val="00B23EC5"/>
    <w:rsid w:val="00B23FB5"/>
    <w:rsid w:val="00B24580"/>
    <w:rsid w:val="00B249D5"/>
    <w:rsid w:val="00B24CB7"/>
    <w:rsid w:val="00B252EC"/>
    <w:rsid w:val="00B252F0"/>
    <w:rsid w:val="00B25656"/>
    <w:rsid w:val="00B25698"/>
    <w:rsid w:val="00B25904"/>
    <w:rsid w:val="00B26171"/>
    <w:rsid w:val="00B26EC9"/>
    <w:rsid w:val="00B26F23"/>
    <w:rsid w:val="00B27442"/>
    <w:rsid w:val="00B27D22"/>
    <w:rsid w:val="00B306B5"/>
    <w:rsid w:val="00B307FB"/>
    <w:rsid w:val="00B3087A"/>
    <w:rsid w:val="00B31167"/>
    <w:rsid w:val="00B311AC"/>
    <w:rsid w:val="00B31428"/>
    <w:rsid w:val="00B3158C"/>
    <w:rsid w:val="00B31A68"/>
    <w:rsid w:val="00B32486"/>
    <w:rsid w:val="00B32516"/>
    <w:rsid w:val="00B329D8"/>
    <w:rsid w:val="00B32BB9"/>
    <w:rsid w:val="00B339AA"/>
    <w:rsid w:val="00B33AD4"/>
    <w:rsid w:val="00B33AE1"/>
    <w:rsid w:val="00B341D1"/>
    <w:rsid w:val="00B34475"/>
    <w:rsid w:val="00B345FF"/>
    <w:rsid w:val="00B346E2"/>
    <w:rsid w:val="00B3492A"/>
    <w:rsid w:val="00B351C1"/>
    <w:rsid w:val="00B35438"/>
    <w:rsid w:val="00B35647"/>
    <w:rsid w:val="00B35AC4"/>
    <w:rsid w:val="00B35E31"/>
    <w:rsid w:val="00B35F08"/>
    <w:rsid w:val="00B36094"/>
    <w:rsid w:val="00B36D8B"/>
    <w:rsid w:val="00B377E0"/>
    <w:rsid w:val="00B37C38"/>
    <w:rsid w:val="00B40AD7"/>
    <w:rsid w:val="00B41B5D"/>
    <w:rsid w:val="00B4288C"/>
    <w:rsid w:val="00B42B30"/>
    <w:rsid w:val="00B42BA9"/>
    <w:rsid w:val="00B42C61"/>
    <w:rsid w:val="00B43068"/>
    <w:rsid w:val="00B43262"/>
    <w:rsid w:val="00B432AE"/>
    <w:rsid w:val="00B43500"/>
    <w:rsid w:val="00B43716"/>
    <w:rsid w:val="00B4376F"/>
    <w:rsid w:val="00B43A51"/>
    <w:rsid w:val="00B43B36"/>
    <w:rsid w:val="00B43D76"/>
    <w:rsid w:val="00B44100"/>
    <w:rsid w:val="00B442D9"/>
    <w:rsid w:val="00B44683"/>
    <w:rsid w:val="00B45048"/>
    <w:rsid w:val="00B454C8"/>
    <w:rsid w:val="00B4570F"/>
    <w:rsid w:val="00B45AD1"/>
    <w:rsid w:val="00B45DF9"/>
    <w:rsid w:val="00B45F95"/>
    <w:rsid w:val="00B4611D"/>
    <w:rsid w:val="00B46445"/>
    <w:rsid w:val="00B46588"/>
    <w:rsid w:val="00B46CBA"/>
    <w:rsid w:val="00B46E14"/>
    <w:rsid w:val="00B46F94"/>
    <w:rsid w:val="00B47326"/>
    <w:rsid w:val="00B47B56"/>
    <w:rsid w:val="00B5098E"/>
    <w:rsid w:val="00B50F2E"/>
    <w:rsid w:val="00B51356"/>
    <w:rsid w:val="00B51412"/>
    <w:rsid w:val="00B5166B"/>
    <w:rsid w:val="00B51729"/>
    <w:rsid w:val="00B51A6E"/>
    <w:rsid w:val="00B5221D"/>
    <w:rsid w:val="00B523BC"/>
    <w:rsid w:val="00B52780"/>
    <w:rsid w:val="00B5329D"/>
    <w:rsid w:val="00B53335"/>
    <w:rsid w:val="00B53656"/>
    <w:rsid w:val="00B53BCA"/>
    <w:rsid w:val="00B53DF8"/>
    <w:rsid w:val="00B544B5"/>
    <w:rsid w:val="00B54742"/>
    <w:rsid w:val="00B548C5"/>
    <w:rsid w:val="00B548F6"/>
    <w:rsid w:val="00B54931"/>
    <w:rsid w:val="00B54A98"/>
    <w:rsid w:val="00B54B3B"/>
    <w:rsid w:val="00B54E5D"/>
    <w:rsid w:val="00B54F39"/>
    <w:rsid w:val="00B5555B"/>
    <w:rsid w:val="00B5560C"/>
    <w:rsid w:val="00B557BA"/>
    <w:rsid w:val="00B55EB7"/>
    <w:rsid w:val="00B563E9"/>
    <w:rsid w:val="00B56C66"/>
    <w:rsid w:val="00B572D1"/>
    <w:rsid w:val="00B57A51"/>
    <w:rsid w:val="00B57C86"/>
    <w:rsid w:val="00B603D6"/>
    <w:rsid w:val="00B604A6"/>
    <w:rsid w:val="00B60AD2"/>
    <w:rsid w:val="00B60C60"/>
    <w:rsid w:val="00B611B6"/>
    <w:rsid w:val="00B61441"/>
    <w:rsid w:val="00B61754"/>
    <w:rsid w:val="00B61CA4"/>
    <w:rsid w:val="00B61F03"/>
    <w:rsid w:val="00B622D3"/>
    <w:rsid w:val="00B6254B"/>
    <w:rsid w:val="00B626E4"/>
    <w:rsid w:val="00B62CCF"/>
    <w:rsid w:val="00B62D80"/>
    <w:rsid w:val="00B63299"/>
    <w:rsid w:val="00B64014"/>
    <w:rsid w:val="00B64360"/>
    <w:rsid w:val="00B64409"/>
    <w:rsid w:val="00B64FB6"/>
    <w:rsid w:val="00B6523A"/>
    <w:rsid w:val="00B65B3C"/>
    <w:rsid w:val="00B66DF0"/>
    <w:rsid w:val="00B67408"/>
    <w:rsid w:val="00B67C04"/>
    <w:rsid w:val="00B7114D"/>
    <w:rsid w:val="00B7135E"/>
    <w:rsid w:val="00B71396"/>
    <w:rsid w:val="00B713A2"/>
    <w:rsid w:val="00B71679"/>
    <w:rsid w:val="00B71816"/>
    <w:rsid w:val="00B71A1F"/>
    <w:rsid w:val="00B71D54"/>
    <w:rsid w:val="00B71DFF"/>
    <w:rsid w:val="00B71F4C"/>
    <w:rsid w:val="00B71F5F"/>
    <w:rsid w:val="00B72F4A"/>
    <w:rsid w:val="00B73415"/>
    <w:rsid w:val="00B7365F"/>
    <w:rsid w:val="00B736D4"/>
    <w:rsid w:val="00B7401A"/>
    <w:rsid w:val="00B74787"/>
    <w:rsid w:val="00B74F03"/>
    <w:rsid w:val="00B75459"/>
    <w:rsid w:val="00B7586B"/>
    <w:rsid w:val="00B75E2D"/>
    <w:rsid w:val="00B76526"/>
    <w:rsid w:val="00B767DA"/>
    <w:rsid w:val="00B76AB3"/>
    <w:rsid w:val="00B76E2E"/>
    <w:rsid w:val="00B76F3B"/>
    <w:rsid w:val="00B77CA2"/>
    <w:rsid w:val="00B77EF4"/>
    <w:rsid w:val="00B77F14"/>
    <w:rsid w:val="00B801D1"/>
    <w:rsid w:val="00B802F0"/>
    <w:rsid w:val="00B813C2"/>
    <w:rsid w:val="00B82512"/>
    <w:rsid w:val="00B8273D"/>
    <w:rsid w:val="00B83009"/>
    <w:rsid w:val="00B8305F"/>
    <w:rsid w:val="00B837B5"/>
    <w:rsid w:val="00B83B1B"/>
    <w:rsid w:val="00B83C27"/>
    <w:rsid w:val="00B83E24"/>
    <w:rsid w:val="00B8455E"/>
    <w:rsid w:val="00B84A72"/>
    <w:rsid w:val="00B84BC3"/>
    <w:rsid w:val="00B84BDD"/>
    <w:rsid w:val="00B85326"/>
    <w:rsid w:val="00B8536E"/>
    <w:rsid w:val="00B854CC"/>
    <w:rsid w:val="00B85C9A"/>
    <w:rsid w:val="00B8656F"/>
    <w:rsid w:val="00B86839"/>
    <w:rsid w:val="00B86C4C"/>
    <w:rsid w:val="00B86CA1"/>
    <w:rsid w:val="00B872B9"/>
    <w:rsid w:val="00B87977"/>
    <w:rsid w:val="00B903E0"/>
    <w:rsid w:val="00B9073B"/>
    <w:rsid w:val="00B9213D"/>
    <w:rsid w:val="00B922E7"/>
    <w:rsid w:val="00B9248B"/>
    <w:rsid w:val="00B925D8"/>
    <w:rsid w:val="00B92719"/>
    <w:rsid w:val="00B92812"/>
    <w:rsid w:val="00B93071"/>
    <w:rsid w:val="00B932A7"/>
    <w:rsid w:val="00B933D4"/>
    <w:rsid w:val="00B936A1"/>
    <w:rsid w:val="00B936B8"/>
    <w:rsid w:val="00B93B8A"/>
    <w:rsid w:val="00B94005"/>
    <w:rsid w:val="00B94453"/>
    <w:rsid w:val="00B94D64"/>
    <w:rsid w:val="00B961DD"/>
    <w:rsid w:val="00B9684B"/>
    <w:rsid w:val="00B96D2F"/>
    <w:rsid w:val="00B9735B"/>
    <w:rsid w:val="00B97462"/>
    <w:rsid w:val="00B9774F"/>
    <w:rsid w:val="00B978CC"/>
    <w:rsid w:val="00B979A8"/>
    <w:rsid w:val="00B97BD4"/>
    <w:rsid w:val="00B97C02"/>
    <w:rsid w:val="00B97C31"/>
    <w:rsid w:val="00BA07DF"/>
    <w:rsid w:val="00BA1711"/>
    <w:rsid w:val="00BA22F1"/>
    <w:rsid w:val="00BA250A"/>
    <w:rsid w:val="00BA2625"/>
    <w:rsid w:val="00BA293F"/>
    <w:rsid w:val="00BA34EA"/>
    <w:rsid w:val="00BA3718"/>
    <w:rsid w:val="00BA45D0"/>
    <w:rsid w:val="00BA4D86"/>
    <w:rsid w:val="00BA5DEF"/>
    <w:rsid w:val="00BA7B28"/>
    <w:rsid w:val="00BB0282"/>
    <w:rsid w:val="00BB0447"/>
    <w:rsid w:val="00BB0D60"/>
    <w:rsid w:val="00BB107E"/>
    <w:rsid w:val="00BB176E"/>
    <w:rsid w:val="00BB188B"/>
    <w:rsid w:val="00BB18DC"/>
    <w:rsid w:val="00BB1EB2"/>
    <w:rsid w:val="00BB2044"/>
    <w:rsid w:val="00BB21C7"/>
    <w:rsid w:val="00BB300E"/>
    <w:rsid w:val="00BB30EF"/>
    <w:rsid w:val="00BB352B"/>
    <w:rsid w:val="00BB3B4E"/>
    <w:rsid w:val="00BB3C6B"/>
    <w:rsid w:val="00BB3E8D"/>
    <w:rsid w:val="00BB4094"/>
    <w:rsid w:val="00BB45A1"/>
    <w:rsid w:val="00BB4725"/>
    <w:rsid w:val="00BB4856"/>
    <w:rsid w:val="00BB4A68"/>
    <w:rsid w:val="00BB4BE4"/>
    <w:rsid w:val="00BB51C4"/>
    <w:rsid w:val="00BB5496"/>
    <w:rsid w:val="00BB5688"/>
    <w:rsid w:val="00BB5770"/>
    <w:rsid w:val="00BB66F4"/>
    <w:rsid w:val="00BB7460"/>
    <w:rsid w:val="00BB7686"/>
    <w:rsid w:val="00BC041B"/>
    <w:rsid w:val="00BC0523"/>
    <w:rsid w:val="00BC08DA"/>
    <w:rsid w:val="00BC0CB0"/>
    <w:rsid w:val="00BC1780"/>
    <w:rsid w:val="00BC1C95"/>
    <w:rsid w:val="00BC1D7F"/>
    <w:rsid w:val="00BC20DC"/>
    <w:rsid w:val="00BC23F9"/>
    <w:rsid w:val="00BC262D"/>
    <w:rsid w:val="00BC2782"/>
    <w:rsid w:val="00BC2AFB"/>
    <w:rsid w:val="00BC2D57"/>
    <w:rsid w:val="00BC30E2"/>
    <w:rsid w:val="00BC3421"/>
    <w:rsid w:val="00BC372C"/>
    <w:rsid w:val="00BC42BC"/>
    <w:rsid w:val="00BC4528"/>
    <w:rsid w:val="00BC4645"/>
    <w:rsid w:val="00BC50F3"/>
    <w:rsid w:val="00BC5197"/>
    <w:rsid w:val="00BC5C8A"/>
    <w:rsid w:val="00BC6DED"/>
    <w:rsid w:val="00BC6F77"/>
    <w:rsid w:val="00BC732C"/>
    <w:rsid w:val="00BC7D0D"/>
    <w:rsid w:val="00BC7D0F"/>
    <w:rsid w:val="00BC7F45"/>
    <w:rsid w:val="00BD035E"/>
    <w:rsid w:val="00BD08EE"/>
    <w:rsid w:val="00BD0976"/>
    <w:rsid w:val="00BD0BC5"/>
    <w:rsid w:val="00BD0F57"/>
    <w:rsid w:val="00BD0FE4"/>
    <w:rsid w:val="00BD1A48"/>
    <w:rsid w:val="00BD1A79"/>
    <w:rsid w:val="00BD1B90"/>
    <w:rsid w:val="00BD1E84"/>
    <w:rsid w:val="00BD2345"/>
    <w:rsid w:val="00BD2698"/>
    <w:rsid w:val="00BD2F79"/>
    <w:rsid w:val="00BD3175"/>
    <w:rsid w:val="00BD39A7"/>
    <w:rsid w:val="00BD39F0"/>
    <w:rsid w:val="00BD5001"/>
    <w:rsid w:val="00BD636C"/>
    <w:rsid w:val="00BD66D4"/>
    <w:rsid w:val="00BD68C0"/>
    <w:rsid w:val="00BD6E5C"/>
    <w:rsid w:val="00BD727F"/>
    <w:rsid w:val="00BD746F"/>
    <w:rsid w:val="00BD7705"/>
    <w:rsid w:val="00BD7722"/>
    <w:rsid w:val="00BD7C05"/>
    <w:rsid w:val="00BE0A91"/>
    <w:rsid w:val="00BE0A9A"/>
    <w:rsid w:val="00BE1763"/>
    <w:rsid w:val="00BE1ADB"/>
    <w:rsid w:val="00BE1C8B"/>
    <w:rsid w:val="00BE2580"/>
    <w:rsid w:val="00BE266D"/>
    <w:rsid w:val="00BE27DD"/>
    <w:rsid w:val="00BE2AB8"/>
    <w:rsid w:val="00BE314D"/>
    <w:rsid w:val="00BE35D4"/>
    <w:rsid w:val="00BE3938"/>
    <w:rsid w:val="00BE46C0"/>
    <w:rsid w:val="00BE47E3"/>
    <w:rsid w:val="00BE4B4C"/>
    <w:rsid w:val="00BE4C11"/>
    <w:rsid w:val="00BE4F1F"/>
    <w:rsid w:val="00BE5156"/>
    <w:rsid w:val="00BE5180"/>
    <w:rsid w:val="00BE5217"/>
    <w:rsid w:val="00BE5389"/>
    <w:rsid w:val="00BE545E"/>
    <w:rsid w:val="00BE5AB6"/>
    <w:rsid w:val="00BE71C0"/>
    <w:rsid w:val="00BE7AA2"/>
    <w:rsid w:val="00BE7E57"/>
    <w:rsid w:val="00BF02BB"/>
    <w:rsid w:val="00BF13AA"/>
    <w:rsid w:val="00BF1C3F"/>
    <w:rsid w:val="00BF256A"/>
    <w:rsid w:val="00BF2A72"/>
    <w:rsid w:val="00BF2F6A"/>
    <w:rsid w:val="00BF314D"/>
    <w:rsid w:val="00BF3D23"/>
    <w:rsid w:val="00BF41CC"/>
    <w:rsid w:val="00BF42D6"/>
    <w:rsid w:val="00BF446A"/>
    <w:rsid w:val="00BF45D3"/>
    <w:rsid w:val="00BF5495"/>
    <w:rsid w:val="00BF5FA3"/>
    <w:rsid w:val="00BF609E"/>
    <w:rsid w:val="00BF610C"/>
    <w:rsid w:val="00BF66C6"/>
    <w:rsid w:val="00BF702A"/>
    <w:rsid w:val="00BF71D9"/>
    <w:rsid w:val="00BF72BE"/>
    <w:rsid w:val="00BF777C"/>
    <w:rsid w:val="00BF7CC9"/>
    <w:rsid w:val="00C0000A"/>
    <w:rsid w:val="00C0060B"/>
    <w:rsid w:val="00C00EA6"/>
    <w:rsid w:val="00C012EE"/>
    <w:rsid w:val="00C01A4D"/>
    <w:rsid w:val="00C022CF"/>
    <w:rsid w:val="00C02457"/>
    <w:rsid w:val="00C02586"/>
    <w:rsid w:val="00C0259C"/>
    <w:rsid w:val="00C0277D"/>
    <w:rsid w:val="00C0304D"/>
    <w:rsid w:val="00C031FD"/>
    <w:rsid w:val="00C0334B"/>
    <w:rsid w:val="00C033E9"/>
    <w:rsid w:val="00C03DE8"/>
    <w:rsid w:val="00C03E00"/>
    <w:rsid w:val="00C04871"/>
    <w:rsid w:val="00C04EA0"/>
    <w:rsid w:val="00C053A1"/>
    <w:rsid w:val="00C0544E"/>
    <w:rsid w:val="00C0576F"/>
    <w:rsid w:val="00C05A60"/>
    <w:rsid w:val="00C064DF"/>
    <w:rsid w:val="00C06932"/>
    <w:rsid w:val="00C07925"/>
    <w:rsid w:val="00C07F00"/>
    <w:rsid w:val="00C102CE"/>
    <w:rsid w:val="00C10AF3"/>
    <w:rsid w:val="00C10C7E"/>
    <w:rsid w:val="00C10C96"/>
    <w:rsid w:val="00C10EA5"/>
    <w:rsid w:val="00C10F2D"/>
    <w:rsid w:val="00C11295"/>
    <w:rsid w:val="00C119EF"/>
    <w:rsid w:val="00C12301"/>
    <w:rsid w:val="00C123F3"/>
    <w:rsid w:val="00C131A9"/>
    <w:rsid w:val="00C13650"/>
    <w:rsid w:val="00C14214"/>
    <w:rsid w:val="00C1440D"/>
    <w:rsid w:val="00C14431"/>
    <w:rsid w:val="00C14476"/>
    <w:rsid w:val="00C150BE"/>
    <w:rsid w:val="00C1593E"/>
    <w:rsid w:val="00C16129"/>
    <w:rsid w:val="00C16190"/>
    <w:rsid w:val="00C16198"/>
    <w:rsid w:val="00C161F1"/>
    <w:rsid w:val="00C16A50"/>
    <w:rsid w:val="00C174A8"/>
    <w:rsid w:val="00C17781"/>
    <w:rsid w:val="00C179E2"/>
    <w:rsid w:val="00C17FF9"/>
    <w:rsid w:val="00C20186"/>
    <w:rsid w:val="00C2083D"/>
    <w:rsid w:val="00C221ED"/>
    <w:rsid w:val="00C223F2"/>
    <w:rsid w:val="00C226C3"/>
    <w:rsid w:val="00C22D04"/>
    <w:rsid w:val="00C233AE"/>
    <w:rsid w:val="00C233C1"/>
    <w:rsid w:val="00C234EA"/>
    <w:rsid w:val="00C23C5D"/>
    <w:rsid w:val="00C23DAE"/>
    <w:rsid w:val="00C24A53"/>
    <w:rsid w:val="00C24E6E"/>
    <w:rsid w:val="00C251E8"/>
    <w:rsid w:val="00C25655"/>
    <w:rsid w:val="00C25EF9"/>
    <w:rsid w:val="00C26B34"/>
    <w:rsid w:val="00C27052"/>
    <w:rsid w:val="00C27C8E"/>
    <w:rsid w:val="00C3123F"/>
    <w:rsid w:val="00C312EE"/>
    <w:rsid w:val="00C31457"/>
    <w:rsid w:val="00C31DC0"/>
    <w:rsid w:val="00C3289E"/>
    <w:rsid w:val="00C33239"/>
    <w:rsid w:val="00C33633"/>
    <w:rsid w:val="00C33949"/>
    <w:rsid w:val="00C33B36"/>
    <w:rsid w:val="00C342D7"/>
    <w:rsid w:val="00C3461B"/>
    <w:rsid w:val="00C3498F"/>
    <w:rsid w:val="00C34F0F"/>
    <w:rsid w:val="00C3545A"/>
    <w:rsid w:val="00C354ED"/>
    <w:rsid w:val="00C35614"/>
    <w:rsid w:val="00C35B31"/>
    <w:rsid w:val="00C35B61"/>
    <w:rsid w:val="00C35BEF"/>
    <w:rsid w:val="00C35FFC"/>
    <w:rsid w:val="00C36306"/>
    <w:rsid w:val="00C36320"/>
    <w:rsid w:val="00C36EF0"/>
    <w:rsid w:val="00C3719D"/>
    <w:rsid w:val="00C3724B"/>
    <w:rsid w:val="00C37460"/>
    <w:rsid w:val="00C377FC"/>
    <w:rsid w:val="00C37D94"/>
    <w:rsid w:val="00C4032F"/>
    <w:rsid w:val="00C4061B"/>
    <w:rsid w:val="00C4135A"/>
    <w:rsid w:val="00C41495"/>
    <w:rsid w:val="00C41524"/>
    <w:rsid w:val="00C41BC9"/>
    <w:rsid w:val="00C41F54"/>
    <w:rsid w:val="00C41FAF"/>
    <w:rsid w:val="00C42172"/>
    <w:rsid w:val="00C42609"/>
    <w:rsid w:val="00C4267C"/>
    <w:rsid w:val="00C426A0"/>
    <w:rsid w:val="00C42E12"/>
    <w:rsid w:val="00C43390"/>
    <w:rsid w:val="00C43592"/>
    <w:rsid w:val="00C436F6"/>
    <w:rsid w:val="00C43B1D"/>
    <w:rsid w:val="00C44047"/>
    <w:rsid w:val="00C441C4"/>
    <w:rsid w:val="00C444AE"/>
    <w:rsid w:val="00C44B27"/>
    <w:rsid w:val="00C450D7"/>
    <w:rsid w:val="00C45155"/>
    <w:rsid w:val="00C45166"/>
    <w:rsid w:val="00C45622"/>
    <w:rsid w:val="00C45C37"/>
    <w:rsid w:val="00C45DA0"/>
    <w:rsid w:val="00C461E5"/>
    <w:rsid w:val="00C465B5"/>
    <w:rsid w:val="00C46ADC"/>
    <w:rsid w:val="00C46BC0"/>
    <w:rsid w:val="00C475A4"/>
    <w:rsid w:val="00C47953"/>
    <w:rsid w:val="00C47A61"/>
    <w:rsid w:val="00C47EE1"/>
    <w:rsid w:val="00C47FF5"/>
    <w:rsid w:val="00C50CD0"/>
    <w:rsid w:val="00C50FB7"/>
    <w:rsid w:val="00C51996"/>
    <w:rsid w:val="00C51C0D"/>
    <w:rsid w:val="00C51D1F"/>
    <w:rsid w:val="00C520DE"/>
    <w:rsid w:val="00C52134"/>
    <w:rsid w:val="00C52287"/>
    <w:rsid w:val="00C5236A"/>
    <w:rsid w:val="00C5245E"/>
    <w:rsid w:val="00C529F6"/>
    <w:rsid w:val="00C52C10"/>
    <w:rsid w:val="00C52DB2"/>
    <w:rsid w:val="00C537C6"/>
    <w:rsid w:val="00C539F6"/>
    <w:rsid w:val="00C53E20"/>
    <w:rsid w:val="00C543AB"/>
    <w:rsid w:val="00C5481E"/>
    <w:rsid w:val="00C5498F"/>
    <w:rsid w:val="00C54F07"/>
    <w:rsid w:val="00C55235"/>
    <w:rsid w:val="00C55C45"/>
    <w:rsid w:val="00C55EAE"/>
    <w:rsid w:val="00C55F06"/>
    <w:rsid w:val="00C569AB"/>
    <w:rsid w:val="00C575B4"/>
    <w:rsid w:val="00C60181"/>
    <w:rsid w:val="00C60536"/>
    <w:rsid w:val="00C60645"/>
    <w:rsid w:val="00C60997"/>
    <w:rsid w:val="00C61C90"/>
    <w:rsid w:val="00C621B9"/>
    <w:rsid w:val="00C6247D"/>
    <w:rsid w:val="00C634DE"/>
    <w:rsid w:val="00C638D0"/>
    <w:rsid w:val="00C63931"/>
    <w:rsid w:val="00C63DF6"/>
    <w:rsid w:val="00C63E14"/>
    <w:rsid w:val="00C64074"/>
    <w:rsid w:val="00C64CD0"/>
    <w:rsid w:val="00C64D8A"/>
    <w:rsid w:val="00C660D4"/>
    <w:rsid w:val="00C66160"/>
    <w:rsid w:val="00C666F7"/>
    <w:rsid w:val="00C6684F"/>
    <w:rsid w:val="00C66879"/>
    <w:rsid w:val="00C6745F"/>
    <w:rsid w:val="00C674E0"/>
    <w:rsid w:val="00C70C37"/>
    <w:rsid w:val="00C70E70"/>
    <w:rsid w:val="00C7150D"/>
    <w:rsid w:val="00C71573"/>
    <w:rsid w:val="00C716DE"/>
    <w:rsid w:val="00C717D0"/>
    <w:rsid w:val="00C7184B"/>
    <w:rsid w:val="00C72044"/>
    <w:rsid w:val="00C72EE0"/>
    <w:rsid w:val="00C73239"/>
    <w:rsid w:val="00C7342B"/>
    <w:rsid w:val="00C73859"/>
    <w:rsid w:val="00C73F03"/>
    <w:rsid w:val="00C73F34"/>
    <w:rsid w:val="00C74297"/>
    <w:rsid w:val="00C742E9"/>
    <w:rsid w:val="00C74658"/>
    <w:rsid w:val="00C747DE"/>
    <w:rsid w:val="00C74CDA"/>
    <w:rsid w:val="00C75223"/>
    <w:rsid w:val="00C75CD2"/>
    <w:rsid w:val="00C75E2A"/>
    <w:rsid w:val="00C75F8D"/>
    <w:rsid w:val="00C76071"/>
    <w:rsid w:val="00C76809"/>
    <w:rsid w:val="00C76B8F"/>
    <w:rsid w:val="00C77380"/>
    <w:rsid w:val="00C8111D"/>
    <w:rsid w:val="00C812B6"/>
    <w:rsid w:val="00C81325"/>
    <w:rsid w:val="00C81D8E"/>
    <w:rsid w:val="00C81F5D"/>
    <w:rsid w:val="00C821C0"/>
    <w:rsid w:val="00C825C1"/>
    <w:rsid w:val="00C82724"/>
    <w:rsid w:val="00C832D1"/>
    <w:rsid w:val="00C833D4"/>
    <w:rsid w:val="00C83446"/>
    <w:rsid w:val="00C83F66"/>
    <w:rsid w:val="00C84DB2"/>
    <w:rsid w:val="00C84FC1"/>
    <w:rsid w:val="00C851C0"/>
    <w:rsid w:val="00C851FA"/>
    <w:rsid w:val="00C86118"/>
    <w:rsid w:val="00C8614B"/>
    <w:rsid w:val="00C862C8"/>
    <w:rsid w:val="00C86611"/>
    <w:rsid w:val="00C866EB"/>
    <w:rsid w:val="00C86B50"/>
    <w:rsid w:val="00C86F85"/>
    <w:rsid w:val="00C87556"/>
    <w:rsid w:val="00C876EA"/>
    <w:rsid w:val="00C879A6"/>
    <w:rsid w:val="00C87F6D"/>
    <w:rsid w:val="00C87F70"/>
    <w:rsid w:val="00C90044"/>
    <w:rsid w:val="00C9026D"/>
    <w:rsid w:val="00C90A78"/>
    <w:rsid w:val="00C90EEB"/>
    <w:rsid w:val="00C90F39"/>
    <w:rsid w:val="00C910AC"/>
    <w:rsid w:val="00C91214"/>
    <w:rsid w:val="00C912CA"/>
    <w:rsid w:val="00C9167C"/>
    <w:rsid w:val="00C916E3"/>
    <w:rsid w:val="00C918B3"/>
    <w:rsid w:val="00C91A2B"/>
    <w:rsid w:val="00C921AA"/>
    <w:rsid w:val="00C9250F"/>
    <w:rsid w:val="00C92594"/>
    <w:rsid w:val="00C928C6"/>
    <w:rsid w:val="00C92948"/>
    <w:rsid w:val="00C92D66"/>
    <w:rsid w:val="00C93073"/>
    <w:rsid w:val="00C930F2"/>
    <w:rsid w:val="00C93C68"/>
    <w:rsid w:val="00C944F9"/>
    <w:rsid w:val="00C948FE"/>
    <w:rsid w:val="00C94EF8"/>
    <w:rsid w:val="00C95162"/>
    <w:rsid w:val="00C95763"/>
    <w:rsid w:val="00C95C6A"/>
    <w:rsid w:val="00C96817"/>
    <w:rsid w:val="00C96882"/>
    <w:rsid w:val="00C96DC1"/>
    <w:rsid w:val="00C972D8"/>
    <w:rsid w:val="00C973AF"/>
    <w:rsid w:val="00C97736"/>
    <w:rsid w:val="00CA0363"/>
    <w:rsid w:val="00CA05A7"/>
    <w:rsid w:val="00CA07BD"/>
    <w:rsid w:val="00CA0DDC"/>
    <w:rsid w:val="00CA0E5F"/>
    <w:rsid w:val="00CA1224"/>
    <w:rsid w:val="00CA16BE"/>
    <w:rsid w:val="00CA1C78"/>
    <w:rsid w:val="00CA1EF0"/>
    <w:rsid w:val="00CA2BC1"/>
    <w:rsid w:val="00CA329C"/>
    <w:rsid w:val="00CA345A"/>
    <w:rsid w:val="00CA3577"/>
    <w:rsid w:val="00CA362A"/>
    <w:rsid w:val="00CA48F3"/>
    <w:rsid w:val="00CA4910"/>
    <w:rsid w:val="00CA4CA1"/>
    <w:rsid w:val="00CA51CB"/>
    <w:rsid w:val="00CA54CD"/>
    <w:rsid w:val="00CA55B3"/>
    <w:rsid w:val="00CA574A"/>
    <w:rsid w:val="00CA57D0"/>
    <w:rsid w:val="00CA5899"/>
    <w:rsid w:val="00CA5944"/>
    <w:rsid w:val="00CA5AEE"/>
    <w:rsid w:val="00CA5F5F"/>
    <w:rsid w:val="00CA665E"/>
    <w:rsid w:val="00CA6AA2"/>
    <w:rsid w:val="00CA7390"/>
    <w:rsid w:val="00CA775B"/>
    <w:rsid w:val="00CA7953"/>
    <w:rsid w:val="00CA7EE5"/>
    <w:rsid w:val="00CB0328"/>
    <w:rsid w:val="00CB092A"/>
    <w:rsid w:val="00CB0F12"/>
    <w:rsid w:val="00CB13AA"/>
    <w:rsid w:val="00CB189D"/>
    <w:rsid w:val="00CB1A00"/>
    <w:rsid w:val="00CB1B77"/>
    <w:rsid w:val="00CB1E45"/>
    <w:rsid w:val="00CB1E82"/>
    <w:rsid w:val="00CB2084"/>
    <w:rsid w:val="00CB2C4F"/>
    <w:rsid w:val="00CB2F1B"/>
    <w:rsid w:val="00CB348A"/>
    <w:rsid w:val="00CB3D6B"/>
    <w:rsid w:val="00CB4697"/>
    <w:rsid w:val="00CB4AE3"/>
    <w:rsid w:val="00CB4BA8"/>
    <w:rsid w:val="00CB4E6F"/>
    <w:rsid w:val="00CB52D7"/>
    <w:rsid w:val="00CB61C8"/>
    <w:rsid w:val="00CB63EA"/>
    <w:rsid w:val="00CB64A8"/>
    <w:rsid w:val="00CB69AD"/>
    <w:rsid w:val="00CB71C1"/>
    <w:rsid w:val="00CB7627"/>
    <w:rsid w:val="00CC0452"/>
    <w:rsid w:val="00CC0562"/>
    <w:rsid w:val="00CC06A0"/>
    <w:rsid w:val="00CC0710"/>
    <w:rsid w:val="00CC0998"/>
    <w:rsid w:val="00CC159D"/>
    <w:rsid w:val="00CC15BC"/>
    <w:rsid w:val="00CC17AC"/>
    <w:rsid w:val="00CC1A79"/>
    <w:rsid w:val="00CC1FFA"/>
    <w:rsid w:val="00CC2277"/>
    <w:rsid w:val="00CC23DB"/>
    <w:rsid w:val="00CC2EE6"/>
    <w:rsid w:val="00CC3120"/>
    <w:rsid w:val="00CC3366"/>
    <w:rsid w:val="00CC4195"/>
    <w:rsid w:val="00CC4AF5"/>
    <w:rsid w:val="00CC4D26"/>
    <w:rsid w:val="00CC5D5F"/>
    <w:rsid w:val="00CC6198"/>
    <w:rsid w:val="00CC61BA"/>
    <w:rsid w:val="00CC64BB"/>
    <w:rsid w:val="00CC6732"/>
    <w:rsid w:val="00CC6DCA"/>
    <w:rsid w:val="00CC7167"/>
    <w:rsid w:val="00CC7428"/>
    <w:rsid w:val="00CC7A4A"/>
    <w:rsid w:val="00CC7BCC"/>
    <w:rsid w:val="00CD01FD"/>
    <w:rsid w:val="00CD0B22"/>
    <w:rsid w:val="00CD172F"/>
    <w:rsid w:val="00CD270F"/>
    <w:rsid w:val="00CD2D11"/>
    <w:rsid w:val="00CD2D4C"/>
    <w:rsid w:val="00CD320B"/>
    <w:rsid w:val="00CD3F1C"/>
    <w:rsid w:val="00CD4627"/>
    <w:rsid w:val="00CD49B7"/>
    <w:rsid w:val="00CD4E6C"/>
    <w:rsid w:val="00CD4F6D"/>
    <w:rsid w:val="00CD502F"/>
    <w:rsid w:val="00CD5A01"/>
    <w:rsid w:val="00CD5A40"/>
    <w:rsid w:val="00CD5A75"/>
    <w:rsid w:val="00CD5E44"/>
    <w:rsid w:val="00CD653B"/>
    <w:rsid w:val="00CD6D87"/>
    <w:rsid w:val="00CD6E94"/>
    <w:rsid w:val="00CD71D8"/>
    <w:rsid w:val="00CD7C78"/>
    <w:rsid w:val="00CE00D8"/>
    <w:rsid w:val="00CE0264"/>
    <w:rsid w:val="00CE06C2"/>
    <w:rsid w:val="00CE07D0"/>
    <w:rsid w:val="00CE1003"/>
    <w:rsid w:val="00CE103D"/>
    <w:rsid w:val="00CE10CC"/>
    <w:rsid w:val="00CE17A2"/>
    <w:rsid w:val="00CE1918"/>
    <w:rsid w:val="00CE1D80"/>
    <w:rsid w:val="00CE20D4"/>
    <w:rsid w:val="00CE2768"/>
    <w:rsid w:val="00CE2D98"/>
    <w:rsid w:val="00CE3941"/>
    <w:rsid w:val="00CE3C96"/>
    <w:rsid w:val="00CE3DE5"/>
    <w:rsid w:val="00CE403D"/>
    <w:rsid w:val="00CE429D"/>
    <w:rsid w:val="00CE43DE"/>
    <w:rsid w:val="00CE51A8"/>
    <w:rsid w:val="00CE5B8E"/>
    <w:rsid w:val="00CE6228"/>
    <w:rsid w:val="00CE6450"/>
    <w:rsid w:val="00CE692B"/>
    <w:rsid w:val="00CE6A59"/>
    <w:rsid w:val="00CE6C9C"/>
    <w:rsid w:val="00CE72AC"/>
    <w:rsid w:val="00CE751F"/>
    <w:rsid w:val="00CE7E37"/>
    <w:rsid w:val="00CE7FE8"/>
    <w:rsid w:val="00CF066C"/>
    <w:rsid w:val="00CF0F3E"/>
    <w:rsid w:val="00CF113D"/>
    <w:rsid w:val="00CF1380"/>
    <w:rsid w:val="00CF1683"/>
    <w:rsid w:val="00CF190F"/>
    <w:rsid w:val="00CF1C5D"/>
    <w:rsid w:val="00CF24AA"/>
    <w:rsid w:val="00CF2D0A"/>
    <w:rsid w:val="00CF2EBD"/>
    <w:rsid w:val="00CF32C8"/>
    <w:rsid w:val="00CF369B"/>
    <w:rsid w:val="00CF3A7F"/>
    <w:rsid w:val="00CF3BAD"/>
    <w:rsid w:val="00CF3C6D"/>
    <w:rsid w:val="00CF4119"/>
    <w:rsid w:val="00CF4866"/>
    <w:rsid w:val="00CF5208"/>
    <w:rsid w:val="00CF535D"/>
    <w:rsid w:val="00CF5D2C"/>
    <w:rsid w:val="00CF67C4"/>
    <w:rsid w:val="00CF6997"/>
    <w:rsid w:val="00CF7C10"/>
    <w:rsid w:val="00CF7DE8"/>
    <w:rsid w:val="00CF7E61"/>
    <w:rsid w:val="00D006E9"/>
    <w:rsid w:val="00D00B45"/>
    <w:rsid w:val="00D00DD2"/>
    <w:rsid w:val="00D00E28"/>
    <w:rsid w:val="00D011AC"/>
    <w:rsid w:val="00D01461"/>
    <w:rsid w:val="00D01489"/>
    <w:rsid w:val="00D01A27"/>
    <w:rsid w:val="00D02044"/>
    <w:rsid w:val="00D02404"/>
    <w:rsid w:val="00D0269E"/>
    <w:rsid w:val="00D02722"/>
    <w:rsid w:val="00D029D0"/>
    <w:rsid w:val="00D0344C"/>
    <w:rsid w:val="00D0361B"/>
    <w:rsid w:val="00D03752"/>
    <w:rsid w:val="00D047C1"/>
    <w:rsid w:val="00D05706"/>
    <w:rsid w:val="00D05983"/>
    <w:rsid w:val="00D05B1C"/>
    <w:rsid w:val="00D06256"/>
    <w:rsid w:val="00D0695C"/>
    <w:rsid w:val="00D06AC1"/>
    <w:rsid w:val="00D0744F"/>
    <w:rsid w:val="00D07565"/>
    <w:rsid w:val="00D10554"/>
    <w:rsid w:val="00D10C69"/>
    <w:rsid w:val="00D10CA3"/>
    <w:rsid w:val="00D10EB9"/>
    <w:rsid w:val="00D11729"/>
    <w:rsid w:val="00D11EBA"/>
    <w:rsid w:val="00D123FB"/>
    <w:rsid w:val="00D12626"/>
    <w:rsid w:val="00D12796"/>
    <w:rsid w:val="00D128B8"/>
    <w:rsid w:val="00D13371"/>
    <w:rsid w:val="00D134C6"/>
    <w:rsid w:val="00D13670"/>
    <w:rsid w:val="00D1387C"/>
    <w:rsid w:val="00D13A97"/>
    <w:rsid w:val="00D1413C"/>
    <w:rsid w:val="00D14251"/>
    <w:rsid w:val="00D143AC"/>
    <w:rsid w:val="00D14532"/>
    <w:rsid w:val="00D146EE"/>
    <w:rsid w:val="00D147A4"/>
    <w:rsid w:val="00D15095"/>
    <w:rsid w:val="00D15810"/>
    <w:rsid w:val="00D16C59"/>
    <w:rsid w:val="00D16D4E"/>
    <w:rsid w:val="00D16FE3"/>
    <w:rsid w:val="00D173F0"/>
    <w:rsid w:val="00D17664"/>
    <w:rsid w:val="00D17C99"/>
    <w:rsid w:val="00D20228"/>
    <w:rsid w:val="00D20845"/>
    <w:rsid w:val="00D20EEB"/>
    <w:rsid w:val="00D21590"/>
    <w:rsid w:val="00D21B08"/>
    <w:rsid w:val="00D21DC1"/>
    <w:rsid w:val="00D22486"/>
    <w:rsid w:val="00D22670"/>
    <w:rsid w:val="00D22A4F"/>
    <w:rsid w:val="00D22D4D"/>
    <w:rsid w:val="00D237AD"/>
    <w:rsid w:val="00D24BB8"/>
    <w:rsid w:val="00D2575A"/>
    <w:rsid w:val="00D25B5E"/>
    <w:rsid w:val="00D25CF3"/>
    <w:rsid w:val="00D26619"/>
    <w:rsid w:val="00D268F1"/>
    <w:rsid w:val="00D26A67"/>
    <w:rsid w:val="00D272FA"/>
    <w:rsid w:val="00D278E1"/>
    <w:rsid w:val="00D27E09"/>
    <w:rsid w:val="00D27F41"/>
    <w:rsid w:val="00D300DB"/>
    <w:rsid w:val="00D3057C"/>
    <w:rsid w:val="00D30B57"/>
    <w:rsid w:val="00D30C40"/>
    <w:rsid w:val="00D3187D"/>
    <w:rsid w:val="00D318C6"/>
    <w:rsid w:val="00D3270C"/>
    <w:rsid w:val="00D3280E"/>
    <w:rsid w:val="00D33043"/>
    <w:rsid w:val="00D332F0"/>
    <w:rsid w:val="00D33599"/>
    <w:rsid w:val="00D3398E"/>
    <w:rsid w:val="00D33EEC"/>
    <w:rsid w:val="00D34451"/>
    <w:rsid w:val="00D3457E"/>
    <w:rsid w:val="00D349BB"/>
    <w:rsid w:val="00D34C8C"/>
    <w:rsid w:val="00D36441"/>
    <w:rsid w:val="00D3686B"/>
    <w:rsid w:val="00D36D6E"/>
    <w:rsid w:val="00D37695"/>
    <w:rsid w:val="00D37761"/>
    <w:rsid w:val="00D37BB5"/>
    <w:rsid w:val="00D37F3F"/>
    <w:rsid w:val="00D40534"/>
    <w:rsid w:val="00D4064E"/>
    <w:rsid w:val="00D42141"/>
    <w:rsid w:val="00D42178"/>
    <w:rsid w:val="00D42384"/>
    <w:rsid w:val="00D429BF"/>
    <w:rsid w:val="00D4345F"/>
    <w:rsid w:val="00D44AB6"/>
    <w:rsid w:val="00D44AC6"/>
    <w:rsid w:val="00D44E9B"/>
    <w:rsid w:val="00D45304"/>
    <w:rsid w:val="00D45558"/>
    <w:rsid w:val="00D45CED"/>
    <w:rsid w:val="00D45FEA"/>
    <w:rsid w:val="00D47195"/>
    <w:rsid w:val="00D4746F"/>
    <w:rsid w:val="00D4749A"/>
    <w:rsid w:val="00D47AEB"/>
    <w:rsid w:val="00D47C61"/>
    <w:rsid w:val="00D47D1D"/>
    <w:rsid w:val="00D50306"/>
    <w:rsid w:val="00D50ABC"/>
    <w:rsid w:val="00D50CD4"/>
    <w:rsid w:val="00D50DB9"/>
    <w:rsid w:val="00D50E90"/>
    <w:rsid w:val="00D51BEF"/>
    <w:rsid w:val="00D521F7"/>
    <w:rsid w:val="00D52448"/>
    <w:rsid w:val="00D52C43"/>
    <w:rsid w:val="00D52E05"/>
    <w:rsid w:val="00D52EFF"/>
    <w:rsid w:val="00D53291"/>
    <w:rsid w:val="00D53D0F"/>
    <w:rsid w:val="00D543D5"/>
    <w:rsid w:val="00D546A9"/>
    <w:rsid w:val="00D54C19"/>
    <w:rsid w:val="00D54D1F"/>
    <w:rsid w:val="00D5503A"/>
    <w:rsid w:val="00D55260"/>
    <w:rsid w:val="00D55381"/>
    <w:rsid w:val="00D55788"/>
    <w:rsid w:val="00D558B4"/>
    <w:rsid w:val="00D55BF7"/>
    <w:rsid w:val="00D5665C"/>
    <w:rsid w:val="00D56FE0"/>
    <w:rsid w:val="00D57425"/>
    <w:rsid w:val="00D57887"/>
    <w:rsid w:val="00D57921"/>
    <w:rsid w:val="00D57B79"/>
    <w:rsid w:val="00D6046D"/>
    <w:rsid w:val="00D6054C"/>
    <w:rsid w:val="00D6098C"/>
    <w:rsid w:val="00D62331"/>
    <w:rsid w:val="00D6241F"/>
    <w:rsid w:val="00D62C86"/>
    <w:rsid w:val="00D62D78"/>
    <w:rsid w:val="00D62FBB"/>
    <w:rsid w:val="00D63263"/>
    <w:rsid w:val="00D6326F"/>
    <w:rsid w:val="00D63677"/>
    <w:rsid w:val="00D638AF"/>
    <w:rsid w:val="00D64130"/>
    <w:rsid w:val="00D6431E"/>
    <w:rsid w:val="00D6507F"/>
    <w:rsid w:val="00D651AE"/>
    <w:rsid w:val="00D6531D"/>
    <w:rsid w:val="00D65B14"/>
    <w:rsid w:val="00D65C30"/>
    <w:rsid w:val="00D65DE2"/>
    <w:rsid w:val="00D65F33"/>
    <w:rsid w:val="00D65F92"/>
    <w:rsid w:val="00D661FE"/>
    <w:rsid w:val="00D66607"/>
    <w:rsid w:val="00D66B40"/>
    <w:rsid w:val="00D67A44"/>
    <w:rsid w:val="00D67DA8"/>
    <w:rsid w:val="00D7063D"/>
    <w:rsid w:val="00D70BC3"/>
    <w:rsid w:val="00D70CF3"/>
    <w:rsid w:val="00D70E94"/>
    <w:rsid w:val="00D7169B"/>
    <w:rsid w:val="00D7212F"/>
    <w:rsid w:val="00D72278"/>
    <w:rsid w:val="00D72392"/>
    <w:rsid w:val="00D72995"/>
    <w:rsid w:val="00D72A7E"/>
    <w:rsid w:val="00D730BC"/>
    <w:rsid w:val="00D73304"/>
    <w:rsid w:val="00D7355A"/>
    <w:rsid w:val="00D73910"/>
    <w:rsid w:val="00D73912"/>
    <w:rsid w:val="00D73E4E"/>
    <w:rsid w:val="00D7449E"/>
    <w:rsid w:val="00D74EA0"/>
    <w:rsid w:val="00D75022"/>
    <w:rsid w:val="00D753B5"/>
    <w:rsid w:val="00D75512"/>
    <w:rsid w:val="00D75C78"/>
    <w:rsid w:val="00D76481"/>
    <w:rsid w:val="00D7678E"/>
    <w:rsid w:val="00D77690"/>
    <w:rsid w:val="00D7798B"/>
    <w:rsid w:val="00D77BFE"/>
    <w:rsid w:val="00D80A5C"/>
    <w:rsid w:val="00D81094"/>
    <w:rsid w:val="00D8171E"/>
    <w:rsid w:val="00D81CE7"/>
    <w:rsid w:val="00D81D93"/>
    <w:rsid w:val="00D81EE8"/>
    <w:rsid w:val="00D81F50"/>
    <w:rsid w:val="00D821F4"/>
    <w:rsid w:val="00D82EBE"/>
    <w:rsid w:val="00D831AD"/>
    <w:rsid w:val="00D83939"/>
    <w:rsid w:val="00D84579"/>
    <w:rsid w:val="00D846AE"/>
    <w:rsid w:val="00D85226"/>
    <w:rsid w:val="00D8583D"/>
    <w:rsid w:val="00D858F1"/>
    <w:rsid w:val="00D85A94"/>
    <w:rsid w:val="00D85FC9"/>
    <w:rsid w:val="00D86074"/>
    <w:rsid w:val="00D86B7F"/>
    <w:rsid w:val="00D87328"/>
    <w:rsid w:val="00D8769F"/>
    <w:rsid w:val="00D87966"/>
    <w:rsid w:val="00D87B94"/>
    <w:rsid w:val="00D9020E"/>
    <w:rsid w:val="00D905DD"/>
    <w:rsid w:val="00D905F6"/>
    <w:rsid w:val="00D908B1"/>
    <w:rsid w:val="00D90C32"/>
    <w:rsid w:val="00D90F44"/>
    <w:rsid w:val="00D90FAB"/>
    <w:rsid w:val="00D91251"/>
    <w:rsid w:val="00D91AA6"/>
    <w:rsid w:val="00D9206B"/>
    <w:rsid w:val="00D92244"/>
    <w:rsid w:val="00D92362"/>
    <w:rsid w:val="00D9247A"/>
    <w:rsid w:val="00D92CE9"/>
    <w:rsid w:val="00D92D49"/>
    <w:rsid w:val="00D92EC1"/>
    <w:rsid w:val="00D93626"/>
    <w:rsid w:val="00D93BE1"/>
    <w:rsid w:val="00D93D41"/>
    <w:rsid w:val="00D93EC4"/>
    <w:rsid w:val="00D9433F"/>
    <w:rsid w:val="00D9451F"/>
    <w:rsid w:val="00D94A05"/>
    <w:rsid w:val="00D94B47"/>
    <w:rsid w:val="00D94B49"/>
    <w:rsid w:val="00D95BEA"/>
    <w:rsid w:val="00D96922"/>
    <w:rsid w:val="00D96C00"/>
    <w:rsid w:val="00D96DEA"/>
    <w:rsid w:val="00D97458"/>
    <w:rsid w:val="00D97B6E"/>
    <w:rsid w:val="00DA0389"/>
    <w:rsid w:val="00DA052E"/>
    <w:rsid w:val="00DA080A"/>
    <w:rsid w:val="00DA0DEB"/>
    <w:rsid w:val="00DA11DB"/>
    <w:rsid w:val="00DA11F8"/>
    <w:rsid w:val="00DA138E"/>
    <w:rsid w:val="00DA1A72"/>
    <w:rsid w:val="00DA219B"/>
    <w:rsid w:val="00DA308F"/>
    <w:rsid w:val="00DA32D5"/>
    <w:rsid w:val="00DA3A01"/>
    <w:rsid w:val="00DA3BC7"/>
    <w:rsid w:val="00DA4295"/>
    <w:rsid w:val="00DA4565"/>
    <w:rsid w:val="00DA48CA"/>
    <w:rsid w:val="00DA4E41"/>
    <w:rsid w:val="00DA5CC4"/>
    <w:rsid w:val="00DA6343"/>
    <w:rsid w:val="00DA6A33"/>
    <w:rsid w:val="00DA6D12"/>
    <w:rsid w:val="00DA6DCA"/>
    <w:rsid w:val="00DA7700"/>
    <w:rsid w:val="00DA78F6"/>
    <w:rsid w:val="00DA7913"/>
    <w:rsid w:val="00DA7C47"/>
    <w:rsid w:val="00DB0912"/>
    <w:rsid w:val="00DB0AE5"/>
    <w:rsid w:val="00DB0BA5"/>
    <w:rsid w:val="00DB117A"/>
    <w:rsid w:val="00DB1267"/>
    <w:rsid w:val="00DB196C"/>
    <w:rsid w:val="00DB1BEC"/>
    <w:rsid w:val="00DB1DA5"/>
    <w:rsid w:val="00DB25A3"/>
    <w:rsid w:val="00DB2F7E"/>
    <w:rsid w:val="00DB39E7"/>
    <w:rsid w:val="00DB3D57"/>
    <w:rsid w:val="00DB3F6C"/>
    <w:rsid w:val="00DB414A"/>
    <w:rsid w:val="00DB4CF3"/>
    <w:rsid w:val="00DB5173"/>
    <w:rsid w:val="00DB56A0"/>
    <w:rsid w:val="00DB5D0E"/>
    <w:rsid w:val="00DB5DF0"/>
    <w:rsid w:val="00DB6434"/>
    <w:rsid w:val="00DB6A19"/>
    <w:rsid w:val="00DB7873"/>
    <w:rsid w:val="00DB7AB4"/>
    <w:rsid w:val="00DB7D1F"/>
    <w:rsid w:val="00DC13D5"/>
    <w:rsid w:val="00DC16F2"/>
    <w:rsid w:val="00DC17D1"/>
    <w:rsid w:val="00DC187B"/>
    <w:rsid w:val="00DC1A66"/>
    <w:rsid w:val="00DC20BB"/>
    <w:rsid w:val="00DC24DC"/>
    <w:rsid w:val="00DC2DB5"/>
    <w:rsid w:val="00DC303B"/>
    <w:rsid w:val="00DC36C7"/>
    <w:rsid w:val="00DC3A2E"/>
    <w:rsid w:val="00DC3CAE"/>
    <w:rsid w:val="00DC4FA9"/>
    <w:rsid w:val="00DC58DA"/>
    <w:rsid w:val="00DC5A80"/>
    <w:rsid w:val="00DC5AA5"/>
    <w:rsid w:val="00DC5CC7"/>
    <w:rsid w:val="00DC5E9A"/>
    <w:rsid w:val="00DC6AC2"/>
    <w:rsid w:val="00DC6D8E"/>
    <w:rsid w:val="00DC71BE"/>
    <w:rsid w:val="00DC72DE"/>
    <w:rsid w:val="00DC7C77"/>
    <w:rsid w:val="00DD136C"/>
    <w:rsid w:val="00DD1A2D"/>
    <w:rsid w:val="00DD1D2F"/>
    <w:rsid w:val="00DD1E81"/>
    <w:rsid w:val="00DD2B1C"/>
    <w:rsid w:val="00DD2E86"/>
    <w:rsid w:val="00DD31E2"/>
    <w:rsid w:val="00DD351E"/>
    <w:rsid w:val="00DD3677"/>
    <w:rsid w:val="00DD36F2"/>
    <w:rsid w:val="00DD388B"/>
    <w:rsid w:val="00DD4040"/>
    <w:rsid w:val="00DD405B"/>
    <w:rsid w:val="00DD49C7"/>
    <w:rsid w:val="00DD5761"/>
    <w:rsid w:val="00DD5DE2"/>
    <w:rsid w:val="00DD6AEB"/>
    <w:rsid w:val="00DD6C8B"/>
    <w:rsid w:val="00DD71A9"/>
    <w:rsid w:val="00DD73C2"/>
    <w:rsid w:val="00DD7657"/>
    <w:rsid w:val="00DD7685"/>
    <w:rsid w:val="00DD77C1"/>
    <w:rsid w:val="00DD7829"/>
    <w:rsid w:val="00DD7B6C"/>
    <w:rsid w:val="00DE00E8"/>
    <w:rsid w:val="00DE019B"/>
    <w:rsid w:val="00DE06D6"/>
    <w:rsid w:val="00DE070A"/>
    <w:rsid w:val="00DE09A2"/>
    <w:rsid w:val="00DE0C89"/>
    <w:rsid w:val="00DE14FB"/>
    <w:rsid w:val="00DE1B40"/>
    <w:rsid w:val="00DE1C41"/>
    <w:rsid w:val="00DE1E8C"/>
    <w:rsid w:val="00DE2836"/>
    <w:rsid w:val="00DE2A02"/>
    <w:rsid w:val="00DE319B"/>
    <w:rsid w:val="00DE32CB"/>
    <w:rsid w:val="00DE3EFA"/>
    <w:rsid w:val="00DE46CF"/>
    <w:rsid w:val="00DE4FA4"/>
    <w:rsid w:val="00DE70DA"/>
    <w:rsid w:val="00DE7802"/>
    <w:rsid w:val="00DE7E42"/>
    <w:rsid w:val="00DF02B8"/>
    <w:rsid w:val="00DF074E"/>
    <w:rsid w:val="00DF0AAE"/>
    <w:rsid w:val="00DF0FAA"/>
    <w:rsid w:val="00DF1207"/>
    <w:rsid w:val="00DF19CE"/>
    <w:rsid w:val="00DF2100"/>
    <w:rsid w:val="00DF2378"/>
    <w:rsid w:val="00DF258A"/>
    <w:rsid w:val="00DF25C0"/>
    <w:rsid w:val="00DF28F2"/>
    <w:rsid w:val="00DF294B"/>
    <w:rsid w:val="00DF2AEC"/>
    <w:rsid w:val="00DF33C7"/>
    <w:rsid w:val="00DF34FE"/>
    <w:rsid w:val="00DF36D5"/>
    <w:rsid w:val="00DF403E"/>
    <w:rsid w:val="00DF433A"/>
    <w:rsid w:val="00DF524C"/>
    <w:rsid w:val="00DF554C"/>
    <w:rsid w:val="00DF5632"/>
    <w:rsid w:val="00DF56AA"/>
    <w:rsid w:val="00DF5DC8"/>
    <w:rsid w:val="00DF675A"/>
    <w:rsid w:val="00DF6ADB"/>
    <w:rsid w:val="00DF6F36"/>
    <w:rsid w:val="00DF7262"/>
    <w:rsid w:val="00DF78E7"/>
    <w:rsid w:val="00DF7E61"/>
    <w:rsid w:val="00E000AE"/>
    <w:rsid w:val="00E010F7"/>
    <w:rsid w:val="00E01146"/>
    <w:rsid w:val="00E016CD"/>
    <w:rsid w:val="00E01AA3"/>
    <w:rsid w:val="00E01B59"/>
    <w:rsid w:val="00E01CBC"/>
    <w:rsid w:val="00E02361"/>
    <w:rsid w:val="00E0270B"/>
    <w:rsid w:val="00E02AC7"/>
    <w:rsid w:val="00E036F3"/>
    <w:rsid w:val="00E037FF"/>
    <w:rsid w:val="00E03AC2"/>
    <w:rsid w:val="00E03E94"/>
    <w:rsid w:val="00E04248"/>
    <w:rsid w:val="00E04264"/>
    <w:rsid w:val="00E04405"/>
    <w:rsid w:val="00E04483"/>
    <w:rsid w:val="00E044E3"/>
    <w:rsid w:val="00E05173"/>
    <w:rsid w:val="00E058E8"/>
    <w:rsid w:val="00E059BD"/>
    <w:rsid w:val="00E05BCD"/>
    <w:rsid w:val="00E060A1"/>
    <w:rsid w:val="00E060FD"/>
    <w:rsid w:val="00E079DB"/>
    <w:rsid w:val="00E07A6E"/>
    <w:rsid w:val="00E100C4"/>
    <w:rsid w:val="00E110E0"/>
    <w:rsid w:val="00E11497"/>
    <w:rsid w:val="00E115B7"/>
    <w:rsid w:val="00E117C6"/>
    <w:rsid w:val="00E11EF3"/>
    <w:rsid w:val="00E12CE6"/>
    <w:rsid w:val="00E12DB8"/>
    <w:rsid w:val="00E1357D"/>
    <w:rsid w:val="00E13689"/>
    <w:rsid w:val="00E13863"/>
    <w:rsid w:val="00E13A17"/>
    <w:rsid w:val="00E13C34"/>
    <w:rsid w:val="00E13CAA"/>
    <w:rsid w:val="00E14B16"/>
    <w:rsid w:val="00E15371"/>
    <w:rsid w:val="00E15372"/>
    <w:rsid w:val="00E1537A"/>
    <w:rsid w:val="00E153AC"/>
    <w:rsid w:val="00E16246"/>
    <w:rsid w:val="00E1637D"/>
    <w:rsid w:val="00E16467"/>
    <w:rsid w:val="00E173B7"/>
    <w:rsid w:val="00E2006E"/>
    <w:rsid w:val="00E20CA3"/>
    <w:rsid w:val="00E20CAD"/>
    <w:rsid w:val="00E219D6"/>
    <w:rsid w:val="00E21A1F"/>
    <w:rsid w:val="00E21B4B"/>
    <w:rsid w:val="00E2232C"/>
    <w:rsid w:val="00E22C20"/>
    <w:rsid w:val="00E22F70"/>
    <w:rsid w:val="00E23A04"/>
    <w:rsid w:val="00E24104"/>
    <w:rsid w:val="00E24AAD"/>
    <w:rsid w:val="00E25130"/>
    <w:rsid w:val="00E252DC"/>
    <w:rsid w:val="00E25644"/>
    <w:rsid w:val="00E27C63"/>
    <w:rsid w:val="00E27CF2"/>
    <w:rsid w:val="00E27F37"/>
    <w:rsid w:val="00E302D0"/>
    <w:rsid w:val="00E303D4"/>
    <w:rsid w:val="00E30B65"/>
    <w:rsid w:val="00E31770"/>
    <w:rsid w:val="00E32438"/>
    <w:rsid w:val="00E324B7"/>
    <w:rsid w:val="00E33AD5"/>
    <w:rsid w:val="00E34100"/>
    <w:rsid w:val="00E3483A"/>
    <w:rsid w:val="00E348DC"/>
    <w:rsid w:val="00E349DB"/>
    <w:rsid w:val="00E3539A"/>
    <w:rsid w:val="00E35707"/>
    <w:rsid w:val="00E35829"/>
    <w:rsid w:val="00E35C95"/>
    <w:rsid w:val="00E3640D"/>
    <w:rsid w:val="00E36AA1"/>
    <w:rsid w:val="00E36BEE"/>
    <w:rsid w:val="00E3709D"/>
    <w:rsid w:val="00E37520"/>
    <w:rsid w:val="00E375A3"/>
    <w:rsid w:val="00E408B2"/>
    <w:rsid w:val="00E409C9"/>
    <w:rsid w:val="00E40B1E"/>
    <w:rsid w:val="00E41564"/>
    <w:rsid w:val="00E41ECB"/>
    <w:rsid w:val="00E423CF"/>
    <w:rsid w:val="00E42DD7"/>
    <w:rsid w:val="00E42E96"/>
    <w:rsid w:val="00E42FFD"/>
    <w:rsid w:val="00E4329D"/>
    <w:rsid w:val="00E435F2"/>
    <w:rsid w:val="00E43D4A"/>
    <w:rsid w:val="00E45284"/>
    <w:rsid w:val="00E45286"/>
    <w:rsid w:val="00E45E93"/>
    <w:rsid w:val="00E46E40"/>
    <w:rsid w:val="00E472CA"/>
    <w:rsid w:val="00E47A67"/>
    <w:rsid w:val="00E47EAE"/>
    <w:rsid w:val="00E508D3"/>
    <w:rsid w:val="00E508FD"/>
    <w:rsid w:val="00E51FE6"/>
    <w:rsid w:val="00E5206D"/>
    <w:rsid w:val="00E5258D"/>
    <w:rsid w:val="00E52FAF"/>
    <w:rsid w:val="00E53057"/>
    <w:rsid w:val="00E532D8"/>
    <w:rsid w:val="00E534AE"/>
    <w:rsid w:val="00E53B1E"/>
    <w:rsid w:val="00E54257"/>
    <w:rsid w:val="00E54FDB"/>
    <w:rsid w:val="00E554DD"/>
    <w:rsid w:val="00E55EE6"/>
    <w:rsid w:val="00E56177"/>
    <w:rsid w:val="00E5617D"/>
    <w:rsid w:val="00E563D7"/>
    <w:rsid w:val="00E56A91"/>
    <w:rsid w:val="00E570D4"/>
    <w:rsid w:val="00E57139"/>
    <w:rsid w:val="00E57B0A"/>
    <w:rsid w:val="00E57CC7"/>
    <w:rsid w:val="00E6023E"/>
    <w:rsid w:val="00E606AF"/>
    <w:rsid w:val="00E606D0"/>
    <w:rsid w:val="00E608DA"/>
    <w:rsid w:val="00E60CD4"/>
    <w:rsid w:val="00E60E1A"/>
    <w:rsid w:val="00E6138E"/>
    <w:rsid w:val="00E61A0C"/>
    <w:rsid w:val="00E62046"/>
    <w:rsid w:val="00E620BD"/>
    <w:rsid w:val="00E6284D"/>
    <w:rsid w:val="00E62AC8"/>
    <w:rsid w:val="00E62BBB"/>
    <w:rsid w:val="00E62D22"/>
    <w:rsid w:val="00E6328D"/>
    <w:rsid w:val="00E63636"/>
    <w:rsid w:val="00E642FB"/>
    <w:rsid w:val="00E64554"/>
    <w:rsid w:val="00E64B55"/>
    <w:rsid w:val="00E64E8C"/>
    <w:rsid w:val="00E650C9"/>
    <w:rsid w:val="00E65245"/>
    <w:rsid w:val="00E6561A"/>
    <w:rsid w:val="00E65B2C"/>
    <w:rsid w:val="00E66248"/>
    <w:rsid w:val="00E663F4"/>
    <w:rsid w:val="00E66655"/>
    <w:rsid w:val="00E666F2"/>
    <w:rsid w:val="00E66939"/>
    <w:rsid w:val="00E669D8"/>
    <w:rsid w:val="00E66DD4"/>
    <w:rsid w:val="00E674A7"/>
    <w:rsid w:val="00E679CC"/>
    <w:rsid w:val="00E70195"/>
    <w:rsid w:val="00E70240"/>
    <w:rsid w:val="00E7069E"/>
    <w:rsid w:val="00E71090"/>
    <w:rsid w:val="00E715EB"/>
    <w:rsid w:val="00E71618"/>
    <w:rsid w:val="00E716F4"/>
    <w:rsid w:val="00E71816"/>
    <w:rsid w:val="00E72578"/>
    <w:rsid w:val="00E7279A"/>
    <w:rsid w:val="00E7288F"/>
    <w:rsid w:val="00E73498"/>
    <w:rsid w:val="00E738F3"/>
    <w:rsid w:val="00E73B01"/>
    <w:rsid w:val="00E744CD"/>
    <w:rsid w:val="00E745D1"/>
    <w:rsid w:val="00E748CC"/>
    <w:rsid w:val="00E75415"/>
    <w:rsid w:val="00E76218"/>
    <w:rsid w:val="00E76408"/>
    <w:rsid w:val="00E766CB"/>
    <w:rsid w:val="00E766CF"/>
    <w:rsid w:val="00E768EF"/>
    <w:rsid w:val="00E76D2D"/>
    <w:rsid w:val="00E76EC8"/>
    <w:rsid w:val="00E77269"/>
    <w:rsid w:val="00E775B1"/>
    <w:rsid w:val="00E778D2"/>
    <w:rsid w:val="00E77A69"/>
    <w:rsid w:val="00E77DE0"/>
    <w:rsid w:val="00E80099"/>
    <w:rsid w:val="00E80197"/>
    <w:rsid w:val="00E802DD"/>
    <w:rsid w:val="00E803F6"/>
    <w:rsid w:val="00E8066B"/>
    <w:rsid w:val="00E80B29"/>
    <w:rsid w:val="00E8116C"/>
    <w:rsid w:val="00E81276"/>
    <w:rsid w:val="00E8152A"/>
    <w:rsid w:val="00E816B9"/>
    <w:rsid w:val="00E82751"/>
    <w:rsid w:val="00E8387A"/>
    <w:rsid w:val="00E84CE2"/>
    <w:rsid w:val="00E851FC"/>
    <w:rsid w:val="00E852B1"/>
    <w:rsid w:val="00E85447"/>
    <w:rsid w:val="00E859D0"/>
    <w:rsid w:val="00E85DC0"/>
    <w:rsid w:val="00E862A9"/>
    <w:rsid w:val="00E8635A"/>
    <w:rsid w:val="00E866CE"/>
    <w:rsid w:val="00E86B96"/>
    <w:rsid w:val="00E8743D"/>
    <w:rsid w:val="00E8746A"/>
    <w:rsid w:val="00E87EC3"/>
    <w:rsid w:val="00E87F77"/>
    <w:rsid w:val="00E87FF9"/>
    <w:rsid w:val="00E9022F"/>
    <w:rsid w:val="00E9091E"/>
    <w:rsid w:val="00E91A29"/>
    <w:rsid w:val="00E91B2C"/>
    <w:rsid w:val="00E932AD"/>
    <w:rsid w:val="00E93629"/>
    <w:rsid w:val="00E93B5C"/>
    <w:rsid w:val="00E9441A"/>
    <w:rsid w:val="00E9451A"/>
    <w:rsid w:val="00E94667"/>
    <w:rsid w:val="00E947F2"/>
    <w:rsid w:val="00E9480F"/>
    <w:rsid w:val="00E94943"/>
    <w:rsid w:val="00E94CEC"/>
    <w:rsid w:val="00E94DBA"/>
    <w:rsid w:val="00E955B1"/>
    <w:rsid w:val="00E965D0"/>
    <w:rsid w:val="00E971B1"/>
    <w:rsid w:val="00E974AD"/>
    <w:rsid w:val="00E9762B"/>
    <w:rsid w:val="00E97808"/>
    <w:rsid w:val="00E9791F"/>
    <w:rsid w:val="00EA00BD"/>
    <w:rsid w:val="00EA04EF"/>
    <w:rsid w:val="00EA0733"/>
    <w:rsid w:val="00EA08D4"/>
    <w:rsid w:val="00EA09AC"/>
    <w:rsid w:val="00EA0D04"/>
    <w:rsid w:val="00EA0E13"/>
    <w:rsid w:val="00EA0E89"/>
    <w:rsid w:val="00EA12D9"/>
    <w:rsid w:val="00EA137F"/>
    <w:rsid w:val="00EA13B9"/>
    <w:rsid w:val="00EA1B1A"/>
    <w:rsid w:val="00EA229F"/>
    <w:rsid w:val="00EA3FC8"/>
    <w:rsid w:val="00EA40D4"/>
    <w:rsid w:val="00EA4127"/>
    <w:rsid w:val="00EA4483"/>
    <w:rsid w:val="00EA45A9"/>
    <w:rsid w:val="00EA4C8B"/>
    <w:rsid w:val="00EA5164"/>
    <w:rsid w:val="00EA54E7"/>
    <w:rsid w:val="00EA5529"/>
    <w:rsid w:val="00EA664D"/>
    <w:rsid w:val="00EA67A4"/>
    <w:rsid w:val="00EA6C20"/>
    <w:rsid w:val="00EA6F19"/>
    <w:rsid w:val="00EA701C"/>
    <w:rsid w:val="00EA751A"/>
    <w:rsid w:val="00EA7995"/>
    <w:rsid w:val="00EA7AAA"/>
    <w:rsid w:val="00EA7F43"/>
    <w:rsid w:val="00EB0350"/>
    <w:rsid w:val="00EB045F"/>
    <w:rsid w:val="00EB1864"/>
    <w:rsid w:val="00EB1EC2"/>
    <w:rsid w:val="00EB2585"/>
    <w:rsid w:val="00EB3547"/>
    <w:rsid w:val="00EB3927"/>
    <w:rsid w:val="00EB39DC"/>
    <w:rsid w:val="00EB3A3C"/>
    <w:rsid w:val="00EB41C3"/>
    <w:rsid w:val="00EB446C"/>
    <w:rsid w:val="00EB49C5"/>
    <w:rsid w:val="00EB4AA5"/>
    <w:rsid w:val="00EB4E78"/>
    <w:rsid w:val="00EB5039"/>
    <w:rsid w:val="00EB503B"/>
    <w:rsid w:val="00EB576C"/>
    <w:rsid w:val="00EB57A3"/>
    <w:rsid w:val="00EB6034"/>
    <w:rsid w:val="00EB62C6"/>
    <w:rsid w:val="00EB681E"/>
    <w:rsid w:val="00EB69DE"/>
    <w:rsid w:val="00EB6AB8"/>
    <w:rsid w:val="00EB6BA6"/>
    <w:rsid w:val="00EB6DC7"/>
    <w:rsid w:val="00EB6FDB"/>
    <w:rsid w:val="00EB708A"/>
    <w:rsid w:val="00EB7090"/>
    <w:rsid w:val="00EB7467"/>
    <w:rsid w:val="00EB78B9"/>
    <w:rsid w:val="00EC00FB"/>
    <w:rsid w:val="00EC0155"/>
    <w:rsid w:val="00EC02FF"/>
    <w:rsid w:val="00EC0AAD"/>
    <w:rsid w:val="00EC0C07"/>
    <w:rsid w:val="00EC0C18"/>
    <w:rsid w:val="00EC0C5C"/>
    <w:rsid w:val="00EC1BBE"/>
    <w:rsid w:val="00EC2112"/>
    <w:rsid w:val="00EC21A9"/>
    <w:rsid w:val="00EC2793"/>
    <w:rsid w:val="00EC34EC"/>
    <w:rsid w:val="00EC38DE"/>
    <w:rsid w:val="00EC3C3F"/>
    <w:rsid w:val="00EC51AA"/>
    <w:rsid w:val="00EC5671"/>
    <w:rsid w:val="00EC5CD7"/>
    <w:rsid w:val="00EC60CC"/>
    <w:rsid w:val="00EC68F5"/>
    <w:rsid w:val="00EC6F03"/>
    <w:rsid w:val="00EC719B"/>
    <w:rsid w:val="00EC79B2"/>
    <w:rsid w:val="00ED00F0"/>
    <w:rsid w:val="00ED01B4"/>
    <w:rsid w:val="00ED01D2"/>
    <w:rsid w:val="00ED0412"/>
    <w:rsid w:val="00ED08B6"/>
    <w:rsid w:val="00ED0ED7"/>
    <w:rsid w:val="00ED11D5"/>
    <w:rsid w:val="00ED135C"/>
    <w:rsid w:val="00ED1450"/>
    <w:rsid w:val="00ED1726"/>
    <w:rsid w:val="00ED1C7A"/>
    <w:rsid w:val="00ED1F07"/>
    <w:rsid w:val="00ED2261"/>
    <w:rsid w:val="00ED238E"/>
    <w:rsid w:val="00ED25BC"/>
    <w:rsid w:val="00ED3F85"/>
    <w:rsid w:val="00ED4668"/>
    <w:rsid w:val="00ED474A"/>
    <w:rsid w:val="00ED47D6"/>
    <w:rsid w:val="00ED47DC"/>
    <w:rsid w:val="00ED4915"/>
    <w:rsid w:val="00ED4AB3"/>
    <w:rsid w:val="00ED4ED4"/>
    <w:rsid w:val="00ED5545"/>
    <w:rsid w:val="00ED56BC"/>
    <w:rsid w:val="00ED5B87"/>
    <w:rsid w:val="00ED5C5C"/>
    <w:rsid w:val="00ED5FD3"/>
    <w:rsid w:val="00ED61EC"/>
    <w:rsid w:val="00ED65B9"/>
    <w:rsid w:val="00ED6F3C"/>
    <w:rsid w:val="00ED709E"/>
    <w:rsid w:val="00ED7253"/>
    <w:rsid w:val="00ED7946"/>
    <w:rsid w:val="00EE09E4"/>
    <w:rsid w:val="00EE0B38"/>
    <w:rsid w:val="00EE0F6A"/>
    <w:rsid w:val="00EE14A3"/>
    <w:rsid w:val="00EE17FE"/>
    <w:rsid w:val="00EE28D3"/>
    <w:rsid w:val="00EE3390"/>
    <w:rsid w:val="00EE33D1"/>
    <w:rsid w:val="00EE51AE"/>
    <w:rsid w:val="00EE543A"/>
    <w:rsid w:val="00EE55A7"/>
    <w:rsid w:val="00EE55F3"/>
    <w:rsid w:val="00EE5B00"/>
    <w:rsid w:val="00EE5FB3"/>
    <w:rsid w:val="00EE631A"/>
    <w:rsid w:val="00EE6C53"/>
    <w:rsid w:val="00EE74B9"/>
    <w:rsid w:val="00EE7F79"/>
    <w:rsid w:val="00EF0549"/>
    <w:rsid w:val="00EF0B88"/>
    <w:rsid w:val="00EF169E"/>
    <w:rsid w:val="00EF2208"/>
    <w:rsid w:val="00EF265D"/>
    <w:rsid w:val="00EF2C49"/>
    <w:rsid w:val="00EF3472"/>
    <w:rsid w:val="00EF362C"/>
    <w:rsid w:val="00EF3A11"/>
    <w:rsid w:val="00EF3C85"/>
    <w:rsid w:val="00EF409D"/>
    <w:rsid w:val="00EF4457"/>
    <w:rsid w:val="00EF501D"/>
    <w:rsid w:val="00EF5561"/>
    <w:rsid w:val="00EF6007"/>
    <w:rsid w:val="00EF67AF"/>
    <w:rsid w:val="00EF6EDD"/>
    <w:rsid w:val="00EF715A"/>
    <w:rsid w:val="00EF76E0"/>
    <w:rsid w:val="00EF770A"/>
    <w:rsid w:val="00F0067E"/>
    <w:rsid w:val="00F009AF"/>
    <w:rsid w:val="00F00B5A"/>
    <w:rsid w:val="00F00DAF"/>
    <w:rsid w:val="00F0125C"/>
    <w:rsid w:val="00F012F0"/>
    <w:rsid w:val="00F0141C"/>
    <w:rsid w:val="00F01527"/>
    <w:rsid w:val="00F01CCB"/>
    <w:rsid w:val="00F02036"/>
    <w:rsid w:val="00F024BB"/>
    <w:rsid w:val="00F02899"/>
    <w:rsid w:val="00F02C04"/>
    <w:rsid w:val="00F03C4C"/>
    <w:rsid w:val="00F045AE"/>
    <w:rsid w:val="00F04990"/>
    <w:rsid w:val="00F04ECD"/>
    <w:rsid w:val="00F05B60"/>
    <w:rsid w:val="00F0618E"/>
    <w:rsid w:val="00F06600"/>
    <w:rsid w:val="00F06708"/>
    <w:rsid w:val="00F06AF7"/>
    <w:rsid w:val="00F06E14"/>
    <w:rsid w:val="00F072DC"/>
    <w:rsid w:val="00F07605"/>
    <w:rsid w:val="00F1086C"/>
    <w:rsid w:val="00F10943"/>
    <w:rsid w:val="00F10A9F"/>
    <w:rsid w:val="00F10DBB"/>
    <w:rsid w:val="00F11111"/>
    <w:rsid w:val="00F1173C"/>
    <w:rsid w:val="00F118CE"/>
    <w:rsid w:val="00F11C6B"/>
    <w:rsid w:val="00F122CF"/>
    <w:rsid w:val="00F129EE"/>
    <w:rsid w:val="00F12D44"/>
    <w:rsid w:val="00F1303E"/>
    <w:rsid w:val="00F13175"/>
    <w:rsid w:val="00F137C7"/>
    <w:rsid w:val="00F14295"/>
    <w:rsid w:val="00F14A54"/>
    <w:rsid w:val="00F14AC9"/>
    <w:rsid w:val="00F1548A"/>
    <w:rsid w:val="00F157C6"/>
    <w:rsid w:val="00F161BA"/>
    <w:rsid w:val="00F163B9"/>
    <w:rsid w:val="00F163EE"/>
    <w:rsid w:val="00F16793"/>
    <w:rsid w:val="00F16B8F"/>
    <w:rsid w:val="00F179D4"/>
    <w:rsid w:val="00F17C8D"/>
    <w:rsid w:val="00F205DC"/>
    <w:rsid w:val="00F209F1"/>
    <w:rsid w:val="00F20BF0"/>
    <w:rsid w:val="00F20C09"/>
    <w:rsid w:val="00F21388"/>
    <w:rsid w:val="00F216FC"/>
    <w:rsid w:val="00F21B40"/>
    <w:rsid w:val="00F21EC6"/>
    <w:rsid w:val="00F21F74"/>
    <w:rsid w:val="00F221C9"/>
    <w:rsid w:val="00F23691"/>
    <w:rsid w:val="00F236FB"/>
    <w:rsid w:val="00F24785"/>
    <w:rsid w:val="00F24A21"/>
    <w:rsid w:val="00F24C6F"/>
    <w:rsid w:val="00F25160"/>
    <w:rsid w:val="00F2563B"/>
    <w:rsid w:val="00F258D6"/>
    <w:rsid w:val="00F258D7"/>
    <w:rsid w:val="00F260F9"/>
    <w:rsid w:val="00F2742A"/>
    <w:rsid w:val="00F3101B"/>
    <w:rsid w:val="00F32253"/>
    <w:rsid w:val="00F32320"/>
    <w:rsid w:val="00F325E7"/>
    <w:rsid w:val="00F33C4B"/>
    <w:rsid w:val="00F33C56"/>
    <w:rsid w:val="00F3435B"/>
    <w:rsid w:val="00F347C7"/>
    <w:rsid w:val="00F34848"/>
    <w:rsid w:val="00F34BB9"/>
    <w:rsid w:val="00F34E75"/>
    <w:rsid w:val="00F352B6"/>
    <w:rsid w:val="00F35440"/>
    <w:rsid w:val="00F35756"/>
    <w:rsid w:val="00F35DD0"/>
    <w:rsid w:val="00F365B9"/>
    <w:rsid w:val="00F365E8"/>
    <w:rsid w:val="00F366D0"/>
    <w:rsid w:val="00F369AC"/>
    <w:rsid w:val="00F37A9B"/>
    <w:rsid w:val="00F400D1"/>
    <w:rsid w:val="00F4031D"/>
    <w:rsid w:val="00F40A61"/>
    <w:rsid w:val="00F40C5C"/>
    <w:rsid w:val="00F40E3A"/>
    <w:rsid w:val="00F40EDB"/>
    <w:rsid w:val="00F41007"/>
    <w:rsid w:val="00F41431"/>
    <w:rsid w:val="00F418DD"/>
    <w:rsid w:val="00F41B75"/>
    <w:rsid w:val="00F41C4E"/>
    <w:rsid w:val="00F41F21"/>
    <w:rsid w:val="00F42008"/>
    <w:rsid w:val="00F42019"/>
    <w:rsid w:val="00F420C5"/>
    <w:rsid w:val="00F425AF"/>
    <w:rsid w:val="00F42D46"/>
    <w:rsid w:val="00F43110"/>
    <w:rsid w:val="00F43281"/>
    <w:rsid w:val="00F433D5"/>
    <w:rsid w:val="00F43835"/>
    <w:rsid w:val="00F43965"/>
    <w:rsid w:val="00F44462"/>
    <w:rsid w:val="00F4450B"/>
    <w:rsid w:val="00F44559"/>
    <w:rsid w:val="00F446AB"/>
    <w:rsid w:val="00F44774"/>
    <w:rsid w:val="00F4496C"/>
    <w:rsid w:val="00F44B7C"/>
    <w:rsid w:val="00F44CC3"/>
    <w:rsid w:val="00F44F3A"/>
    <w:rsid w:val="00F450B0"/>
    <w:rsid w:val="00F457C8"/>
    <w:rsid w:val="00F4599C"/>
    <w:rsid w:val="00F46344"/>
    <w:rsid w:val="00F47400"/>
    <w:rsid w:val="00F47797"/>
    <w:rsid w:val="00F510A1"/>
    <w:rsid w:val="00F5150C"/>
    <w:rsid w:val="00F51753"/>
    <w:rsid w:val="00F518BC"/>
    <w:rsid w:val="00F51D8A"/>
    <w:rsid w:val="00F51F10"/>
    <w:rsid w:val="00F521BD"/>
    <w:rsid w:val="00F524E9"/>
    <w:rsid w:val="00F5270B"/>
    <w:rsid w:val="00F52759"/>
    <w:rsid w:val="00F52885"/>
    <w:rsid w:val="00F529A5"/>
    <w:rsid w:val="00F52D40"/>
    <w:rsid w:val="00F52E71"/>
    <w:rsid w:val="00F5324F"/>
    <w:rsid w:val="00F53758"/>
    <w:rsid w:val="00F53AFB"/>
    <w:rsid w:val="00F53CA4"/>
    <w:rsid w:val="00F53D15"/>
    <w:rsid w:val="00F541F8"/>
    <w:rsid w:val="00F54344"/>
    <w:rsid w:val="00F5474E"/>
    <w:rsid w:val="00F54BD2"/>
    <w:rsid w:val="00F54DF5"/>
    <w:rsid w:val="00F55404"/>
    <w:rsid w:val="00F55904"/>
    <w:rsid w:val="00F576F8"/>
    <w:rsid w:val="00F60A2F"/>
    <w:rsid w:val="00F60F00"/>
    <w:rsid w:val="00F614C0"/>
    <w:rsid w:val="00F619EC"/>
    <w:rsid w:val="00F61C19"/>
    <w:rsid w:val="00F6319A"/>
    <w:rsid w:val="00F632A5"/>
    <w:rsid w:val="00F6345A"/>
    <w:rsid w:val="00F63C80"/>
    <w:rsid w:val="00F642CE"/>
    <w:rsid w:val="00F64680"/>
    <w:rsid w:val="00F64753"/>
    <w:rsid w:val="00F653ED"/>
    <w:rsid w:val="00F654DF"/>
    <w:rsid w:val="00F65967"/>
    <w:rsid w:val="00F66066"/>
    <w:rsid w:val="00F66130"/>
    <w:rsid w:val="00F66609"/>
    <w:rsid w:val="00F66772"/>
    <w:rsid w:val="00F66D4B"/>
    <w:rsid w:val="00F675F8"/>
    <w:rsid w:val="00F67CC6"/>
    <w:rsid w:val="00F67CF6"/>
    <w:rsid w:val="00F70A7D"/>
    <w:rsid w:val="00F7112B"/>
    <w:rsid w:val="00F721AF"/>
    <w:rsid w:val="00F72210"/>
    <w:rsid w:val="00F72474"/>
    <w:rsid w:val="00F727D3"/>
    <w:rsid w:val="00F72B53"/>
    <w:rsid w:val="00F730EB"/>
    <w:rsid w:val="00F73652"/>
    <w:rsid w:val="00F73BD2"/>
    <w:rsid w:val="00F73BFD"/>
    <w:rsid w:val="00F73F7A"/>
    <w:rsid w:val="00F73F85"/>
    <w:rsid w:val="00F74465"/>
    <w:rsid w:val="00F74619"/>
    <w:rsid w:val="00F748FE"/>
    <w:rsid w:val="00F74DE3"/>
    <w:rsid w:val="00F74FC3"/>
    <w:rsid w:val="00F751ED"/>
    <w:rsid w:val="00F75265"/>
    <w:rsid w:val="00F753CB"/>
    <w:rsid w:val="00F76356"/>
    <w:rsid w:val="00F768C8"/>
    <w:rsid w:val="00F77297"/>
    <w:rsid w:val="00F77334"/>
    <w:rsid w:val="00F77456"/>
    <w:rsid w:val="00F77AA8"/>
    <w:rsid w:val="00F77C83"/>
    <w:rsid w:val="00F801B5"/>
    <w:rsid w:val="00F804F2"/>
    <w:rsid w:val="00F80ADD"/>
    <w:rsid w:val="00F810D5"/>
    <w:rsid w:val="00F81617"/>
    <w:rsid w:val="00F81C63"/>
    <w:rsid w:val="00F81DED"/>
    <w:rsid w:val="00F82003"/>
    <w:rsid w:val="00F82286"/>
    <w:rsid w:val="00F827CC"/>
    <w:rsid w:val="00F82EE3"/>
    <w:rsid w:val="00F83102"/>
    <w:rsid w:val="00F83200"/>
    <w:rsid w:val="00F83343"/>
    <w:rsid w:val="00F83459"/>
    <w:rsid w:val="00F8357A"/>
    <w:rsid w:val="00F83848"/>
    <w:rsid w:val="00F83F9E"/>
    <w:rsid w:val="00F849FB"/>
    <w:rsid w:val="00F84CD0"/>
    <w:rsid w:val="00F851C9"/>
    <w:rsid w:val="00F85315"/>
    <w:rsid w:val="00F857DD"/>
    <w:rsid w:val="00F858D6"/>
    <w:rsid w:val="00F85F21"/>
    <w:rsid w:val="00F867D3"/>
    <w:rsid w:val="00F86985"/>
    <w:rsid w:val="00F87983"/>
    <w:rsid w:val="00F901C8"/>
    <w:rsid w:val="00F905BA"/>
    <w:rsid w:val="00F90D5F"/>
    <w:rsid w:val="00F90DE2"/>
    <w:rsid w:val="00F9112A"/>
    <w:rsid w:val="00F91C0F"/>
    <w:rsid w:val="00F91F88"/>
    <w:rsid w:val="00F92168"/>
    <w:rsid w:val="00F92508"/>
    <w:rsid w:val="00F92649"/>
    <w:rsid w:val="00F92B63"/>
    <w:rsid w:val="00F9343D"/>
    <w:rsid w:val="00F934BF"/>
    <w:rsid w:val="00F93A91"/>
    <w:rsid w:val="00F93DF9"/>
    <w:rsid w:val="00F9404C"/>
    <w:rsid w:val="00F9532A"/>
    <w:rsid w:val="00F960DE"/>
    <w:rsid w:val="00F975CD"/>
    <w:rsid w:val="00F975E9"/>
    <w:rsid w:val="00F97ACA"/>
    <w:rsid w:val="00F97B76"/>
    <w:rsid w:val="00F97D70"/>
    <w:rsid w:val="00FA0383"/>
    <w:rsid w:val="00FA04C6"/>
    <w:rsid w:val="00FA051F"/>
    <w:rsid w:val="00FA061B"/>
    <w:rsid w:val="00FA0B7F"/>
    <w:rsid w:val="00FA17F2"/>
    <w:rsid w:val="00FA1B7D"/>
    <w:rsid w:val="00FA1C9C"/>
    <w:rsid w:val="00FA1CC9"/>
    <w:rsid w:val="00FA2CA6"/>
    <w:rsid w:val="00FA306D"/>
    <w:rsid w:val="00FA38F3"/>
    <w:rsid w:val="00FA39AB"/>
    <w:rsid w:val="00FA39C9"/>
    <w:rsid w:val="00FA4604"/>
    <w:rsid w:val="00FA4798"/>
    <w:rsid w:val="00FA4959"/>
    <w:rsid w:val="00FA4B45"/>
    <w:rsid w:val="00FA509C"/>
    <w:rsid w:val="00FA51AD"/>
    <w:rsid w:val="00FA540E"/>
    <w:rsid w:val="00FA5BE7"/>
    <w:rsid w:val="00FA5E8F"/>
    <w:rsid w:val="00FA6325"/>
    <w:rsid w:val="00FA64BA"/>
    <w:rsid w:val="00FA65A5"/>
    <w:rsid w:val="00FA671E"/>
    <w:rsid w:val="00FA6B83"/>
    <w:rsid w:val="00FA7732"/>
    <w:rsid w:val="00FA79A4"/>
    <w:rsid w:val="00FA7F17"/>
    <w:rsid w:val="00FB004A"/>
    <w:rsid w:val="00FB051C"/>
    <w:rsid w:val="00FB0DC3"/>
    <w:rsid w:val="00FB10C7"/>
    <w:rsid w:val="00FB1F9F"/>
    <w:rsid w:val="00FB2495"/>
    <w:rsid w:val="00FB2969"/>
    <w:rsid w:val="00FB2DE6"/>
    <w:rsid w:val="00FB3145"/>
    <w:rsid w:val="00FB332F"/>
    <w:rsid w:val="00FB3CB1"/>
    <w:rsid w:val="00FB4256"/>
    <w:rsid w:val="00FB4661"/>
    <w:rsid w:val="00FB594A"/>
    <w:rsid w:val="00FB5EB6"/>
    <w:rsid w:val="00FB6119"/>
    <w:rsid w:val="00FB628E"/>
    <w:rsid w:val="00FB6293"/>
    <w:rsid w:val="00FB62E6"/>
    <w:rsid w:val="00FB6787"/>
    <w:rsid w:val="00FB6930"/>
    <w:rsid w:val="00FB7047"/>
    <w:rsid w:val="00FB7A0D"/>
    <w:rsid w:val="00FB7E48"/>
    <w:rsid w:val="00FC000F"/>
    <w:rsid w:val="00FC0635"/>
    <w:rsid w:val="00FC07B9"/>
    <w:rsid w:val="00FC0DDF"/>
    <w:rsid w:val="00FC0E59"/>
    <w:rsid w:val="00FC0ED9"/>
    <w:rsid w:val="00FC1121"/>
    <w:rsid w:val="00FC165D"/>
    <w:rsid w:val="00FC2567"/>
    <w:rsid w:val="00FC2866"/>
    <w:rsid w:val="00FC290C"/>
    <w:rsid w:val="00FC29D1"/>
    <w:rsid w:val="00FC2D34"/>
    <w:rsid w:val="00FC3B08"/>
    <w:rsid w:val="00FC3C06"/>
    <w:rsid w:val="00FC3FE4"/>
    <w:rsid w:val="00FC45DB"/>
    <w:rsid w:val="00FC462E"/>
    <w:rsid w:val="00FC4680"/>
    <w:rsid w:val="00FC4A16"/>
    <w:rsid w:val="00FC4E21"/>
    <w:rsid w:val="00FC5783"/>
    <w:rsid w:val="00FC5F6D"/>
    <w:rsid w:val="00FC654F"/>
    <w:rsid w:val="00FC6C72"/>
    <w:rsid w:val="00FC6FDC"/>
    <w:rsid w:val="00FC7404"/>
    <w:rsid w:val="00FC7707"/>
    <w:rsid w:val="00FD0037"/>
    <w:rsid w:val="00FD0107"/>
    <w:rsid w:val="00FD0136"/>
    <w:rsid w:val="00FD0344"/>
    <w:rsid w:val="00FD0B45"/>
    <w:rsid w:val="00FD1436"/>
    <w:rsid w:val="00FD1C13"/>
    <w:rsid w:val="00FD1D48"/>
    <w:rsid w:val="00FD20E9"/>
    <w:rsid w:val="00FD22F9"/>
    <w:rsid w:val="00FD2305"/>
    <w:rsid w:val="00FD2C2F"/>
    <w:rsid w:val="00FD2E40"/>
    <w:rsid w:val="00FD2EDC"/>
    <w:rsid w:val="00FD2F83"/>
    <w:rsid w:val="00FD32FF"/>
    <w:rsid w:val="00FD39BB"/>
    <w:rsid w:val="00FD3B31"/>
    <w:rsid w:val="00FD3C39"/>
    <w:rsid w:val="00FD4435"/>
    <w:rsid w:val="00FD4568"/>
    <w:rsid w:val="00FD461D"/>
    <w:rsid w:val="00FD46EA"/>
    <w:rsid w:val="00FD47C0"/>
    <w:rsid w:val="00FD4A19"/>
    <w:rsid w:val="00FD4F29"/>
    <w:rsid w:val="00FD5044"/>
    <w:rsid w:val="00FD55D3"/>
    <w:rsid w:val="00FD64A7"/>
    <w:rsid w:val="00FD72E6"/>
    <w:rsid w:val="00FD76D3"/>
    <w:rsid w:val="00FD79E4"/>
    <w:rsid w:val="00FE0079"/>
    <w:rsid w:val="00FE05BD"/>
    <w:rsid w:val="00FE08BF"/>
    <w:rsid w:val="00FE10F8"/>
    <w:rsid w:val="00FE1823"/>
    <w:rsid w:val="00FE1901"/>
    <w:rsid w:val="00FE23B9"/>
    <w:rsid w:val="00FE25E8"/>
    <w:rsid w:val="00FE29E5"/>
    <w:rsid w:val="00FE2E76"/>
    <w:rsid w:val="00FE31B4"/>
    <w:rsid w:val="00FE368F"/>
    <w:rsid w:val="00FE3A28"/>
    <w:rsid w:val="00FE3B6B"/>
    <w:rsid w:val="00FE3CF4"/>
    <w:rsid w:val="00FE444B"/>
    <w:rsid w:val="00FE487A"/>
    <w:rsid w:val="00FE4901"/>
    <w:rsid w:val="00FE577D"/>
    <w:rsid w:val="00FE5CE3"/>
    <w:rsid w:val="00FE5E3B"/>
    <w:rsid w:val="00FE5F5B"/>
    <w:rsid w:val="00FE675F"/>
    <w:rsid w:val="00FE6EFA"/>
    <w:rsid w:val="00FE71AE"/>
    <w:rsid w:val="00FE748C"/>
    <w:rsid w:val="00FE74A0"/>
    <w:rsid w:val="00FE7504"/>
    <w:rsid w:val="00FE7511"/>
    <w:rsid w:val="00FE7E83"/>
    <w:rsid w:val="00FE7F30"/>
    <w:rsid w:val="00FE7F42"/>
    <w:rsid w:val="00FF0569"/>
    <w:rsid w:val="00FF08F2"/>
    <w:rsid w:val="00FF0AE9"/>
    <w:rsid w:val="00FF0C0E"/>
    <w:rsid w:val="00FF0E61"/>
    <w:rsid w:val="00FF18BC"/>
    <w:rsid w:val="00FF1C7F"/>
    <w:rsid w:val="00FF1CC9"/>
    <w:rsid w:val="00FF206E"/>
    <w:rsid w:val="00FF284F"/>
    <w:rsid w:val="00FF34B4"/>
    <w:rsid w:val="00FF3663"/>
    <w:rsid w:val="00FF3C69"/>
    <w:rsid w:val="00FF482E"/>
    <w:rsid w:val="00FF4A51"/>
    <w:rsid w:val="00FF52BE"/>
    <w:rsid w:val="00FF5A60"/>
    <w:rsid w:val="00FF5A9B"/>
    <w:rsid w:val="00FF5FD0"/>
    <w:rsid w:val="00FF6227"/>
    <w:rsid w:val="00FF62FC"/>
    <w:rsid w:val="00FF676E"/>
    <w:rsid w:val="00FF6E0A"/>
    <w:rsid w:val="00FF732F"/>
    <w:rsid w:val="00FF74BE"/>
    <w:rsid w:val="00FF7A56"/>
    <w:rsid w:val="00FF7E19"/>
    <w:rsid w:val="013A98BE"/>
    <w:rsid w:val="01B5F0A2"/>
    <w:rsid w:val="04402626"/>
    <w:rsid w:val="05884EEB"/>
    <w:rsid w:val="068B5A03"/>
    <w:rsid w:val="07094933"/>
    <w:rsid w:val="070FD854"/>
    <w:rsid w:val="089705EB"/>
    <w:rsid w:val="0937DE6E"/>
    <w:rsid w:val="0A01FD67"/>
    <w:rsid w:val="0A8E8593"/>
    <w:rsid w:val="0C073D5B"/>
    <w:rsid w:val="0C09410C"/>
    <w:rsid w:val="0C7E8F7C"/>
    <w:rsid w:val="0E5E99A2"/>
    <w:rsid w:val="0EB908CC"/>
    <w:rsid w:val="0FCDD006"/>
    <w:rsid w:val="10EA3B99"/>
    <w:rsid w:val="11B51FEA"/>
    <w:rsid w:val="11C6F405"/>
    <w:rsid w:val="12DF76AC"/>
    <w:rsid w:val="12EC921D"/>
    <w:rsid w:val="13CE92B4"/>
    <w:rsid w:val="1AD3E9BF"/>
    <w:rsid w:val="1B5C5E0B"/>
    <w:rsid w:val="1C77DA45"/>
    <w:rsid w:val="1D43BAF7"/>
    <w:rsid w:val="1DE9D478"/>
    <w:rsid w:val="1E21B04D"/>
    <w:rsid w:val="1EF14632"/>
    <w:rsid w:val="1F4E2A27"/>
    <w:rsid w:val="20436894"/>
    <w:rsid w:val="2068A766"/>
    <w:rsid w:val="2109CF3D"/>
    <w:rsid w:val="21909969"/>
    <w:rsid w:val="21A665F2"/>
    <w:rsid w:val="222EE9E5"/>
    <w:rsid w:val="2389E190"/>
    <w:rsid w:val="267121A9"/>
    <w:rsid w:val="26E8D263"/>
    <w:rsid w:val="29D9F922"/>
    <w:rsid w:val="2B434A4C"/>
    <w:rsid w:val="2BC7D63C"/>
    <w:rsid w:val="2E1A4BFF"/>
    <w:rsid w:val="2E540CEB"/>
    <w:rsid w:val="31467CA7"/>
    <w:rsid w:val="32B8E0E5"/>
    <w:rsid w:val="33CA9CE3"/>
    <w:rsid w:val="34EE5A1D"/>
    <w:rsid w:val="35799ADF"/>
    <w:rsid w:val="376D6B24"/>
    <w:rsid w:val="377AE69A"/>
    <w:rsid w:val="39191377"/>
    <w:rsid w:val="3BBE5865"/>
    <w:rsid w:val="3E15E9EB"/>
    <w:rsid w:val="4104FE58"/>
    <w:rsid w:val="4209E7E3"/>
    <w:rsid w:val="4256BE61"/>
    <w:rsid w:val="452094B3"/>
    <w:rsid w:val="4537B2D4"/>
    <w:rsid w:val="4570B136"/>
    <w:rsid w:val="45B991F9"/>
    <w:rsid w:val="493F8936"/>
    <w:rsid w:val="494DEE47"/>
    <w:rsid w:val="4959956C"/>
    <w:rsid w:val="4CC51984"/>
    <w:rsid w:val="515D9D86"/>
    <w:rsid w:val="5372DFFD"/>
    <w:rsid w:val="5420020C"/>
    <w:rsid w:val="548F715B"/>
    <w:rsid w:val="54C31EC9"/>
    <w:rsid w:val="560BF6F1"/>
    <w:rsid w:val="582AEDCE"/>
    <w:rsid w:val="5A095996"/>
    <w:rsid w:val="5AD1FAFD"/>
    <w:rsid w:val="5AD8C99E"/>
    <w:rsid w:val="5B1EABEA"/>
    <w:rsid w:val="5B8C4694"/>
    <w:rsid w:val="5C97B2B8"/>
    <w:rsid w:val="5D36F43F"/>
    <w:rsid w:val="5EA9D396"/>
    <w:rsid w:val="606EB8EB"/>
    <w:rsid w:val="60C2BC29"/>
    <w:rsid w:val="63FD1238"/>
    <w:rsid w:val="64836977"/>
    <w:rsid w:val="64E9C511"/>
    <w:rsid w:val="66256CA1"/>
    <w:rsid w:val="67F5E538"/>
    <w:rsid w:val="68B2B2A6"/>
    <w:rsid w:val="6AC8413D"/>
    <w:rsid w:val="6B1C9835"/>
    <w:rsid w:val="6B313707"/>
    <w:rsid w:val="6B5D6BDF"/>
    <w:rsid w:val="6BC4B8C5"/>
    <w:rsid w:val="6C076BAD"/>
    <w:rsid w:val="6E7BF6A2"/>
    <w:rsid w:val="6F47556A"/>
    <w:rsid w:val="71089103"/>
    <w:rsid w:val="71183601"/>
    <w:rsid w:val="7274D031"/>
    <w:rsid w:val="7329AB07"/>
    <w:rsid w:val="739D97E1"/>
    <w:rsid w:val="744DCE02"/>
    <w:rsid w:val="757F7B07"/>
    <w:rsid w:val="772DA633"/>
    <w:rsid w:val="783746E1"/>
    <w:rsid w:val="78D19FFA"/>
    <w:rsid w:val="796BEBB0"/>
    <w:rsid w:val="7A59F0BD"/>
    <w:rsid w:val="7BCEA208"/>
    <w:rsid w:val="7C8B4969"/>
    <w:rsid w:val="7CDB875E"/>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AEA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12B"/>
    <w:pPr>
      <w:spacing w:after="240" w:line="240" w:lineRule="atLeast"/>
    </w:pPr>
    <w:rPr>
      <w:rFonts w:ascii="Arial" w:hAnsi="Arial"/>
      <w:sz w:val="20"/>
    </w:rPr>
  </w:style>
  <w:style w:type="paragraph" w:styleId="Heading1">
    <w:name w:val="heading 1"/>
    <w:basedOn w:val="Normal"/>
    <w:next w:val="Normal"/>
    <w:link w:val="Heading1Char"/>
    <w:uiPriority w:val="1"/>
    <w:qFormat/>
    <w:rsid w:val="0086284C"/>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uiPriority w:val="1"/>
    <w:qFormat/>
    <w:rsid w:val="0086284C"/>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86284C"/>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86284C"/>
    <w:pPr>
      <w:outlineLvl w:val="3"/>
    </w:pPr>
    <w:rPr>
      <w:rFonts w:cs="Arial"/>
    </w:rPr>
  </w:style>
  <w:style w:type="paragraph" w:styleId="Heading5">
    <w:name w:val="heading 5"/>
    <w:basedOn w:val="Normal"/>
    <w:next w:val="Normal"/>
    <w:link w:val="Heading5Char"/>
    <w:semiHidden/>
    <w:qFormat/>
    <w:rsid w:val="0086284C"/>
    <w:pPr>
      <w:numPr>
        <w:ilvl w:val="4"/>
        <w:numId w:val="89"/>
      </w:numPr>
      <w:spacing w:before="240" w:after="60"/>
      <w:outlineLvl w:val="4"/>
    </w:pPr>
    <w:rPr>
      <w:b/>
      <w:bCs/>
      <w:i/>
      <w:iCs/>
      <w:sz w:val="26"/>
      <w:szCs w:val="26"/>
    </w:rPr>
  </w:style>
  <w:style w:type="paragraph" w:styleId="Heading6">
    <w:name w:val="heading 6"/>
    <w:basedOn w:val="Normal"/>
    <w:next w:val="Normal"/>
    <w:link w:val="Heading6Char"/>
    <w:semiHidden/>
    <w:qFormat/>
    <w:rsid w:val="0086284C"/>
    <w:pPr>
      <w:numPr>
        <w:ilvl w:val="5"/>
        <w:numId w:val="89"/>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86284C"/>
    <w:pPr>
      <w:numPr>
        <w:ilvl w:val="6"/>
        <w:numId w:val="89"/>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86284C"/>
    <w:pPr>
      <w:numPr>
        <w:ilvl w:val="7"/>
        <w:numId w:val="89"/>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86284C"/>
    <w:pPr>
      <w:numPr>
        <w:ilvl w:val="8"/>
        <w:numId w:val="8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284C"/>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6284C"/>
    <w:rPr>
      <w:rFonts w:ascii="Arial" w:hAnsi="Arial" w:cs="Arial"/>
      <w:b/>
      <w:bCs/>
      <w:iCs/>
      <w:sz w:val="28"/>
      <w:szCs w:val="28"/>
    </w:rPr>
  </w:style>
  <w:style w:type="character" w:customStyle="1" w:styleId="Heading3Char">
    <w:name w:val="Heading 3 Char"/>
    <w:basedOn w:val="DefaultParagraphFont"/>
    <w:link w:val="Heading3"/>
    <w:uiPriority w:val="2"/>
    <w:rsid w:val="0086284C"/>
    <w:rPr>
      <w:rFonts w:ascii="Arial" w:hAnsi="Arial" w:cs="Arial"/>
      <w:b/>
      <w:bCs/>
      <w:sz w:val="20"/>
      <w:szCs w:val="26"/>
    </w:rPr>
  </w:style>
  <w:style w:type="character" w:customStyle="1" w:styleId="Heading4Char">
    <w:name w:val="Heading 4 Char"/>
    <w:basedOn w:val="DefaultParagraphFont"/>
    <w:link w:val="Heading4"/>
    <w:uiPriority w:val="2"/>
    <w:rsid w:val="003B614A"/>
    <w:rPr>
      <w:rFonts w:ascii="Arial" w:hAnsi="Arial" w:cs="Arial"/>
      <w:b/>
      <w:i/>
      <w:sz w:val="20"/>
    </w:rPr>
  </w:style>
  <w:style w:type="character" w:customStyle="1" w:styleId="Heading5Char">
    <w:name w:val="Heading 5 Char"/>
    <w:basedOn w:val="DefaultParagraphFont"/>
    <w:link w:val="Heading5"/>
    <w:semiHidden/>
    <w:rsid w:val="003B614A"/>
    <w:rPr>
      <w:rFonts w:ascii="Arial" w:hAnsi="Arial"/>
      <w:b/>
      <w:bCs/>
      <w:i/>
      <w:iCs/>
      <w:sz w:val="26"/>
      <w:szCs w:val="26"/>
    </w:rPr>
  </w:style>
  <w:style w:type="character" w:customStyle="1" w:styleId="Heading6Char">
    <w:name w:val="Heading 6 Char"/>
    <w:basedOn w:val="DefaultParagraphFont"/>
    <w:link w:val="Heading6"/>
    <w:semiHidden/>
    <w:rsid w:val="003B614A"/>
    <w:rPr>
      <w:b/>
      <w:bCs/>
      <w:sz w:val="22"/>
      <w:szCs w:val="22"/>
    </w:rPr>
  </w:style>
  <w:style w:type="character" w:customStyle="1" w:styleId="Heading7Char">
    <w:name w:val="Heading 7 Char"/>
    <w:basedOn w:val="DefaultParagraphFont"/>
    <w:link w:val="Heading7"/>
    <w:semiHidden/>
    <w:rsid w:val="003B614A"/>
  </w:style>
  <w:style w:type="character" w:customStyle="1" w:styleId="Heading8Char">
    <w:name w:val="Heading 8 Char"/>
    <w:basedOn w:val="DefaultParagraphFont"/>
    <w:link w:val="Heading8"/>
    <w:semiHidden/>
    <w:rsid w:val="003B614A"/>
    <w:rPr>
      <w:i/>
      <w:iCs/>
    </w:rPr>
  </w:style>
  <w:style w:type="character" w:customStyle="1" w:styleId="Heading9Char">
    <w:name w:val="Heading 9 Char"/>
    <w:basedOn w:val="DefaultParagraphFont"/>
    <w:link w:val="Heading9"/>
    <w:semiHidden/>
    <w:rsid w:val="003B614A"/>
    <w:rPr>
      <w:rFonts w:ascii="Arial" w:hAnsi="Arial" w:cs="Arial"/>
      <w:sz w:val="22"/>
      <w:szCs w:val="22"/>
    </w:rPr>
  </w:style>
  <w:style w:type="paragraph" w:styleId="Header">
    <w:name w:val="header"/>
    <w:basedOn w:val="Normal"/>
    <w:link w:val="HeaderChar"/>
    <w:semiHidden/>
    <w:rsid w:val="0086284C"/>
    <w:pPr>
      <w:tabs>
        <w:tab w:val="center" w:pos="4153"/>
        <w:tab w:val="right" w:pos="8306"/>
      </w:tabs>
      <w:spacing w:line="240" w:lineRule="auto"/>
    </w:pPr>
    <w:rPr>
      <w:sz w:val="16"/>
    </w:rPr>
  </w:style>
  <w:style w:type="character" w:customStyle="1" w:styleId="HeaderChar">
    <w:name w:val="Header Char"/>
    <w:link w:val="Header"/>
    <w:semiHidden/>
    <w:rsid w:val="0086284C"/>
    <w:rPr>
      <w:rFonts w:ascii="Arial" w:hAnsi="Arial"/>
      <w:sz w:val="16"/>
    </w:rPr>
  </w:style>
  <w:style w:type="paragraph" w:styleId="Footer">
    <w:name w:val="footer"/>
    <w:basedOn w:val="Normal"/>
    <w:link w:val="FooterChar"/>
    <w:qFormat/>
    <w:rsid w:val="0086284C"/>
    <w:pPr>
      <w:tabs>
        <w:tab w:val="right" w:pos="113"/>
      </w:tabs>
      <w:spacing w:line="240" w:lineRule="auto"/>
    </w:pPr>
    <w:rPr>
      <w:color w:val="323232"/>
      <w:sz w:val="16"/>
    </w:rPr>
  </w:style>
  <w:style w:type="character" w:customStyle="1" w:styleId="FooterChar">
    <w:name w:val="Footer Char"/>
    <w:basedOn w:val="DefaultParagraphFont"/>
    <w:link w:val="Footer"/>
    <w:rsid w:val="0086284C"/>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86284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86284C"/>
    <w:pPr>
      <w:spacing w:line="240" w:lineRule="auto"/>
    </w:pPr>
    <w:rPr>
      <w:sz w:val="16"/>
    </w:rPr>
  </w:style>
  <w:style w:type="paragraph" w:customStyle="1" w:styleId="Copyright">
    <w:name w:val="Copyright"/>
    <w:basedOn w:val="Normal"/>
    <w:semiHidden/>
    <w:rsid w:val="0086284C"/>
    <w:pPr>
      <w:spacing w:line="160" w:lineRule="exact"/>
    </w:pPr>
    <w:rPr>
      <w:color w:val="4D4D4F"/>
      <w:sz w:val="13"/>
    </w:rPr>
  </w:style>
  <w:style w:type="paragraph" w:styleId="TOCHeading">
    <w:name w:val="TOC Heading"/>
    <w:basedOn w:val="Normal"/>
    <w:qFormat/>
    <w:rsid w:val="0086284C"/>
    <w:pPr>
      <w:spacing w:before="1200" w:line="240" w:lineRule="auto"/>
    </w:pPr>
    <w:rPr>
      <w:b/>
      <w:color w:val="323232"/>
      <w:spacing w:val="-28"/>
      <w:sz w:val="53"/>
    </w:rPr>
  </w:style>
  <w:style w:type="paragraph" w:styleId="Caption">
    <w:name w:val="caption"/>
    <w:aliases w:val="Caption table"/>
    <w:basedOn w:val="Normal"/>
    <w:next w:val="Normal"/>
    <w:qFormat/>
    <w:rsid w:val="0086284C"/>
    <w:pPr>
      <w:numPr>
        <w:numId w:val="82"/>
      </w:numPr>
      <w:spacing w:after="0"/>
    </w:pPr>
    <w:rPr>
      <w:b/>
      <w:bCs/>
      <w:color w:val="323232"/>
      <w:szCs w:val="20"/>
    </w:rPr>
  </w:style>
  <w:style w:type="paragraph" w:customStyle="1" w:styleId="BodySubHeader">
    <w:name w:val="BodySubHeader"/>
    <w:basedOn w:val="Normal"/>
    <w:next w:val="Normal"/>
    <w:rsid w:val="0086284C"/>
    <w:pPr>
      <w:spacing w:before="240" w:after="0"/>
    </w:pPr>
    <w:rPr>
      <w:b/>
      <w:i/>
    </w:rPr>
  </w:style>
  <w:style w:type="paragraph" w:styleId="ListBullet">
    <w:name w:val="List Bullet"/>
    <w:basedOn w:val="Normal"/>
    <w:qFormat/>
    <w:rsid w:val="00F04ECD"/>
    <w:pPr>
      <w:numPr>
        <w:numId w:val="1"/>
      </w:numPr>
    </w:pPr>
  </w:style>
  <w:style w:type="paragraph" w:styleId="ListBullet2">
    <w:name w:val="List Bullet 2"/>
    <w:basedOn w:val="Normal"/>
    <w:qFormat/>
    <w:rsid w:val="0086284C"/>
    <w:pPr>
      <w:numPr>
        <w:numId w:val="81"/>
      </w:numPr>
      <w:spacing w:after="80"/>
    </w:pPr>
  </w:style>
  <w:style w:type="paragraph" w:styleId="ListNumber">
    <w:name w:val="List Number"/>
    <w:basedOn w:val="Normal"/>
    <w:qFormat/>
    <w:rsid w:val="0086284C"/>
    <w:pPr>
      <w:numPr>
        <w:numId w:val="95"/>
      </w:numPr>
      <w:spacing w:after="80"/>
    </w:pPr>
  </w:style>
  <w:style w:type="paragraph" w:styleId="ListNumber2">
    <w:name w:val="List Number 2"/>
    <w:basedOn w:val="Normal"/>
    <w:qFormat/>
    <w:rsid w:val="0086284C"/>
    <w:pPr>
      <w:numPr>
        <w:numId w:val="97"/>
      </w:numPr>
      <w:spacing w:after="80"/>
    </w:pPr>
  </w:style>
  <w:style w:type="paragraph" w:customStyle="1" w:styleId="URLEmail">
    <w:name w:val="URL/Email"/>
    <w:basedOn w:val="Normal"/>
    <w:semiHidden/>
    <w:rsid w:val="0086284C"/>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86284C"/>
  </w:style>
  <w:style w:type="paragraph" w:styleId="BalloonText">
    <w:name w:val="Balloon Text"/>
    <w:basedOn w:val="Normal"/>
    <w:link w:val="BalloonTextChar"/>
    <w:semiHidden/>
    <w:unhideWhenUsed/>
    <w:rsid w:val="00862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6284C"/>
    <w:rPr>
      <w:rFonts w:ascii="Segoe UI" w:hAnsi="Segoe UI" w:cs="Segoe UI"/>
      <w:sz w:val="18"/>
      <w:szCs w:val="18"/>
    </w:rPr>
  </w:style>
  <w:style w:type="paragraph" w:styleId="TOC1">
    <w:name w:val="toc 1"/>
    <w:basedOn w:val="Normal"/>
    <w:next w:val="Normal"/>
    <w:uiPriority w:val="39"/>
    <w:qFormat/>
    <w:rsid w:val="0086284C"/>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86284C"/>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86284C"/>
    <w:pPr>
      <w:tabs>
        <w:tab w:val="right" w:pos="7615"/>
      </w:tabs>
      <w:spacing w:line="320" w:lineRule="exact"/>
    </w:pPr>
    <w:rPr>
      <w:noProof/>
      <w:color w:val="808285"/>
      <w:sz w:val="28"/>
    </w:rPr>
  </w:style>
  <w:style w:type="paragraph" w:styleId="TOC3">
    <w:name w:val="toc 3"/>
    <w:basedOn w:val="Normal"/>
    <w:next w:val="Normal"/>
    <w:uiPriority w:val="39"/>
    <w:qFormat/>
    <w:rsid w:val="0086284C"/>
    <w:pPr>
      <w:tabs>
        <w:tab w:val="right" w:pos="7661"/>
      </w:tabs>
      <w:spacing w:after="80" w:line="240" w:lineRule="auto"/>
    </w:pPr>
    <w:rPr>
      <w:noProof/>
      <w:sz w:val="22"/>
      <w:szCs w:val="22"/>
    </w:rPr>
  </w:style>
  <w:style w:type="character" w:styleId="Hyperlink">
    <w:name w:val="Hyperlink"/>
    <w:basedOn w:val="DefaultParagraphFont"/>
    <w:uiPriority w:val="99"/>
    <w:qFormat/>
    <w:rsid w:val="0086284C"/>
    <w:rPr>
      <w:color w:val="0000FF"/>
      <w:u w:val="single" w:color="0000FF"/>
    </w:rPr>
  </w:style>
  <w:style w:type="character" w:styleId="FootnoteReference">
    <w:name w:val="footnote reference"/>
    <w:basedOn w:val="DefaultParagraphFont"/>
    <w:uiPriority w:val="99"/>
    <w:rsid w:val="0086284C"/>
    <w:rPr>
      <w:rFonts w:ascii="Arial" w:hAnsi="Arial"/>
      <w:vertAlign w:val="superscript"/>
    </w:rPr>
  </w:style>
  <w:style w:type="paragraph" w:styleId="FootnoteText">
    <w:name w:val="footnote text"/>
    <w:aliases w:val="Footnote text,ACMA Footnote Text"/>
    <w:basedOn w:val="Normal"/>
    <w:link w:val="FootnoteTextChar"/>
    <w:uiPriority w:val="99"/>
    <w:rsid w:val="0086284C"/>
    <w:pPr>
      <w:spacing w:after="0" w:line="200" w:lineRule="atLeast"/>
    </w:pPr>
    <w:rPr>
      <w:sz w:val="16"/>
      <w:szCs w:val="16"/>
    </w:rPr>
  </w:style>
  <w:style w:type="character" w:customStyle="1" w:styleId="FootnoteTextChar">
    <w:name w:val="Footnote Text Char"/>
    <w:aliases w:val="Footnote text Char,ACMA Footnote Text Char"/>
    <w:basedOn w:val="DefaultParagraphFont"/>
    <w:link w:val="FootnoteText"/>
    <w:uiPriority w:val="99"/>
    <w:rsid w:val="00504BF3"/>
    <w:rPr>
      <w:rFonts w:ascii="Arial" w:hAnsi="Arial"/>
      <w:sz w:val="16"/>
      <w:szCs w:val="16"/>
    </w:rPr>
  </w:style>
  <w:style w:type="paragraph" w:customStyle="1" w:styleId="TableBody">
    <w:name w:val="Table Body"/>
    <w:basedOn w:val="Normal"/>
    <w:uiPriority w:val="15"/>
    <w:qFormat/>
    <w:rsid w:val="0086284C"/>
    <w:pPr>
      <w:spacing w:after="0" w:line="240" w:lineRule="auto"/>
    </w:pPr>
  </w:style>
  <w:style w:type="character" w:styleId="CommentReference">
    <w:name w:val="annotation reference"/>
    <w:basedOn w:val="DefaultParagraphFont"/>
    <w:uiPriority w:val="99"/>
    <w:rsid w:val="0086284C"/>
    <w:rPr>
      <w:sz w:val="16"/>
      <w:szCs w:val="16"/>
    </w:rPr>
  </w:style>
  <w:style w:type="paragraph" w:styleId="CommentText">
    <w:name w:val="annotation text"/>
    <w:basedOn w:val="Normal"/>
    <w:link w:val="CommentTextChar"/>
    <w:uiPriority w:val="99"/>
    <w:rsid w:val="0086284C"/>
    <w:pPr>
      <w:spacing w:line="240" w:lineRule="auto"/>
    </w:pPr>
    <w:rPr>
      <w:szCs w:val="20"/>
    </w:rPr>
  </w:style>
  <w:style w:type="character" w:customStyle="1" w:styleId="CommentTextChar">
    <w:name w:val="Comment Text Char"/>
    <w:basedOn w:val="DefaultParagraphFont"/>
    <w:link w:val="CommentText"/>
    <w:uiPriority w:val="99"/>
    <w:rsid w:val="0086284C"/>
    <w:rPr>
      <w:rFonts w:ascii="Arial" w:hAnsi="Arial"/>
      <w:sz w:val="20"/>
      <w:szCs w:val="20"/>
    </w:rPr>
  </w:style>
  <w:style w:type="paragraph" w:styleId="CommentSubject">
    <w:name w:val="annotation subject"/>
    <w:basedOn w:val="CommentText"/>
    <w:next w:val="CommentText"/>
    <w:link w:val="CommentSubjectChar"/>
    <w:semiHidden/>
    <w:rsid w:val="0086284C"/>
    <w:rPr>
      <w:b/>
      <w:bCs/>
    </w:rPr>
  </w:style>
  <w:style w:type="character" w:customStyle="1" w:styleId="CommentSubjectChar">
    <w:name w:val="Comment Subject Char"/>
    <w:basedOn w:val="CommentTextChar"/>
    <w:link w:val="CommentSubject"/>
    <w:semiHidden/>
    <w:rsid w:val="0086284C"/>
    <w:rPr>
      <w:rFonts w:ascii="Arial" w:hAnsi="Arial"/>
      <w:b/>
      <w:bCs/>
      <w:sz w:val="20"/>
      <w:szCs w:val="20"/>
    </w:rPr>
  </w:style>
  <w:style w:type="character" w:styleId="FollowedHyperlink">
    <w:name w:val="FollowedHyperlink"/>
    <w:basedOn w:val="DefaultParagraphFont"/>
    <w:semiHidden/>
    <w:rsid w:val="0086284C"/>
    <w:rPr>
      <w:color w:val="800080" w:themeColor="followedHyperlink"/>
      <w:u w:val="single"/>
    </w:rPr>
  </w:style>
  <w:style w:type="character" w:styleId="PlaceholderText">
    <w:name w:val="Placeholder Text"/>
    <w:basedOn w:val="DefaultParagraphFont"/>
    <w:uiPriority w:val="99"/>
    <w:semiHidden/>
    <w:rsid w:val="0086284C"/>
    <w:rPr>
      <w:color w:val="808080"/>
    </w:rPr>
  </w:style>
  <w:style w:type="paragraph" w:customStyle="1" w:styleId="ACMAInstructions">
    <w:name w:val="ACMA_Instructions"/>
    <w:basedOn w:val="Normal"/>
    <w:unhideWhenUsed/>
    <w:qFormat/>
    <w:rsid w:val="0086284C"/>
    <w:pPr>
      <w:spacing w:after="200"/>
    </w:pPr>
    <w:rPr>
      <w:rFonts w:cs="Arial"/>
      <w:b/>
      <w:vanish/>
      <w:sz w:val="24"/>
    </w:rPr>
  </w:style>
  <w:style w:type="paragraph" w:customStyle="1" w:styleId="CorporateAddresses">
    <w:name w:val="Corporate Addresses"/>
    <w:basedOn w:val="Normal"/>
    <w:semiHidden/>
    <w:rsid w:val="0086284C"/>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unhideWhenUsed/>
    <w:qFormat/>
    <w:rsid w:val="0086284C"/>
    <w:pPr>
      <w:tabs>
        <w:tab w:val="left" w:pos="142"/>
      </w:tabs>
      <w:spacing w:before="240" w:after="0" w:line="140" w:lineRule="exact"/>
    </w:pPr>
    <w:rPr>
      <w:b/>
      <w:sz w:val="13"/>
    </w:rPr>
  </w:style>
  <w:style w:type="paragraph" w:customStyle="1" w:styleId="ACMACorporateAddresses">
    <w:name w:val="ACMA_CorporateAddresses"/>
    <w:basedOn w:val="ACMACorporateAddressHeader"/>
    <w:unhideWhenUsed/>
    <w:qFormat/>
    <w:rsid w:val="0086284C"/>
    <w:pPr>
      <w:spacing w:before="0" w:after="120"/>
    </w:pPr>
    <w:rPr>
      <w:b w:val="0"/>
    </w:rPr>
  </w:style>
  <w:style w:type="paragraph" w:customStyle="1" w:styleId="ACMACopyrightHeader">
    <w:name w:val="ACMA_CopyrightHeader"/>
    <w:basedOn w:val="ACMACorporateAddressHeader"/>
    <w:unhideWhenUsed/>
    <w:qFormat/>
    <w:rsid w:val="0086284C"/>
    <w:pPr>
      <w:spacing w:before="3000"/>
    </w:pPr>
  </w:style>
  <w:style w:type="paragraph" w:customStyle="1" w:styleId="ACMACClogo">
    <w:name w:val="ACMA_CClogo"/>
    <w:unhideWhenUsed/>
    <w:qFormat/>
    <w:rsid w:val="0086284C"/>
    <w:pPr>
      <w:spacing w:before="160" w:after="120"/>
    </w:pPr>
    <w:rPr>
      <w:rFonts w:ascii="Arial" w:hAnsi="Arial"/>
      <w:b/>
      <w:sz w:val="13"/>
    </w:rPr>
  </w:style>
  <w:style w:type="paragraph" w:customStyle="1" w:styleId="ListBulletLast">
    <w:name w:val="List Bullet Last"/>
    <w:basedOn w:val="ListBullet"/>
    <w:qFormat/>
    <w:rsid w:val="0086284C"/>
    <w:rPr>
      <w:rFonts w:cs="Arial"/>
    </w:rPr>
  </w:style>
  <w:style w:type="paragraph" w:customStyle="1" w:styleId="ListNumberLast">
    <w:name w:val="List Number Last"/>
    <w:basedOn w:val="ListNumber"/>
    <w:qFormat/>
    <w:rsid w:val="0086284C"/>
    <w:pPr>
      <w:spacing w:after="240"/>
      <w:ind w:left="357" w:hanging="357"/>
    </w:pPr>
    <w:rPr>
      <w:rFonts w:cs="Arial"/>
    </w:rPr>
  </w:style>
  <w:style w:type="paragraph" w:customStyle="1" w:styleId="ACMATableHeader">
    <w:name w:val="ACMA_TableHeader"/>
    <w:qFormat/>
    <w:rsid w:val="0086284C"/>
    <w:pPr>
      <w:numPr>
        <w:numId w:val="98"/>
      </w:numPr>
      <w:spacing w:after="160"/>
    </w:pPr>
    <w:rPr>
      <w:rFonts w:ascii="Arial" w:hAnsi="Arial"/>
      <w:b/>
      <w:bCs/>
      <w:color w:val="323232"/>
      <w:sz w:val="20"/>
      <w:szCs w:val="20"/>
    </w:rPr>
  </w:style>
  <w:style w:type="paragraph" w:customStyle="1" w:styleId="ACMANotes">
    <w:name w:val="ACMA_Notes"/>
    <w:qFormat/>
    <w:rsid w:val="0086284C"/>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86284C"/>
    <w:rPr>
      <w:i/>
      <w:iCs/>
    </w:rPr>
  </w:style>
  <w:style w:type="paragraph" w:customStyle="1" w:styleId="ListNumber2Last">
    <w:name w:val="List Number 2 Last"/>
    <w:basedOn w:val="ListNumber2"/>
    <w:qFormat/>
    <w:rsid w:val="0086284C"/>
    <w:pPr>
      <w:spacing w:after="240"/>
      <w:ind w:left="907" w:hanging="35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86284C"/>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86284C"/>
    <w:pPr>
      <w:numPr>
        <w:numId w:val="84"/>
      </w:numPr>
      <w:spacing w:after="160"/>
    </w:pPr>
    <w:rPr>
      <w:rFonts w:ascii="Arial" w:hAnsi="Arial"/>
      <w:b/>
      <w:bCs/>
      <w:color w:val="323232"/>
      <w:sz w:val="20"/>
      <w:szCs w:val="20"/>
    </w:rPr>
  </w:style>
  <w:style w:type="paragraph" w:customStyle="1" w:styleId="Captionfigure">
    <w:name w:val="Caption figure"/>
    <w:basedOn w:val="Caption"/>
    <w:qFormat/>
    <w:rsid w:val="0086284C"/>
    <w:pPr>
      <w:keepNext/>
      <w:numPr>
        <w:numId w:val="83"/>
      </w:numPr>
    </w:pPr>
    <w:rPr>
      <w:rFonts w:cs="Arial"/>
    </w:rPr>
  </w:style>
  <w:style w:type="paragraph" w:customStyle="1" w:styleId="GridTable31">
    <w:name w:val="Grid Table 31"/>
    <w:basedOn w:val="Normal"/>
    <w:qFormat/>
    <w:rsid w:val="0086284C"/>
    <w:pPr>
      <w:spacing w:after="0" w:line="240" w:lineRule="auto"/>
    </w:pPr>
    <w:rPr>
      <w:b/>
      <w:color w:val="4D4D4F"/>
      <w:spacing w:val="-28"/>
      <w:sz w:val="53"/>
    </w:rPr>
  </w:style>
  <w:style w:type="paragraph" w:customStyle="1" w:styleId="ReportTitle">
    <w:name w:val="Report Title"/>
    <w:basedOn w:val="Normal"/>
    <w:rsid w:val="00504BF3"/>
    <w:pPr>
      <w:spacing w:after="0" w:line="560" w:lineRule="exact"/>
    </w:pPr>
    <w:rPr>
      <w:b/>
      <w:color w:val="4D4D4F"/>
      <w:spacing w:val="-28"/>
      <w:sz w:val="53"/>
    </w:rPr>
  </w:style>
  <w:style w:type="paragraph" w:customStyle="1" w:styleId="ReportSubtitle">
    <w:name w:val="Report Sub title"/>
    <w:basedOn w:val="Normal"/>
    <w:rsid w:val="00504BF3"/>
    <w:pPr>
      <w:spacing w:after="0" w:line="560" w:lineRule="exact"/>
    </w:pPr>
    <w:rPr>
      <w:color w:val="808285"/>
      <w:spacing w:val="-28"/>
      <w:sz w:val="53"/>
    </w:rPr>
  </w:style>
  <w:style w:type="paragraph" w:customStyle="1" w:styleId="ReportDate">
    <w:name w:val="Report Date"/>
    <w:basedOn w:val="ReportSubtitle"/>
    <w:rsid w:val="00504BF3"/>
    <w:pPr>
      <w:spacing w:line="240" w:lineRule="auto"/>
    </w:pPr>
    <w:rPr>
      <w:caps/>
      <w:spacing w:val="-10"/>
      <w:sz w:val="20"/>
    </w:rPr>
  </w:style>
  <w:style w:type="paragraph" w:customStyle="1" w:styleId="Bodysubheader0">
    <w:name w:val="Body sub header"/>
    <w:basedOn w:val="Normal"/>
    <w:next w:val="Normal"/>
    <w:rsid w:val="00504BF3"/>
    <w:pPr>
      <w:spacing w:after="0"/>
    </w:pPr>
    <w:rPr>
      <w:b/>
      <w:i/>
    </w:rPr>
  </w:style>
  <w:style w:type="paragraph" w:customStyle="1" w:styleId="ExecSummaryHeading">
    <w:name w:val="Exec Summary Heading"/>
    <w:basedOn w:val="Normal"/>
    <w:rsid w:val="00504BF3"/>
    <w:pPr>
      <w:spacing w:after="1440" w:line="550" w:lineRule="exact"/>
    </w:pPr>
    <w:rPr>
      <w:b/>
      <w:color w:val="4D4D4F"/>
      <w:spacing w:val="-18"/>
      <w:sz w:val="53"/>
    </w:rPr>
  </w:style>
  <w:style w:type="paragraph" w:styleId="TOC9">
    <w:name w:val="toc 9"/>
    <w:aliases w:val="TOC ExecSumm"/>
    <w:basedOn w:val="Normal"/>
    <w:next w:val="Normal"/>
    <w:uiPriority w:val="39"/>
    <w:rsid w:val="00504BF3"/>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504BF3"/>
    <w:pPr>
      <w:spacing w:after="0" w:line="560" w:lineRule="exact"/>
    </w:pPr>
    <w:rPr>
      <w:color w:val="808285"/>
      <w:spacing w:val="-28"/>
      <w:sz w:val="53"/>
    </w:rPr>
  </w:style>
  <w:style w:type="character" w:customStyle="1" w:styleId="apple-style-span">
    <w:name w:val="apple-style-span"/>
    <w:basedOn w:val="DefaultParagraphFont"/>
    <w:rsid w:val="00504BF3"/>
  </w:style>
  <w:style w:type="paragraph" w:customStyle="1" w:styleId="ACMABodyText">
    <w:name w:val="ACMA Body Text"/>
    <w:link w:val="ACMABodyTextChar"/>
    <w:rsid w:val="00504BF3"/>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locked/>
    <w:rsid w:val="00504BF3"/>
    <w:rPr>
      <w:snapToGrid w:val="0"/>
      <w:szCs w:val="20"/>
      <w:lang w:eastAsia="en-US"/>
    </w:rPr>
  </w:style>
  <w:style w:type="table" w:customStyle="1" w:styleId="TableGrid2">
    <w:name w:val="Table Grid2"/>
    <w:basedOn w:val="TableNormal"/>
    <w:next w:val="TableGrid"/>
    <w:uiPriority w:val="59"/>
    <w:rsid w:val="00504BF3"/>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504BF3"/>
    <w:rPr>
      <w:rFonts w:asciiTheme="minorHAnsi" w:eastAsiaTheme="minorHAnsi" w:hAnsiTheme="minorHAnsi" w:cstheme="minorBidi"/>
      <w:sz w:val="22"/>
      <w:szCs w:val="22"/>
      <w:lang w:eastAsia="en-US"/>
    </w:rPr>
  </w:style>
  <w:style w:type="paragraph" w:customStyle="1" w:styleId="TableText">
    <w:name w:val="TableText"/>
    <w:basedOn w:val="Normal"/>
    <w:rsid w:val="00504BF3"/>
    <w:pPr>
      <w:spacing w:before="60" w:after="60" w:line="240" w:lineRule="exact"/>
    </w:pPr>
    <w:rPr>
      <w:rFonts w:ascii="Times New Roman" w:eastAsiaTheme="minorHAnsi" w:hAnsi="Times New Roman"/>
      <w:sz w:val="22"/>
      <w:szCs w:val="22"/>
    </w:rPr>
  </w:style>
  <w:style w:type="paragraph" w:styleId="ListParagraph">
    <w:name w:val="List Paragraph"/>
    <w:basedOn w:val="Normal"/>
    <w:uiPriority w:val="34"/>
    <w:qFormat/>
    <w:rsid w:val="006B0410"/>
    <w:pPr>
      <w:ind w:left="720"/>
      <w:contextualSpacing/>
    </w:pPr>
  </w:style>
  <w:style w:type="paragraph" w:customStyle="1" w:styleId="TableP1a">
    <w:name w:val="TableP1(a)"/>
    <w:basedOn w:val="Normal"/>
    <w:rsid w:val="003B614A"/>
    <w:pPr>
      <w:tabs>
        <w:tab w:val="right" w:pos="408"/>
      </w:tabs>
      <w:spacing w:after="60" w:line="240" w:lineRule="exact"/>
      <w:ind w:left="533" w:hanging="533"/>
    </w:pPr>
    <w:rPr>
      <w:rFonts w:ascii="Times New Roman" w:hAnsi="Times New Roman"/>
      <w:sz w:val="22"/>
      <w:lang w:eastAsia="en-US"/>
    </w:rPr>
  </w:style>
  <w:style w:type="paragraph" w:customStyle="1" w:styleId="TableP2i">
    <w:name w:val="TableP2(i)"/>
    <w:basedOn w:val="Normal"/>
    <w:rsid w:val="003B614A"/>
    <w:pPr>
      <w:tabs>
        <w:tab w:val="right" w:pos="726"/>
      </w:tabs>
      <w:spacing w:after="60" w:line="240" w:lineRule="exact"/>
      <w:ind w:left="868" w:hanging="868"/>
    </w:pPr>
    <w:rPr>
      <w:rFonts w:ascii="Times New Roman" w:hAnsi="Times New Roman"/>
      <w:sz w:val="22"/>
      <w:lang w:eastAsia="en-US"/>
    </w:rPr>
  </w:style>
  <w:style w:type="character" w:customStyle="1" w:styleId="CharSchPTText">
    <w:name w:val="CharSchPTText"/>
    <w:basedOn w:val="DefaultParagraphFont"/>
    <w:rsid w:val="003B614A"/>
  </w:style>
  <w:style w:type="paragraph" w:customStyle="1" w:styleId="tabletext0">
    <w:name w:val="tabletext"/>
    <w:basedOn w:val="Normal"/>
    <w:rsid w:val="003B614A"/>
    <w:pPr>
      <w:spacing w:before="100" w:beforeAutospacing="1" w:after="100" w:afterAutospacing="1" w:line="240" w:lineRule="auto"/>
    </w:pPr>
    <w:rPr>
      <w:rFonts w:ascii="Times New Roman" w:hAnsi="Times New Roman"/>
      <w:sz w:val="24"/>
    </w:rPr>
  </w:style>
  <w:style w:type="paragraph" w:customStyle="1" w:styleId="tablep1a0">
    <w:name w:val="tablep1a"/>
    <w:basedOn w:val="Normal"/>
    <w:rsid w:val="003B614A"/>
    <w:pPr>
      <w:spacing w:before="100" w:beforeAutospacing="1" w:after="100" w:afterAutospacing="1" w:line="240" w:lineRule="auto"/>
    </w:pPr>
    <w:rPr>
      <w:rFonts w:ascii="Times New Roman" w:hAnsi="Times New Roman"/>
      <w:sz w:val="24"/>
    </w:rPr>
  </w:style>
  <w:style w:type="paragraph" w:customStyle="1" w:styleId="tablep2i0">
    <w:name w:val="tablep2i"/>
    <w:basedOn w:val="Normal"/>
    <w:rsid w:val="003B614A"/>
    <w:pPr>
      <w:spacing w:before="100" w:beforeAutospacing="1" w:after="100" w:afterAutospacing="1" w:line="240" w:lineRule="auto"/>
    </w:pPr>
    <w:rPr>
      <w:rFonts w:ascii="Times New Roman" w:hAnsi="Times New Roman"/>
      <w:sz w:val="24"/>
    </w:rPr>
  </w:style>
  <w:style w:type="paragraph" w:styleId="NoSpacing">
    <w:name w:val="No Spacing"/>
    <w:rsid w:val="00100C0B"/>
    <w:rPr>
      <w:rFonts w:ascii="Arial" w:hAnsi="Arial"/>
      <w:sz w:val="20"/>
    </w:rPr>
  </w:style>
  <w:style w:type="character" w:styleId="UnresolvedMention">
    <w:name w:val="Unresolved Mention"/>
    <w:basedOn w:val="DefaultParagraphFont"/>
    <w:uiPriority w:val="99"/>
    <w:semiHidden/>
    <w:unhideWhenUsed/>
    <w:rsid w:val="0086284C"/>
    <w:rPr>
      <w:color w:val="605E5C"/>
      <w:shd w:val="clear" w:color="auto" w:fill="E1DFDD"/>
    </w:rPr>
  </w:style>
  <w:style w:type="paragraph" w:customStyle="1" w:styleId="ZR1">
    <w:name w:val="ZR1"/>
    <w:basedOn w:val="Normal"/>
    <w:rsid w:val="00C233AE"/>
    <w:pPr>
      <w:keepNext/>
      <w:keepLines/>
      <w:tabs>
        <w:tab w:val="right" w:pos="794"/>
      </w:tabs>
      <w:spacing w:before="120" w:after="0" w:line="260" w:lineRule="exact"/>
      <w:ind w:left="964" w:hanging="964"/>
      <w:jc w:val="both"/>
    </w:pPr>
    <w:rPr>
      <w:rFonts w:ascii="Times New Roman" w:hAnsi="Times New Roman"/>
      <w:sz w:val="24"/>
      <w:lang w:eastAsia="en-US"/>
    </w:rPr>
  </w:style>
  <w:style w:type="paragraph" w:customStyle="1" w:styleId="ActHead5">
    <w:name w:val="ActHead 5"/>
    <w:aliases w:val="s"/>
    <w:basedOn w:val="Normal"/>
    <w:next w:val="Normal"/>
    <w:qFormat/>
    <w:rsid w:val="00F209F1"/>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F209F1"/>
  </w:style>
  <w:style w:type="paragraph" w:customStyle="1" w:styleId="Default">
    <w:name w:val="Default"/>
    <w:rsid w:val="00976144"/>
    <w:pPr>
      <w:autoSpaceDE w:val="0"/>
      <w:autoSpaceDN w:val="0"/>
      <w:adjustRightInd w:val="0"/>
    </w:pPr>
    <w:rPr>
      <w:rFonts w:ascii="Arial" w:hAnsi="Arial" w:cs="Arial"/>
      <w:color w:val="000000"/>
    </w:rPr>
  </w:style>
  <w:style w:type="paragraph" w:customStyle="1" w:styleId="TableColHead">
    <w:name w:val="TableColHead"/>
    <w:basedOn w:val="Normal"/>
    <w:rsid w:val="007364C9"/>
    <w:pPr>
      <w:keepNext/>
      <w:spacing w:before="120" w:after="60" w:line="200" w:lineRule="exact"/>
    </w:pPr>
    <w:rPr>
      <w:b/>
      <w:sz w:val="18"/>
    </w:rPr>
  </w:style>
  <w:style w:type="paragraph" w:customStyle="1" w:styleId="Reportsubtitle0">
    <w:name w:val="Report subtitle"/>
    <w:basedOn w:val="Normal"/>
    <w:uiPriority w:val="20"/>
    <w:qFormat/>
    <w:rsid w:val="0086284C"/>
    <w:pPr>
      <w:spacing w:after="200" w:line="560" w:lineRule="exact"/>
    </w:pPr>
    <w:rPr>
      <w:color w:val="323232"/>
      <w:spacing w:val="-28"/>
      <w:sz w:val="53"/>
    </w:rPr>
  </w:style>
  <w:style w:type="paragraph" w:customStyle="1" w:styleId="msonormal0">
    <w:name w:val="msonormal"/>
    <w:basedOn w:val="Normal"/>
    <w:rsid w:val="002A2E1F"/>
    <w:pPr>
      <w:spacing w:before="100" w:beforeAutospacing="1" w:after="100" w:afterAutospacing="1" w:line="240" w:lineRule="auto"/>
    </w:pPr>
    <w:rPr>
      <w:rFonts w:ascii="Times New Roman" w:hAnsi="Times New Roman"/>
      <w:sz w:val="24"/>
    </w:rPr>
  </w:style>
  <w:style w:type="paragraph" w:customStyle="1" w:styleId="font5">
    <w:name w:val="font5"/>
    <w:basedOn w:val="Normal"/>
    <w:rsid w:val="002A2E1F"/>
    <w:pPr>
      <w:spacing w:before="100" w:beforeAutospacing="1" w:after="100" w:afterAutospacing="1" w:line="240" w:lineRule="auto"/>
    </w:pPr>
    <w:rPr>
      <w:rFonts w:cs="Arial"/>
      <w:szCs w:val="20"/>
    </w:rPr>
  </w:style>
  <w:style w:type="paragraph" w:customStyle="1" w:styleId="font6">
    <w:name w:val="font6"/>
    <w:basedOn w:val="Normal"/>
    <w:rsid w:val="002A2E1F"/>
    <w:pPr>
      <w:spacing w:before="100" w:beforeAutospacing="1" w:after="100" w:afterAutospacing="1" w:line="240" w:lineRule="auto"/>
    </w:pPr>
    <w:rPr>
      <w:rFonts w:cs="Arial"/>
      <w:b/>
      <w:bCs/>
      <w:szCs w:val="20"/>
    </w:rPr>
  </w:style>
  <w:style w:type="paragraph" w:customStyle="1" w:styleId="font7">
    <w:name w:val="font7"/>
    <w:basedOn w:val="Normal"/>
    <w:rsid w:val="002A2E1F"/>
    <w:pPr>
      <w:spacing w:before="100" w:beforeAutospacing="1" w:after="100" w:afterAutospacing="1" w:line="240" w:lineRule="auto"/>
    </w:pPr>
    <w:rPr>
      <w:rFonts w:cs="Arial"/>
      <w:sz w:val="16"/>
      <w:szCs w:val="16"/>
    </w:rPr>
  </w:style>
  <w:style w:type="paragraph" w:customStyle="1" w:styleId="font8">
    <w:name w:val="font8"/>
    <w:basedOn w:val="Normal"/>
    <w:rsid w:val="002A2E1F"/>
    <w:pPr>
      <w:spacing w:before="100" w:beforeAutospacing="1" w:after="100" w:afterAutospacing="1" w:line="240" w:lineRule="auto"/>
    </w:pPr>
    <w:rPr>
      <w:rFonts w:cs="Arial"/>
      <w:b/>
      <w:bCs/>
      <w:szCs w:val="20"/>
      <w:u w:val="single"/>
    </w:rPr>
  </w:style>
  <w:style w:type="paragraph" w:customStyle="1" w:styleId="font9">
    <w:name w:val="font9"/>
    <w:basedOn w:val="Normal"/>
    <w:rsid w:val="002A2E1F"/>
    <w:pPr>
      <w:spacing w:before="100" w:beforeAutospacing="1" w:after="100" w:afterAutospacing="1" w:line="240" w:lineRule="auto"/>
    </w:pPr>
    <w:rPr>
      <w:rFonts w:cs="Arial"/>
      <w:sz w:val="24"/>
    </w:rPr>
  </w:style>
  <w:style w:type="paragraph" w:customStyle="1" w:styleId="font10">
    <w:name w:val="font10"/>
    <w:basedOn w:val="Normal"/>
    <w:rsid w:val="002A2E1F"/>
    <w:pPr>
      <w:spacing w:before="100" w:beforeAutospacing="1" w:after="100" w:afterAutospacing="1" w:line="240" w:lineRule="auto"/>
    </w:pPr>
    <w:rPr>
      <w:rFonts w:cs="Arial"/>
      <w:color w:val="FF0000"/>
      <w:szCs w:val="20"/>
    </w:rPr>
  </w:style>
  <w:style w:type="paragraph" w:customStyle="1" w:styleId="xl65">
    <w:name w:val="xl65"/>
    <w:basedOn w:val="Normal"/>
    <w:rsid w:val="002A2E1F"/>
    <w:pPr>
      <w:pBdr>
        <w:top w:val="single" w:sz="4" w:space="0" w:color="000000"/>
        <w:left w:val="single" w:sz="4"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66">
    <w:name w:val="xl66"/>
    <w:basedOn w:val="Normal"/>
    <w:rsid w:val="002A2E1F"/>
    <w:pPr>
      <w:pBdr>
        <w:top w:val="single" w:sz="4" w:space="0" w:color="000000"/>
        <w:left w:val="single" w:sz="8"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67">
    <w:name w:val="xl67"/>
    <w:basedOn w:val="Normal"/>
    <w:rsid w:val="002A2E1F"/>
    <w:pPr>
      <w:pBdr>
        <w:left w:val="single" w:sz="4" w:space="0" w:color="000000"/>
        <w:bottom w:val="single" w:sz="8"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68">
    <w:name w:val="xl68"/>
    <w:basedOn w:val="Normal"/>
    <w:rsid w:val="002A2E1F"/>
    <w:pPr>
      <w:pBdr>
        <w:left w:val="single" w:sz="8" w:space="0" w:color="000000"/>
        <w:bottom w:val="single" w:sz="8"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69">
    <w:name w:val="xl69"/>
    <w:basedOn w:val="Normal"/>
    <w:rsid w:val="002A2E1F"/>
    <w:pPr>
      <w:spacing w:before="100" w:beforeAutospacing="1" w:after="100" w:afterAutospacing="1" w:line="240" w:lineRule="auto"/>
    </w:pPr>
    <w:rPr>
      <w:rFonts w:ascii="Times New Roman" w:hAnsi="Times New Roman"/>
      <w:sz w:val="24"/>
    </w:rPr>
  </w:style>
  <w:style w:type="paragraph" w:customStyle="1" w:styleId="xl70">
    <w:name w:val="xl70"/>
    <w:basedOn w:val="Normal"/>
    <w:rsid w:val="002A2E1F"/>
    <w:pPr>
      <w:spacing w:before="100" w:beforeAutospacing="1" w:after="100" w:afterAutospacing="1" w:line="240" w:lineRule="auto"/>
      <w:textAlignment w:val="center"/>
    </w:pPr>
    <w:rPr>
      <w:rFonts w:cs="Arial"/>
      <w:szCs w:val="20"/>
    </w:rPr>
  </w:style>
  <w:style w:type="paragraph" w:customStyle="1" w:styleId="xl71">
    <w:name w:val="xl71"/>
    <w:basedOn w:val="Normal"/>
    <w:rsid w:val="002A2E1F"/>
    <w:pPr>
      <w:spacing w:before="100" w:beforeAutospacing="1" w:after="100" w:afterAutospacing="1" w:line="240" w:lineRule="auto"/>
      <w:jc w:val="center"/>
      <w:textAlignment w:val="center"/>
    </w:pPr>
    <w:rPr>
      <w:rFonts w:cs="Arial"/>
      <w:b/>
      <w:bCs/>
      <w:szCs w:val="20"/>
    </w:rPr>
  </w:style>
  <w:style w:type="paragraph" w:customStyle="1" w:styleId="xl72">
    <w:name w:val="xl72"/>
    <w:basedOn w:val="Normal"/>
    <w:rsid w:val="002A2E1F"/>
    <w:pPr>
      <w:pBdr>
        <w:top w:val="single" w:sz="4" w:space="0" w:color="000000"/>
        <w:left w:val="single" w:sz="4" w:space="0" w:color="000000"/>
        <w:right w:val="single" w:sz="8" w:space="0" w:color="000000"/>
      </w:pBdr>
      <w:shd w:val="clear" w:color="000000" w:fill="000000"/>
      <w:spacing w:before="100" w:beforeAutospacing="1" w:after="100" w:afterAutospacing="1" w:line="240" w:lineRule="auto"/>
    </w:pPr>
    <w:rPr>
      <w:rFonts w:cs="Arial"/>
      <w:b/>
      <w:bCs/>
      <w:color w:val="FFFFFF"/>
      <w:szCs w:val="20"/>
    </w:rPr>
  </w:style>
  <w:style w:type="paragraph" w:customStyle="1" w:styleId="xl73">
    <w:name w:val="xl73"/>
    <w:basedOn w:val="Normal"/>
    <w:rsid w:val="002A2E1F"/>
    <w:pPr>
      <w:pBdr>
        <w:top w:val="single" w:sz="4" w:space="0" w:color="000000"/>
        <w:left w:val="single" w:sz="8" w:space="0" w:color="000000"/>
        <w:right w:val="single" w:sz="8" w:space="0" w:color="000000"/>
      </w:pBdr>
      <w:shd w:val="clear" w:color="000000" w:fill="000000"/>
      <w:spacing w:before="100" w:beforeAutospacing="1" w:after="100" w:afterAutospacing="1" w:line="240" w:lineRule="auto"/>
    </w:pPr>
    <w:rPr>
      <w:rFonts w:cs="Arial"/>
      <w:b/>
      <w:bCs/>
      <w:color w:val="FFFFFF"/>
      <w:szCs w:val="20"/>
    </w:rPr>
  </w:style>
  <w:style w:type="paragraph" w:customStyle="1" w:styleId="xl74">
    <w:name w:val="xl74"/>
    <w:basedOn w:val="Normal"/>
    <w:rsid w:val="002A2E1F"/>
    <w:pPr>
      <w:pBdr>
        <w:bottom w:val="single" w:sz="8" w:space="0" w:color="000000"/>
      </w:pBdr>
      <w:spacing w:before="100" w:beforeAutospacing="1" w:after="100" w:afterAutospacing="1" w:line="240" w:lineRule="auto"/>
      <w:textAlignment w:val="center"/>
    </w:pPr>
    <w:rPr>
      <w:rFonts w:cs="Arial"/>
      <w:b/>
      <w:bCs/>
      <w:szCs w:val="20"/>
    </w:rPr>
  </w:style>
  <w:style w:type="paragraph" w:customStyle="1" w:styleId="xl75">
    <w:name w:val="xl75"/>
    <w:basedOn w:val="Normal"/>
    <w:rsid w:val="002A2E1F"/>
    <w:pPr>
      <w:pBdr>
        <w:top w:val="single" w:sz="4" w:space="0" w:color="000000"/>
        <w:left w:val="single" w:sz="4"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76">
    <w:name w:val="xl76"/>
    <w:basedOn w:val="Normal"/>
    <w:rsid w:val="002A2E1F"/>
    <w:pPr>
      <w:pBdr>
        <w:top w:val="single" w:sz="4" w:space="0" w:color="000000"/>
        <w:left w:val="single" w:sz="8"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77">
    <w:name w:val="xl77"/>
    <w:basedOn w:val="Normal"/>
    <w:rsid w:val="002A2E1F"/>
    <w:pPr>
      <w:pBdr>
        <w:left w:val="single" w:sz="4" w:space="0" w:color="000000"/>
        <w:bottom w:val="single" w:sz="8"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78">
    <w:name w:val="xl78"/>
    <w:basedOn w:val="Normal"/>
    <w:rsid w:val="002A2E1F"/>
    <w:pPr>
      <w:pBdr>
        <w:left w:val="single" w:sz="8" w:space="0" w:color="000000"/>
        <w:bottom w:val="single" w:sz="8" w:space="0" w:color="000000"/>
        <w:right w:val="single" w:sz="8" w:space="0" w:color="000000"/>
      </w:pBdr>
      <w:shd w:val="clear" w:color="000000" w:fill="404040"/>
      <w:spacing w:before="100" w:beforeAutospacing="1" w:after="100" w:afterAutospacing="1" w:line="240" w:lineRule="auto"/>
    </w:pPr>
    <w:rPr>
      <w:rFonts w:cs="Arial"/>
      <w:b/>
      <w:bCs/>
      <w:color w:val="FFFFFF"/>
      <w:szCs w:val="20"/>
    </w:rPr>
  </w:style>
  <w:style w:type="paragraph" w:customStyle="1" w:styleId="xl79">
    <w:name w:val="xl79"/>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0">
    <w:name w:val="xl80"/>
    <w:basedOn w:val="Normal"/>
    <w:rsid w:val="002A2E1F"/>
    <w:pPr>
      <w:spacing w:before="100" w:beforeAutospacing="1" w:after="100" w:afterAutospacing="1" w:line="240" w:lineRule="auto"/>
      <w:textAlignment w:val="center"/>
    </w:pPr>
    <w:rPr>
      <w:rFonts w:cs="Arial"/>
      <w:szCs w:val="20"/>
    </w:rPr>
  </w:style>
  <w:style w:type="paragraph" w:customStyle="1" w:styleId="xl81">
    <w:name w:val="xl81"/>
    <w:basedOn w:val="Normal"/>
    <w:rsid w:val="002A2E1F"/>
    <w:pPr>
      <w:spacing w:before="100" w:beforeAutospacing="1" w:after="100" w:afterAutospacing="1" w:line="240" w:lineRule="auto"/>
    </w:pPr>
    <w:rPr>
      <w:rFonts w:cs="Arial"/>
      <w:szCs w:val="20"/>
    </w:rPr>
  </w:style>
  <w:style w:type="paragraph" w:customStyle="1" w:styleId="xl82">
    <w:name w:val="xl82"/>
    <w:basedOn w:val="Normal"/>
    <w:rsid w:val="002A2E1F"/>
    <w:pPr>
      <w:spacing w:before="100" w:beforeAutospacing="1" w:after="100" w:afterAutospacing="1" w:line="240" w:lineRule="auto"/>
    </w:pPr>
    <w:rPr>
      <w:rFonts w:ascii="Times New Roman" w:hAnsi="Times New Roman"/>
      <w:sz w:val="24"/>
    </w:rPr>
  </w:style>
  <w:style w:type="paragraph" w:customStyle="1" w:styleId="xl83">
    <w:name w:val="xl83"/>
    <w:basedOn w:val="Normal"/>
    <w:rsid w:val="002A2E1F"/>
    <w:pPr>
      <w:spacing w:before="100" w:beforeAutospacing="1" w:after="100" w:afterAutospacing="1" w:line="240" w:lineRule="auto"/>
      <w:textAlignment w:val="center"/>
    </w:pPr>
    <w:rPr>
      <w:rFonts w:ascii="Times New Roman" w:hAnsi="Times New Roman"/>
      <w:sz w:val="24"/>
    </w:rPr>
  </w:style>
  <w:style w:type="paragraph" w:customStyle="1" w:styleId="xl84">
    <w:name w:val="xl84"/>
    <w:basedOn w:val="Normal"/>
    <w:rsid w:val="002A2E1F"/>
    <w:pPr>
      <w:pBdr>
        <w:top w:val="single" w:sz="8" w:space="0" w:color="000000"/>
        <w:left w:val="single" w:sz="4" w:space="0" w:color="000000"/>
      </w:pBdr>
      <w:spacing w:before="100" w:beforeAutospacing="1" w:after="100" w:afterAutospacing="1" w:line="240" w:lineRule="auto"/>
      <w:textAlignment w:val="center"/>
    </w:pPr>
    <w:rPr>
      <w:rFonts w:cs="Arial"/>
      <w:b/>
      <w:bCs/>
      <w:sz w:val="24"/>
    </w:rPr>
  </w:style>
  <w:style w:type="paragraph" w:customStyle="1" w:styleId="xl85">
    <w:name w:val="xl85"/>
    <w:basedOn w:val="Normal"/>
    <w:rsid w:val="002A2E1F"/>
    <w:pPr>
      <w:pBdr>
        <w:top w:val="single" w:sz="8" w:space="0" w:color="000000"/>
      </w:pBdr>
      <w:spacing w:before="100" w:beforeAutospacing="1" w:after="100" w:afterAutospacing="1" w:line="240" w:lineRule="auto"/>
      <w:textAlignment w:val="center"/>
    </w:pPr>
    <w:rPr>
      <w:rFonts w:cs="Arial"/>
      <w:b/>
      <w:bCs/>
      <w:sz w:val="24"/>
    </w:rPr>
  </w:style>
  <w:style w:type="paragraph" w:customStyle="1" w:styleId="xl86">
    <w:name w:val="xl86"/>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87">
    <w:name w:val="xl87"/>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rPr>
  </w:style>
  <w:style w:type="paragraph" w:customStyle="1" w:styleId="xl88">
    <w:name w:val="xl88"/>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24"/>
      <w:u w:val="single"/>
    </w:rPr>
  </w:style>
  <w:style w:type="paragraph" w:customStyle="1" w:styleId="xl89">
    <w:name w:val="xl89"/>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Cs w:val="20"/>
    </w:rPr>
  </w:style>
  <w:style w:type="paragraph" w:customStyle="1" w:styleId="xl90">
    <w:name w:val="xl90"/>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24"/>
      <w:u w:val="single"/>
    </w:rPr>
  </w:style>
  <w:style w:type="paragraph" w:customStyle="1" w:styleId="xl91">
    <w:name w:val="xl91"/>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92">
    <w:name w:val="xl92"/>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563C1"/>
      <w:sz w:val="24"/>
      <w:u w:val="single"/>
    </w:rPr>
  </w:style>
  <w:style w:type="paragraph" w:customStyle="1" w:styleId="xl93">
    <w:name w:val="xl93"/>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94">
    <w:name w:val="xl94"/>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95">
    <w:name w:val="xl95"/>
    <w:basedOn w:val="Normal"/>
    <w:rsid w:val="002A2E1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96">
    <w:name w:val="xl96"/>
    <w:basedOn w:val="Normal"/>
    <w:rsid w:val="002A2E1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rPr>
  </w:style>
  <w:style w:type="paragraph" w:customStyle="1" w:styleId="xl97">
    <w:name w:val="xl97"/>
    <w:basedOn w:val="Normal"/>
    <w:rsid w:val="002A2E1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24"/>
      <w:u w:val="single"/>
    </w:rPr>
  </w:style>
  <w:style w:type="paragraph" w:customStyle="1" w:styleId="xl98">
    <w:name w:val="xl98"/>
    <w:basedOn w:val="Normal"/>
    <w:rsid w:val="002A2E1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99">
    <w:name w:val="xl99"/>
    <w:basedOn w:val="Normal"/>
    <w:rsid w:val="002A2E1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100">
    <w:name w:val="xl100"/>
    <w:basedOn w:val="Normal"/>
    <w:rsid w:val="002A2E1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olor w:val="0563C1"/>
      <w:sz w:val="24"/>
      <w:u w:val="single"/>
    </w:rPr>
  </w:style>
  <w:style w:type="paragraph" w:customStyle="1" w:styleId="xl101">
    <w:name w:val="xl101"/>
    <w:basedOn w:val="Normal"/>
    <w:rsid w:val="002A2E1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102">
    <w:name w:val="xl102"/>
    <w:basedOn w:val="Normal"/>
    <w:rsid w:val="002A2E1F"/>
    <w:pPr>
      <w:pBdr>
        <w:top w:val="single" w:sz="4" w:space="0" w:color="000000"/>
        <w:left w:val="single" w:sz="8" w:space="0" w:color="000000"/>
        <w:right w:val="single" w:sz="8" w:space="0" w:color="000000"/>
      </w:pBdr>
      <w:shd w:val="clear" w:color="000000" w:fill="404040"/>
      <w:spacing w:before="100" w:beforeAutospacing="1" w:after="100" w:afterAutospacing="1" w:line="240" w:lineRule="auto"/>
      <w:jc w:val="center"/>
    </w:pPr>
    <w:rPr>
      <w:rFonts w:cs="Arial"/>
      <w:b/>
      <w:bCs/>
      <w:color w:val="FFFFFF"/>
      <w:szCs w:val="20"/>
    </w:rPr>
  </w:style>
  <w:style w:type="paragraph" w:customStyle="1" w:styleId="xl103">
    <w:name w:val="xl103"/>
    <w:basedOn w:val="Normal"/>
    <w:rsid w:val="002A2E1F"/>
    <w:pPr>
      <w:pBdr>
        <w:left w:val="single" w:sz="8" w:space="0" w:color="000000"/>
        <w:bottom w:val="single" w:sz="8" w:space="0" w:color="000000"/>
        <w:right w:val="single" w:sz="8" w:space="0" w:color="000000"/>
      </w:pBdr>
      <w:shd w:val="clear" w:color="000000" w:fill="404040"/>
      <w:spacing w:before="100" w:beforeAutospacing="1" w:after="100" w:afterAutospacing="1" w:line="240" w:lineRule="auto"/>
      <w:jc w:val="center"/>
    </w:pPr>
    <w:rPr>
      <w:rFonts w:cs="Arial"/>
      <w:b/>
      <w:bCs/>
      <w:color w:val="FFFFFF"/>
      <w:szCs w:val="20"/>
    </w:rPr>
  </w:style>
  <w:style w:type="paragraph" w:customStyle="1" w:styleId="xl104">
    <w:name w:val="xl104"/>
    <w:basedOn w:val="Normal"/>
    <w:rsid w:val="002A2E1F"/>
    <w:pPr>
      <w:pBdr>
        <w:top w:val="single" w:sz="8" w:space="0" w:color="000000"/>
      </w:pBdr>
      <w:spacing w:before="100" w:beforeAutospacing="1" w:after="100" w:afterAutospacing="1" w:line="240" w:lineRule="auto"/>
      <w:jc w:val="center"/>
      <w:textAlignment w:val="center"/>
    </w:pPr>
    <w:rPr>
      <w:rFonts w:cs="Arial"/>
      <w:b/>
      <w:bCs/>
      <w:sz w:val="24"/>
    </w:rPr>
  </w:style>
  <w:style w:type="paragraph" w:customStyle="1" w:styleId="xl105">
    <w:name w:val="xl105"/>
    <w:basedOn w:val="Normal"/>
    <w:rsid w:val="002A2E1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06">
    <w:name w:val="xl106"/>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07">
    <w:name w:val="xl107"/>
    <w:basedOn w:val="Normal"/>
    <w:rsid w:val="002A2E1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08">
    <w:name w:val="xl108"/>
    <w:basedOn w:val="Normal"/>
    <w:rsid w:val="002A2E1F"/>
    <w:pPr>
      <w:spacing w:before="100" w:beforeAutospacing="1" w:after="100" w:afterAutospacing="1" w:line="240" w:lineRule="auto"/>
      <w:jc w:val="center"/>
      <w:textAlignment w:val="center"/>
    </w:pPr>
    <w:rPr>
      <w:rFonts w:cs="Arial"/>
      <w:szCs w:val="20"/>
    </w:rPr>
  </w:style>
  <w:style w:type="paragraph" w:customStyle="1" w:styleId="xl109">
    <w:name w:val="xl109"/>
    <w:basedOn w:val="Normal"/>
    <w:rsid w:val="002A2E1F"/>
    <w:pPr>
      <w:pBdr>
        <w:top w:val="single" w:sz="4" w:space="0" w:color="000000"/>
        <w:left w:val="single" w:sz="8" w:space="0" w:color="000000"/>
        <w:right w:val="single" w:sz="8" w:space="0" w:color="000000"/>
      </w:pBdr>
      <w:shd w:val="clear" w:color="000000" w:fill="000000"/>
      <w:spacing w:before="100" w:beforeAutospacing="1" w:after="100" w:afterAutospacing="1" w:line="240" w:lineRule="auto"/>
      <w:jc w:val="center"/>
    </w:pPr>
    <w:rPr>
      <w:rFonts w:cs="Arial"/>
      <w:b/>
      <w:bCs/>
      <w:color w:val="FFFFFF"/>
      <w:szCs w:val="20"/>
    </w:rPr>
  </w:style>
  <w:style w:type="paragraph" w:customStyle="1" w:styleId="xl110">
    <w:name w:val="xl110"/>
    <w:basedOn w:val="Normal"/>
    <w:rsid w:val="002A2E1F"/>
    <w:pPr>
      <w:pBdr>
        <w:top w:val="single" w:sz="4" w:space="0" w:color="000000"/>
        <w:left w:val="single" w:sz="8" w:space="0" w:color="000000"/>
        <w:right w:val="single" w:sz="8" w:space="0" w:color="000000"/>
      </w:pBdr>
      <w:shd w:val="clear" w:color="000000" w:fill="404040"/>
      <w:spacing w:before="100" w:beforeAutospacing="1" w:after="100" w:afterAutospacing="1" w:line="240" w:lineRule="auto"/>
      <w:jc w:val="center"/>
    </w:pPr>
    <w:rPr>
      <w:rFonts w:cs="Arial"/>
      <w:b/>
      <w:bCs/>
      <w:color w:val="FFFFFF"/>
      <w:szCs w:val="20"/>
    </w:rPr>
  </w:style>
  <w:style w:type="paragraph" w:customStyle="1" w:styleId="xl111">
    <w:name w:val="xl111"/>
    <w:basedOn w:val="Normal"/>
    <w:rsid w:val="002A2E1F"/>
    <w:pPr>
      <w:pBdr>
        <w:left w:val="single" w:sz="8" w:space="0" w:color="000000"/>
        <w:bottom w:val="single" w:sz="8" w:space="0" w:color="000000"/>
        <w:right w:val="single" w:sz="8" w:space="0" w:color="000000"/>
      </w:pBdr>
      <w:shd w:val="clear" w:color="000000" w:fill="404040"/>
      <w:spacing w:before="100" w:beforeAutospacing="1" w:after="100" w:afterAutospacing="1" w:line="240" w:lineRule="auto"/>
      <w:jc w:val="center"/>
    </w:pPr>
    <w:rPr>
      <w:rFonts w:cs="Arial"/>
      <w:b/>
      <w:bCs/>
      <w:color w:val="FFFFFF"/>
      <w:szCs w:val="20"/>
    </w:rPr>
  </w:style>
  <w:style w:type="paragraph" w:customStyle="1" w:styleId="xl112">
    <w:name w:val="xl112"/>
    <w:basedOn w:val="Normal"/>
    <w:rsid w:val="002A2E1F"/>
    <w:pPr>
      <w:spacing w:before="100" w:beforeAutospacing="1" w:after="100" w:afterAutospacing="1" w:line="240" w:lineRule="auto"/>
      <w:jc w:val="center"/>
    </w:pPr>
    <w:rPr>
      <w:rFonts w:ascii="Times New Roman" w:hAnsi="Times New Roman"/>
      <w:sz w:val="24"/>
    </w:rPr>
  </w:style>
  <w:style w:type="paragraph" w:customStyle="1" w:styleId="xl113">
    <w:name w:val="xl113"/>
    <w:basedOn w:val="Normal"/>
    <w:rsid w:val="002A2E1F"/>
    <w:pPr>
      <w:spacing w:before="100" w:beforeAutospacing="1" w:after="100" w:afterAutospacing="1" w:line="240" w:lineRule="auto"/>
    </w:pPr>
    <w:rPr>
      <w:rFonts w:cs="Arial"/>
      <w:b/>
      <w:bCs/>
      <w:szCs w:val="20"/>
    </w:rPr>
  </w:style>
  <w:style w:type="paragraph" w:customStyle="1" w:styleId="xl114">
    <w:name w:val="xl114"/>
    <w:basedOn w:val="Normal"/>
    <w:rsid w:val="002A2E1F"/>
    <w:pPr>
      <w:spacing w:before="100" w:beforeAutospacing="1" w:after="100" w:afterAutospacing="1" w:line="240" w:lineRule="auto"/>
    </w:pPr>
    <w:rPr>
      <w:rFonts w:cs="Arial"/>
      <w:b/>
      <w:bCs/>
      <w:szCs w:val="20"/>
    </w:rPr>
  </w:style>
  <w:style w:type="paragraph" w:customStyle="1" w:styleId="xl115">
    <w:name w:val="xl115"/>
    <w:basedOn w:val="Normal"/>
    <w:rsid w:val="002A2E1F"/>
    <w:pPr>
      <w:spacing w:before="100" w:beforeAutospacing="1" w:after="100" w:afterAutospacing="1" w:line="240" w:lineRule="auto"/>
      <w:jc w:val="center"/>
    </w:pPr>
    <w:rPr>
      <w:rFonts w:cs="Arial"/>
      <w:b/>
      <w:bCs/>
      <w:szCs w:val="20"/>
    </w:rPr>
  </w:style>
  <w:style w:type="paragraph" w:customStyle="1" w:styleId="xl116">
    <w:name w:val="xl116"/>
    <w:basedOn w:val="Normal"/>
    <w:rsid w:val="002A2E1F"/>
    <w:pPr>
      <w:pBdr>
        <w:left w:val="single" w:sz="4" w:space="0" w:color="000000"/>
      </w:pBdr>
      <w:spacing w:before="100" w:beforeAutospacing="1" w:after="100" w:afterAutospacing="1" w:line="240" w:lineRule="auto"/>
      <w:textAlignment w:val="center"/>
    </w:pPr>
    <w:rPr>
      <w:rFonts w:cs="Arial"/>
      <w:b/>
      <w:bCs/>
      <w:sz w:val="24"/>
    </w:rPr>
  </w:style>
  <w:style w:type="paragraph" w:customStyle="1" w:styleId="xl117">
    <w:name w:val="xl117"/>
    <w:basedOn w:val="Normal"/>
    <w:rsid w:val="002A2E1F"/>
    <w:pPr>
      <w:spacing w:before="100" w:beforeAutospacing="1" w:after="100" w:afterAutospacing="1" w:line="240" w:lineRule="auto"/>
      <w:textAlignment w:val="center"/>
    </w:pPr>
    <w:rPr>
      <w:rFonts w:cs="Arial"/>
      <w:b/>
      <w:bCs/>
      <w:sz w:val="24"/>
    </w:rPr>
  </w:style>
  <w:style w:type="paragraph" w:customStyle="1" w:styleId="xl118">
    <w:name w:val="xl118"/>
    <w:basedOn w:val="Normal"/>
    <w:rsid w:val="002A2E1F"/>
    <w:pPr>
      <w:spacing w:before="100" w:beforeAutospacing="1" w:after="100" w:afterAutospacing="1" w:line="240" w:lineRule="auto"/>
      <w:jc w:val="center"/>
      <w:textAlignment w:val="center"/>
    </w:pPr>
    <w:rPr>
      <w:rFonts w:cs="Arial"/>
      <w:b/>
      <w:bCs/>
      <w:sz w:val="24"/>
    </w:rPr>
  </w:style>
  <w:style w:type="paragraph" w:customStyle="1" w:styleId="xl119">
    <w:name w:val="xl119"/>
    <w:basedOn w:val="Normal"/>
    <w:rsid w:val="002A2E1F"/>
    <w:pPr>
      <w:pBdr>
        <w:left w:val="single" w:sz="4" w:space="0" w:color="000000"/>
        <w:bottom w:val="single" w:sz="8" w:space="0" w:color="000000"/>
      </w:pBdr>
      <w:spacing w:before="100" w:beforeAutospacing="1" w:after="100" w:afterAutospacing="1" w:line="240" w:lineRule="auto"/>
      <w:textAlignment w:val="center"/>
    </w:pPr>
    <w:rPr>
      <w:rFonts w:cs="Arial"/>
      <w:szCs w:val="20"/>
    </w:rPr>
  </w:style>
  <w:style w:type="paragraph" w:customStyle="1" w:styleId="xl120">
    <w:name w:val="xl120"/>
    <w:basedOn w:val="Normal"/>
    <w:rsid w:val="002A2E1F"/>
    <w:pPr>
      <w:pBdr>
        <w:bottom w:val="single" w:sz="8" w:space="0" w:color="000000"/>
      </w:pBdr>
      <w:spacing w:before="100" w:beforeAutospacing="1" w:after="100" w:afterAutospacing="1" w:line="240" w:lineRule="auto"/>
      <w:textAlignment w:val="center"/>
    </w:pPr>
    <w:rPr>
      <w:rFonts w:cs="Arial"/>
      <w:szCs w:val="20"/>
    </w:rPr>
  </w:style>
  <w:style w:type="paragraph" w:customStyle="1" w:styleId="xl121">
    <w:name w:val="xl121"/>
    <w:basedOn w:val="Normal"/>
    <w:rsid w:val="002A2E1F"/>
    <w:pPr>
      <w:pBdr>
        <w:bottom w:val="single" w:sz="8" w:space="0" w:color="000000"/>
      </w:pBdr>
      <w:spacing w:before="100" w:beforeAutospacing="1" w:after="100" w:afterAutospacing="1" w:line="240" w:lineRule="auto"/>
      <w:jc w:val="center"/>
      <w:textAlignment w:val="center"/>
    </w:pPr>
    <w:rPr>
      <w:rFonts w:cs="Arial"/>
      <w:szCs w:val="20"/>
    </w:rPr>
  </w:style>
  <w:style w:type="paragraph" w:customStyle="1" w:styleId="xl122">
    <w:name w:val="xl122"/>
    <w:basedOn w:val="Normal"/>
    <w:rsid w:val="002A2E1F"/>
    <w:pPr>
      <w:pBdr>
        <w:top w:val="single" w:sz="8" w:space="0" w:color="000000"/>
      </w:pBdr>
      <w:spacing w:before="100" w:beforeAutospacing="1" w:after="100" w:afterAutospacing="1" w:line="240" w:lineRule="auto"/>
      <w:textAlignment w:val="center"/>
    </w:pPr>
    <w:rPr>
      <w:rFonts w:cs="Arial"/>
      <w:b/>
      <w:bCs/>
      <w:sz w:val="24"/>
    </w:rPr>
  </w:style>
  <w:style w:type="paragraph" w:customStyle="1" w:styleId="xl123">
    <w:name w:val="xl123"/>
    <w:basedOn w:val="Normal"/>
    <w:rsid w:val="002A2E1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Cs w:val="20"/>
    </w:rPr>
  </w:style>
  <w:style w:type="paragraph" w:customStyle="1" w:styleId="xl124">
    <w:name w:val="xl124"/>
    <w:basedOn w:val="Normal"/>
    <w:rsid w:val="002A2E1F"/>
    <w:pPr>
      <w:spacing w:before="100" w:beforeAutospacing="1" w:after="100" w:afterAutospacing="1" w:line="240" w:lineRule="auto"/>
      <w:textAlignment w:val="center"/>
    </w:pPr>
    <w:rPr>
      <w:rFonts w:cs="Arial"/>
      <w:b/>
      <w:bCs/>
      <w:szCs w:val="20"/>
    </w:rPr>
  </w:style>
  <w:style w:type="paragraph" w:customStyle="1" w:styleId="xl125">
    <w:name w:val="xl125"/>
    <w:basedOn w:val="Normal"/>
    <w:rsid w:val="002A2E1F"/>
    <w:pPr>
      <w:spacing w:before="100" w:beforeAutospacing="1" w:after="100" w:afterAutospacing="1" w:line="240" w:lineRule="auto"/>
      <w:textAlignment w:val="center"/>
    </w:pPr>
    <w:rPr>
      <w:rFonts w:cs="Arial"/>
      <w:szCs w:val="20"/>
      <w:u w:val="single"/>
    </w:rPr>
  </w:style>
  <w:style w:type="paragraph" w:customStyle="1" w:styleId="xl126">
    <w:name w:val="xl126"/>
    <w:basedOn w:val="Normal"/>
    <w:rsid w:val="002A2E1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127">
    <w:name w:val="xl127"/>
    <w:basedOn w:val="Normal"/>
    <w:rsid w:val="002A2E1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Arial"/>
      <w:b/>
      <w:bCs/>
      <w:szCs w:val="20"/>
    </w:rPr>
  </w:style>
  <w:style w:type="paragraph" w:customStyle="1" w:styleId="xl128">
    <w:name w:val="xl128"/>
    <w:basedOn w:val="Normal"/>
    <w:rsid w:val="002A2E1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29">
    <w:name w:val="xl129"/>
    <w:basedOn w:val="Normal"/>
    <w:rsid w:val="002A2E1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130">
    <w:name w:val="xl130"/>
    <w:basedOn w:val="Normal"/>
    <w:rsid w:val="002A2E1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31">
    <w:name w:val="xl131"/>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Cs w:val="20"/>
    </w:rPr>
  </w:style>
  <w:style w:type="paragraph" w:customStyle="1" w:styleId="xl132">
    <w:name w:val="xl132"/>
    <w:basedOn w:val="Normal"/>
    <w:rsid w:val="002A2E1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33">
    <w:name w:val="xl133"/>
    <w:basedOn w:val="Normal"/>
    <w:rsid w:val="002A2E1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563C1"/>
      <w:sz w:val="24"/>
      <w:u w:val="single"/>
    </w:rPr>
  </w:style>
  <w:style w:type="paragraph" w:customStyle="1" w:styleId="xl134">
    <w:name w:val="xl134"/>
    <w:basedOn w:val="Normal"/>
    <w:rsid w:val="002A2E1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35">
    <w:name w:val="xl135"/>
    <w:basedOn w:val="Normal"/>
    <w:rsid w:val="002A2E1F"/>
    <w:pPr>
      <w:spacing w:before="100" w:beforeAutospacing="1" w:after="100" w:afterAutospacing="1" w:line="240" w:lineRule="auto"/>
    </w:pPr>
    <w:rPr>
      <w:rFonts w:ascii="Times New Roman" w:hAnsi="Times New Roman"/>
      <w:color w:val="FF0000"/>
      <w:sz w:val="24"/>
    </w:rPr>
  </w:style>
  <w:style w:type="paragraph" w:customStyle="1" w:styleId="xl136">
    <w:name w:val="xl136"/>
    <w:basedOn w:val="Normal"/>
    <w:rsid w:val="002A2E1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Arial"/>
      <w:b/>
      <w:bCs/>
      <w:szCs w:val="20"/>
    </w:rPr>
  </w:style>
  <w:style w:type="paragraph" w:customStyle="1" w:styleId="xl137">
    <w:name w:val="xl137"/>
    <w:basedOn w:val="Normal"/>
    <w:rsid w:val="002A2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38">
    <w:name w:val="xl138"/>
    <w:basedOn w:val="Normal"/>
    <w:rsid w:val="00064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39">
    <w:name w:val="xl139"/>
    <w:basedOn w:val="Normal"/>
    <w:rsid w:val="000642D4"/>
    <w:pPr>
      <w:pBdr>
        <w:top w:val="single" w:sz="4" w:space="0" w:color="000000"/>
        <w:left w:val="single" w:sz="8" w:space="0" w:color="000000"/>
        <w:right w:val="single" w:sz="8" w:space="0" w:color="000000"/>
      </w:pBdr>
      <w:shd w:val="clear" w:color="000000" w:fill="404040"/>
      <w:spacing w:before="100" w:beforeAutospacing="1" w:after="100" w:afterAutospacing="1" w:line="240" w:lineRule="auto"/>
      <w:jc w:val="center"/>
    </w:pPr>
    <w:rPr>
      <w:rFonts w:cs="Arial"/>
      <w:b/>
      <w:bCs/>
      <w:color w:val="FFFFFF"/>
      <w:szCs w:val="20"/>
    </w:rPr>
  </w:style>
  <w:style w:type="paragraph" w:customStyle="1" w:styleId="xl140">
    <w:name w:val="xl140"/>
    <w:basedOn w:val="Normal"/>
    <w:rsid w:val="000642D4"/>
    <w:pPr>
      <w:pBdr>
        <w:left w:val="single" w:sz="8" w:space="0" w:color="000000"/>
        <w:bottom w:val="single" w:sz="8" w:space="0" w:color="000000"/>
        <w:right w:val="single" w:sz="8" w:space="0" w:color="000000"/>
      </w:pBdr>
      <w:shd w:val="clear" w:color="000000" w:fill="404040"/>
      <w:spacing w:before="100" w:beforeAutospacing="1" w:after="100" w:afterAutospacing="1" w:line="240" w:lineRule="auto"/>
      <w:jc w:val="center"/>
    </w:pPr>
    <w:rPr>
      <w:rFonts w:cs="Arial"/>
      <w:b/>
      <w:bCs/>
      <w:color w:val="FFFFFF"/>
      <w:szCs w:val="20"/>
    </w:rPr>
  </w:style>
  <w:style w:type="paragraph" w:customStyle="1" w:styleId="xl141">
    <w:name w:val="xl141"/>
    <w:basedOn w:val="Normal"/>
    <w:rsid w:val="00064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42">
    <w:name w:val="xl142"/>
    <w:basedOn w:val="Normal"/>
    <w:rsid w:val="00064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143">
    <w:name w:val="xl143"/>
    <w:basedOn w:val="Normal"/>
    <w:rsid w:val="000642D4"/>
    <w:pPr>
      <w:pBdr>
        <w:left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table" w:customStyle="1" w:styleId="ACMAtablestyle">
    <w:name w:val="ACMA table style"/>
    <w:basedOn w:val="TableNormal"/>
    <w:uiPriority w:val="99"/>
    <w:rsid w:val="0086284C"/>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Bulletlevel1">
    <w:name w:val="Bullet level 1"/>
    <w:basedOn w:val="ListBullet"/>
    <w:uiPriority w:val="5"/>
    <w:qFormat/>
    <w:rsid w:val="00451A08"/>
    <w:pPr>
      <w:spacing w:after="80"/>
    </w:pPr>
    <w:rPr>
      <w:rFonts w:cs="Arial"/>
    </w:rPr>
  </w:style>
  <w:style w:type="paragraph" w:customStyle="1" w:styleId="Bulletlevel1last">
    <w:name w:val="Bullet level 1 last"/>
    <w:basedOn w:val="ListBulletLast"/>
    <w:uiPriority w:val="6"/>
    <w:qFormat/>
    <w:rsid w:val="0086284C"/>
  </w:style>
  <w:style w:type="paragraph" w:customStyle="1" w:styleId="Bulletlevel2">
    <w:name w:val="Bullet level 2"/>
    <w:basedOn w:val="ListBullet2"/>
    <w:uiPriority w:val="7"/>
    <w:qFormat/>
    <w:rsid w:val="0086284C"/>
    <w:pPr>
      <w:tabs>
        <w:tab w:val="left" w:pos="295"/>
      </w:tabs>
    </w:pPr>
    <w:rPr>
      <w:rFonts w:cs="Arial"/>
    </w:rPr>
  </w:style>
  <w:style w:type="paragraph" w:customStyle="1" w:styleId="Bulletlevel2last">
    <w:name w:val="Bullet level 2 last"/>
    <w:basedOn w:val="Bulletlevel2"/>
    <w:uiPriority w:val="8"/>
    <w:qFormat/>
    <w:rsid w:val="0086284C"/>
    <w:pPr>
      <w:tabs>
        <w:tab w:val="clear" w:pos="845"/>
      </w:tabs>
      <w:spacing w:after="240"/>
      <w:ind w:left="590" w:hanging="295"/>
    </w:pPr>
  </w:style>
  <w:style w:type="paragraph" w:customStyle="1" w:styleId="Execsummaryheading0">
    <w:name w:val="Exec summary heading"/>
    <w:basedOn w:val="Normal"/>
    <w:uiPriority w:val="22"/>
    <w:qFormat/>
    <w:rsid w:val="0086284C"/>
    <w:pPr>
      <w:pageBreakBefore/>
      <w:spacing w:after="1440" w:line="550" w:lineRule="exact"/>
    </w:pPr>
    <w:rPr>
      <w:b/>
      <w:color w:val="323232"/>
      <w:spacing w:val="-18"/>
      <w:sz w:val="53"/>
    </w:rPr>
  </w:style>
  <w:style w:type="paragraph" w:customStyle="1" w:styleId="Figureheading">
    <w:name w:val="Figure heading"/>
    <w:basedOn w:val="ACMAFigureHeader"/>
    <w:uiPriority w:val="16"/>
    <w:qFormat/>
    <w:rsid w:val="0086284C"/>
    <w:pPr>
      <w:keepNext/>
      <w:spacing w:line="240" w:lineRule="atLeast"/>
    </w:pPr>
  </w:style>
  <w:style w:type="paragraph" w:styleId="ListContinue5">
    <w:name w:val="List Continue 5"/>
    <w:basedOn w:val="Normal"/>
    <w:semiHidden/>
    <w:rsid w:val="0086284C"/>
    <w:pPr>
      <w:spacing w:after="120"/>
      <w:ind w:left="1415"/>
      <w:contextualSpacing/>
    </w:pPr>
  </w:style>
  <w:style w:type="paragraph" w:customStyle="1" w:styleId="Numberlistlast">
    <w:name w:val="Number list last"/>
    <w:basedOn w:val="ListNumberLast"/>
    <w:uiPriority w:val="10"/>
    <w:qFormat/>
    <w:rsid w:val="0086284C"/>
  </w:style>
  <w:style w:type="paragraph" w:customStyle="1" w:styleId="Numberlistlevel1">
    <w:name w:val="Number list level 1"/>
    <w:basedOn w:val="ListNumber"/>
    <w:uiPriority w:val="9"/>
    <w:qFormat/>
    <w:rsid w:val="0086284C"/>
  </w:style>
  <w:style w:type="paragraph" w:customStyle="1" w:styleId="Numberlistlevel2">
    <w:name w:val="Number list level 2"/>
    <w:basedOn w:val="ListNumber2"/>
    <w:uiPriority w:val="11"/>
    <w:qFormat/>
    <w:rsid w:val="0086284C"/>
    <w:pPr>
      <w:ind w:left="766" w:hanging="295"/>
    </w:pPr>
  </w:style>
  <w:style w:type="paragraph" w:customStyle="1" w:styleId="Numberlistlevel2last">
    <w:name w:val="Number list level 2 last"/>
    <w:basedOn w:val="Numberlistlevel2"/>
    <w:uiPriority w:val="12"/>
    <w:qFormat/>
    <w:rsid w:val="0086284C"/>
    <w:pPr>
      <w:spacing w:after="240"/>
    </w:pPr>
  </w:style>
  <w:style w:type="paragraph" w:customStyle="1" w:styleId="Paragraph">
    <w:name w:val="Paragraph"/>
    <w:basedOn w:val="Normal"/>
    <w:qFormat/>
    <w:rsid w:val="0086284C"/>
    <w:rPr>
      <w:rFonts w:cs="Arial"/>
    </w:rPr>
  </w:style>
  <w:style w:type="paragraph" w:customStyle="1" w:styleId="Paragraphbeforelist">
    <w:name w:val="Paragraph before list"/>
    <w:basedOn w:val="Paragraph"/>
    <w:uiPriority w:val="4"/>
    <w:qFormat/>
    <w:rsid w:val="0086284C"/>
    <w:pPr>
      <w:spacing w:after="80"/>
    </w:pPr>
  </w:style>
  <w:style w:type="paragraph" w:customStyle="1" w:styleId="Protectivemarking">
    <w:name w:val="Protective marking"/>
    <w:basedOn w:val="Normal"/>
    <w:uiPriority w:val="99"/>
    <w:qFormat/>
    <w:rsid w:val="0086284C"/>
    <w:pPr>
      <w:tabs>
        <w:tab w:val="left" w:pos="720"/>
      </w:tabs>
      <w:spacing w:after="0" w:line="240" w:lineRule="auto"/>
      <w:jc w:val="center"/>
    </w:pPr>
    <w:rPr>
      <w:rFonts w:cs="Arial"/>
      <w:b/>
      <w:bCs/>
      <w:color w:val="FF0000"/>
      <w:sz w:val="32"/>
      <w:lang w:eastAsia="en-US"/>
    </w:rPr>
  </w:style>
  <w:style w:type="paragraph" w:customStyle="1" w:styleId="Reportdate0">
    <w:name w:val="Report date"/>
    <w:basedOn w:val="Reportsubtitle0"/>
    <w:uiPriority w:val="21"/>
    <w:qFormat/>
    <w:rsid w:val="0086284C"/>
    <w:pPr>
      <w:spacing w:after="1200" w:line="240" w:lineRule="auto"/>
    </w:pPr>
    <w:rPr>
      <w:caps/>
      <w:spacing w:val="-10"/>
      <w:sz w:val="20"/>
    </w:rPr>
  </w:style>
  <w:style w:type="paragraph" w:customStyle="1" w:styleId="Reporttitle0">
    <w:name w:val="Report title"/>
    <w:basedOn w:val="Normal"/>
    <w:uiPriority w:val="19"/>
    <w:qFormat/>
    <w:rsid w:val="0086284C"/>
    <w:pPr>
      <w:spacing w:after="0" w:line="560" w:lineRule="exact"/>
    </w:pPr>
    <w:rPr>
      <w:b/>
      <w:spacing w:val="-28"/>
      <w:sz w:val="53"/>
    </w:rPr>
  </w:style>
  <w:style w:type="paragraph" w:customStyle="1" w:styleId="Spaceaftertable">
    <w:name w:val="Space after table"/>
    <w:basedOn w:val="Normal"/>
    <w:uiPriority w:val="99"/>
    <w:qFormat/>
    <w:rsid w:val="0086284C"/>
    <w:rPr>
      <w:rFonts w:cs="Arial"/>
    </w:rPr>
  </w:style>
  <w:style w:type="paragraph" w:customStyle="1" w:styleId="Tableheaderrow">
    <w:name w:val="Table header row"/>
    <w:basedOn w:val="Normal"/>
    <w:uiPriority w:val="14"/>
    <w:qFormat/>
    <w:rsid w:val="0086284C"/>
    <w:pPr>
      <w:spacing w:after="0"/>
    </w:pPr>
    <w:rPr>
      <w:b/>
    </w:rPr>
  </w:style>
  <w:style w:type="paragraph" w:customStyle="1" w:styleId="Tableheading0">
    <w:name w:val="Table heading"/>
    <w:basedOn w:val="ACMATableHeader"/>
    <w:uiPriority w:val="13"/>
    <w:qFormat/>
    <w:rsid w:val="0086284C"/>
    <w:pPr>
      <w:keepNext/>
      <w:spacing w:line="240" w:lineRule="atLeast"/>
    </w:pPr>
  </w:style>
  <w:style w:type="paragraph" w:customStyle="1" w:styleId="Tableorfigurenote">
    <w:name w:val="Table or figure note"/>
    <w:basedOn w:val="ACMANotes"/>
    <w:uiPriority w:val="17"/>
    <w:qFormat/>
    <w:rsid w:val="0086284C"/>
    <w:pPr>
      <w:spacing w:after="240"/>
    </w:pPr>
  </w:style>
  <w:style w:type="paragraph" w:customStyle="1" w:styleId="Tableorfigurenotemultiple">
    <w:name w:val="Table or figure note multiple"/>
    <w:basedOn w:val="Tableorfigurenote"/>
    <w:uiPriority w:val="18"/>
    <w:qFormat/>
    <w:rsid w:val="0086284C"/>
    <w:pPr>
      <w:spacing w:after="80"/>
    </w:pPr>
  </w:style>
  <w:style w:type="character" w:styleId="Mention">
    <w:name w:val="Mention"/>
    <w:basedOn w:val="DefaultParagraphFont"/>
    <w:uiPriority w:val="99"/>
    <w:unhideWhenUsed/>
    <w:rsid w:val="00D97B6E"/>
    <w:rPr>
      <w:color w:val="2B579A"/>
      <w:shd w:val="clear" w:color="auto" w:fill="E1DFDD"/>
    </w:rPr>
  </w:style>
  <w:style w:type="character" w:customStyle="1" w:styleId="normaltextrun">
    <w:name w:val="normaltextrun"/>
    <w:basedOn w:val="DefaultParagraphFont"/>
    <w:rsid w:val="0053263E"/>
  </w:style>
  <w:style w:type="character" w:customStyle="1" w:styleId="eop">
    <w:name w:val="eop"/>
    <w:basedOn w:val="DefaultParagraphFont"/>
    <w:rsid w:val="0053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798">
      <w:bodyDiv w:val="1"/>
      <w:marLeft w:val="0"/>
      <w:marRight w:val="0"/>
      <w:marTop w:val="0"/>
      <w:marBottom w:val="0"/>
      <w:divBdr>
        <w:top w:val="none" w:sz="0" w:space="0" w:color="auto"/>
        <w:left w:val="none" w:sz="0" w:space="0" w:color="auto"/>
        <w:bottom w:val="none" w:sz="0" w:space="0" w:color="auto"/>
        <w:right w:val="none" w:sz="0" w:space="0" w:color="auto"/>
      </w:divBdr>
    </w:div>
    <w:div w:id="83770104">
      <w:bodyDiv w:val="1"/>
      <w:marLeft w:val="0"/>
      <w:marRight w:val="0"/>
      <w:marTop w:val="0"/>
      <w:marBottom w:val="0"/>
      <w:divBdr>
        <w:top w:val="none" w:sz="0" w:space="0" w:color="auto"/>
        <w:left w:val="none" w:sz="0" w:space="0" w:color="auto"/>
        <w:bottom w:val="none" w:sz="0" w:space="0" w:color="auto"/>
        <w:right w:val="none" w:sz="0" w:space="0" w:color="auto"/>
      </w:divBdr>
    </w:div>
    <w:div w:id="185367134">
      <w:bodyDiv w:val="1"/>
      <w:marLeft w:val="0"/>
      <w:marRight w:val="0"/>
      <w:marTop w:val="0"/>
      <w:marBottom w:val="0"/>
      <w:divBdr>
        <w:top w:val="none" w:sz="0" w:space="0" w:color="auto"/>
        <w:left w:val="none" w:sz="0" w:space="0" w:color="auto"/>
        <w:bottom w:val="none" w:sz="0" w:space="0" w:color="auto"/>
        <w:right w:val="none" w:sz="0" w:space="0" w:color="auto"/>
      </w:divBdr>
    </w:div>
    <w:div w:id="201870927">
      <w:bodyDiv w:val="1"/>
      <w:marLeft w:val="0"/>
      <w:marRight w:val="0"/>
      <w:marTop w:val="0"/>
      <w:marBottom w:val="0"/>
      <w:divBdr>
        <w:top w:val="none" w:sz="0" w:space="0" w:color="auto"/>
        <w:left w:val="none" w:sz="0" w:space="0" w:color="auto"/>
        <w:bottom w:val="none" w:sz="0" w:space="0" w:color="auto"/>
        <w:right w:val="none" w:sz="0" w:space="0" w:color="auto"/>
      </w:divBdr>
    </w:div>
    <w:div w:id="288318297">
      <w:bodyDiv w:val="1"/>
      <w:marLeft w:val="0"/>
      <w:marRight w:val="0"/>
      <w:marTop w:val="0"/>
      <w:marBottom w:val="0"/>
      <w:divBdr>
        <w:top w:val="none" w:sz="0" w:space="0" w:color="auto"/>
        <w:left w:val="none" w:sz="0" w:space="0" w:color="auto"/>
        <w:bottom w:val="none" w:sz="0" w:space="0" w:color="auto"/>
        <w:right w:val="none" w:sz="0" w:space="0" w:color="auto"/>
      </w:divBdr>
    </w:div>
    <w:div w:id="289095976">
      <w:bodyDiv w:val="1"/>
      <w:marLeft w:val="0"/>
      <w:marRight w:val="0"/>
      <w:marTop w:val="0"/>
      <w:marBottom w:val="0"/>
      <w:divBdr>
        <w:top w:val="none" w:sz="0" w:space="0" w:color="auto"/>
        <w:left w:val="none" w:sz="0" w:space="0" w:color="auto"/>
        <w:bottom w:val="none" w:sz="0" w:space="0" w:color="auto"/>
        <w:right w:val="none" w:sz="0" w:space="0" w:color="auto"/>
      </w:divBdr>
    </w:div>
    <w:div w:id="342784816">
      <w:bodyDiv w:val="1"/>
      <w:marLeft w:val="0"/>
      <w:marRight w:val="0"/>
      <w:marTop w:val="0"/>
      <w:marBottom w:val="0"/>
      <w:divBdr>
        <w:top w:val="none" w:sz="0" w:space="0" w:color="auto"/>
        <w:left w:val="none" w:sz="0" w:space="0" w:color="auto"/>
        <w:bottom w:val="none" w:sz="0" w:space="0" w:color="auto"/>
        <w:right w:val="none" w:sz="0" w:space="0" w:color="auto"/>
      </w:divBdr>
    </w:div>
    <w:div w:id="344136638">
      <w:bodyDiv w:val="1"/>
      <w:marLeft w:val="0"/>
      <w:marRight w:val="0"/>
      <w:marTop w:val="0"/>
      <w:marBottom w:val="0"/>
      <w:divBdr>
        <w:top w:val="none" w:sz="0" w:space="0" w:color="auto"/>
        <w:left w:val="none" w:sz="0" w:space="0" w:color="auto"/>
        <w:bottom w:val="none" w:sz="0" w:space="0" w:color="auto"/>
        <w:right w:val="none" w:sz="0" w:space="0" w:color="auto"/>
      </w:divBdr>
    </w:div>
    <w:div w:id="382363893">
      <w:bodyDiv w:val="1"/>
      <w:marLeft w:val="0"/>
      <w:marRight w:val="0"/>
      <w:marTop w:val="0"/>
      <w:marBottom w:val="0"/>
      <w:divBdr>
        <w:top w:val="none" w:sz="0" w:space="0" w:color="auto"/>
        <w:left w:val="none" w:sz="0" w:space="0" w:color="auto"/>
        <w:bottom w:val="none" w:sz="0" w:space="0" w:color="auto"/>
        <w:right w:val="none" w:sz="0" w:space="0" w:color="auto"/>
      </w:divBdr>
      <w:divsChild>
        <w:div w:id="38281726">
          <w:marLeft w:val="0"/>
          <w:marRight w:val="0"/>
          <w:marTop w:val="0"/>
          <w:marBottom w:val="0"/>
          <w:divBdr>
            <w:top w:val="none" w:sz="0" w:space="0" w:color="auto"/>
            <w:left w:val="none" w:sz="0" w:space="0" w:color="auto"/>
            <w:bottom w:val="none" w:sz="0" w:space="0" w:color="auto"/>
            <w:right w:val="none" w:sz="0" w:space="0" w:color="auto"/>
          </w:divBdr>
          <w:divsChild>
            <w:div w:id="1835680195">
              <w:marLeft w:val="0"/>
              <w:marRight w:val="0"/>
              <w:marTop w:val="0"/>
              <w:marBottom w:val="0"/>
              <w:divBdr>
                <w:top w:val="none" w:sz="0" w:space="0" w:color="auto"/>
                <w:left w:val="none" w:sz="0" w:space="0" w:color="auto"/>
                <w:bottom w:val="none" w:sz="0" w:space="0" w:color="auto"/>
                <w:right w:val="none" w:sz="0" w:space="0" w:color="auto"/>
              </w:divBdr>
            </w:div>
          </w:divsChild>
        </w:div>
        <w:div w:id="200168130">
          <w:marLeft w:val="0"/>
          <w:marRight w:val="0"/>
          <w:marTop w:val="0"/>
          <w:marBottom w:val="0"/>
          <w:divBdr>
            <w:top w:val="none" w:sz="0" w:space="0" w:color="auto"/>
            <w:left w:val="none" w:sz="0" w:space="0" w:color="auto"/>
            <w:bottom w:val="none" w:sz="0" w:space="0" w:color="auto"/>
            <w:right w:val="none" w:sz="0" w:space="0" w:color="auto"/>
          </w:divBdr>
          <w:divsChild>
            <w:div w:id="567158393">
              <w:marLeft w:val="0"/>
              <w:marRight w:val="0"/>
              <w:marTop w:val="0"/>
              <w:marBottom w:val="0"/>
              <w:divBdr>
                <w:top w:val="none" w:sz="0" w:space="0" w:color="auto"/>
                <w:left w:val="none" w:sz="0" w:space="0" w:color="auto"/>
                <w:bottom w:val="none" w:sz="0" w:space="0" w:color="auto"/>
                <w:right w:val="none" w:sz="0" w:space="0" w:color="auto"/>
              </w:divBdr>
            </w:div>
            <w:div w:id="839587729">
              <w:marLeft w:val="0"/>
              <w:marRight w:val="0"/>
              <w:marTop w:val="0"/>
              <w:marBottom w:val="0"/>
              <w:divBdr>
                <w:top w:val="none" w:sz="0" w:space="0" w:color="auto"/>
                <w:left w:val="none" w:sz="0" w:space="0" w:color="auto"/>
                <w:bottom w:val="none" w:sz="0" w:space="0" w:color="auto"/>
                <w:right w:val="none" w:sz="0" w:space="0" w:color="auto"/>
              </w:divBdr>
            </w:div>
          </w:divsChild>
        </w:div>
        <w:div w:id="210927584">
          <w:marLeft w:val="0"/>
          <w:marRight w:val="0"/>
          <w:marTop w:val="0"/>
          <w:marBottom w:val="0"/>
          <w:divBdr>
            <w:top w:val="none" w:sz="0" w:space="0" w:color="auto"/>
            <w:left w:val="none" w:sz="0" w:space="0" w:color="auto"/>
            <w:bottom w:val="none" w:sz="0" w:space="0" w:color="auto"/>
            <w:right w:val="none" w:sz="0" w:space="0" w:color="auto"/>
          </w:divBdr>
          <w:divsChild>
            <w:div w:id="572467973">
              <w:marLeft w:val="0"/>
              <w:marRight w:val="0"/>
              <w:marTop w:val="0"/>
              <w:marBottom w:val="0"/>
              <w:divBdr>
                <w:top w:val="none" w:sz="0" w:space="0" w:color="auto"/>
                <w:left w:val="none" w:sz="0" w:space="0" w:color="auto"/>
                <w:bottom w:val="none" w:sz="0" w:space="0" w:color="auto"/>
                <w:right w:val="none" w:sz="0" w:space="0" w:color="auto"/>
              </w:divBdr>
            </w:div>
            <w:div w:id="1793790027">
              <w:marLeft w:val="0"/>
              <w:marRight w:val="0"/>
              <w:marTop w:val="0"/>
              <w:marBottom w:val="0"/>
              <w:divBdr>
                <w:top w:val="none" w:sz="0" w:space="0" w:color="auto"/>
                <w:left w:val="none" w:sz="0" w:space="0" w:color="auto"/>
                <w:bottom w:val="none" w:sz="0" w:space="0" w:color="auto"/>
                <w:right w:val="none" w:sz="0" w:space="0" w:color="auto"/>
              </w:divBdr>
            </w:div>
            <w:div w:id="1825588603">
              <w:marLeft w:val="0"/>
              <w:marRight w:val="0"/>
              <w:marTop w:val="0"/>
              <w:marBottom w:val="0"/>
              <w:divBdr>
                <w:top w:val="none" w:sz="0" w:space="0" w:color="auto"/>
                <w:left w:val="none" w:sz="0" w:space="0" w:color="auto"/>
                <w:bottom w:val="none" w:sz="0" w:space="0" w:color="auto"/>
                <w:right w:val="none" w:sz="0" w:space="0" w:color="auto"/>
              </w:divBdr>
            </w:div>
          </w:divsChild>
        </w:div>
        <w:div w:id="227083340">
          <w:marLeft w:val="0"/>
          <w:marRight w:val="0"/>
          <w:marTop w:val="0"/>
          <w:marBottom w:val="0"/>
          <w:divBdr>
            <w:top w:val="none" w:sz="0" w:space="0" w:color="auto"/>
            <w:left w:val="none" w:sz="0" w:space="0" w:color="auto"/>
            <w:bottom w:val="none" w:sz="0" w:space="0" w:color="auto"/>
            <w:right w:val="none" w:sz="0" w:space="0" w:color="auto"/>
          </w:divBdr>
          <w:divsChild>
            <w:div w:id="423261579">
              <w:marLeft w:val="0"/>
              <w:marRight w:val="0"/>
              <w:marTop w:val="0"/>
              <w:marBottom w:val="0"/>
              <w:divBdr>
                <w:top w:val="none" w:sz="0" w:space="0" w:color="auto"/>
                <w:left w:val="none" w:sz="0" w:space="0" w:color="auto"/>
                <w:bottom w:val="none" w:sz="0" w:space="0" w:color="auto"/>
                <w:right w:val="none" w:sz="0" w:space="0" w:color="auto"/>
              </w:divBdr>
            </w:div>
          </w:divsChild>
        </w:div>
        <w:div w:id="395322140">
          <w:marLeft w:val="0"/>
          <w:marRight w:val="0"/>
          <w:marTop w:val="0"/>
          <w:marBottom w:val="0"/>
          <w:divBdr>
            <w:top w:val="none" w:sz="0" w:space="0" w:color="auto"/>
            <w:left w:val="none" w:sz="0" w:space="0" w:color="auto"/>
            <w:bottom w:val="none" w:sz="0" w:space="0" w:color="auto"/>
            <w:right w:val="none" w:sz="0" w:space="0" w:color="auto"/>
          </w:divBdr>
          <w:divsChild>
            <w:div w:id="1042435608">
              <w:marLeft w:val="0"/>
              <w:marRight w:val="0"/>
              <w:marTop w:val="0"/>
              <w:marBottom w:val="0"/>
              <w:divBdr>
                <w:top w:val="none" w:sz="0" w:space="0" w:color="auto"/>
                <w:left w:val="none" w:sz="0" w:space="0" w:color="auto"/>
                <w:bottom w:val="none" w:sz="0" w:space="0" w:color="auto"/>
                <w:right w:val="none" w:sz="0" w:space="0" w:color="auto"/>
              </w:divBdr>
            </w:div>
          </w:divsChild>
        </w:div>
        <w:div w:id="500707353">
          <w:marLeft w:val="0"/>
          <w:marRight w:val="0"/>
          <w:marTop w:val="0"/>
          <w:marBottom w:val="0"/>
          <w:divBdr>
            <w:top w:val="none" w:sz="0" w:space="0" w:color="auto"/>
            <w:left w:val="none" w:sz="0" w:space="0" w:color="auto"/>
            <w:bottom w:val="none" w:sz="0" w:space="0" w:color="auto"/>
            <w:right w:val="none" w:sz="0" w:space="0" w:color="auto"/>
          </w:divBdr>
          <w:divsChild>
            <w:div w:id="614600522">
              <w:marLeft w:val="0"/>
              <w:marRight w:val="0"/>
              <w:marTop w:val="0"/>
              <w:marBottom w:val="0"/>
              <w:divBdr>
                <w:top w:val="none" w:sz="0" w:space="0" w:color="auto"/>
                <w:left w:val="none" w:sz="0" w:space="0" w:color="auto"/>
                <w:bottom w:val="none" w:sz="0" w:space="0" w:color="auto"/>
                <w:right w:val="none" w:sz="0" w:space="0" w:color="auto"/>
              </w:divBdr>
            </w:div>
          </w:divsChild>
        </w:div>
        <w:div w:id="699663860">
          <w:marLeft w:val="0"/>
          <w:marRight w:val="0"/>
          <w:marTop w:val="0"/>
          <w:marBottom w:val="0"/>
          <w:divBdr>
            <w:top w:val="none" w:sz="0" w:space="0" w:color="auto"/>
            <w:left w:val="none" w:sz="0" w:space="0" w:color="auto"/>
            <w:bottom w:val="none" w:sz="0" w:space="0" w:color="auto"/>
            <w:right w:val="none" w:sz="0" w:space="0" w:color="auto"/>
          </w:divBdr>
          <w:divsChild>
            <w:div w:id="1315841474">
              <w:marLeft w:val="0"/>
              <w:marRight w:val="0"/>
              <w:marTop w:val="0"/>
              <w:marBottom w:val="0"/>
              <w:divBdr>
                <w:top w:val="none" w:sz="0" w:space="0" w:color="auto"/>
                <w:left w:val="none" w:sz="0" w:space="0" w:color="auto"/>
                <w:bottom w:val="none" w:sz="0" w:space="0" w:color="auto"/>
                <w:right w:val="none" w:sz="0" w:space="0" w:color="auto"/>
              </w:divBdr>
            </w:div>
          </w:divsChild>
        </w:div>
        <w:div w:id="756444186">
          <w:marLeft w:val="0"/>
          <w:marRight w:val="0"/>
          <w:marTop w:val="0"/>
          <w:marBottom w:val="0"/>
          <w:divBdr>
            <w:top w:val="none" w:sz="0" w:space="0" w:color="auto"/>
            <w:left w:val="none" w:sz="0" w:space="0" w:color="auto"/>
            <w:bottom w:val="none" w:sz="0" w:space="0" w:color="auto"/>
            <w:right w:val="none" w:sz="0" w:space="0" w:color="auto"/>
          </w:divBdr>
          <w:divsChild>
            <w:div w:id="2123646388">
              <w:marLeft w:val="0"/>
              <w:marRight w:val="0"/>
              <w:marTop w:val="0"/>
              <w:marBottom w:val="0"/>
              <w:divBdr>
                <w:top w:val="none" w:sz="0" w:space="0" w:color="auto"/>
                <w:left w:val="none" w:sz="0" w:space="0" w:color="auto"/>
                <w:bottom w:val="none" w:sz="0" w:space="0" w:color="auto"/>
                <w:right w:val="none" w:sz="0" w:space="0" w:color="auto"/>
              </w:divBdr>
            </w:div>
          </w:divsChild>
        </w:div>
        <w:div w:id="763036142">
          <w:marLeft w:val="0"/>
          <w:marRight w:val="0"/>
          <w:marTop w:val="0"/>
          <w:marBottom w:val="0"/>
          <w:divBdr>
            <w:top w:val="none" w:sz="0" w:space="0" w:color="auto"/>
            <w:left w:val="none" w:sz="0" w:space="0" w:color="auto"/>
            <w:bottom w:val="none" w:sz="0" w:space="0" w:color="auto"/>
            <w:right w:val="none" w:sz="0" w:space="0" w:color="auto"/>
          </w:divBdr>
          <w:divsChild>
            <w:div w:id="267811853">
              <w:marLeft w:val="0"/>
              <w:marRight w:val="0"/>
              <w:marTop w:val="0"/>
              <w:marBottom w:val="0"/>
              <w:divBdr>
                <w:top w:val="none" w:sz="0" w:space="0" w:color="auto"/>
                <w:left w:val="none" w:sz="0" w:space="0" w:color="auto"/>
                <w:bottom w:val="none" w:sz="0" w:space="0" w:color="auto"/>
                <w:right w:val="none" w:sz="0" w:space="0" w:color="auto"/>
              </w:divBdr>
            </w:div>
          </w:divsChild>
        </w:div>
        <w:div w:id="798377559">
          <w:marLeft w:val="0"/>
          <w:marRight w:val="0"/>
          <w:marTop w:val="0"/>
          <w:marBottom w:val="0"/>
          <w:divBdr>
            <w:top w:val="none" w:sz="0" w:space="0" w:color="auto"/>
            <w:left w:val="none" w:sz="0" w:space="0" w:color="auto"/>
            <w:bottom w:val="none" w:sz="0" w:space="0" w:color="auto"/>
            <w:right w:val="none" w:sz="0" w:space="0" w:color="auto"/>
          </w:divBdr>
          <w:divsChild>
            <w:div w:id="1100221419">
              <w:marLeft w:val="0"/>
              <w:marRight w:val="0"/>
              <w:marTop w:val="0"/>
              <w:marBottom w:val="0"/>
              <w:divBdr>
                <w:top w:val="none" w:sz="0" w:space="0" w:color="auto"/>
                <w:left w:val="none" w:sz="0" w:space="0" w:color="auto"/>
                <w:bottom w:val="none" w:sz="0" w:space="0" w:color="auto"/>
                <w:right w:val="none" w:sz="0" w:space="0" w:color="auto"/>
              </w:divBdr>
            </w:div>
          </w:divsChild>
        </w:div>
        <w:div w:id="879325010">
          <w:marLeft w:val="0"/>
          <w:marRight w:val="0"/>
          <w:marTop w:val="0"/>
          <w:marBottom w:val="0"/>
          <w:divBdr>
            <w:top w:val="none" w:sz="0" w:space="0" w:color="auto"/>
            <w:left w:val="none" w:sz="0" w:space="0" w:color="auto"/>
            <w:bottom w:val="none" w:sz="0" w:space="0" w:color="auto"/>
            <w:right w:val="none" w:sz="0" w:space="0" w:color="auto"/>
          </w:divBdr>
          <w:divsChild>
            <w:div w:id="1110860829">
              <w:marLeft w:val="0"/>
              <w:marRight w:val="0"/>
              <w:marTop w:val="0"/>
              <w:marBottom w:val="0"/>
              <w:divBdr>
                <w:top w:val="none" w:sz="0" w:space="0" w:color="auto"/>
                <w:left w:val="none" w:sz="0" w:space="0" w:color="auto"/>
                <w:bottom w:val="none" w:sz="0" w:space="0" w:color="auto"/>
                <w:right w:val="none" w:sz="0" w:space="0" w:color="auto"/>
              </w:divBdr>
            </w:div>
            <w:div w:id="1617298610">
              <w:marLeft w:val="0"/>
              <w:marRight w:val="0"/>
              <w:marTop w:val="0"/>
              <w:marBottom w:val="0"/>
              <w:divBdr>
                <w:top w:val="none" w:sz="0" w:space="0" w:color="auto"/>
                <w:left w:val="none" w:sz="0" w:space="0" w:color="auto"/>
                <w:bottom w:val="none" w:sz="0" w:space="0" w:color="auto"/>
                <w:right w:val="none" w:sz="0" w:space="0" w:color="auto"/>
              </w:divBdr>
            </w:div>
            <w:div w:id="2144272849">
              <w:marLeft w:val="0"/>
              <w:marRight w:val="0"/>
              <w:marTop w:val="0"/>
              <w:marBottom w:val="0"/>
              <w:divBdr>
                <w:top w:val="none" w:sz="0" w:space="0" w:color="auto"/>
                <w:left w:val="none" w:sz="0" w:space="0" w:color="auto"/>
                <w:bottom w:val="none" w:sz="0" w:space="0" w:color="auto"/>
                <w:right w:val="none" w:sz="0" w:space="0" w:color="auto"/>
              </w:divBdr>
            </w:div>
          </w:divsChild>
        </w:div>
        <w:div w:id="1325470874">
          <w:marLeft w:val="0"/>
          <w:marRight w:val="0"/>
          <w:marTop w:val="0"/>
          <w:marBottom w:val="0"/>
          <w:divBdr>
            <w:top w:val="none" w:sz="0" w:space="0" w:color="auto"/>
            <w:left w:val="none" w:sz="0" w:space="0" w:color="auto"/>
            <w:bottom w:val="none" w:sz="0" w:space="0" w:color="auto"/>
            <w:right w:val="none" w:sz="0" w:space="0" w:color="auto"/>
          </w:divBdr>
          <w:divsChild>
            <w:div w:id="923417436">
              <w:marLeft w:val="0"/>
              <w:marRight w:val="0"/>
              <w:marTop w:val="0"/>
              <w:marBottom w:val="0"/>
              <w:divBdr>
                <w:top w:val="none" w:sz="0" w:space="0" w:color="auto"/>
                <w:left w:val="none" w:sz="0" w:space="0" w:color="auto"/>
                <w:bottom w:val="none" w:sz="0" w:space="0" w:color="auto"/>
                <w:right w:val="none" w:sz="0" w:space="0" w:color="auto"/>
              </w:divBdr>
            </w:div>
          </w:divsChild>
        </w:div>
        <w:div w:id="1628123231">
          <w:marLeft w:val="0"/>
          <w:marRight w:val="0"/>
          <w:marTop w:val="0"/>
          <w:marBottom w:val="0"/>
          <w:divBdr>
            <w:top w:val="none" w:sz="0" w:space="0" w:color="auto"/>
            <w:left w:val="none" w:sz="0" w:space="0" w:color="auto"/>
            <w:bottom w:val="none" w:sz="0" w:space="0" w:color="auto"/>
            <w:right w:val="none" w:sz="0" w:space="0" w:color="auto"/>
          </w:divBdr>
          <w:divsChild>
            <w:div w:id="1657952521">
              <w:marLeft w:val="0"/>
              <w:marRight w:val="0"/>
              <w:marTop w:val="0"/>
              <w:marBottom w:val="0"/>
              <w:divBdr>
                <w:top w:val="none" w:sz="0" w:space="0" w:color="auto"/>
                <w:left w:val="none" w:sz="0" w:space="0" w:color="auto"/>
                <w:bottom w:val="none" w:sz="0" w:space="0" w:color="auto"/>
                <w:right w:val="none" w:sz="0" w:space="0" w:color="auto"/>
              </w:divBdr>
            </w:div>
          </w:divsChild>
        </w:div>
        <w:div w:id="1777208004">
          <w:marLeft w:val="0"/>
          <w:marRight w:val="0"/>
          <w:marTop w:val="0"/>
          <w:marBottom w:val="0"/>
          <w:divBdr>
            <w:top w:val="none" w:sz="0" w:space="0" w:color="auto"/>
            <w:left w:val="none" w:sz="0" w:space="0" w:color="auto"/>
            <w:bottom w:val="none" w:sz="0" w:space="0" w:color="auto"/>
            <w:right w:val="none" w:sz="0" w:space="0" w:color="auto"/>
          </w:divBdr>
          <w:divsChild>
            <w:div w:id="658651343">
              <w:marLeft w:val="0"/>
              <w:marRight w:val="0"/>
              <w:marTop w:val="0"/>
              <w:marBottom w:val="0"/>
              <w:divBdr>
                <w:top w:val="none" w:sz="0" w:space="0" w:color="auto"/>
                <w:left w:val="none" w:sz="0" w:space="0" w:color="auto"/>
                <w:bottom w:val="none" w:sz="0" w:space="0" w:color="auto"/>
                <w:right w:val="none" w:sz="0" w:space="0" w:color="auto"/>
              </w:divBdr>
            </w:div>
            <w:div w:id="769087298">
              <w:marLeft w:val="0"/>
              <w:marRight w:val="0"/>
              <w:marTop w:val="0"/>
              <w:marBottom w:val="0"/>
              <w:divBdr>
                <w:top w:val="none" w:sz="0" w:space="0" w:color="auto"/>
                <w:left w:val="none" w:sz="0" w:space="0" w:color="auto"/>
                <w:bottom w:val="none" w:sz="0" w:space="0" w:color="auto"/>
                <w:right w:val="none" w:sz="0" w:space="0" w:color="auto"/>
              </w:divBdr>
            </w:div>
            <w:div w:id="1675180074">
              <w:marLeft w:val="0"/>
              <w:marRight w:val="0"/>
              <w:marTop w:val="0"/>
              <w:marBottom w:val="0"/>
              <w:divBdr>
                <w:top w:val="none" w:sz="0" w:space="0" w:color="auto"/>
                <w:left w:val="none" w:sz="0" w:space="0" w:color="auto"/>
                <w:bottom w:val="none" w:sz="0" w:space="0" w:color="auto"/>
                <w:right w:val="none" w:sz="0" w:space="0" w:color="auto"/>
              </w:divBdr>
            </w:div>
          </w:divsChild>
        </w:div>
        <w:div w:id="1797673262">
          <w:marLeft w:val="0"/>
          <w:marRight w:val="0"/>
          <w:marTop w:val="0"/>
          <w:marBottom w:val="0"/>
          <w:divBdr>
            <w:top w:val="none" w:sz="0" w:space="0" w:color="auto"/>
            <w:left w:val="none" w:sz="0" w:space="0" w:color="auto"/>
            <w:bottom w:val="none" w:sz="0" w:space="0" w:color="auto"/>
            <w:right w:val="none" w:sz="0" w:space="0" w:color="auto"/>
          </w:divBdr>
          <w:divsChild>
            <w:div w:id="1480999643">
              <w:marLeft w:val="0"/>
              <w:marRight w:val="0"/>
              <w:marTop w:val="0"/>
              <w:marBottom w:val="0"/>
              <w:divBdr>
                <w:top w:val="none" w:sz="0" w:space="0" w:color="auto"/>
                <w:left w:val="none" w:sz="0" w:space="0" w:color="auto"/>
                <w:bottom w:val="none" w:sz="0" w:space="0" w:color="auto"/>
                <w:right w:val="none" w:sz="0" w:space="0" w:color="auto"/>
              </w:divBdr>
            </w:div>
          </w:divsChild>
        </w:div>
        <w:div w:id="2051034467">
          <w:marLeft w:val="0"/>
          <w:marRight w:val="0"/>
          <w:marTop w:val="0"/>
          <w:marBottom w:val="0"/>
          <w:divBdr>
            <w:top w:val="none" w:sz="0" w:space="0" w:color="auto"/>
            <w:left w:val="none" w:sz="0" w:space="0" w:color="auto"/>
            <w:bottom w:val="none" w:sz="0" w:space="0" w:color="auto"/>
            <w:right w:val="none" w:sz="0" w:space="0" w:color="auto"/>
          </w:divBdr>
          <w:divsChild>
            <w:div w:id="105470344">
              <w:marLeft w:val="0"/>
              <w:marRight w:val="0"/>
              <w:marTop w:val="0"/>
              <w:marBottom w:val="0"/>
              <w:divBdr>
                <w:top w:val="none" w:sz="0" w:space="0" w:color="auto"/>
                <w:left w:val="none" w:sz="0" w:space="0" w:color="auto"/>
                <w:bottom w:val="none" w:sz="0" w:space="0" w:color="auto"/>
                <w:right w:val="none" w:sz="0" w:space="0" w:color="auto"/>
              </w:divBdr>
            </w:div>
            <w:div w:id="382142741">
              <w:marLeft w:val="0"/>
              <w:marRight w:val="0"/>
              <w:marTop w:val="0"/>
              <w:marBottom w:val="0"/>
              <w:divBdr>
                <w:top w:val="none" w:sz="0" w:space="0" w:color="auto"/>
                <w:left w:val="none" w:sz="0" w:space="0" w:color="auto"/>
                <w:bottom w:val="none" w:sz="0" w:space="0" w:color="auto"/>
                <w:right w:val="none" w:sz="0" w:space="0" w:color="auto"/>
              </w:divBdr>
            </w:div>
            <w:div w:id="496919793">
              <w:marLeft w:val="0"/>
              <w:marRight w:val="0"/>
              <w:marTop w:val="0"/>
              <w:marBottom w:val="0"/>
              <w:divBdr>
                <w:top w:val="none" w:sz="0" w:space="0" w:color="auto"/>
                <w:left w:val="none" w:sz="0" w:space="0" w:color="auto"/>
                <w:bottom w:val="none" w:sz="0" w:space="0" w:color="auto"/>
                <w:right w:val="none" w:sz="0" w:space="0" w:color="auto"/>
              </w:divBdr>
            </w:div>
            <w:div w:id="525824841">
              <w:marLeft w:val="0"/>
              <w:marRight w:val="0"/>
              <w:marTop w:val="0"/>
              <w:marBottom w:val="0"/>
              <w:divBdr>
                <w:top w:val="none" w:sz="0" w:space="0" w:color="auto"/>
                <w:left w:val="none" w:sz="0" w:space="0" w:color="auto"/>
                <w:bottom w:val="none" w:sz="0" w:space="0" w:color="auto"/>
                <w:right w:val="none" w:sz="0" w:space="0" w:color="auto"/>
              </w:divBdr>
            </w:div>
            <w:div w:id="1620188443">
              <w:marLeft w:val="0"/>
              <w:marRight w:val="0"/>
              <w:marTop w:val="0"/>
              <w:marBottom w:val="0"/>
              <w:divBdr>
                <w:top w:val="none" w:sz="0" w:space="0" w:color="auto"/>
                <w:left w:val="none" w:sz="0" w:space="0" w:color="auto"/>
                <w:bottom w:val="none" w:sz="0" w:space="0" w:color="auto"/>
                <w:right w:val="none" w:sz="0" w:space="0" w:color="auto"/>
              </w:divBdr>
            </w:div>
            <w:div w:id="17015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5254">
      <w:bodyDiv w:val="1"/>
      <w:marLeft w:val="0"/>
      <w:marRight w:val="0"/>
      <w:marTop w:val="0"/>
      <w:marBottom w:val="0"/>
      <w:divBdr>
        <w:top w:val="none" w:sz="0" w:space="0" w:color="auto"/>
        <w:left w:val="none" w:sz="0" w:space="0" w:color="auto"/>
        <w:bottom w:val="none" w:sz="0" w:space="0" w:color="auto"/>
        <w:right w:val="none" w:sz="0" w:space="0" w:color="auto"/>
      </w:divBdr>
    </w:div>
    <w:div w:id="440075399">
      <w:bodyDiv w:val="1"/>
      <w:marLeft w:val="0"/>
      <w:marRight w:val="0"/>
      <w:marTop w:val="0"/>
      <w:marBottom w:val="0"/>
      <w:divBdr>
        <w:top w:val="none" w:sz="0" w:space="0" w:color="auto"/>
        <w:left w:val="none" w:sz="0" w:space="0" w:color="auto"/>
        <w:bottom w:val="none" w:sz="0" w:space="0" w:color="auto"/>
        <w:right w:val="none" w:sz="0" w:space="0" w:color="auto"/>
      </w:divBdr>
    </w:div>
    <w:div w:id="441342028">
      <w:bodyDiv w:val="1"/>
      <w:marLeft w:val="0"/>
      <w:marRight w:val="0"/>
      <w:marTop w:val="0"/>
      <w:marBottom w:val="0"/>
      <w:divBdr>
        <w:top w:val="none" w:sz="0" w:space="0" w:color="auto"/>
        <w:left w:val="none" w:sz="0" w:space="0" w:color="auto"/>
        <w:bottom w:val="none" w:sz="0" w:space="0" w:color="auto"/>
        <w:right w:val="none" w:sz="0" w:space="0" w:color="auto"/>
      </w:divBdr>
    </w:div>
    <w:div w:id="531769364">
      <w:bodyDiv w:val="1"/>
      <w:marLeft w:val="0"/>
      <w:marRight w:val="0"/>
      <w:marTop w:val="0"/>
      <w:marBottom w:val="0"/>
      <w:divBdr>
        <w:top w:val="none" w:sz="0" w:space="0" w:color="auto"/>
        <w:left w:val="none" w:sz="0" w:space="0" w:color="auto"/>
        <w:bottom w:val="none" w:sz="0" w:space="0" w:color="auto"/>
        <w:right w:val="none" w:sz="0" w:space="0" w:color="auto"/>
      </w:divBdr>
    </w:div>
    <w:div w:id="540286614">
      <w:bodyDiv w:val="1"/>
      <w:marLeft w:val="0"/>
      <w:marRight w:val="0"/>
      <w:marTop w:val="0"/>
      <w:marBottom w:val="0"/>
      <w:divBdr>
        <w:top w:val="none" w:sz="0" w:space="0" w:color="auto"/>
        <w:left w:val="none" w:sz="0" w:space="0" w:color="auto"/>
        <w:bottom w:val="none" w:sz="0" w:space="0" w:color="auto"/>
        <w:right w:val="none" w:sz="0" w:space="0" w:color="auto"/>
      </w:divBdr>
    </w:div>
    <w:div w:id="556629499">
      <w:bodyDiv w:val="1"/>
      <w:marLeft w:val="0"/>
      <w:marRight w:val="0"/>
      <w:marTop w:val="0"/>
      <w:marBottom w:val="0"/>
      <w:divBdr>
        <w:top w:val="none" w:sz="0" w:space="0" w:color="auto"/>
        <w:left w:val="none" w:sz="0" w:space="0" w:color="auto"/>
        <w:bottom w:val="none" w:sz="0" w:space="0" w:color="auto"/>
        <w:right w:val="none" w:sz="0" w:space="0" w:color="auto"/>
      </w:divBdr>
    </w:div>
    <w:div w:id="557399691">
      <w:bodyDiv w:val="1"/>
      <w:marLeft w:val="0"/>
      <w:marRight w:val="0"/>
      <w:marTop w:val="0"/>
      <w:marBottom w:val="0"/>
      <w:divBdr>
        <w:top w:val="none" w:sz="0" w:space="0" w:color="auto"/>
        <w:left w:val="none" w:sz="0" w:space="0" w:color="auto"/>
        <w:bottom w:val="none" w:sz="0" w:space="0" w:color="auto"/>
        <w:right w:val="none" w:sz="0" w:space="0" w:color="auto"/>
      </w:divBdr>
    </w:div>
    <w:div w:id="584530026">
      <w:bodyDiv w:val="1"/>
      <w:marLeft w:val="0"/>
      <w:marRight w:val="0"/>
      <w:marTop w:val="0"/>
      <w:marBottom w:val="0"/>
      <w:divBdr>
        <w:top w:val="none" w:sz="0" w:space="0" w:color="auto"/>
        <w:left w:val="none" w:sz="0" w:space="0" w:color="auto"/>
        <w:bottom w:val="none" w:sz="0" w:space="0" w:color="auto"/>
        <w:right w:val="none" w:sz="0" w:space="0" w:color="auto"/>
      </w:divBdr>
    </w:div>
    <w:div w:id="659114116">
      <w:bodyDiv w:val="1"/>
      <w:marLeft w:val="0"/>
      <w:marRight w:val="0"/>
      <w:marTop w:val="0"/>
      <w:marBottom w:val="0"/>
      <w:divBdr>
        <w:top w:val="none" w:sz="0" w:space="0" w:color="auto"/>
        <w:left w:val="none" w:sz="0" w:space="0" w:color="auto"/>
        <w:bottom w:val="none" w:sz="0" w:space="0" w:color="auto"/>
        <w:right w:val="none" w:sz="0" w:space="0" w:color="auto"/>
      </w:divBdr>
    </w:div>
    <w:div w:id="709767156">
      <w:bodyDiv w:val="1"/>
      <w:marLeft w:val="0"/>
      <w:marRight w:val="0"/>
      <w:marTop w:val="0"/>
      <w:marBottom w:val="0"/>
      <w:divBdr>
        <w:top w:val="none" w:sz="0" w:space="0" w:color="auto"/>
        <w:left w:val="none" w:sz="0" w:space="0" w:color="auto"/>
        <w:bottom w:val="none" w:sz="0" w:space="0" w:color="auto"/>
        <w:right w:val="none" w:sz="0" w:space="0" w:color="auto"/>
      </w:divBdr>
    </w:div>
    <w:div w:id="753207731">
      <w:bodyDiv w:val="1"/>
      <w:marLeft w:val="0"/>
      <w:marRight w:val="0"/>
      <w:marTop w:val="0"/>
      <w:marBottom w:val="0"/>
      <w:divBdr>
        <w:top w:val="none" w:sz="0" w:space="0" w:color="auto"/>
        <w:left w:val="none" w:sz="0" w:space="0" w:color="auto"/>
        <w:bottom w:val="none" w:sz="0" w:space="0" w:color="auto"/>
        <w:right w:val="none" w:sz="0" w:space="0" w:color="auto"/>
      </w:divBdr>
    </w:div>
    <w:div w:id="753935859">
      <w:bodyDiv w:val="1"/>
      <w:marLeft w:val="0"/>
      <w:marRight w:val="0"/>
      <w:marTop w:val="0"/>
      <w:marBottom w:val="0"/>
      <w:divBdr>
        <w:top w:val="none" w:sz="0" w:space="0" w:color="auto"/>
        <w:left w:val="none" w:sz="0" w:space="0" w:color="auto"/>
        <w:bottom w:val="none" w:sz="0" w:space="0" w:color="auto"/>
        <w:right w:val="none" w:sz="0" w:space="0" w:color="auto"/>
      </w:divBdr>
    </w:div>
    <w:div w:id="1014189248">
      <w:bodyDiv w:val="1"/>
      <w:marLeft w:val="0"/>
      <w:marRight w:val="0"/>
      <w:marTop w:val="0"/>
      <w:marBottom w:val="0"/>
      <w:divBdr>
        <w:top w:val="none" w:sz="0" w:space="0" w:color="auto"/>
        <w:left w:val="none" w:sz="0" w:space="0" w:color="auto"/>
        <w:bottom w:val="none" w:sz="0" w:space="0" w:color="auto"/>
        <w:right w:val="none" w:sz="0" w:space="0" w:color="auto"/>
      </w:divBdr>
    </w:div>
    <w:div w:id="1131359534">
      <w:bodyDiv w:val="1"/>
      <w:marLeft w:val="0"/>
      <w:marRight w:val="0"/>
      <w:marTop w:val="0"/>
      <w:marBottom w:val="0"/>
      <w:divBdr>
        <w:top w:val="none" w:sz="0" w:space="0" w:color="auto"/>
        <w:left w:val="none" w:sz="0" w:space="0" w:color="auto"/>
        <w:bottom w:val="none" w:sz="0" w:space="0" w:color="auto"/>
        <w:right w:val="none" w:sz="0" w:space="0" w:color="auto"/>
      </w:divBdr>
    </w:div>
    <w:div w:id="1164509765">
      <w:bodyDiv w:val="1"/>
      <w:marLeft w:val="0"/>
      <w:marRight w:val="0"/>
      <w:marTop w:val="0"/>
      <w:marBottom w:val="0"/>
      <w:divBdr>
        <w:top w:val="none" w:sz="0" w:space="0" w:color="auto"/>
        <w:left w:val="none" w:sz="0" w:space="0" w:color="auto"/>
        <w:bottom w:val="none" w:sz="0" w:space="0" w:color="auto"/>
        <w:right w:val="none" w:sz="0" w:space="0" w:color="auto"/>
      </w:divBdr>
    </w:div>
    <w:div w:id="1248268474">
      <w:bodyDiv w:val="1"/>
      <w:marLeft w:val="0"/>
      <w:marRight w:val="0"/>
      <w:marTop w:val="0"/>
      <w:marBottom w:val="0"/>
      <w:divBdr>
        <w:top w:val="none" w:sz="0" w:space="0" w:color="auto"/>
        <w:left w:val="none" w:sz="0" w:space="0" w:color="auto"/>
        <w:bottom w:val="none" w:sz="0" w:space="0" w:color="auto"/>
        <w:right w:val="none" w:sz="0" w:space="0" w:color="auto"/>
      </w:divBdr>
    </w:div>
    <w:div w:id="1408185694">
      <w:bodyDiv w:val="1"/>
      <w:marLeft w:val="0"/>
      <w:marRight w:val="0"/>
      <w:marTop w:val="0"/>
      <w:marBottom w:val="0"/>
      <w:divBdr>
        <w:top w:val="none" w:sz="0" w:space="0" w:color="auto"/>
        <w:left w:val="none" w:sz="0" w:space="0" w:color="auto"/>
        <w:bottom w:val="none" w:sz="0" w:space="0" w:color="auto"/>
        <w:right w:val="none" w:sz="0" w:space="0" w:color="auto"/>
      </w:divBdr>
    </w:div>
    <w:div w:id="1513765897">
      <w:bodyDiv w:val="1"/>
      <w:marLeft w:val="0"/>
      <w:marRight w:val="0"/>
      <w:marTop w:val="0"/>
      <w:marBottom w:val="0"/>
      <w:divBdr>
        <w:top w:val="none" w:sz="0" w:space="0" w:color="auto"/>
        <w:left w:val="none" w:sz="0" w:space="0" w:color="auto"/>
        <w:bottom w:val="none" w:sz="0" w:space="0" w:color="auto"/>
        <w:right w:val="none" w:sz="0" w:space="0" w:color="auto"/>
      </w:divBdr>
    </w:div>
    <w:div w:id="1596548290">
      <w:bodyDiv w:val="1"/>
      <w:marLeft w:val="0"/>
      <w:marRight w:val="0"/>
      <w:marTop w:val="0"/>
      <w:marBottom w:val="0"/>
      <w:divBdr>
        <w:top w:val="none" w:sz="0" w:space="0" w:color="auto"/>
        <w:left w:val="none" w:sz="0" w:space="0" w:color="auto"/>
        <w:bottom w:val="none" w:sz="0" w:space="0" w:color="auto"/>
        <w:right w:val="none" w:sz="0" w:space="0" w:color="auto"/>
      </w:divBdr>
    </w:div>
    <w:div w:id="1644702169">
      <w:bodyDiv w:val="1"/>
      <w:marLeft w:val="0"/>
      <w:marRight w:val="0"/>
      <w:marTop w:val="0"/>
      <w:marBottom w:val="0"/>
      <w:divBdr>
        <w:top w:val="none" w:sz="0" w:space="0" w:color="auto"/>
        <w:left w:val="none" w:sz="0" w:space="0" w:color="auto"/>
        <w:bottom w:val="none" w:sz="0" w:space="0" w:color="auto"/>
        <w:right w:val="none" w:sz="0" w:space="0" w:color="auto"/>
      </w:divBdr>
    </w:div>
    <w:div w:id="1670517872">
      <w:bodyDiv w:val="1"/>
      <w:marLeft w:val="0"/>
      <w:marRight w:val="0"/>
      <w:marTop w:val="0"/>
      <w:marBottom w:val="0"/>
      <w:divBdr>
        <w:top w:val="none" w:sz="0" w:space="0" w:color="auto"/>
        <w:left w:val="none" w:sz="0" w:space="0" w:color="auto"/>
        <w:bottom w:val="none" w:sz="0" w:space="0" w:color="auto"/>
        <w:right w:val="none" w:sz="0" w:space="0" w:color="auto"/>
      </w:divBdr>
    </w:div>
    <w:div w:id="1722552203">
      <w:bodyDiv w:val="1"/>
      <w:marLeft w:val="0"/>
      <w:marRight w:val="0"/>
      <w:marTop w:val="0"/>
      <w:marBottom w:val="0"/>
      <w:divBdr>
        <w:top w:val="none" w:sz="0" w:space="0" w:color="auto"/>
        <w:left w:val="none" w:sz="0" w:space="0" w:color="auto"/>
        <w:bottom w:val="none" w:sz="0" w:space="0" w:color="auto"/>
        <w:right w:val="none" w:sz="0" w:space="0" w:color="auto"/>
      </w:divBdr>
    </w:div>
    <w:div w:id="1730499874">
      <w:bodyDiv w:val="1"/>
      <w:marLeft w:val="0"/>
      <w:marRight w:val="0"/>
      <w:marTop w:val="0"/>
      <w:marBottom w:val="0"/>
      <w:divBdr>
        <w:top w:val="none" w:sz="0" w:space="0" w:color="auto"/>
        <w:left w:val="none" w:sz="0" w:space="0" w:color="auto"/>
        <w:bottom w:val="none" w:sz="0" w:space="0" w:color="auto"/>
        <w:right w:val="none" w:sz="0" w:space="0" w:color="auto"/>
      </w:divBdr>
    </w:div>
    <w:div w:id="1812988045">
      <w:bodyDiv w:val="1"/>
      <w:marLeft w:val="0"/>
      <w:marRight w:val="0"/>
      <w:marTop w:val="0"/>
      <w:marBottom w:val="0"/>
      <w:divBdr>
        <w:top w:val="none" w:sz="0" w:space="0" w:color="auto"/>
        <w:left w:val="none" w:sz="0" w:space="0" w:color="auto"/>
        <w:bottom w:val="none" w:sz="0" w:space="0" w:color="auto"/>
        <w:right w:val="none" w:sz="0" w:space="0" w:color="auto"/>
      </w:divBdr>
    </w:div>
    <w:div w:id="2054841413">
      <w:bodyDiv w:val="1"/>
      <w:marLeft w:val="0"/>
      <w:marRight w:val="0"/>
      <w:marTop w:val="0"/>
      <w:marBottom w:val="0"/>
      <w:divBdr>
        <w:top w:val="none" w:sz="0" w:space="0" w:color="auto"/>
        <w:left w:val="none" w:sz="0" w:space="0" w:color="auto"/>
        <w:bottom w:val="none" w:sz="0" w:space="0" w:color="auto"/>
        <w:right w:val="none" w:sz="0" w:space="0" w:color="auto"/>
      </w:divBdr>
    </w:div>
    <w:div w:id="20637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obo/AppData/Local/Microsoft/Windows/INetCache/Content.MSO/7AAF2E51.xlsx" TargetMode="External"/><Relationship Id="rId21" Type="http://schemas.openxmlformats.org/officeDocument/2006/relationships/footer" Target="footer4.xml"/><Relationship Id="rId42" Type="http://schemas.openxmlformats.org/officeDocument/2006/relationships/hyperlink" Target="file:///C:/Users/ALobo/AppData/Local/Microsoft/Windows/INetCache/Content.MSO/7AAF2E51.xlsx" TargetMode="External"/><Relationship Id="rId63" Type="http://schemas.openxmlformats.org/officeDocument/2006/relationships/hyperlink" Target="file:///C:/Users/ALobo/AppData/Local/Microsoft/Windows/INetCache/Content.MSO/7AAF2E51.xlsx" TargetMode="External"/><Relationship Id="rId84" Type="http://schemas.openxmlformats.org/officeDocument/2006/relationships/hyperlink" Target="file:///C:/Users/ALobo/AppData/Local/Microsoft/Windows/INetCache/Content.MSO/7AAF2E51.xlsx" TargetMode="External"/><Relationship Id="rId138" Type="http://schemas.openxmlformats.org/officeDocument/2006/relationships/hyperlink" Target="file:///C:/Users/ALobo/AppData/Local/Microsoft/Windows/INetCache/Content.MSO/7AAF2E51.xlsx" TargetMode="External"/><Relationship Id="rId107" Type="http://schemas.openxmlformats.org/officeDocument/2006/relationships/hyperlink" Target="file:///C:/Users/ALobo/AppData/Local/Microsoft/Windows/INetCache/Content.MSO/7AAF2E51.xlsx" TargetMode="External"/><Relationship Id="rId11" Type="http://schemas.openxmlformats.org/officeDocument/2006/relationships/hyperlink" Target="http://i.creativecommons.org/l/by/3.0/88x31.png" TargetMode="External"/><Relationship Id="rId32" Type="http://schemas.openxmlformats.org/officeDocument/2006/relationships/footer" Target="footer8.xml"/><Relationship Id="rId53" Type="http://schemas.openxmlformats.org/officeDocument/2006/relationships/hyperlink" Target="file:///C:/Users/ALobo/AppData/Local/Microsoft/Windows/INetCache/Content.MSO/7AAF2E51.xlsx" TargetMode="External"/><Relationship Id="rId74" Type="http://schemas.openxmlformats.org/officeDocument/2006/relationships/hyperlink" Target="file:///C:/Users/ALobo/AppData/Local/Microsoft/Windows/INetCache/Content.MSO/7AAF2E51.xlsx" TargetMode="External"/><Relationship Id="rId128" Type="http://schemas.openxmlformats.org/officeDocument/2006/relationships/hyperlink" Target="file:///C:/Users/ALobo/AppData/Local/Microsoft/Windows/INetCache/Content.MSO/7AAF2E51.xlsx" TargetMode="External"/><Relationship Id="rId149" Type="http://schemas.openxmlformats.org/officeDocument/2006/relationships/footer" Target="footer10.xml"/><Relationship Id="rId5" Type="http://schemas.openxmlformats.org/officeDocument/2006/relationships/webSettings" Target="webSettings.xml"/><Relationship Id="rId95" Type="http://schemas.openxmlformats.org/officeDocument/2006/relationships/hyperlink" Target="file:///C:/Users/ALobo/AppData/Local/Microsoft/Windows/INetCache/Content.MSO/7AAF2E51.xlsx" TargetMode="External"/><Relationship Id="rId22" Type="http://schemas.openxmlformats.org/officeDocument/2006/relationships/footer" Target="footer5.xml"/><Relationship Id="rId27" Type="http://schemas.openxmlformats.org/officeDocument/2006/relationships/hyperlink" Target="https://docdb.cept.org/download/2569" TargetMode="External"/><Relationship Id="rId43" Type="http://schemas.openxmlformats.org/officeDocument/2006/relationships/hyperlink" Target="file:///C:/Users/ALobo/AppData/Local/Microsoft/Windows/INetCache/Content.MSO/7AAF2E51.xlsx" TargetMode="External"/><Relationship Id="rId48" Type="http://schemas.openxmlformats.org/officeDocument/2006/relationships/hyperlink" Target="file:///C:/Users/ALobo/AppData/Local/Microsoft/Windows/INetCache/Content.MSO/7AAF2E51.xlsx" TargetMode="External"/><Relationship Id="rId64" Type="http://schemas.openxmlformats.org/officeDocument/2006/relationships/hyperlink" Target="file:///C:/Users/ALobo/AppData/Local/Microsoft/Windows/INetCache/Content.MSO/7AAF2E51.xlsx" TargetMode="External"/><Relationship Id="rId69" Type="http://schemas.openxmlformats.org/officeDocument/2006/relationships/hyperlink" Target="file:///C:/Users/ALobo/AppData/Local/Microsoft/Windows/INetCache/Content.MSO/7AAF2E51.xlsx" TargetMode="External"/><Relationship Id="rId113" Type="http://schemas.openxmlformats.org/officeDocument/2006/relationships/hyperlink" Target="file:///C:/Users/ALobo/AppData/Local/Microsoft/Windows/INetCache/Content.MSO/7AAF2E51.xlsx" TargetMode="External"/><Relationship Id="rId118" Type="http://schemas.openxmlformats.org/officeDocument/2006/relationships/hyperlink" Target="file:///C:/Users/ALobo/AppData/Local/Microsoft/Windows/INetCache/Content.MSO/7AAF2E51.xlsx" TargetMode="External"/><Relationship Id="rId134" Type="http://schemas.openxmlformats.org/officeDocument/2006/relationships/hyperlink" Target="file:///C:/Users/ALobo/AppData/Local/Microsoft/Windows/INetCache/Content.MSO/7AAF2E51.xlsx" TargetMode="External"/><Relationship Id="rId139" Type="http://schemas.openxmlformats.org/officeDocument/2006/relationships/hyperlink" Target="file:///C:/Users/ALobo/AppData/Local/Microsoft/Windows/INetCache/Content.MSO/7AAF2E51.xlsx" TargetMode="External"/><Relationship Id="rId80" Type="http://schemas.openxmlformats.org/officeDocument/2006/relationships/hyperlink" Target="file:///C:/Users/ALobo/AppData/Local/Microsoft/Windows/INetCache/Content.MSO/7AAF2E51.xlsx" TargetMode="External"/><Relationship Id="rId85" Type="http://schemas.openxmlformats.org/officeDocument/2006/relationships/hyperlink" Target="file:///C:/Users/ALobo/AppData/Local/Microsoft/Windows/INetCache/Content.MSO/7AAF2E51.xlsx" TargetMode="External"/><Relationship Id="rId150"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footer" Target="footer2.xml"/><Relationship Id="rId33" Type="http://schemas.openxmlformats.org/officeDocument/2006/relationships/hyperlink" Target="file:///C:/Users/ALobo/AppData/Local/Microsoft/Windows/INetCache/Content.MSO/7AAF2E51.xlsx" TargetMode="External"/><Relationship Id="rId38" Type="http://schemas.openxmlformats.org/officeDocument/2006/relationships/hyperlink" Target="file:///C:/Users/ALobo/AppData/Local/Microsoft/Windows/INetCache/Content.MSO/7AAF2E51.xlsx" TargetMode="External"/><Relationship Id="rId59" Type="http://schemas.openxmlformats.org/officeDocument/2006/relationships/hyperlink" Target="file:///C:/Users/ALobo/AppData/Local/Microsoft/Windows/INetCache/Content.MSO/7AAF2E51.xlsx" TargetMode="External"/><Relationship Id="rId103" Type="http://schemas.openxmlformats.org/officeDocument/2006/relationships/hyperlink" Target="file:///C:/Users/ALobo/AppData/Local/Microsoft/Windows/INetCache/Content.MSO/7AAF2E51.xlsx" TargetMode="External"/><Relationship Id="rId108" Type="http://schemas.openxmlformats.org/officeDocument/2006/relationships/hyperlink" Target="file:///C:/Users/ALobo/AppData/Local/Microsoft/Windows/INetCache/Content.MSO/7AAF2E51.xlsx" TargetMode="External"/><Relationship Id="rId124" Type="http://schemas.openxmlformats.org/officeDocument/2006/relationships/hyperlink" Target="file:///C:/Users/ALobo/AppData/Local/Microsoft/Windows/INetCache/Content.MSO/7AAF2E51.xlsx" TargetMode="External"/><Relationship Id="rId129" Type="http://schemas.openxmlformats.org/officeDocument/2006/relationships/hyperlink" Target="file:///C:/Users/ALobo/AppData/Local/Microsoft/Windows/INetCache/Content.MSO/7AAF2E51.xlsx" TargetMode="External"/><Relationship Id="rId54" Type="http://schemas.openxmlformats.org/officeDocument/2006/relationships/hyperlink" Target="file:///C:/Users/ALobo/AppData/Local/Microsoft/Windows/INetCache/Content.MSO/7AAF2E51.xlsx" TargetMode="External"/><Relationship Id="rId70" Type="http://schemas.openxmlformats.org/officeDocument/2006/relationships/hyperlink" Target="file:///C:/Users/ALobo/AppData/Local/Microsoft/Windows/INetCache/Content.MSO/7AAF2E51.xlsx" TargetMode="External"/><Relationship Id="rId75" Type="http://schemas.openxmlformats.org/officeDocument/2006/relationships/hyperlink" Target="file:///C:/Users/ALobo/AppData/Local/Microsoft/Windows/INetCache/Content.MSO/7AAF2E51.xlsx" TargetMode="External"/><Relationship Id="rId91" Type="http://schemas.openxmlformats.org/officeDocument/2006/relationships/hyperlink" Target="file:///C:/Users/ALobo/AppData/Local/Microsoft/Windows/INetCache/Content.MSO/7AAF2E51.xlsx" TargetMode="External"/><Relationship Id="rId96" Type="http://schemas.openxmlformats.org/officeDocument/2006/relationships/hyperlink" Target="file:///C:/Users/ALobo/AppData/Local/Microsoft/Windows/INetCache/Content.MSO/7AAF2E51.xlsx" TargetMode="External"/><Relationship Id="rId140" Type="http://schemas.openxmlformats.org/officeDocument/2006/relationships/hyperlink" Target="file:///C:/Users/ALobo/AppData/Local/Microsoft/Windows/INetCache/Content.MSO/7AAF2E51.xlsx" TargetMode="External"/><Relationship Id="rId145" Type="http://schemas.openxmlformats.org/officeDocument/2006/relationships/hyperlink" Target="file:///C:/Users/ALobo/AppData/Local/Microsoft/Windows/INetCache/Content.MSO/7AAF2E51.xls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yperlink" Target="https://www.finance.gov.au/resource-management/charging-framework/risk-assessment-template/" TargetMode="External"/><Relationship Id="rId49" Type="http://schemas.openxmlformats.org/officeDocument/2006/relationships/hyperlink" Target="file:///C:/Users/ALobo/AppData/Local/Microsoft/Windows/INetCache/Content.MSO/7AAF2E51.xlsx" TargetMode="External"/><Relationship Id="rId114" Type="http://schemas.openxmlformats.org/officeDocument/2006/relationships/hyperlink" Target="file:///C:/Users/ALobo/AppData/Local/Microsoft/Windows/INetCache/Content.MSO/7AAF2E51.xlsx" TargetMode="External"/><Relationship Id="rId119" Type="http://schemas.openxmlformats.org/officeDocument/2006/relationships/hyperlink" Target="file:///C:/Users/ALobo/AppData/Local/Microsoft/Windows/INetCache/Content.MSO/7AAF2E51.xlsx" TargetMode="External"/><Relationship Id="rId44" Type="http://schemas.openxmlformats.org/officeDocument/2006/relationships/hyperlink" Target="file:///C:/Users/ALobo/AppData/Local/Microsoft/Windows/INetCache/Content.MSO/7AAF2E51.xlsx" TargetMode="External"/><Relationship Id="rId60" Type="http://schemas.openxmlformats.org/officeDocument/2006/relationships/hyperlink" Target="file:///C:/Users/ALobo/AppData/Local/Microsoft/Windows/INetCache/Content.MSO/7AAF2E51.xlsx" TargetMode="External"/><Relationship Id="rId65" Type="http://schemas.openxmlformats.org/officeDocument/2006/relationships/hyperlink" Target="file:///C:/Users/ALobo/AppData/Local/Microsoft/Windows/INetCache/Content.MSO/7AAF2E51.xlsx" TargetMode="External"/><Relationship Id="rId81" Type="http://schemas.openxmlformats.org/officeDocument/2006/relationships/hyperlink" Target="file:///C:/Users/ALobo/AppData/Local/Microsoft/Windows/INetCache/Content.MSO/7AAF2E51.xlsx" TargetMode="External"/><Relationship Id="rId86" Type="http://schemas.openxmlformats.org/officeDocument/2006/relationships/hyperlink" Target="file:///C:/Users/ALobo/AppData/Local/Microsoft/Windows/INetCache/Content.MSO/7AAF2E51.xlsx" TargetMode="External"/><Relationship Id="rId130" Type="http://schemas.openxmlformats.org/officeDocument/2006/relationships/hyperlink" Target="file:///C:/Users/ALobo/AppData/Local/Microsoft/Windows/INetCache/Content.MSO/7AAF2E51.xlsx" TargetMode="External"/><Relationship Id="rId135" Type="http://schemas.openxmlformats.org/officeDocument/2006/relationships/hyperlink" Target="file:///C:/Users/ALobo/AppData/Local/Microsoft/Windows/INetCache/Content.MSO/7AAF2E51.xlsx" TargetMode="External"/><Relationship Id="rId151" Type="http://schemas.openxmlformats.org/officeDocument/2006/relationships/theme" Target="theme/theme1.xml"/><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39" Type="http://schemas.openxmlformats.org/officeDocument/2006/relationships/hyperlink" Target="file:///C:/Users/ALobo/AppData/Local/Microsoft/Windows/INetCache/Content.MSO/7AAF2E51.xlsx" TargetMode="External"/><Relationship Id="rId109" Type="http://schemas.openxmlformats.org/officeDocument/2006/relationships/hyperlink" Target="file:///C:/Users/ALobo/AppData/Local/Microsoft/Windows/INetCache/Content.MSO/7AAF2E51.xlsx" TargetMode="External"/><Relationship Id="rId34" Type="http://schemas.openxmlformats.org/officeDocument/2006/relationships/hyperlink" Target="file:///C:/Users/ALobo/AppData/Local/Microsoft/Windows/INetCache/Content.MSO/7AAF2E51.xlsx" TargetMode="External"/><Relationship Id="rId50" Type="http://schemas.openxmlformats.org/officeDocument/2006/relationships/hyperlink" Target="file:///C:/Users/ALobo/AppData/Local/Microsoft/Windows/INetCache/Content.MSO/7AAF2E51.xlsx" TargetMode="External"/><Relationship Id="rId55" Type="http://schemas.openxmlformats.org/officeDocument/2006/relationships/hyperlink" Target="file:///C:/Users/ALobo/AppData/Local/Microsoft/Windows/INetCache/Content.MSO/7AAF2E51.xlsx" TargetMode="External"/><Relationship Id="rId76" Type="http://schemas.openxmlformats.org/officeDocument/2006/relationships/hyperlink" Target="file:///C:/Users/ALobo/AppData/Local/Microsoft/Windows/INetCache/Content.MSO/7AAF2E51.xlsx" TargetMode="External"/><Relationship Id="rId97" Type="http://schemas.openxmlformats.org/officeDocument/2006/relationships/hyperlink" Target="file:///C:/Users/ALobo/AppData/Local/Microsoft/Windows/INetCache/Content.MSO/7AAF2E51.xlsx" TargetMode="External"/><Relationship Id="rId104" Type="http://schemas.openxmlformats.org/officeDocument/2006/relationships/hyperlink" Target="file:///C:/Users/ALobo/AppData/Local/Microsoft/Windows/INetCache/Content.MSO/7AAF2E51.xlsx" TargetMode="External"/><Relationship Id="rId120" Type="http://schemas.openxmlformats.org/officeDocument/2006/relationships/hyperlink" Target="file:///C:/Users/ALobo/AppData/Local/Microsoft/Windows/INetCache/Content.MSO/7AAF2E51.xlsx" TargetMode="External"/><Relationship Id="rId125" Type="http://schemas.openxmlformats.org/officeDocument/2006/relationships/hyperlink" Target="file:///C:/Users/ALobo/AppData/Local/Microsoft/Windows/INetCache/Content.MSO/7AAF2E51.xlsx" TargetMode="External"/><Relationship Id="rId141" Type="http://schemas.openxmlformats.org/officeDocument/2006/relationships/hyperlink" Target="file:///C:/Users/ALobo/AppData/Local/Microsoft/Windows/INetCache/Content.MSO/7AAF2E51.xlsx" TargetMode="External"/><Relationship Id="rId146" Type="http://schemas.openxmlformats.org/officeDocument/2006/relationships/hyperlink" Target="file:///C:/Users/ALobo/AppData/Local/Microsoft/Windows/INetCache/Content.MSO/7AAF2E51.xlsx" TargetMode="External"/><Relationship Id="rId7" Type="http://schemas.openxmlformats.org/officeDocument/2006/relationships/endnotes" Target="endnotes.xml"/><Relationship Id="rId71" Type="http://schemas.openxmlformats.org/officeDocument/2006/relationships/hyperlink" Target="file:///C:/Users/ALobo/AppData/Local/Microsoft/Windows/INetCache/Content.MSO/7AAF2E51.xlsx" TargetMode="External"/><Relationship Id="rId92" Type="http://schemas.openxmlformats.org/officeDocument/2006/relationships/hyperlink" Target="file:///C:/Users/ALobo/AppData/Local/Microsoft/Windows/INetCache/Content.MSO/7AAF2E51.xlsx"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yperlink" Target="https://www.legislation.gov.au/Details/F2018C00916" TargetMode="External"/><Relationship Id="rId40" Type="http://schemas.openxmlformats.org/officeDocument/2006/relationships/hyperlink" Target="file:///C:/Users/ALobo/AppData/Local/Microsoft/Windows/INetCache/Content.MSO/7AAF2E51.xlsx" TargetMode="External"/><Relationship Id="rId45" Type="http://schemas.openxmlformats.org/officeDocument/2006/relationships/hyperlink" Target="file:///C:/Users/ALobo/AppData/Local/Microsoft/Windows/INetCache/Content.MSO/7AAF2E51.xlsx" TargetMode="External"/><Relationship Id="rId66" Type="http://schemas.openxmlformats.org/officeDocument/2006/relationships/hyperlink" Target="file:///C:/Users/ALobo/AppData/Local/Microsoft/Windows/INetCache/Content.MSO/7AAF2E51.xlsx" TargetMode="External"/><Relationship Id="rId87" Type="http://schemas.openxmlformats.org/officeDocument/2006/relationships/hyperlink" Target="file:///C:/Users/ALobo/AppData/Local/Microsoft/Windows/INetCache/Content.MSO/7AAF2E51.xlsx" TargetMode="External"/><Relationship Id="rId110" Type="http://schemas.openxmlformats.org/officeDocument/2006/relationships/hyperlink" Target="file:///C:/Users/ALobo/AppData/Local/Microsoft/Windows/INetCache/Content.MSO/7AAF2E51.xlsx" TargetMode="External"/><Relationship Id="rId115" Type="http://schemas.openxmlformats.org/officeDocument/2006/relationships/hyperlink" Target="file:///C:/Users/ALobo/AppData/Local/Microsoft/Windows/INetCache/Content.MSO/7AAF2E51.xlsx" TargetMode="External"/><Relationship Id="rId131" Type="http://schemas.openxmlformats.org/officeDocument/2006/relationships/hyperlink" Target="file:///C:/Users/ALobo/AppData/Local/Microsoft/Windows/INetCache/Content.MSO/7AAF2E51.xlsx" TargetMode="External"/><Relationship Id="rId136" Type="http://schemas.openxmlformats.org/officeDocument/2006/relationships/hyperlink" Target="file:///C:/Users/ALobo/AppData/Local/Microsoft/Windows/INetCache/Content.MSO/7AAF2E51.xlsx" TargetMode="External"/><Relationship Id="rId61" Type="http://schemas.openxmlformats.org/officeDocument/2006/relationships/hyperlink" Target="file:///C:/Users/ALobo/AppData/Local/Microsoft/Windows/INetCache/Content.MSO/7AAF2E51.xlsx" TargetMode="External"/><Relationship Id="rId82" Type="http://schemas.openxmlformats.org/officeDocument/2006/relationships/hyperlink" Target="file:///C:/Users/ALobo/AppData/Local/Microsoft/Windows/INetCache/Content.MSO/7AAF2E51.xlsx" TargetMode="External"/><Relationship Id="rId19" Type="http://schemas.openxmlformats.org/officeDocument/2006/relationships/header" Target="header5.xml"/><Relationship Id="rId14" Type="http://schemas.openxmlformats.org/officeDocument/2006/relationships/hyperlink" Target="mailto:candinfo@acma.gov.au" TargetMode="External"/><Relationship Id="rId30" Type="http://schemas.openxmlformats.org/officeDocument/2006/relationships/header" Target="header8.xml"/><Relationship Id="rId35" Type="http://schemas.openxmlformats.org/officeDocument/2006/relationships/hyperlink" Target="file:///C:/Users/ALobo/AppData/Local/Microsoft/Windows/INetCache/Content.MSO/7AAF2E51.xlsx" TargetMode="External"/><Relationship Id="rId56" Type="http://schemas.openxmlformats.org/officeDocument/2006/relationships/hyperlink" Target="file:///C:/Users/ALobo/AppData/Local/Microsoft/Windows/INetCache/Content.MSO/7AAF2E51.xlsx" TargetMode="External"/><Relationship Id="rId77" Type="http://schemas.openxmlformats.org/officeDocument/2006/relationships/hyperlink" Target="file:///C:/Users/ALobo/AppData/Local/Microsoft/Windows/INetCache/Content.MSO/7AAF2E51.xlsx" TargetMode="External"/><Relationship Id="rId100" Type="http://schemas.openxmlformats.org/officeDocument/2006/relationships/hyperlink" Target="file:///C:/Users/ALobo/AppData/Local/Microsoft/Windows/INetCache/Content.MSO/7AAF2E51.xlsx" TargetMode="External"/><Relationship Id="rId105" Type="http://schemas.openxmlformats.org/officeDocument/2006/relationships/hyperlink" Target="file:///C:/Users/ALobo/AppData/Local/Microsoft/Windows/INetCache/Content.MSO/7AAF2E51.xlsx" TargetMode="External"/><Relationship Id="rId126" Type="http://schemas.openxmlformats.org/officeDocument/2006/relationships/hyperlink" Target="file:///C:/Users/ALobo/AppData/Local/Microsoft/Windows/INetCache/Content.MSO/7AAF2E51.xlsx" TargetMode="External"/><Relationship Id="rId147" Type="http://schemas.openxmlformats.org/officeDocument/2006/relationships/hyperlink" Target="file:///C:/Users/ALobo/AppData/Local/Microsoft/Windows/INetCache/Content.MSO/7AAF2E51.xlsx" TargetMode="External"/><Relationship Id="rId8" Type="http://schemas.openxmlformats.org/officeDocument/2006/relationships/header" Target="header1.xml"/><Relationship Id="rId51" Type="http://schemas.openxmlformats.org/officeDocument/2006/relationships/hyperlink" Target="file:///C:/Users/ALobo/AppData/Local/Microsoft/Windows/INetCache/Content.MSO/7AAF2E51.xlsx" TargetMode="External"/><Relationship Id="rId72" Type="http://schemas.openxmlformats.org/officeDocument/2006/relationships/hyperlink" Target="file:///C:/Users/ALobo/AppData/Local/Microsoft/Windows/INetCache/Content.MSO/7AAF2E51.xlsx" TargetMode="External"/><Relationship Id="rId93" Type="http://schemas.openxmlformats.org/officeDocument/2006/relationships/hyperlink" Target="file:///C:/Users/ALobo/AppData/Local/Microsoft/Windows/INetCache/Content.MSO/7AAF2E51.xlsx" TargetMode="External"/><Relationship Id="rId98" Type="http://schemas.openxmlformats.org/officeDocument/2006/relationships/hyperlink" Target="file:///C:/Users/ALobo/AppData/Local/Microsoft/Windows/INetCache/Content.MSO/7AAF2E51.xlsx" TargetMode="External"/><Relationship Id="rId121" Type="http://schemas.openxmlformats.org/officeDocument/2006/relationships/hyperlink" Target="file:///C:/Users/ALobo/AppData/Local/Microsoft/Windows/INetCache/Content.MSO/7AAF2E51.xlsx" TargetMode="External"/><Relationship Id="rId142" Type="http://schemas.openxmlformats.org/officeDocument/2006/relationships/hyperlink" Target="file:///C:/Users/ALobo/AppData/Local/Microsoft/Windows/INetCache/Content.MSO/7AAF2E51.xlsx" TargetMode="External"/><Relationship Id="rId3" Type="http://schemas.openxmlformats.org/officeDocument/2006/relationships/styles" Target="styles.xml"/><Relationship Id="rId25" Type="http://schemas.openxmlformats.org/officeDocument/2006/relationships/hyperlink" Target="https://www.legislation.gov.au/Details/F2017C01074" TargetMode="External"/><Relationship Id="rId46" Type="http://schemas.openxmlformats.org/officeDocument/2006/relationships/hyperlink" Target="file:///C:/Users/ALobo/AppData/Local/Microsoft/Windows/INetCache/Content.MSO/7AAF2E51.xlsx" TargetMode="External"/><Relationship Id="rId67" Type="http://schemas.openxmlformats.org/officeDocument/2006/relationships/hyperlink" Target="file:///C:/Users/ALobo/AppData/Local/Microsoft/Windows/INetCache/Content.MSO/7AAF2E51.xlsx" TargetMode="External"/><Relationship Id="rId116" Type="http://schemas.openxmlformats.org/officeDocument/2006/relationships/hyperlink" Target="file:///C:/Users/ALobo/AppData/Local/Microsoft/Windows/INetCache/Content.MSO/7AAF2E51.xlsx" TargetMode="External"/><Relationship Id="rId137" Type="http://schemas.openxmlformats.org/officeDocument/2006/relationships/hyperlink" Target="file:///C:/Users/ALobo/AppData/Local/Microsoft/Windows/INetCache/Content.MSO/7AAF2E51.xlsx" TargetMode="External"/><Relationship Id="rId20" Type="http://schemas.openxmlformats.org/officeDocument/2006/relationships/header" Target="header6.xml"/><Relationship Id="rId41" Type="http://schemas.openxmlformats.org/officeDocument/2006/relationships/hyperlink" Target="file:///C:/Users/ALobo/AppData/Local/Microsoft/Windows/INetCache/Content.MSO/7AAF2E51.xlsx" TargetMode="External"/><Relationship Id="rId62" Type="http://schemas.openxmlformats.org/officeDocument/2006/relationships/hyperlink" Target="file:///C:/Users/ALobo/AppData/Local/Microsoft/Windows/INetCache/Content.MSO/7AAF2E51.xlsx" TargetMode="External"/><Relationship Id="rId83" Type="http://schemas.openxmlformats.org/officeDocument/2006/relationships/hyperlink" Target="file:///C:/Users/ALobo/AppData/Local/Microsoft/Windows/INetCache/Content.MSO/7AAF2E51.xlsx" TargetMode="External"/><Relationship Id="rId88" Type="http://schemas.openxmlformats.org/officeDocument/2006/relationships/hyperlink" Target="file:///C:/Users/ALobo/AppData/Local/Microsoft/Windows/INetCache/Content.MSO/7AAF2E51.xlsx" TargetMode="External"/><Relationship Id="rId111" Type="http://schemas.openxmlformats.org/officeDocument/2006/relationships/hyperlink" Target="file:///C:/Users/ALobo/AppData/Local/Microsoft/Windows/INetCache/Content.MSO/7AAF2E51.xlsx" TargetMode="External"/><Relationship Id="rId132" Type="http://schemas.openxmlformats.org/officeDocument/2006/relationships/hyperlink" Target="file:///C:/Users/ALobo/AppData/Local/Microsoft/Windows/INetCache/Content.MSO/7AAF2E51.xlsx" TargetMode="External"/><Relationship Id="rId15" Type="http://schemas.openxmlformats.org/officeDocument/2006/relationships/header" Target="header3.xml"/><Relationship Id="rId36" Type="http://schemas.openxmlformats.org/officeDocument/2006/relationships/hyperlink" Target="file:///C:/Users/ALobo/AppData/Local/Microsoft/Windows/INetCache/Content.MSO/7AAF2E51.xlsx" TargetMode="External"/><Relationship Id="rId57" Type="http://schemas.openxmlformats.org/officeDocument/2006/relationships/hyperlink" Target="file:///C:/Users/ALobo/AppData/Local/Microsoft/Windows/INetCache/Content.MSO/7AAF2E51.xlsx" TargetMode="External"/><Relationship Id="rId106" Type="http://schemas.openxmlformats.org/officeDocument/2006/relationships/hyperlink" Target="file:///C:/Users/ALobo/AppData/Local/Microsoft/Windows/INetCache/Content.MSO/7AAF2E51.xlsx" TargetMode="External"/><Relationship Id="rId127" Type="http://schemas.openxmlformats.org/officeDocument/2006/relationships/hyperlink" Target="file:///C:/Users/ALobo/AppData/Local/Microsoft/Windows/INetCache/Content.MSO/7AAF2E51.xlsx" TargetMode="External"/><Relationship Id="rId10" Type="http://schemas.openxmlformats.org/officeDocument/2006/relationships/header" Target="header2.xml"/><Relationship Id="rId31" Type="http://schemas.openxmlformats.org/officeDocument/2006/relationships/footer" Target="footer7.xml"/><Relationship Id="rId52" Type="http://schemas.openxmlformats.org/officeDocument/2006/relationships/hyperlink" Target="file:///C:/Users/ALobo/AppData/Local/Microsoft/Windows/INetCache/Content.MSO/7AAF2E51.xlsx" TargetMode="External"/><Relationship Id="rId73" Type="http://schemas.openxmlformats.org/officeDocument/2006/relationships/hyperlink" Target="file:///C:/Users/ALobo/AppData/Local/Microsoft/Windows/INetCache/Content.MSO/7AAF2E51.xlsx" TargetMode="External"/><Relationship Id="rId78" Type="http://schemas.openxmlformats.org/officeDocument/2006/relationships/hyperlink" Target="file:///C:/Users/ALobo/AppData/Local/Microsoft/Windows/INetCache/Content.MSO/7AAF2E51.xlsx" TargetMode="External"/><Relationship Id="rId94" Type="http://schemas.openxmlformats.org/officeDocument/2006/relationships/hyperlink" Target="file:///C:/Users/ALobo/AppData/Local/Microsoft/Windows/INetCache/Content.MSO/7AAF2E51.xlsx" TargetMode="External"/><Relationship Id="rId99" Type="http://schemas.openxmlformats.org/officeDocument/2006/relationships/hyperlink" Target="file:///C:/Users/ALobo/AppData/Local/Microsoft/Windows/INetCache/Content.MSO/7AAF2E51.xlsx" TargetMode="External"/><Relationship Id="rId101" Type="http://schemas.openxmlformats.org/officeDocument/2006/relationships/hyperlink" Target="file:///C:/Users/ALobo/AppData/Local/Microsoft/Windows/INetCache/Content.MSO/7AAF2E51.xlsx" TargetMode="External"/><Relationship Id="rId122" Type="http://schemas.openxmlformats.org/officeDocument/2006/relationships/hyperlink" Target="file:///C:/Users/ALobo/AppData/Local/Microsoft/Windows/INetCache/Content.MSO/7AAF2E51.xlsx" TargetMode="External"/><Relationship Id="rId143" Type="http://schemas.openxmlformats.org/officeDocument/2006/relationships/hyperlink" Target="file:///C:/Users/ALobo/AppData/Local/Microsoft/Windows/INetCache/Content.MSO/7AAF2E51.xlsx" TargetMode="External"/><Relationship Id="rId148"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acma.gov.au/publications/2012-01/guide/australian-procedures-coordination-notification-satellite-systems" TargetMode="External"/><Relationship Id="rId47" Type="http://schemas.openxmlformats.org/officeDocument/2006/relationships/hyperlink" Target="file:///C:/Users/ALobo/AppData/Local/Microsoft/Windows/INetCache/Content.MSO/7AAF2E51.xlsx" TargetMode="External"/><Relationship Id="rId68" Type="http://schemas.openxmlformats.org/officeDocument/2006/relationships/hyperlink" Target="file:///C:/Users/ALobo/AppData/Local/Microsoft/Windows/INetCache/Content.MSO/7AAF2E51.xlsx" TargetMode="External"/><Relationship Id="rId89" Type="http://schemas.openxmlformats.org/officeDocument/2006/relationships/hyperlink" Target="file:///C:/Users/ALobo/AppData/Local/Microsoft/Windows/INetCache/Content.MSO/7AAF2E51.xlsx" TargetMode="External"/><Relationship Id="rId112" Type="http://schemas.openxmlformats.org/officeDocument/2006/relationships/hyperlink" Target="file:///C:/Users/ALobo/AppData/Local/Microsoft/Windows/INetCache/Content.MSO/7AAF2E51.xlsx" TargetMode="External"/><Relationship Id="rId133" Type="http://schemas.openxmlformats.org/officeDocument/2006/relationships/hyperlink" Target="file:///C:/Users/ALobo/AppData/Local/Microsoft/Windows/INetCache/Content.MSO/7AAF2E51.xlsx" TargetMode="External"/><Relationship Id="rId16" Type="http://schemas.openxmlformats.org/officeDocument/2006/relationships/header" Target="header4.xml"/><Relationship Id="rId37" Type="http://schemas.openxmlformats.org/officeDocument/2006/relationships/hyperlink" Target="file:///C:/Users/ALobo/AppData/Local/Microsoft/Windows/INetCache/Content.MSO/7AAF2E51.xlsx" TargetMode="External"/><Relationship Id="rId58" Type="http://schemas.openxmlformats.org/officeDocument/2006/relationships/hyperlink" Target="file:///C:/Users/ALobo/AppData/Local/Microsoft/Windows/INetCache/Content.MSO/7AAF2E51.xlsx" TargetMode="External"/><Relationship Id="rId79" Type="http://schemas.openxmlformats.org/officeDocument/2006/relationships/hyperlink" Target="file:///C:/Users/ALobo/AppData/Local/Microsoft/Windows/INetCache/Content.MSO/7AAF2E51.xlsx" TargetMode="External"/><Relationship Id="rId102" Type="http://schemas.openxmlformats.org/officeDocument/2006/relationships/hyperlink" Target="file:///C:/Users/ALobo/AppData/Local/Microsoft/Windows/INetCache/Content.MSO/7AAF2E51.xlsx" TargetMode="External"/><Relationship Id="rId123" Type="http://schemas.openxmlformats.org/officeDocument/2006/relationships/hyperlink" Target="file:///C:/Users/ALobo/AppData/Local/Microsoft/Windows/INetCache/Content.MSO/7AAF2E51.xlsx" TargetMode="External"/><Relationship Id="rId144" Type="http://schemas.openxmlformats.org/officeDocument/2006/relationships/hyperlink" Target="file:///C:/Users/ALobo/AppData/Local/Microsoft/Windows/INetCache/Content.MSO/7AAF2E51.xlsx" TargetMode="External"/><Relationship Id="rId90" Type="http://schemas.openxmlformats.org/officeDocument/2006/relationships/hyperlink" Target="file:///C:/Users/ALobo/AppData/Local/Microsoft/Windows/INetCache/Content.MSO/7AAF2E51.xls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816E-A99F-4489-8081-235954FA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17245</Words>
  <Characters>95020</Characters>
  <Application>Microsoft Office Word</Application>
  <DocSecurity>0</DocSecurity>
  <Lines>4131</Lines>
  <Paragraphs>3301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108964</CharactersWithSpaces>
  <SharedDoc>false</SharedDoc>
  <HyperlinkBase/>
  <HLinks>
    <vt:vector size="756" baseType="variant">
      <vt:variant>
        <vt:i4>3735641</vt:i4>
      </vt:variant>
      <vt:variant>
        <vt:i4>461</vt:i4>
      </vt:variant>
      <vt:variant>
        <vt:i4>0</vt:i4>
      </vt:variant>
      <vt:variant>
        <vt:i4>5</vt:i4>
      </vt:variant>
      <vt:variant>
        <vt:lpwstr>C:\Users\ALobo\AppData\Local\Microsoft\Windows\INetCache\Content.MSO\7AAF2E51.xlsx</vt:lpwstr>
      </vt:variant>
      <vt:variant>
        <vt:lpwstr>RANGE!I74</vt:lpwstr>
      </vt:variant>
      <vt:variant>
        <vt:i4>3670105</vt:i4>
      </vt:variant>
      <vt:variant>
        <vt:i4>458</vt:i4>
      </vt:variant>
      <vt:variant>
        <vt:i4>0</vt:i4>
      </vt:variant>
      <vt:variant>
        <vt:i4>5</vt:i4>
      </vt:variant>
      <vt:variant>
        <vt:lpwstr>C:\Users\ALobo\AppData\Local\Microsoft\Windows\INetCache\Content.MSO\7AAF2E51.xlsx</vt:lpwstr>
      </vt:variant>
      <vt:variant>
        <vt:lpwstr>RANGE!I67</vt:lpwstr>
      </vt:variant>
      <vt:variant>
        <vt:i4>3670105</vt:i4>
      </vt:variant>
      <vt:variant>
        <vt:i4>455</vt:i4>
      </vt:variant>
      <vt:variant>
        <vt:i4>0</vt:i4>
      </vt:variant>
      <vt:variant>
        <vt:i4>5</vt:i4>
      </vt:variant>
      <vt:variant>
        <vt:lpwstr>C:\Users\ALobo\AppData\Local\Microsoft\Windows\INetCache\Content.MSO\7AAF2E51.xlsx</vt:lpwstr>
      </vt:variant>
      <vt:variant>
        <vt:lpwstr>RANGE!I60</vt:lpwstr>
      </vt:variant>
      <vt:variant>
        <vt:i4>3997785</vt:i4>
      </vt:variant>
      <vt:variant>
        <vt:i4>452</vt:i4>
      </vt:variant>
      <vt:variant>
        <vt:i4>0</vt:i4>
      </vt:variant>
      <vt:variant>
        <vt:i4>5</vt:i4>
      </vt:variant>
      <vt:variant>
        <vt:lpwstr>C:\Users\ALobo\AppData\Local\Microsoft\Windows\INetCache\Content.MSO\7AAF2E51.xlsx</vt:lpwstr>
      </vt:variant>
      <vt:variant>
        <vt:lpwstr>RANGE!I38</vt:lpwstr>
      </vt:variant>
      <vt:variant>
        <vt:i4>3932249</vt:i4>
      </vt:variant>
      <vt:variant>
        <vt:i4>449</vt:i4>
      </vt:variant>
      <vt:variant>
        <vt:i4>0</vt:i4>
      </vt:variant>
      <vt:variant>
        <vt:i4>5</vt:i4>
      </vt:variant>
      <vt:variant>
        <vt:lpwstr>C:\Users\ALobo\AppData\Local\Microsoft\Windows\INetCache\Content.MSO\7AAF2E51.xlsx</vt:lpwstr>
      </vt:variant>
      <vt:variant>
        <vt:lpwstr>RANGE!I24</vt:lpwstr>
      </vt:variant>
      <vt:variant>
        <vt:i4>3932249</vt:i4>
      </vt:variant>
      <vt:variant>
        <vt:i4>446</vt:i4>
      </vt:variant>
      <vt:variant>
        <vt:i4>0</vt:i4>
      </vt:variant>
      <vt:variant>
        <vt:i4>5</vt:i4>
      </vt:variant>
      <vt:variant>
        <vt:lpwstr>C:\Users\ALobo\AppData\Local\Microsoft\Windows\INetCache\Content.MSO\7AAF2E51.xlsx</vt:lpwstr>
      </vt:variant>
      <vt:variant>
        <vt:lpwstr>RANGE!I2</vt:lpwstr>
      </vt:variant>
      <vt:variant>
        <vt:i4>3866708</vt:i4>
      </vt:variant>
      <vt:variant>
        <vt:i4>443</vt:i4>
      </vt:variant>
      <vt:variant>
        <vt:i4>0</vt:i4>
      </vt:variant>
      <vt:variant>
        <vt:i4>5</vt:i4>
      </vt:variant>
      <vt:variant>
        <vt:lpwstr>C:\Users\ALobo\AppData\Local\Microsoft\Windows\INetCache\Content.MSO\7AAF2E51.xlsx</vt:lpwstr>
      </vt:variant>
      <vt:variant>
        <vt:lpwstr>RANGE!D52</vt:lpwstr>
      </vt:variant>
      <vt:variant>
        <vt:i4>3997785</vt:i4>
      </vt:variant>
      <vt:variant>
        <vt:i4>440</vt:i4>
      </vt:variant>
      <vt:variant>
        <vt:i4>0</vt:i4>
      </vt:variant>
      <vt:variant>
        <vt:i4>5</vt:i4>
      </vt:variant>
      <vt:variant>
        <vt:lpwstr>C:\Users\ALobo\AppData\Local\Microsoft\Windows\INetCache\Content.MSO\7AAF2E51.xlsx</vt:lpwstr>
      </vt:variant>
      <vt:variant>
        <vt:lpwstr>RANGE!I37</vt:lpwstr>
      </vt:variant>
      <vt:variant>
        <vt:i4>3932249</vt:i4>
      </vt:variant>
      <vt:variant>
        <vt:i4>437</vt:i4>
      </vt:variant>
      <vt:variant>
        <vt:i4>0</vt:i4>
      </vt:variant>
      <vt:variant>
        <vt:i4>5</vt:i4>
      </vt:variant>
      <vt:variant>
        <vt:lpwstr>C:\Users\ALobo\AppData\Local\Microsoft\Windows\INetCache\Content.MSO\7AAF2E51.xlsx</vt:lpwstr>
      </vt:variant>
      <vt:variant>
        <vt:lpwstr>RANGE!I2</vt:lpwstr>
      </vt:variant>
      <vt:variant>
        <vt:i4>3670105</vt:i4>
      </vt:variant>
      <vt:variant>
        <vt:i4>434</vt:i4>
      </vt:variant>
      <vt:variant>
        <vt:i4>0</vt:i4>
      </vt:variant>
      <vt:variant>
        <vt:i4>5</vt:i4>
      </vt:variant>
      <vt:variant>
        <vt:lpwstr>C:\Users\ALobo\AppData\Local\Microsoft\Windows\INetCache\Content.MSO\7AAF2E51.xlsx</vt:lpwstr>
      </vt:variant>
      <vt:variant>
        <vt:lpwstr>RANGE!I64</vt:lpwstr>
      </vt:variant>
      <vt:variant>
        <vt:i4>3866713</vt:i4>
      </vt:variant>
      <vt:variant>
        <vt:i4>431</vt:i4>
      </vt:variant>
      <vt:variant>
        <vt:i4>0</vt:i4>
      </vt:variant>
      <vt:variant>
        <vt:i4>5</vt:i4>
      </vt:variant>
      <vt:variant>
        <vt:lpwstr>C:\Users\ALobo\AppData\Local\Microsoft\Windows\INetCache\Content.MSO\7AAF2E51.xlsx</vt:lpwstr>
      </vt:variant>
      <vt:variant>
        <vt:lpwstr>RANGE!I56</vt:lpwstr>
      </vt:variant>
      <vt:variant>
        <vt:i4>3932249</vt:i4>
      </vt:variant>
      <vt:variant>
        <vt:i4>428</vt:i4>
      </vt:variant>
      <vt:variant>
        <vt:i4>0</vt:i4>
      </vt:variant>
      <vt:variant>
        <vt:i4>5</vt:i4>
      </vt:variant>
      <vt:variant>
        <vt:lpwstr>C:\Users\ALobo\AppData\Local\Microsoft\Windows\INetCache\Content.MSO\7AAF2E51.xlsx</vt:lpwstr>
      </vt:variant>
      <vt:variant>
        <vt:lpwstr>RANGE!I29</vt:lpwstr>
      </vt:variant>
      <vt:variant>
        <vt:i4>3932249</vt:i4>
      </vt:variant>
      <vt:variant>
        <vt:i4>425</vt:i4>
      </vt:variant>
      <vt:variant>
        <vt:i4>0</vt:i4>
      </vt:variant>
      <vt:variant>
        <vt:i4>5</vt:i4>
      </vt:variant>
      <vt:variant>
        <vt:lpwstr>C:\Users\ALobo\AppData\Local\Microsoft\Windows\INetCache\Content.MSO\7AAF2E51.xlsx</vt:lpwstr>
      </vt:variant>
      <vt:variant>
        <vt:lpwstr>RANGE!I21</vt:lpwstr>
      </vt:variant>
      <vt:variant>
        <vt:i4>3932249</vt:i4>
      </vt:variant>
      <vt:variant>
        <vt:i4>422</vt:i4>
      </vt:variant>
      <vt:variant>
        <vt:i4>0</vt:i4>
      </vt:variant>
      <vt:variant>
        <vt:i4>5</vt:i4>
      </vt:variant>
      <vt:variant>
        <vt:lpwstr>C:\Users\ALobo\AppData\Local\Microsoft\Windows\INetCache\Content.MSO\7AAF2E51.xlsx</vt:lpwstr>
      </vt:variant>
      <vt:variant>
        <vt:lpwstr>RANGE!I2</vt:lpwstr>
      </vt:variant>
      <vt:variant>
        <vt:i4>3932249</vt:i4>
      </vt:variant>
      <vt:variant>
        <vt:i4>419</vt:i4>
      </vt:variant>
      <vt:variant>
        <vt:i4>0</vt:i4>
      </vt:variant>
      <vt:variant>
        <vt:i4>5</vt:i4>
      </vt:variant>
      <vt:variant>
        <vt:lpwstr>C:\Users\ALobo\AppData\Local\Microsoft\Windows\INetCache\Content.MSO\7AAF2E51.xlsx</vt:lpwstr>
      </vt:variant>
      <vt:variant>
        <vt:lpwstr>RANGE!I23</vt:lpwstr>
      </vt:variant>
      <vt:variant>
        <vt:i4>4128857</vt:i4>
      </vt:variant>
      <vt:variant>
        <vt:i4>416</vt:i4>
      </vt:variant>
      <vt:variant>
        <vt:i4>0</vt:i4>
      </vt:variant>
      <vt:variant>
        <vt:i4>5</vt:i4>
      </vt:variant>
      <vt:variant>
        <vt:lpwstr>C:\Users\ALobo\AppData\Local\Microsoft\Windows\INetCache\Content.MSO\7AAF2E51.xlsx</vt:lpwstr>
      </vt:variant>
      <vt:variant>
        <vt:lpwstr>RANGE!I16</vt:lpwstr>
      </vt:variant>
      <vt:variant>
        <vt:i4>3932249</vt:i4>
      </vt:variant>
      <vt:variant>
        <vt:i4>413</vt:i4>
      </vt:variant>
      <vt:variant>
        <vt:i4>0</vt:i4>
      </vt:variant>
      <vt:variant>
        <vt:i4>5</vt:i4>
      </vt:variant>
      <vt:variant>
        <vt:lpwstr>C:\Users\ALobo\AppData\Local\Microsoft\Windows\INetCache\Content.MSO\7AAF2E51.xlsx</vt:lpwstr>
      </vt:variant>
      <vt:variant>
        <vt:lpwstr>RANGE!I2</vt:lpwstr>
      </vt:variant>
      <vt:variant>
        <vt:i4>3866708</vt:i4>
      </vt:variant>
      <vt:variant>
        <vt:i4>410</vt:i4>
      </vt:variant>
      <vt:variant>
        <vt:i4>0</vt:i4>
      </vt:variant>
      <vt:variant>
        <vt:i4>5</vt:i4>
      </vt:variant>
      <vt:variant>
        <vt:lpwstr>C:\Users\ALobo\AppData\Local\Microsoft\Windows\INetCache\Content.MSO\7AAF2E51.xlsx</vt:lpwstr>
      </vt:variant>
      <vt:variant>
        <vt:lpwstr>RANGE!D52</vt:lpwstr>
      </vt:variant>
      <vt:variant>
        <vt:i4>3932249</vt:i4>
      </vt:variant>
      <vt:variant>
        <vt:i4>407</vt:i4>
      </vt:variant>
      <vt:variant>
        <vt:i4>0</vt:i4>
      </vt:variant>
      <vt:variant>
        <vt:i4>5</vt:i4>
      </vt:variant>
      <vt:variant>
        <vt:lpwstr>C:\Users\ALobo\AppData\Local\Microsoft\Windows\INetCache\Content.MSO\7AAF2E51.xlsx</vt:lpwstr>
      </vt:variant>
      <vt:variant>
        <vt:lpwstr>RANGE!I2</vt:lpwstr>
      </vt:variant>
      <vt:variant>
        <vt:i4>4128853</vt:i4>
      </vt:variant>
      <vt:variant>
        <vt:i4>402</vt:i4>
      </vt:variant>
      <vt:variant>
        <vt:i4>0</vt:i4>
      </vt:variant>
      <vt:variant>
        <vt:i4>5</vt:i4>
      </vt:variant>
      <vt:variant>
        <vt:lpwstr>C:\Users\ALobo\AppData\Local\Microsoft\Windows\INetCache\Content.MSO\7AAF2E51.xlsx</vt:lpwstr>
      </vt:variant>
      <vt:variant>
        <vt:lpwstr>RANGE!E19</vt:lpwstr>
      </vt:variant>
      <vt:variant>
        <vt:i4>3932245</vt:i4>
      </vt:variant>
      <vt:variant>
        <vt:i4>399</vt:i4>
      </vt:variant>
      <vt:variant>
        <vt:i4>0</vt:i4>
      </vt:variant>
      <vt:variant>
        <vt:i4>5</vt:i4>
      </vt:variant>
      <vt:variant>
        <vt:lpwstr>C:\Users\ALobo\AppData\Local\Microsoft\Windows\INetCache\Content.MSO\7AAF2E51.xlsx</vt:lpwstr>
      </vt:variant>
      <vt:variant>
        <vt:lpwstr>RANGE!E2</vt:lpwstr>
      </vt:variant>
      <vt:variant>
        <vt:i4>3866708</vt:i4>
      </vt:variant>
      <vt:variant>
        <vt:i4>395</vt:i4>
      </vt:variant>
      <vt:variant>
        <vt:i4>0</vt:i4>
      </vt:variant>
      <vt:variant>
        <vt:i4>5</vt:i4>
      </vt:variant>
      <vt:variant>
        <vt:lpwstr>C:\Users\ALobo\AppData\Local\Microsoft\Windows\INetCache\Content.MSO\7AAF2E51.xlsx</vt:lpwstr>
      </vt:variant>
      <vt:variant>
        <vt:lpwstr>RANGE!D52</vt:lpwstr>
      </vt:variant>
      <vt:variant>
        <vt:i4>3866708</vt:i4>
      </vt:variant>
      <vt:variant>
        <vt:i4>392</vt:i4>
      </vt:variant>
      <vt:variant>
        <vt:i4>0</vt:i4>
      </vt:variant>
      <vt:variant>
        <vt:i4>5</vt:i4>
      </vt:variant>
      <vt:variant>
        <vt:lpwstr>C:\Users\ALobo\AppData\Local\Microsoft\Windows\INetCache\Content.MSO\7AAF2E51.xlsx</vt:lpwstr>
      </vt:variant>
      <vt:variant>
        <vt:lpwstr>RANGE!D52</vt:lpwstr>
      </vt:variant>
      <vt:variant>
        <vt:i4>3932244</vt:i4>
      </vt:variant>
      <vt:variant>
        <vt:i4>389</vt:i4>
      </vt:variant>
      <vt:variant>
        <vt:i4>0</vt:i4>
      </vt:variant>
      <vt:variant>
        <vt:i4>5</vt:i4>
      </vt:variant>
      <vt:variant>
        <vt:lpwstr>C:\Users\ALobo\AppData\Local\Microsoft\Windows\INetCache\Content.MSO\7AAF2E51.xlsx</vt:lpwstr>
      </vt:variant>
      <vt:variant>
        <vt:lpwstr>RANGE!D27</vt:lpwstr>
      </vt:variant>
      <vt:variant>
        <vt:i4>3997780</vt:i4>
      </vt:variant>
      <vt:variant>
        <vt:i4>386</vt:i4>
      </vt:variant>
      <vt:variant>
        <vt:i4>0</vt:i4>
      </vt:variant>
      <vt:variant>
        <vt:i4>5</vt:i4>
      </vt:variant>
      <vt:variant>
        <vt:lpwstr>C:\Users\ALobo\AppData\Local\Microsoft\Windows\INetCache\Content.MSO\7AAF2E51.xlsx</vt:lpwstr>
      </vt:variant>
      <vt:variant>
        <vt:lpwstr>RANGE!D3</vt:lpwstr>
      </vt:variant>
      <vt:variant>
        <vt:i4>3801172</vt:i4>
      </vt:variant>
      <vt:variant>
        <vt:i4>383</vt:i4>
      </vt:variant>
      <vt:variant>
        <vt:i4>0</vt:i4>
      </vt:variant>
      <vt:variant>
        <vt:i4>5</vt:i4>
      </vt:variant>
      <vt:variant>
        <vt:lpwstr>C:\Users\ALobo\AppData\Local\Microsoft\Windows\INetCache\Content.MSO\7AAF2E51.xlsx</vt:lpwstr>
      </vt:variant>
      <vt:variant>
        <vt:lpwstr>RANGE!D40</vt:lpwstr>
      </vt:variant>
      <vt:variant>
        <vt:i4>4128852</vt:i4>
      </vt:variant>
      <vt:variant>
        <vt:i4>380</vt:i4>
      </vt:variant>
      <vt:variant>
        <vt:i4>0</vt:i4>
      </vt:variant>
      <vt:variant>
        <vt:i4>5</vt:i4>
      </vt:variant>
      <vt:variant>
        <vt:lpwstr>C:\Users\ALobo\AppData\Local\Microsoft\Windows\INetCache\Content.MSO\7AAF2E51.xlsx</vt:lpwstr>
      </vt:variant>
      <vt:variant>
        <vt:lpwstr>RANGE!D16</vt:lpwstr>
      </vt:variant>
      <vt:variant>
        <vt:i4>3932244</vt:i4>
      </vt:variant>
      <vt:variant>
        <vt:i4>377</vt:i4>
      </vt:variant>
      <vt:variant>
        <vt:i4>0</vt:i4>
      </vt:variant>
      <vt:variant>
        <vt:i4>5</vt:i4>
      </vt:variant>
      <vt:variant>
        <vt:lpwstr>C:\Users\ALobo\AppData\Local\Microsoft\Windows\INetCache\Content.MSO\7AAF2E51.xlsx</vt:lpwstr>
      </vt:variant>
      <vt:variant>
        <vt:lpwstr>RANGE!D27</vt:lpwstr>
      </vt:variant>
      <vt:variant>
        <vt:i4>3997780</vt:i4>
      </vt:variant>
      <vt:variant>
        <vt:i4>374</vt:i4>
      </vt:variant>
      <vt:variant>
        <vt:i4>0</vt:i4>
      </vt:variant>
      <vt:variant>
        <vt:i4>5</vt:i4>
      </vt:variant>
      <vt:variant>
        <vt:lpwstr>C:\Users\ALobo\AppData\Local\Microsoft\Windows\INetCache\Content.MSO\7AAF2E51.xlsx</vt:lpwstr>
      </vt:variant>
      <vt:variant>
        <vt:lpwstr>RANGE!D3</vt:lpwstr>
      </vt:variant>
      <vt:variant>
        <vt:i4>3932247</vt:i4>
      </vt:variant>
      <vt:variant>
        <vt:i4>371</vt:i4>
      </vt:variant>
      <vt:variant>
        <vt:i4>0</vt:i4>
      </vt:variant>
      <vt:variant>
        <vt:i4>5</vt:i4>
      </vt:variant>
      <vt:variant>
        <vt:lpwstr>C:\Users\ALobo\AppData\Local\Microsoft\Windows\INetCache\Content.MSO\7AAF2E51.xlsx</vt:lpwstr>
      </vt:variant>
      <vt:variant>
        <vt:lpwstr>RANGE!G2</vt:lpwstr>
      </vt:variant>
      <vt:variant>
        <vt:i4>3932247</vt:i4>
      </vt:variant>
      <vt:variant>
        <vt:i4>368</vt:i4>
      </vt:variant>
      <vt:variant>
        <vt:i4>0</vt:i4>
      </vt:variant>
      <vt:variant>
        <vt:i4>5</vt:i4>
      </vt:variant>
      <vt:variant>
        <vt:lpwstr>C:\Users\ALobo\AppData\Local\Microsoft\Windows\INetCache\Content.MSO\7AAF2E51.xlsx</vt:lpwstr>
      </vt:variant>
      <vt:variant>
        <vt:lpwstr>RANGE!G2</vt:lpwstr>
      </vt:variant>
      <vt:variant>
        <vt:i4>3932246</vt:i4>
      </vt:variant>
      <vt:variant>
        <vt:i4>365</vt:i4>
      </vt:variant>
      <vt:variant>
        <vt:i4>0</vt:i4>
      </vt:variant>
      <vt:variant>
        <vt:i4>5</vt:i4>
      </vt:variant>
      <vt:variant>
        <vt:lpwstr>C:\Users\ALobo\AppData\Local\Microsoft\Windows\INetCache\Content.MSO\7AAF2E51.xlsx</vt:lpwstr>
      </vt:variant>
      <vt:variant>
        <vt:lpwstr>RANGE!F2</vt:lpwstr>
      </vt:variant>
      <vt:variant>
        <vt:i4>524384</vt:i4>
      </vt:variant>
      <vt:variant>
        <vt:i4>362</vt:i4>
      </vt:variant>
      <vt:variant>
        <vt:i4>0</vt:i4>
      </vt:variant>
      <vt:variant>
        <vt:i4>5</vt:i4>
      </vt:variant>
      <vt:variant>
        <vt:lpwstr>C:\Users\ALobo\AppData\Local\Microsoft\Windows\INetCache\Content.MSO\7AAF2E51.xlsx</vt:lpwstr>
      </vt:variant>
      <vt:variant>
        <vt:lpwstr>RANGE!D244</vt:lpwstr>
      </vt:variant>
      <vt:variant>
        <vt:i4>524384</vt:i4>
      </vt:variant>
      <vt:variant>
        <vt:i4>359</vt:i4>
      </vt:variant>
      <vt:variant>
        <vt:i4>0</vt:i4>
      </vt:variant>
      <vt:variant>
        <vt:i4>5</vt:i4>
      </vt:variant>
      <vt:variant>
        <vt:lpwstr>C:\Users\ALobo\AppData\Local\Microsoft\Windows\INetCache\Content.MSO\7AAF2E51.xlsx</vt:lpwstr>
      </vt:variant>
      <vt:variant>
        <vt:lpwstr>RANGE!D244</vt:lpwstr>
      </vt:variant>
      <vt:variant>
        <vt:i4>262240</vt:i4>
      </vt:variant>
      <vt:variant>
        <vt:i4>356</vt:i4>
      </vt:variant>
      <vt:variant>
        <vt:i4>0</vt:i4>
      </vt:variant>
      <vt:variant>
        <vt:i4>5</vt:i4>
      </vt:variant>
      <vt:variant>
        <vt:lpwstr>C:\Users\ALobo\AppData\Local\Microsoft\Windows\INetCache\Content.MSO\7AAF2E51.xlsx</vt:lpwstr>
      </vt:variant>
      <vt:variant>
        <vt:lpwstr>RANGE!E258</vt:lpwstr>
      </vt:variant>
      <vt:variant>
        <vt:i4>3932247</vt:i4>
      </vt:variant>
      <vt:variant>
        <vt:i4>353</vt:i4>
      </vt:variant>
      <vt:variant>
        <vt:i4>0</vt:i4>
      </vt:variant>
      <vt:variant>
        <vt:i4>5</vt:i4>
      </vt:variant>
      <vt:variant>
        <vt:lpwstr>C:\Users\ALobo\AppData\Local\Microsoft\Windows\INetCache\Content.MSO\7AAF2E51.xlsx</vt:lpwstr>
      </vt:variant>
      <vt:variant>
        <vt:lpwstr>RANGE!G2</vt:lpwstr>
      </vt:variant>
      <vt:variant>
        <vt:i4>3932246</vt:i4>
      </vt:variant>
      <vt:variant>
        <vt:i4>350</vt:i4>
      </vt:variant>
      <vt:variant>
        <vt:i4>0</vt:i4>
      </vt:variant>
      <vt:variant>
        <vt:i4>5</vt:i4>
      </vt:variant>
      <vt:variant>
        <vt:lpwstr>C:\Users\ALobo\AppData\Local\Microsoft\Windows\INetCache\Content.MSO\7AAF2E51.xlsx</vt:lpwstr>
      </vt:variant>
      <vt:variant>
        <vt:lpwstr>RANGE!F2</vt:lpwstr>
      </vt:variant>
      <vt:variant>
        <vt:i4>3866708</vt:i4>
      </vt:variant>
      <vt:variant>
        <vt:i4>347</vt:i4>
      </vt:variant>
      <vt:variant>
        <vt:i4>0</vt:i4>
      </vt:variant>
      <vt:variant>
        <vt:i4>5</vt:i4>
      </vt:variant>
      <vt:variant>
        <vt:lpwstr>C:\Users\ALobo\AppData\Local\Microsoft\Windows\INetCache\Content.MSO\7AAF2E51.xlsx</vt:lpwstr>
      </vt:variant>
      <vt:variant>
        <vt:lpwstr>RANGE!D52</vt:lpwstr>
      </vt:variant>
      <vt:variant>
        <vt:i4>3670100</vt:i4>
      </vt:variant>
      <vt:variant>
        <vt:i4>344</vt:i4>
      </vt:variant>
      <vt:variant>
        <vt:i4>0</vt:i4>
      </vt:variant>
      <vt:variant>
        <vt:i4>5</vt:i4>
      </vt:variant>
      <vt:variant>
        <vt:lpwstr>C:\Users\ALobo\AppData\Local\Microsoft\Windows\INetCache\Content.MSO\7AAF2E51.xlsx</vt:lpwstr>
      </vt:variant>
      <vt:variant>
        <vt:lpwstr>RANGE!D61</vt:lpwstr>
      </vt:variant>
      <vt:variant>
        <vt:i4>3670100</vt:i4>
      </vt:variant>
      <vt:variant>
        <vt:i4>341</vt:i4>
      </vt:variant>
      <vt:variant>
        <vt:i4>0</vt:i4>
      </vt:variant>
      <vt:variant>
        <vt:i4>5</vt:i4>
      </vt:variant>
      <vt:variant>
        <vt:lpwstr>C:\Users\ALobo\AppData\Local\Microsoft\Windows\INetCache\Content.MSO\7AAF2E51.xlsx</vt:lpwstr>
      </vt:variant>
      <vt:variant>
        <vt:lpwstr>RANGE!D61</vt:lpwstr>
      </vt:variant>
      <vt:variant>
        <vt:i4>3932245</vt:i4>
      </vt:variant>
      <vt:variant>
        <vt:i4>338</vt:i4>
      </vt:variant>
      <vt:variant>
        <vt:i4>0</vt:i4>
      </vt:variant>
      <vt:variant>
        <vt:i4>5</vt:i4>
      </vt:variant>
      <vt:variant>
        <vt:lpwstr>C:\Users\ALobo\AppData\Local\Microsoft\Windows\INetCache\Content.MSO\7AAF2E51.xlsx</vt:lpwstr>
      </vt:variant>
      <vt:variant>
        <vt:lpwstr>RANGE!E2</vt:lpwstr>
      </vt:variant>
      <vt:variant>
        <vt:i4>3866708</vt:i4>
      </vt:variant>
      <vt:variant>
        <vt:i4>335</vt:i4>
      </vt:variant>
      <vt:variant>
        <vt:i4>0</vt:i4>
      </vt:variant>
      <vt:variant>
        <vt:i4>5</vt:i4>
      </vt:variant>
      <vt:variant>
        <vt:lpwstr>C:\Users\ALobo\AppData\Local\Microsoft\Windows\INetCache\Content.MSO\7AAF2E51.xlsx</vt:lpwstr>
      </vt:variant>
      <vt:variant>
        <vt:lpwstr>RANGE!D52</vt:lpwstr>
      </vt:variant>
      <vt:variant>
        <vt:i4>3866708</vt:i4>
      </vt:variant>
      <vt:variant>
        <vt:i4>332</vt:i4>
      </vt:variant>
      <vt:variant>
        <vt:i4>0</vt:i4>
      </vt:variant>
      <vt:variant>
        <vt:i4>5</vt:i4>
      </vt:variant>
      <vt:variant>
        <vt:lpwstr>C:\Users\ALobo\AppData\Local\Microsoft\Windows\INetCache\Content.MSO\7AAF2E51.xlsx</vt:lpwstr>
      </vt:variant>
      <vt:variant>
        <vt:lpwstr>RANGE!D52</vt:lpwstr>
      </vt:variant>
      <vt:variant>
        <vt:i4>3932245</vt:i4>
      </vt:variant>
      <vt:variant>
        <vt:i4>329</vt:i4>
      </vt:variant>
      <vt:variant>
        <vt:i4>0</vt:i4>
      </vt:variant>
      <vt:variant>
        <vt:i4>5</vt:i4>
      </vt:variant>
      <vt:variant>
        <vt:lpwstr>C:\Users\ALobo\AppData\Local\Microsoft\Windows\INetCache\Content.MSO\7AAF2E51.xlsx</vt:lpwstr>
      </vt:variant>
      <vt:variant>
        <vt:lpwstr>RANGE!E26</vt:lpwstr>
      </vt:variant>
      <vt:variant>
        <vt:i4>3932245</vt:i4>
      </vt:variant>
      <vt:variant>
        <vt:i4>326</vt:i4>
      </vt:variant>
      <vt:variant>
        <vt:i4>0</vt:i4>
      </vt:variant>
      <vt:variant>
        <vt:i4>5</vt:i4>
      </vt:variant>
      <vt:variant>
        <vt:lpwstr>C:\Users\ALobo\AppData\Local\Microsoft\Windows\INetCache\Content.MSO\7AAF2E51.xlsx</vt:lpwstr>
      </vt:variant>
      <vt:variant>
        <vt:lpwstr>RANGE!E26</vt:lpwstr>
      </vt:variant>
      <vt:variant>
        <vt:i4>4128856</vt:i4>
      </vt:variant>
      <vt:variant>
        <vt:i4>323</vt:i4>
      </vt:variant>
      <vt:variant>
        <vt:i4>0</vt:i4>
      </vt:variant>
      <vt:variant>
        <vt:i4>5</vt:i4>
      </vt:variant>
      <vt:variant>
        <vt:lpwstr>C:\Users\ALobo\AppData\Local\Microsoft\Windows\INetCache\Content.MSO\7AAF2E51.xlsx</vt:lpwstr>
      </vt:variant>
      <vt:variant>
        <vt:lpwstr>RANGE!H13</vt:lpwstr>
      </vt:variant>
      <vt:variant>
        <vt:i4>983140</vt:i4>
      </vt:variant>
      <vt:variant>
        <vt:i4>320</vt:i4>
      </vt:variant>
      <vt:variant>
        <vt:i4>0</vt:i4>
      </vt:variant>
      <vt:variant>
        <vt:i4>5</vt:i4>
      </vt:variant>
      <vt:variant>
        <vt:lpwstr>C:\Users\ALobo\AppData\Local\Microsoft\Windows\INetCache\Content.MSO\7AAF2E51.xlsx</vt:lpwstr>
      </vt:variant>
      <vt:variant>
        <vt:lpwstr>RANGE!D203</vt:lpwstr>
      </vt:variant>
      <vt:variant>
        <vt:i4>3670101</vt:i4>
      </vt:variant>
      <vt:variant>
        <vt:i4>317</vt:i4>
      </vt:variant>
      <vt:variant>
        <vt:i4>0</vt:i4>
      </vt:variant>
      <vt:variant>
        <vt:i4>5</vt:i4>
      </vt:variant>
      <vt:variant>
        <vt:lpwstr>C:\Users\ALobo\AppData\Local\Microsoft\Windows\INetCache\Content.MSO\7AAF2E51.xlsx</vt:lpwstr>
      </vt:variant>
      <vt:variant>
        <vt:lpwstr>RANGE!E69</vt:lpwstr>
      </vt:variant>
      <vt:variant>
        <vt:i4>3866709</vt:i4>
      </vt:variant>
      <vt:variant>
        <vt:i4>314</vt:i4>
      </vt:variant>
      <vt:variant>
        <vt:i4>0</vt:i4>
      </vt:variant>
      <vt:variant>
        <vt:i4>5</vt:i4>
      </vt:variant>
      <vt:variant>
        <vt:lpwstr>C:\Users\ALobo\AppData\Local\Microsoft\Windows\INetCache\Content.MSO\7AAF2E51.xlsx</vt:lpwstr>
      </vt:variant>
      <vt:variant>
        <vt:lpwstr>RANGE!E57</vt:lpwstr>
      </vt:variant>
      <vt:variant>
        <vt:i4>262244</vt:i4>
      </vt:variant>
      <vt:variant>
        <vt:i4>311</vt:i4>
      </vt:variant>
      <vt:variant>
        <vt:i4>0</vt:i4>
      </vt:variant>
      <vt:variant>
        <vt:i4>5</vt:i4>
      </vt:variant>
      <vt:variant>
        <vt:lpwstr>C:\Users\ALobo\AppData\Local\Microsoft\Windows\INetCache\Content.MSO\7AAF2E51.xlsx</vt:lpwstr>
      </vt:variant>
      <vt:variant>
        <vt:lpwstr>RANGE!E218</vt:lpwstr>
      </vt:variant>
      <vt:variant>
        <vt:i4>917605</vt:i4>
      </vt:variant>
      <vt:variant>
        <vt:i4>308</vt:i4>
      </vt:variant>
      <vt:variant>
        <vt:i4>0</vt:i4>
      </vt:variant>
      <vt:variant>
        <vt:i4>5</vt:i4>
      </vt:variant>
      <vt:variant>
        <vt:lpwstr>C:\Users\ALobo\AppData\Local\Microsoft\Windows\INetCache\Content.MSO\7AAF2E51.xlsx</vt:lpwstr>
      </vt:variant>
      <vt:variant>
        <vt:lpwstr>RANGE!E202</vt:lpwstr>
      </vt:variant>
      <vt:variant>
        <vt:i4>3932245</vt:i4>
      </vt:variant>
      <vt:variant>
        <vt:i4>305</vt:i4>
      </vt:variant>
      <vt:variant>
        <vt:i4>0</vt:i4>
      </vt:variant>
      <vt:variant>
        <vt:i4>5</vt:i4>
      </vt:variant>
      <vt:variant>
        <vt:lpwstr>C:\Users\ALobo\AppData\Local\Microsoft\Windows\INetCache\Content.MSO\7AAF2E51.xlsx</vt:lpwstr>
      </vt:variant>
      <vt:variant>
        <vt:lpwstr>RANGE!E2</vt:lpwstr>
      </vt:variant>
      <vt:variant>
        <vt:i4>983140</vt:i4>
      </vt:variant>
      <vt:variant>
        <vt:i4>302</vt:i4>
      </vt:variant>
      <vt:variant>
        <vt:i4>0</vt:i4>
      </vt:variant>
      <vt:variant>
        <vt:i4>5</vt:i4>
      </vt:variant>
      <vt:variant>
        <vt:lpwstr>C:\Users\ALobo\AppData\Local\Microsoft\Windows\INetCache\Content.MSO\7AAF2E51.xlsx</vt:lpwstr>
      </vt:variant>
      <vt:variant>
        <vt:lpwstr>RANGE!D203</vt:lpwstr>
      </vt:variant>
      <vt:variant>
        <vt:i4>3997780</vt:i4>
      </vt:variant>
      <vt:variant>
        <vt:i4>299</vt:i4>
      </vt:variant>
      <vt:variant>
        <vt:i4>0</vt:i4>
      </vt:variant>
      <vt:variant>
        <vt:i4>5</vt:i4>
      </vt:variant>
      <vt:variant>
        <vt:lpwstr>C:\Users\ALobo\AppData\Local\Microsoft\Windows\INetCache\Content.MSO\7AAF2E51.xlsx</vt:lpwstr>
      </vt:variant>
      <vt:variant>
        <vt:lpwstr>RANGE!D34</vt:lpwstr>
      </vt:variant>
      <vt:variant>
        <vt:i4>4128852</vt:i4>
      </vt:variant>
      <vt:variant>
        <vt:i4>296</vt:i4>
      </vt:variant>
      <vt:variant>
        <vt:i4>0</vt:i4>
      </vt:variant>
      <vt:variant>
        <vt:i4>5</vt:i4>
      </vt:variant>
      <vt:variant>
        <vt:lpwstr>C:\Users\ALobo\AppData\Local\Microsoft\Windows\INetCache\Content.MSO\7AAF2E51.xlsx</vt:lpwstr>
      </vt:variant>
      <vt:variant>
        <vt:lpwstr>RANGE!D13</vt:lpwstr>
      </vt:variant>
      <vt:variant>
        <vt:i4>3932244</vt:i4>
      </vt:variant>
      <vt:variant>
        <vt:i4>293</vt:i4>
      </vt:variant>
      <vt:variant>
        <vt:i4>0</vt:i4>
      </vt:variant>
      <vt:variant>
        <vt:i4>5</vt:i4>
      </vt:variant>
      <vt:variant>
        <vt:lpwstr>C:\Users\ALobo\AppData\Local\Microsoft\Windows\INetCache\Content.MSO\7AAF2E51.xlsx</vt:lpwstr>
      </vt:variant>
      <vt:variant>
        <vt:lpwstr>RANGE!D2</vt:lpwstr>
      </vt:variant>
      <vt:variant>
        <vt:i4>3866708</vt:i4>
      </vt:variant>
      <vt:variant>
        <vt:i4>290</vt:i4>
      </vt:variant>
      <vt:variant>
        <vt:i4>0</vt:i4>
      </vt:variant>
      <vt:variant>
        <vt:i4>5</vt:i4>
      </vt:variant>
      <vt:variant>
        <vt:lpwstr>C:\Users\ALobo\AppData\Local\Microsoft\Windows\INetCache\Content.MSO\7AAF2E51.xlsx</vt:lpwstr>
      </vt:variant>
      <vt:variant>
        <vt:lpwstr>RANGE!D52</vt:lpwstr>
      </vt:variant>
      <vt:variant>
        <vt:i4>3997780</vt:i4>
      </vt:variant>
      <vt:variant>
        <vt:i4>287</vt:i4>
      </vt:variant>
      <vt:variant>
        <vt:i4>0</vt:i4>
      </vt:variant>
      <vt:variant>
        <vt:i4>5</vt:i4>
      </vt:variant>
      <vt:variant>
        <vt:lpwstr>C:\Users\ALobo\AppData\Local\Microsoft\Windows\INetCache\Content.MSO\7AAF2E51.xlsx</vt:lpwstr>
      </vt:variant>
      <vt:variant>
        <vt:lpwstr>RANGE!D3</vt:lpwstr>
      </vt:variant>
      <vt:variant>
        <vt:i4>4128852</vt:i4>
      </vt:variant>
      <vt:variant>
        <vt:i4>284</vt:i4>
      </vt:variant>
      <vt:variant>
        <vt:i4>0</vt:i4>
      </vt:variant>
      <vt:variant>
        <vt:i4>5</vt:i4>
      </vt:variant>
      <vt:variant>
        <vt:lpwstr>C:\Users\ALobo\AppData\Local\Microsoft\Windows\INetCache\Content.MSO\7AAF2E51.xlsx</vt:lpwstr>
      </vt:variant>
      <vt:variant>
        <vt:lpwstr>RANGE!D11</vt:lpwstr>
      </vt:variant>
      <vt:variant>
        <vt:i4>3932244</vt:i4>
      </vt:variant>
      <vt:variant>
        <vt:i4>281</vt:i4>
      </vt:variant>
      <vt:variant>
        <vt:i4>0</vt:i4>
      </vt:variant>
      <vt:variant>
        <vt:i4>5</vt:i4>
      </vt:variant>
      <vt:variant>
        <vt:lpwstr>C:\Users\ALobo\AppData\Local\Microsoft\Windows\INetCache\Content.MSO\7AAF2E51.xlsx</vt:lpwstr>
      </vt:variant>
      <vt:variant>
        <vt:lpwstr>RANGE!D20</vt:lpwstr>
      </vt:variant>
      <vt:variant>
        <vt:i4>3932244</vt:i4>
      </vt:variant>
      <vt:variant>
        <vt:i4>278</vt:i4>
      </vt:variant>
      <vt:variant>
        <vt:i4>0</vt:i4>
      </vt:variant>
      <vt:variant>
        <vt:i4>5</vt:i4>
      </vt:variant>
      <vt:variant>
        <vt:lpwstr>C:\Users\ALobo\AppData\Local\Microsoft\Windows\INetCache\Content.MSO\7AAF2E51.xlsx</vt:lpwstr>
      </vt:variant>
      <vt:variant>
        <vt:lpwstr>RANGE!D20</vt:lpwstr>
      </vt:variant>
      <vt:variant>
        <vt:i4>4128852</vt:i4>
      </vt:variant>
      <vt:variant>
        <vt:i4>275</vt:i4>
      </vt:variant>
      <vt:variant>
        <vt:i4>0</vt:i4>
      </vt:variant>
      <vt:variant>
        <vt:i4>5</vt:i4>
      </vt:variant>
      <vt:variant>
        <vt:lpwstr>C:\Users\ALobo\AppData\Local\Microsoft\Windows\INetCache\Content.MSO\7AAF2E51.xlsx</vt:lpwstr>
      </vt:variant>
      <vt:variant>
        <vt:lpwstr>RANGE!D11</vt:lpwstr>
      </vt:variant>
      <vt:variant>
        <vt:i4>4128852</vt:i4>
      </vt:variant>
      <vt:variant>
        <vt:i4>272</vt:i4>
      </vt:variant>
      <vt:variant>
        <vt:i4>0</vt:i4>
      </vt:variant>
      <vt:variant>
        <vt:i4>5</vt:i4>
      </vt:variant>
      <vt:variant>
        <vt:lpwstr>C:\Users\ALobo\AppData\Local\Microsoft\Windows\INetCache\Content.MSO\7AAF2E51.xlsx</vt:lpwstr>
      </vt:variant>
      <vt:variant>
        <vt:lpwstr>RANGE!D11</vt:lpwstr>
      </vt:variant>
      <vt:variant>
        <vt:i4>4128852</vt:i4>
      </vt:variant>
      <vt:variant>
        <vt:i4>269</vt:i4>
      </vt:variant>
      <vt:variant>
        <vt:i4>0</vt:i4>
      </vt:variant>
      <vt:variant>
        <vt:i4>5</vt:i4>
      </vt:variant>
      <vt:variant>
        <vt:lpwstr>C:\Users\ALobo\AppData\Local\Microsoft\Windows\INetCache\Content.MSO\7AAF2E51.xlsx</vt:lpwstr>
      </vt:variant>
      <vt:variant>
        <vt:lpwstr>RANGE!D11</vt:lpwstr>
      </vt:variant>
      <vt:variant>
        <vt:i4>4128852</vt:i4>
      </vt:variant>
      <vt:variant>
        <vt:i4>266</vt:i4>
      </vt:variant>
      <vt:variant>
        <vt:i4>0</vt:i4>
      </vt:variant>
      <vt:variant>
        <vt:i4>5</vt:i4>
      </vt:variant>
      <vt:variant>
        <vt:lpwstr>C:\Users\ALobo\AppData\Local\Microsoft\Windows\INetCache\Content.MSO\7AAF2E51.xlsx</vt:lpwstr>
      </vt:variant>
      <vt:variant>
        <vt:lpwstr>RANGE!D11</vt:lpwstr>
      </vt:variant>
      <vt:variant>
        <vt:i4>3932244</vt:i4>
      </vt:variant>
      <vt:variant>
        <vt:i4>263</vt:i4>
      </vt:variant>
      <vt:variant>
        <vt:i4>0</vt:i4>
      </vt:variant>
      <vt:variant>
        <vt:i4>5</vt:i4>
      </vt:variant>
      <vt:variant>
        <vt:lpwstr>C:\Users\ALobo\AppData\Local\Microsoft\Windows\INetCache\Content.MSO\7AAF2E51.xlsx</vt:lpwstr>
      </vt:variant>
      <vt:variant>
        <vt:lpwstr>RANGE!D2</vt:lpwstr>
      </vt:variant>
      <vt:variant>
        <vt:i4>3932244</vt:i4>
      </vt:variant>
      <vt:variant>
        <vt:i4>260</vt:i4>
      </vt:variant>
      <vt:variant>
        <vt:i4>0</vt:i4>
      </vt:variant>
      <vt:variant>
        <vt:i4>5</vt:i4>
      </vt:variant>
      <vt:variant>
        <vt:lpwstr>C:\Users\ALobo\AppData\Local\Microsoft\Windows\INetCache\Content.MSO\7AAF2E51.xlsx</vt:lpwstr>
      </vt:variant>
      <vt:variant>
        <vt:lpwstr>RANGE!D2</vt:lpwstr>
      </vt:variant>
      <vt:variant>
        <vt:i4>3932245</vt:i4>
      </vt:variant>
      <vt:variant>
        <vt:i4>257</vt:i4>
      </vt:variant>
      <vt:variant>
        <vt:i4>0</vt:i4>
      </vt:variant>
      <vt:variant>
        <vt:i4>5</vt:i4>
      </vt:variant>
      <vt:variant>
        <vt:lpwstr>C:\Users\ALobo\AppData\Local\Microsoft\Windows\INetCache\Content.MSO\7AAF2E51.xlsx</vt:lpwstr>
      </vt:variant>
      <vt:variant>
        <vt:lpwstr>RANGE!E2</vt:lpwstr>
      </vt:variant>
      <vt:variant>
        <vt:i4>3932244</vt:i4>
      </vt:variant>
      <vt:variant>
        <vt:i4>254</vt:i4>
      </vt:variant>
      <vt:variant>
        <vt:i4>0</vt:i4>
      </vt:variant>
      <vt:variant>
        <vt:i4>5</vt:i4>
      </vt:variant>
      <vt:variant>
        <vt:lpwstr>C:\Users\ALobo\AppData\Local\Microsoft\Windows\INetCache\Content.MSO\7AAF2E51.xlsx</vt:lpwstr>
      </vt:variant>
      <vt:variant>
        <vt:lpwstr>RANGE!D2</vt:lpwstr>
      </vt:variant>
      <vt:variant>
        <vt:i4>3932244</vt:i4>
      </vt:variant>
      <vt:variant>
        <vt:i4>251</vt:i4>
      </vt:variant>
      <vt:variant>
        <vt:i4>0</vt:i4>
      </vt:variant>
      <vt:variant>
        <vt:i4>5</vt:i4>
      </vt:variant>
      <vt:variant>
        <vt:lpwstr>C:\Users\ALobo\AppData\Local\Microsoft\Windows\INetCache\Content.MSO\7AAF2E51.xlsx</vt:lpwstr>
      </vt:variant>
      <vt:variant>
        <vt:lpwstr>RANGE!D2</vt:lpwstr>
      </vt:variant>
      <vt:variant>
        <vt:i4>3932244</vt:i4>
      </vt:variant>
      <vt:variant>
        <vt:i4>248</vt:i4>
      </vt:variant>
      <vt:variant>
        <vt:i4>0</vt:i4>
      </vt:variant>
      <vt:variant>
        <vt:i4>5</vt:i4>
      </vt:variant>
      <vt:variant>
        <vt:lpwstr>C:\Users\ALobo\AppData\Local\Microsoft\Windows\INetCache\Content.MSO\7AAF2E51.xlsx</vt:lpwstr>
      </vt:variant>
      <vt:variant>
        <vt:lpwstr>RANGE!D24</vt:lpwstr>
      </vt:variant>
      <vt:variant>
        <vt:i4>3932244</vt:i4>
      </vt:variant>
      <vt:variant>
        <vt:i4>245</vt:i4>
      </vt:variant>
      <vt:variant>
        <vt:i4>0</vt:i4>
      </vt:variant>
      <vt:variant>
        <vt:i4>5</vt:i4>
      </vt:variant>
      <vt:variant>
        <vt:lpwstr>C:\Users\ALobo\AppData\Local\Microsoft\Windows\INetCache\Content.MSO\7AAF2E51.xlsx</vt:lpwstr>
      </vt:variant>
      <vt:variant>
        <vt:lpwstr>RANGE!D2</vt:lpwstr>
      </vt:variant>
      <vt:variant>
        <vt:i4>3801172</vt:i4>
      </vt:variant>
      <vt:variant>
        <vt:i4>242</vt:i4>
      </vt:variant>
      <vt:variant>
        <vt:i4>0</vt:i4>
      </vt:variant>
      <vt:variant>
        <vt:i4>5</vt:i4>
      </vt:variant>
      <vt:variant>
        <vt:lpwstr>C:\Users\ALobo\AppData\Local\Microsoft\Windows\INetCache\Content.MSO\7AAF2E51.xlsx</vt:lpwstr>
      </vt:variant>
      <vt:variant>
        <vt:lpwstr>RANGE!D42</vt:lpwstr>
      </vt:variant>
      <vt:variant>
        <vt:i4>3604564</vt:i4>
      </vt:variant>
      <vt:variant>
        <vt:i4>239</vt:i4>
      </vt:variant>
      <vt:variant>
        <vt:i4>0</vt:i4>
      </vt:variant>
      <vt:variant>
        <vt:i4>5</vt:i4>
      </vt:variant>
      <vt:variant>
        <vt:lpwstr>C:\Users\ALobo\AppData\Local\Microsoft\Windows\INetCache\Content.MSO\7AAF2E51.xlsx</vt:lpwstr>
      </vt:variant>
      <vt:variant>
        <vt:lpwstr>RANGE!D98</vt:lpwstr>
      </vt:variant>
      <vt:variant>
        <vt:i4>524385</vt:i4>
      </vt:variant>
      <vt:variant>
        <vt:i4>236</vt:i4>
      </vt:variant>
      <vt:variant>
        <vt:i4>0</vt:i4>
      </vt:variant>
      <vt:variant>
        <vt:i4>5</vt:i4>
      </vt:variant>
      <vt:variant>
        <vt:lpwstr>C:\Users\ALobo\AppData\Local\Microsoft\Windows\INetCache\Content.MSO\7AAF2E51.xlsx</vt:lpwstr>
      </vt:variant>
      <vt:variant>
        <vt:lpwstr>RANGE!D157</vt:lpwstr>
      </vt:variant>
      <vt:variant>
        <vt:i4>524385</vt:i4>
      </vt:variant>
      <vt:variant>
        <vt:i4>233</vt:i4>
      </vt:variant>
      <vt:variant>
        <vt:i4>0</vt:i4>
      </vt:variant>
      <vt:variant>
        <vt:i4>5</vt:i4>
      </vt:variant>
      <vt:variant>
        <vt:lpwstr>C:\Users\ALobo\AppData\Local\Microsoft\Windows\INetCache\Content.MSO\7AAF2E51.xlsx</vt:lpwstr>
      </vt:variant>
      <vt:variant>
        <vt:lpwstr>RANGE!D157</vt:lpwstr>
      </vt:variant>
      <vt:variant>
        <vt:i4>589927</vt:i4>
      </vt:variant>
      <vt:variant>
        <vt:i4>230</vt:i4>
      </vt:variant>
      <vt:variant>
        <vt:i4>0</vt:i4>
      </vt:variant>
      <vt:variant>
        <vt:i4>5</vt:i4>
      </vt:variant>
      <vt:variant>
        <vt:lpwstr>C:\Users\ALobo\AppData\Local\Microsoft\Windows\INetCache\Content.MSO\7AAF2E51.xlsx</vt:lpwstr>
      </vt:variant>
      <vt:variant>
        <vt:lpwstr>RANGE!D136</vt:lpwstr>
      </vt:variant>
      <vt:variant>
        <vt:i4>524389</vt:i4>
      </vt:variant>
      <vt:variant>
        <vt:i4>227</vt:i4>
      </vt:variant>
      <vt:variant>
        <vt:i4>0</vt:i4>
      </vt:variant>
      <vt:variant>
        <vt:i4>5</vt:i4>
      </vt:variant>
      <vt:variant>
        <vt:lpwstr>C:\Users\ALobo\AppData\Local\Microsoft\Windows\INetCache\Content.MSO\7AAF2E51.xlsx</vt:lpwstr>
      </vt:variant>
      <vt:variant>
        <vt:lpwstr>RANGE!D117</vt:lpwstr>
      </vt:variant>
      <vt:variant>
        <vt:i4>524389</vt:i4>
      </vt:variant>
      <vt:variant>
        <vt:i4>224</vt:i4>
      </vt:variant>
      <vt:variant>
        <vt:i4>0</vt:i4>
      </vt:variant>
      <vt:variant>
        <vt:i4>5</vt:i4>
      </vt:variant>
      <vt:variant>
        <vt:lpwstr>C:\Users\ALobo\AppData\Local\Microsoft\Windows\INetCache\Content.MSO\7AAF2E51.xlsx</vt:lpwstr>
      </vt:variant>
      <vt:variant>
        <vt:lpwstr>RANGE!D117</vt:lpwstr>
      </vt:variant>
      <vt:variant>
        <vt:i4>3604564</vt:i4>
      </vt:variant>
      <vt:variant>
        <vt:i4>221</vt:i4>
      </vt:variant>
      <vt:variant>
        <vt:i4>0</vt:i4>
      </vt:variant>
      <vt:variant>
        <vt:i4>5</vt:i4>
      </vt:variant>
      <vt:variant>
        <vt:lpwstr>C:\Users\ALobo\AppData\Local\Microsoft\Windows\INetCache\Content.MSO\7AAF2E51.xlsx</vt:lpwstr>
      </vt:variant>
      <vt:variant>
        <vt:lpwstr>RANGE!D98</vt:lpwstr>
      </vt:variant>
      <vt:variant>
        <vt:i4>3604564</vt:i4>
      </vt:variant>
      <vt:variant>
        <vt:i4>218</vt:i4>
      </vt:variant>
      <vt:variant>
        <vt:i4>0</vt:i4>
      </vt:variant>
      <vt:variant>
        <vt:i4>5</vt:i4>
      </vt:variant>
      <vt:variant>
        <vt:lpwstr>C:\Users\ALobo\AppData\Local\Microsoft\Windows\INetCache\Content.MSO\7AAF2E51.xlsx</vt:lpwstr>
      </vt:variant>
      <vt:variant>
        <vt:lpwstr>RANGE!D98</vt:lpwstr>
      </vt:variant>
      <vt:variant>
        <vt:i4>3604564</vt:i4>
      </vt:variant>
      <vt:variant>
        <vt:i4>215</vt:i4>
      </vt:variant>
      <vt:variant>
        <vt:i4>0</vt:i4>
      </vt:variant>
      <vt:variant>
        <vt:i4>5</vt:i4>
      </vt:variant>
      <vt:variant>
        <vt:lpwstr>C:\Users\ALobo\AppData\Local\Microsoft\Windows\INetCache\Content.MSO\7AAF2E51.xlsx</vt:lpwstr>
      </vt:variant>
      <vt:variant>
        <vt:lpwstr>RANGE!D98</vt:lpwstr>
      </vt:variant>
      <vt:variant>
        <vt:i4>3604564</vt:i4>
      </vt:variant>
      <vt:variant>
        <vt:i4>212</vt:i4>
      </vt:variant>
      <vt:variant>
        <vt:i4>0</vt:i4>
      </vt:variant>
      <vt:variant>
        <vt:i4>5</vt:i4>
      </vt:variant>
      <vt:variant>
        <vt:lpwstr>C:\Users\ALobo\AppData\Local\Microsoft\Windows\INetCache\Content.MSO\7AAF2E51.xlsx</vt:lpwstr>
      </vt:variant>
      <vt:variant>
        <vt:lpwstr>RANGE!D98</vt:lpwstr>
      </vt:variant>
      <vt:variant>
        <vt:i4>3604564</vt:i4>
      </vt:variant>
      <vt:variant>
        <vt:i4>209</vt:i4>
      </vt:variant>
      <vt:variant>
        <vt:i4>0</vt:i4>
      </vt:variant>
      <vt:variant>
        <vt:i4>5</vt:i4>
      </vt:variant>
      <vt:variant>
        <vt:lpwstr>C:\Users\ALobo\AppData\Local\Microsoft\Windows\INetCache\Content.MSO\7AAF2E51.xlsx</vt:lpwstr>
      </vt:variant>
      <vt:variant>
        <vt:lpwstr>RANGE!D98</vt:lpwstr>
      </vt:variant>
      <vt:variant>
        <vt:i4>3604564</vt:i4>
      </vt:variant>
      <vt:variant>
        <vt:i4>206</vt:i4>
      </vt:variant>
      <vt:variant>
        <vt:i4>0</vt:i4>
      </vt:variant>
      <vt:variant>
        <vt:i4>5</vt:i4>
      </vt:variant>
      <vt:variant>
        <vt:lpwstr>C:\Users\ALobo\AppData\Local\Microsoft\Windows\INetCache\Content.MSO\7AAF2E51.xlsx</vt:lpwstr>
      </vt:variant>
      <vt:variant>
        <vt:lpwstr>RANGE!D98</vt:lpwstr>
      </vt:variant>
      <vt:variant>
        <vt:i4>3604564</vt:i4>
      </vt:variant>
      <vt:variant>
        <vt:i4>203</vt:i4>
      </vt:variant>
      <vt:variant>
        <vt:i4>0</vt:i4>
      </vt:variant>
      <vt:variant>
        <vt:i4>5</vt:i4>
      </vt:variant>
      <vt:variant>
        <vt:lpwstr>C:\Users\ALobo\AppData\Local\Microsoft\Windows\INetCache\Content.MSO\7AAF2E51.xlsx</vt:lpwstr>
      </vt:variant>
      <vt:variant>
        <vt:lpwstr>RANGE!D98</vt:lpwstr>
      </vt:variant>
      <vt:variant>
        <vt:i4>3604564</vt:i4>
      </vt:variant>
      <vt:variant>
        <vt:i4>200</vt:i4>
      </vt:variant>
      <vt:variant>
        <vt:i4>0</vt:i4>
      </vt:variant>
      <vt:variant>
        <vt:i4>5</vt:i4>
      </vt:variant>
      <vt:variant>
        <vt:lpwstr>C:\Users\ALobo\AppData\Local\Microsoft\Windows\INetCache\Content.MSO\7AAF2E51.xlsx</vt:lpwstr>
      </vt:variant>
      <vt:variant>
        <vt:lpwstr>RANGE!D98</vt:lpwstr>
      </vt:variant>
      <vt:variant>
        <vt:i4>524397</vt:i4>
      </vt:variant>
      <vt:variant>
        <vt:i4>197</vt:i4>
      </vt:variant>
      <vt:variant>
        <vt:i4>0</vt:i4>
      </vt:variant>
      <vt:variant>
        <vt:i4>5</vt:i4>
      </vt:variant>
      <vt:variant>
        <vt:lpwstr>C:\Users\ALobo\AppData\Local\Microsoft\Windows\INetCache\Content.MSO\7AAF2E51.xlsx</vt:lpwstr>
      </vt:variant>
      <vt:variant>
        <vt:lpwstr>RANGE!D197</vt:lpwstr>
      </vt:variant>
      <vt:variant>
        <vt:i4>524397</vt:i4>
      </vt:variant>
      <vt:variant>
        <vt:i4>194</vt:i4>
      </vt:variant>
      <vt:variant>
        <vt:i4>0</vt:i4>
      </vt:variant>
      <vt:variant>
        <vt:i4>5</vt:i4>
      </vt:variant>
      <vt:variant>
        <vt:lpwstr>C:\Users\ALobo\AppData\Local\Microsoft\Windows\INetCache\Content.MSO\7AAF2E51.xlsx</vt:lpwstr>
      </vt:variant>
      <vt:variant>
        <vt:lpwstr>RANGE!D197</vt:lpwstr>
      </vt:variant>
      <vt:variant>
        <vt:i4>524389</vt:i4>
      </vt:variant>
      <vt:variant>
        <vt:i4>191</vt:i4>
      </vt:variant>
      <vt:variant>
        <vt:i4>0</vt:i4>
      </vt:variant>
      <vt:variant>
        <vt:i4>5</vt:i4>
      </vt:variant>
      <vt:variant>
        <vt:lpwstr>C:\Users\ALobo\AppData\Local\Microsoft\Windows\INetCache\Content.MSO\7AAF2E51.xlsx</vt:lpwstr>
      </vt:variant>
      <vt:variant>
        <vt:lpwstr>RANGE!D117</vt:lpwstr>
      </vt:variant>
      <vt:variant>
        <vt:i4>524389</vt:i4>
      </vt:variant>
      <vt:variant>
        <vt:i4>188</vt:i4>
      </vt:variant>
      <vt:variant>
        <vt:i4>0</vt:i4>
      </vt:variant>
      <vt:variant>
        <vt:i4>5</vt:i4>
      </vt:variant>
      <vt:variant>
        <vt:lpwstr>C:\Users\ALobo\AppData\Local\Microsoft\Windows\INetCache\Content.MSO\7AAF2E51.xlsx</vt:lpwstr>
      </vt:variant>
      <vt:variant>
        <vt:lpwstr>RANGE!D117</vt:lpwstr>
      </vt:variant>
      <vt:variant>
        <vt:i4>3604564</vt:i4>
      </vt:variant>
      <vt:variant>
        <vt:i4>185</vt:i4>
      </vt:variant>
      <vt:variant>
        <vt:i4>0</vt:i4>
      </vt:variant>
      <vt:variant>
        <vt:i4>5</vt:i4>
      </vt:variant>
      <vt:variant>
        <vt:lpwstr>C:\Users\ALobo\AppData\Local\Microsoft\Windows\INetCache\Content.MSO\7AAF2E51.xlsx</vt:lpwstr>
      </vt:variant>
      <vt:variant>
        <vt:lpwstr>RANGE!D98</vt:lpwstr>
      </vt:variant>
      <vt:variant>
        <vt:i4>3735636</vt:i4>
      </vt:variant>
      <vt:variant>
        <vt:i4>182</vt:i4>
      </vt:variant>
      <vt:variant>
        <vt:i4>0</vt:i4>
      </vt:variant>
      <vt:variant>
        <vt:i4>5</vt:i4>
      </vt:variant>
      <vt:variant>
        <vt:lpwstr>C:\Users\ALobo\AppData\Local\Microsoft\Windows\INetCache\Content.MSO\7AAF2E51.xlsx</vt:lpwstr>
      </vt:variant>
      <vt:variant>
        <vt:lpwstr>RANGE!D79</vt:lpwstr>
      </vt:variant>
      <vt:variant>
        <vt:i4>3735636</vt:i4>
      </vt:variant>
      <vt:variant>
        <vt:i4>179</vt:i4>
      </vt:variant>
      <vt:variant>
        <vt:i4>0</vt:i4>
      </vt:variant>
      <vt:variant>
        <vt:i4>5</vt:i4>
      </vt:variant>
      <vt:variant>
        <vt:lpwstr>C:\Users\ALobo\AppData\Local\Microsoft\Windows\INetCache\Content.MSO\7AAF2E51.xlsx</vt:lpwstr>
      </vt:variant>
      <vt:variant>
        <vt:lpwstr>RANGE!D79</vt:lpwstr>
      </vt:variant>
      <vt:variant>
        <vt:i4>3670100</vt:i4>
      </vt:variant>
      <vt:variant>
        <vt:i4>176</vt:i4>
      </vt:variant>
      <vt:variant>
        <vt:i4>0</vt:i4>
      </vt:variant>
      <vt:variant>
        <vt:i4>5</vt:i4>
      </vt:variant>
      <vt:variant>
        <vt:lpwstr>C:\Users\ALobo\AppData\Local\Microsoft\Windows\INetCache\Content.MSO\7AAF2E51.xlsx</vt:lpwstr>
      </vt:variant>
      <vt:variant>
        <vt:lpwstr>RANGE!D61</vt:lpwstr>
      </vt:variant>
      <vt:variant>
        <vt:i4>3670100</vt:i4>
      </vt:variant>
      <vt:variant>
        <vt:i4>173</vt:i4>
      </vt:variant>
      <vt:variant>
        <vt:i4>0</vt:i4>
      </vt:variant>
      <vt:variant>
        <vt:i4>5</vt:i4>
      </vt:variant>
      <vt:variant>
        <vt:lpwstr>C:\Users\ALobo\AppData\Local\Microsoft\Windows\INetCache\Content.MSO\7AAF2E51.xlsx</vt:lpwstr>
      </vt:variant>
      <vt:variant>
        <vt:lpwstr>RANGE!D61</vt:lpwstr>
      </vt:variant>
      <vt:variant>
        <vt:i4>3670100</vt:i4>
      </vt:variant>
      <vt:variant>
        <vt:i4>170</vt:i4>
      </vt:variant>
      <vt:variant>
        <vt:i4>0</vt:i4>
      </vt:variant>
      <vt:variant>
        <vt:i4>5</vt:i4>
      </vt:variant>
      <vt:variant>
        <vt:lpwstr>C:\Users\ALobo\AppData\Local\Microsoft\Windows\INetCache\Content.MSO\7AAF2E51.xlsx</vt:lpwstr>
      </vt:variant>
      <vt:variant>
        <vt:lpwstr>RANGE!D61</vt:lpwstr>
      </vt:variant>
      <vt:variant>
        <vt:i4>3670100</vt:i4>
      </vt:variant>
      <vt:variant>
        <vt:i4>167</vt:i4>
      </vt:variant>
      <vt:variant>
        <vt:i4>0</vt:i4>
      </vt:variant>
      <vt:variant>
        <vt:i4>5</vt:i4>
      </vt:variant>
      <vt:variant>
        <vt:lpwstr>C:\Users\ALobo\AppData\Local\Microsoft\Windows\INetCache\Content.MSO\7AAF2E51.xlsx</vt:lpwstr>
      </vt:variant>
      <vt:variant>
        <vt:lpwstr>RANGE!D61</vt:lpwstr>
      </vt:variant>
      <vt:variant>
        <vt:i4>3670100</vt:i4>
      </vt:variant>
      <vt:variant>
        <vt:i4>164</vt:i4>
      </vt:variant>
      <vt:variant>
        <vt:i4>0</vt:i4>
      </vt:variant>
      <vt:variant>
        <vt:i4>5</vt:i4>
      </vt:variant>
      <vt:variant>
        <vt:lpwstr>C:\Users\ALobo\AppData\Local\Microsoft\Windows\INetCache\Content.MSO\7AAF2E51.xlsx</vt:lpwstr>
      </vt:variant>
      <vt:variant>
        <vt:lpwstr>RANGE!D61</vt:lpwstr>
      </vt:variant>
      <vt:variant>
        <vt:i4>3670100</vt:i4>
      </vt:variant>
      <vt:variant>
        <vt:i4>161</vt:i4>
      </vt:variant>
      <vt:variant>
        <vt:i4>0</vt:i4>
      </vt:variant>
      <vt:variant>
        <vt:i4>5</vt:i4>
      </vt:variant>
      <vt:variant>
        <vt:lpwstr>C:\Users\ALobo\AppData\Local\Microsoft\Windows\INetCache\Content.MSO\7AAF2E51.xlsx</vt:lpwstr>
      </vt:variant>
      <vt:variant>
        <vt:lpwstr>RANGE!D61</vt:lpwstr>
      </vt:variant>
      <vt:variant>
        <vt:i4>3670100</vt:i4>
      </vt:variant>
      <vt:variant>
        <vt:i4>158</vt:i4>
      </vt:variant>
      <vt:variant>
        <vt:i4>0</vt:i4>
      </vt:variant>
      <vt:variant>
        <vt:i4>5</vt:i4>
      </vt:variant>
      <vt:variant>
        <vt:lpwstr>C:\Users\ALobo\AppData\Local\Microsoft\Windows\INetCache\Content.MSO\7AAF2E51.xlsx</vt:lpwstr>
      </vt:variant>
      <vt:variant>
        <vt:lpwstr>RANGE!D61</vt:lpwstr>
      </vt:variant>
      <vt:variant>
        <vt:i4>3801172</vt:i4>
      </vt:variant>
      <vt:variant>
        <vt:i4>155</vt:i4>
      </vt:variant>
      <vt:variant>
        <vt:i4>0</vt:i4>
      </vt:variant>
      <vt:variant>
        <vt:i4>5</vt:i4>
      </vt:variant>
      <vt:variant>
        <vt:lpwstr>C:\Users\ALobo\AppData\Local\Microsoft\Windows\INetCache\Content.MSO\7AAF2E51.xlsx</vt:lpwstr>
      </vt:variant>
      <vt:variant>
        <vt:lpwstr>RANGE!D42</vt:lpwstr>
      </vt:variant>
      <vt:variant>
        <vt:i4>3801172</vt:i4>
      </vt:variant>
      <vt:variant>
        <vt:i4>152</vt:i4>
      </vt:variant>
      <vt:variant>
        <vt:i4>0</vt:i4>
      </vt:variant>
      <vt:variant>
        <vt:i4>5</vt:i4>
      </vt:variant>
      <vt:variant>
        <vt:lpwstr>C:\Users\ALobo\AppData\Local\Microsoft\Windows\INetCache\Content.MSO\7AAF2E51.xlsx</vt:lpwstr>
      </vt:variant>
      <vt:variant>
        <vt:lpwstr>RANGE!D42</vt:lpwstr>
      </vt:variant>
      <vt:variant>
        <vt:i4>3932244</vt:i4>
      </vt:variant>
      <vt:variant>
        <vt:i4>149</vt:i4>
      </vt:variant>
      <vt:variant>
        <vt:i4>0</vt:i4>
      </vt:variant>
      <vt:variant>
        <vt:i4>5</vt:i4>
      </vt:variant>
      <vt:variant>
        <vt:lpwstr>C:\Users\ALobo\AppData\Local\Microsoft\Windows\INetCache\Content.MSO\7AAF2E51.xlsx</vt:lpwstr>
      </vt:variant>
      <vt:variant>
        <vt:lpwstr>RANGE!D22</vt:lpwstr>
      </vt:variant>
      <vt:variant>
        <vt:i4>655458</vt:i4>
      </vt:variant>
      <vt:variant>
        <vt:i4>146</vt:i4>
      </vt:variant>
      <vt:variant>
        <vt:i4>0</vt:i4>
      </vt:variant>
      <vt:variant>
        <vt:i4>5</vt:i4>
      </vt:variant>
      <vt:variant>
        <vt:lpwstr>C:\Users\ALobo\AppData\Local\Microsoft\Windows\INetCache\Content.MSO\7AAF2E51.xlsx</vt:lpwstr>
      </vt:variant>
      <vt:variant>
        <vt:lpwstr>RANGE!E276</vt:lpwstr>
      </vt:variant>
      <vt:variant>
        <vt:i4>3932244</vt:i4>
      </vt:variant>
      <vt:variant>
        <vt:i4>143</vt:i4>
      </vt:variant>
      <vt:variant>
        <vt:i4>0</vt:i4>
      </vt:variant>
      <vt:variant>
        <vt:i4>5</vt:i4>
      </vt:variant>
      <vt:variant>
        <vt:lpwstr>C:\Users\ALobo\AppData\Local\Microsoft\Windows\INetCache\Content.MSO\7AAF2E51.xlsx</vt:lpwstr>
      </vt:variant>
      <vt:variant>
        <vt:lpwstr>RANGE!D2</vt:lpwstr>
      </vt:variant>
      <vt:variant>
        <vt:i4>3932244</vt:i4>
      </vt:variant>
      <vt:variant>
        <vt:i4>140</vt:i4>
      </vt:variant>
      <vt:variant>
        <vt:i4>0</vt:i4>
      </vt:variant>
      <vt:variant>
        <vt:i4>5</vt:i4>
      </vt:variant>
      <vt:variant>
        <vt:lpwstr>C:\Users\ALobo\AppData\Local\Microsoft\Windows\INetCache\Content.MSO\7AAF2E51.xlsx</vt:lpwstr>
      </vt:variant>
      <vt:variant>
        <vt:lpwstr>RANGE!D2</vt:lpwstr>
      </vt:variant>
      <vt:variant>
        <vt:i4>3801172</vt:i4>
      </vt:variant>
      <vt:variant>
        <vt:i4>137</vt:i4>
      </vt:variant>
      <vt:variant>
        <vt:i4>0</vt:i4>
      </vt:variant>
      <vt:variant>
        <vt:i4>5</vt:i4>
      </vt:variant>
      <vt:variant>
        <vt:lpwstr>C:\Users\ALobo\AppData\Local\Microsoft\Windows\INetCache\Content.MSO\7AAF2E51.xlsx</vt:lpwstr>
      </vt:variant>
      <vt:variant>
        <vt:lpwstr>RANGE!D43</vt:lpwstr>
      </vt:variant>
      <vt:variant>
        <vt:i4>3932244</vt:i4>
      </vt:variant>
      <vt:variant>
        <vt:i4>134</vt:i4>
      </vt:variant>
      <vt:variant>
        <vt:i4>0</vt:i4>
      </vt:variant>
      <vt:variant>
        <vt:i4>5</vt:i4>
      </vt:variant>
      <vt:variant>
        <vt:lpwstr>C:\Users\ALobo\AppData\Local\Microsoft\Windows\INetCache\Content.MSO\7AAF2E51.xlsx</vt:lpwstr>
      </vt:variant>
      <vt:variant>
        <vt:lpwstr>RANGE!D28</vt:lpwstr>
      </vt:variant>
      <vt:variant>
        <vt:i4>4128852</vt:i4>
      </vt:variant>
      <vt:variant>
        <vt:i4>131</vt:i4>
      </vt:variant>
      <vt:variant>
        <vt:i4>0</vt:i4>
      </vt:variant>
      <vt:variant>
        <vt:i4>5</vt:i4>
      </vt:variant>
      <vt:variant>
        <vt:lpwstr>C:\Users\ALobo\AppData\Local\Microsoft\Windows\INetCache\Content.MSO\7AAF2E51.xlsx</vt:lpwstr>
      </vt:variant>
      <vt:variant>
        <vt:lpwstr>RANGE!D11</vt:lpwstr>
      </vt:variant>
      <vt:variant>
        <vt:i4>3997780</vt:i4>
      </vt:variant>
      <vt:variant>
        <vt:i4>128</vt:i4>
      </vt:variant>
      <vt:variant>
        <vt:i4>0</vt:i4>
      </vt:variant>
      <vt:variant>
        <vt:i4>5</vt:i4>
      </vt:variant>
      <vt:variant>
        <vt:lpwstr>C:\Users\ALobo\AppData\Local\Microsoft\Windows\INetCache\Content.MSO\7AAF2E51.xlsx</vt:lpwstr>
      </vt:variant>
      <vt:variant>
        <vt:lpwstr>RANGE!D35</vt:lpwstr>
      </vt:variant>
      <vt:variant>
        <vt:i4>4128852</vt:i4>
      </vt:variant>
      <vt:variant>
        <vt:i4>125</vt:i4>
      </vt:variant>
      <vt:variant>
        <vt:i4>0</vt:i4>
      </vt:variant>
      <vt:variant>
        <vt:i4>5</vt:i4>
      </vt:variant>
      <vt:variant>
        <vt:lpwstr>C:\Users\ALobo\AppData\Local\Microsoft\Windows\INetCache\Content.MSO\7AAF2E51.xlsx</vt:lpwstr>
      </vt:variant>
      <vt:variant>
        <vt:lpwstr>RANGE!D13</vt:lpwstr>
      </vt:variant>
      <vt:variant>
        <vt:i4>3932244</vt:i4>
      </vt:variant>
      <vt:variant>
        <vt:i4>122</vt:i4>
      </vt:variant>
      <vt:variant>
        <vt:i4>0</vt:i4>
      </vt:variant>
      <vt:variant>
        <vt:i4>5</vt:i4>
      </vt:variant>
      <vt:variant>
        <vt:lpwstr>C:\Users\ALobo\AppData\Local\Microsoft\Windows\INetCache\Content.MSO\7AAF2E51.xlsx</vt:lpwstr>
      </vt:variant>
      <vt:variant>
        <vt:lpwstr>RANGE!D2</vt:lpwstr>
      </vt:variant>
      <vt:variant>
        <vt:i4>3932244</vt:i4>
      </vt:variant>
      <vt:variant>
        <vt:i4>119</vt:i4>
      </vt:variant>
      <vt:variant>
        <vt:i4>0</vt:i4>
      </vt:variant>
      <vt:variant>
        <vt:i4>5</vt:i4>
      </vt:variant>
      <vt:variant>
        <vt:lpwstr>C:\Users\ALobo\AppData\Local\Microsoft\Windows\INetCache\Content.MSO\7AAF2E51.xlsx</vt:lpwstr>
      </vt:variant>
      <vt:variant>
        <vt:lpwstr>RANGE!D2</vt:lpwstr>
      </vt:variant>
      <vt:variant>
        <vt:i4>3932244</vt:i4>
      </vt:variant>
      <vt:variant>
        <vt:i4>116</vt:i4>
      </vt:variant>
      <vt:variant>
        <vt:i4>0</vt:i4>
      </vt:variant>
      <vt:variant>
        <vt:i4>5</vt:i4>
      </vt:variant>
      <vt:variant>
        <vt:lpwstr>C:\Users\ALobo\AppData\Local\Microsoft\Windows\INetCache\Content.MSO\7AAF2E51.xlsx</vt:lpwstr>
      </vt:variant>
      <vt:variant>
        <vt:lpwstr>RANGE!D2</vt:lpwstr>
      </vt:variant>
      <vt:variant>
        <vt:i4>3670114</vt:i4>
      </vt:variant>
      <vt:variant>
        <vt:i4>111</vt:i4>
      </vt:variant>
      <vt:variant>
        <vt:i4>0</vt:i4>
      </vt:variant>
      <vt:variant>
        <vt:i4>5</vt:i4>
      </vt:variant>
      <vt:variant>
        <vt:lpwstr>https://www.finance.gov.au/resource-management/charging-framework/risk-assessment-template/</vt:lpwstr>
      </vt:variant>
      <vt:variant>
        <vt:lpwstr/>
      </vt:variant>
      <vt:variant>
        <vt:i4>1048651</vt:i4>
      </vt:variant>
      <vt:variant>
        <vt:i4>108</vt:i4>
      </vt:variant>
      <vt:variant>
        <vt:i4>0</vt:i4>
      </vt:variant>
      <vt:variant>
        <vt:i4>5</vt:i4>
      </vt:variant>
      <vt:variant>
        <vt:lpwstr>https://docdb.cept.org/download/2569</vt:lpwstr>
      </vt:variant>
      <vt:variant>
        <vt:lpwstr/>
      </vt:variant>
      <vt:variant>
        <vt:i4>983053</vt:i4>
      </vt:variant>
      <vt:variant>
        <vt:i4>105</vt:i4>
      </vt:variant>
      <vt:variant>
        <vt:i4>0</vt:i4>
      </vt:variant>
      <vt:variant>
        <vt:i4>5</vt:i4>
      </vt:variant>
      <vt:variant>
        <vt:lpwstr>https://www.acma.gov.au/publications/2012-01/guide/australian-procedures-coordination-notification-satellite-systems</vt:lpwstr>
      </vt:variant>
      <vt:variant>
        <vt:lpwstr/>
      </vt:variant>
      <vt:variant>
        <vt:i4>7733280</vt:i4>
      </vt:variant>
      <vt:variant>
        <vt:i4>102</vt:i4>
      </vt:variant>
      <vt:variant>
        <vt:i4>0</vt:i4>
      </vt:variant>
      <vt:variant>
        <vt:i4>5</vt:i4>
      </vt:variant>
      <vt:variant>
        <vt:lpwstr>https://www.legislation.gov.au/Details/F2017C01074</vt:lpwstr>
      </vt:variant>
      <vt:variant>
        <vt:lpwstr/>
      </vt:variant>
      <vt:variant>
        <vt:i4>7471143</vt:i4>
      </vt:variant>
      <vt:variant>
        <vt:i4>99</vt:i4>
      </vt:variant>
      <vt:variant>
        <vt:i4>0</vt:i4>
      </vt:variant>
      <vt:variant>
        <vt:i4>5</vt:i4>
      </vt:variant>
      <vt:variant>
        <vt:lpwstr>https://www.legislation.gov.au/Details/F2018C00916</vt:lpwstr>
      </vt:variant>
      <vt:variant>
        <vt:lpwstr/>
      </vt:variant>
      <vt:variant>
        <vt:i4>5373997</vt:i4>
      </vt:variant>
      <vt:variant>
        <vt:i4>3</vt:i4>
      </vt:variant>
      <vt:variant>
        <vt:i4>0</vt:i4>
      </vt:variant>
      <vt:variant>
        <vt:i4>5</vt:i4>
      </vt:variant>
      <vt:variant>
        <vt:lpwstr>mailto:candinfo@acma.gov.au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7077969</vt:i4>
      </vt:variant>
      <vt:variant>
        <vt:i4>9</vt:i4>
      </vt:variant>
      <vt:variant>
        <vt:i4>0</vt:i4>
      </vt:variant>
      <vt:variant>
        <vt:i4>5</vt:i4>
      </vt:variant>
      <vt:variant>
        <vt:lpwstr>mailto:Anneke.VanderWeyde@acma.gov.au</vt:lpwstr>
      </vt:variant>
      <vt:variant>
        <vt:lpwstr/>
      </vt:variant>
      <vt:variant>
        <vt:i4>3604509</vt:i4>
      </vt:variant>
      <vt:variant>
        <vt:i4>6</vt:i4>
      </vt:variant>
      <vt:variant>
        <vt:i4>0</vt:i4>
      </vt:variant>
      <vt:variant>
        <vt:i4>5</vt:i4>
      </vt:variant>
      <vt:variant>
        <vt:lpwstr>mailto:Anita.Lobo@acma.gov.au</vt:lpwstr>
      </vt:variant>
      <vt:variant>
        <vt:lpwstr/>
      </vt:variant>
      <vt:variant>
        <vt:i4>7077969</vt:i4>
      </vt:variant>
      <vt:variant>
        <vt:i4>3</vt:i4>
      </vt:variant>
      <vt:variant>
        <vt:i4>0</vt:i4>
      </vt:variant>
      <vt:variant>
        <vt:i4>5</vt:i4>
      </vt:variant>
      <vt:variant>
        <vt:lpwstr>mailto:Anneke.VanderWeyde@acma.gov.au</vt:lpwstr>
      </vt:variant>
      <vt:variant>
        <vt:lpwstr/>
      </vt:variant>
      <vt:variant>
        <vt:i4>3604509</vt:i4>
      </vt:variant>
      <vt:variant>
        <vt:i4>0</vt:i4>
      </vt:variant>
      <vt:variant>
        <vt:i4>0</vt:i4>
      </vt:variant>
      <vt:variant>
        <vt:i4>5</vt:i4>
      </vt:variant>
      <vt:variant>
        <vt:lpwstr>mailto:Anita.Lobo@acma.gov.au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2023-08-28T02:09:00Z</dcterms:created>
  <dcterms:modified xsi:type="dcterms:W3CDTF">2023-08-30T06:53:00Z</dcterms:modified>
  <cp:category/>
</cp:coreProperties>
</file>