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645B" w14:textId="347DC398" w:rsidR="00BE459D" w:rsidRDefault="00B30A6C" w:rsidP="0033104B">
      <w:pPr>
        <w:pStyle w:val="ACMAHeading1"/>
        <w:spacing w:before="960" w:after="240"/>
      </w:pPr>
      <w:r w:rsidRPr="00BE6B8E">
        <w:t xml:space="preserve">Investigation </w:t>
      </w:r>
      <w:r w:rsidR="0079419E" w:rsidRPr="00BE6B8E">
        <w:t>r</w:t>
      </w:r>
      <w:r w:rsidRPr="00BE6B8E">
        <w:t xml:space="preserve">eport </w:t>
      </w:r>
      <w:r w:rsidR="0079419E" w:rsidRPr="00BE6B8E">
        <w:t>n</w:t>
      </w:r>
      <w:r w:rsidRPr="00BE6B8E">
        <w:t xml:space="preserve">o. </w:t>
      </w:r>
      <w:r w:rsidR="00EF41B0" w:rsidRPr="00BE6B8E">
        <w:rPr>
          <w:rStyle w:val="Emphasis"/>
          <w:i w:val="0"/>
        </w:rPr>
        <w:t>BI-</w:t>
      </w:r>
      <w:r w:rsidR="00BE6B8E" w:rsidRPr="00BE6B8E">
        <w:rPr>
          <w:rStyle w:val="Emphasis"/>
          <w:i w:val="0"/>
        </w:rPr>
        <w:t>667</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721244E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6F529FF8" w14:textId="77777777" w:rsidR="005E47E5" w:rsidRPr="0033104B" w:rsidRDefault="003E08A5" w:rsidP="0033104B">
            <w:pPr>
              <w:pStyle w:val="ACMATableHeading"/>
            </w:pPr>
            <w:bookmarkStart w:id="0" w:name="ColumnTitle"/>
            <w:r w:rsidRPr="0033104B">
              <w:t>Summary</w:t>
            </w:r>
          </w:p>
        </w:tc>
        <w:tc>
          <w:tcPr>
            <w:tcW w:w="5724" w:type="dxa"/>
          </w:tcPr>
          <w:p w14:paraId="4FCFCDAD" w14:textId="77777777" w:rsidR="005E47E5" w:rsidRPr="00B261EE" w:rsidRDefault="005E47E5" w:rsidP="00CC369B">
            <w:pPr>
              <w:pStyle w:val="ACMATableHeading"/>
            </w:pPr>
          </w:p>
        </w:tc>
      </w:tr>
      <w:bookmarkEnd w:id="0"/>
      <w:tr w:rsidR="005E47E5" w14:paraId="7737E83A"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1EB4B8F" w14:textId="5D0457EF" w:rsidR="005E47E5" w:rsidRPr="00BE6B8E" w:rsidRDefault="00B30A6C" w:rsidP="0033104B">
            <w:pPr>
              <w:pStyle w:val="ACMATableBody"/>
              <w:rPr>
                <w:b/>
              </w:rPr>
            </w:pPr>
            <w:r w:rsidRPr="00BE6B8E">
              <w:rPr>
                <w:b/>
              </w:rPr>
              <w:t>Licensee</w:t>
            </w:r>
            <w:r w:rsidR="004E0B99" w:rsidRPr="00BE6B8E">
              <w:rPr>
                <w:b/>
              </w:rPr>
              <w:t xml:space="preserve"> [service]</w:t>
            </w:r>
          </w:p>
        </w:tc>
        <w:tc>
          <w:tcPr>
            <w:tcW w:w="5724" w:type="dxa"/>
            <w:tcBorders>
              <w:top w:val="single" w:sz="4" w:space="0" w:color="auto"/>
              <w:left w:val="single" w:sz="4" w:space="0" w:color="auto"/>
              <w:bottom w:val="single" w:sz="4" w:space="0" w:color="auto"/>
            </w:tcBorders>
            <w:shd w:val="clear" w:color="auto" w:fill="auto"/>
          </w:tcPr>
          <w:p w14:paraId="7ABE7268" w14:textId="140E2AB9" w:rsidR="005E47E5" w:rsidRPr="00BE6B8E" w:rsidRDefault="00BE6B8E" w:rsidP="0033104B">
            <w:pPr>
              <w:pStyle w:val="ACMATableBody"/>
            </w:pPr>
            <w:r w:rsidRPr="00BE6B8E">
              <w:t>Farren Hotham [One Central West FM88]</w:t>
            </w:r>
          </w:p>
        </w:tc>
      </w:tr>
      <w:tr w:rsidR="004E0B99" w14:paraId="09BCA944"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7B65881" w14:textId="49A7A04E" w:rsidR="004E0B99" w:rsidRPr="00BE6B8E" w:rsidRDefault="004E0B99" w:rsidP="000E3534">
            <w:pPr>
              <w:pStyle w:val="ACMATableBody"/>
              <w:rPr>
                <w:b/>
              </w:rPr>
            </w:pPr>
            <w:r w:rsidRPr="00BE6B8E">
              <w:rPr>
                <w:b/>
              </w:rPr>
              <w:t>Finding</w:t>
            </w:r>
          </w:p>
        </w:tc>
        <w:tc>
          <w:tcPr>
            <w:tcW w:w="5724" w:type="dxa"/>
            <w:tcBorders>
              <w:top w:val="single" w:sz="4" w:space="0" w:color="auto"/>
              <w:left w:val="single" w:sz="4" w:space="0" w:color="auto"/>
              <w:bottom w:val="single" w:sz="4" w:space="0" w:color="auto"/>
            </w:tcBorders>
            <w:shd w:val="clear" w:color="auto" w:fill="auto"/>
          </w:tcPr>
          <w:p w14:paraId="5FFA42E5" w14:textId="4212F019" w:rsidR="00A50581" w:rsidRPr="00165FC0" w:rsidRDefault="00A50581" w:rsidP="00A50581">
            <w:pPr>
              <w:pStyle w:val="ACMATableBody"/>
              <w:spacing w:after="0" w:line="240" w:lineRule="auto"/>
              <w:rPr>
                <w:rFonts w:cs="Arial"/>
              </w:rPr>
            </w:pPr>
            <w:r w:rsidRPr="00165FC0">
              <w:rPr>
                <w:rFonts w:cs="Arial"/>
              </w:rPr>
              <w:t>Breach of subclause 4(2)</w:t>
            </w:r>
            <w:r w:rsidR="00B227B4">
              <w:rPr>
                <w:rFonts w:cs="Arial"/>
              </w:rPr>
              <w:t xml:space="preserve"> in Schedule 2 to the </w:t>
            </w:r>
            <w:r w:rsidR="00B227B4" w:rsidRPr="00E44472">
              <w:rPr>
                <w:rFonts w:cs="Arial"/>
                <w:i/>
                <w:iCs/>
              </w:rPr>
              <w:t xml:space="preserve">Broadcasting Services Act 1992 </w:t>
            </w:r>
            <w:r w:rsidR="00B227B4">
              <w:rPr>
                <w:rFonts w:cs="Arial"/>
              </w:rPr>
              <w:t>(the BSA)</w:t>
            </w:r>
            <w:r w:rsidRPr="00165FC0">
              <w:rPr>
                <w:rFonts w:cs="Arial"/>
              </w:rPr>
              <w:t xml:space="preserve"> [identification of certain political matter]</w:t>
            </w:r>
          </w:p>
          <w:p w14:paraId="1C913576" w14:textId="4FB90AFA" w:rsidR="004E0B99" w:rsidRPr="00A50581" w:rsidRDefault="00A50581" w:rsidP="00A50581">
            <w:pPr>
              <w:pStyle w:val="ACMATableBody"/>
              <w:rPr>
                <w:rFonts w:cs="Arial"/>
                <w:i/>
                <w:iCs/>
              </w:rPr>
            </w:pPr>
            <w:r w:rsidRPr="00165FC0">
              <w:rPr>
                <w:rFonts w:cs="Arial"/>
              </w:rPr>
              <w:t xml:space="preserve">Breach of </w:t>
            </w:r>
            <w:bookmarkStart w:id="1" w:name="_Hlk67321385"/>
            <w:r w:rsidRPr="00165FC0">
              <w:rPr>
                <w:rFonts w:cs="Arial"/>
              </w:rPr>
              <w:t xml:space="preserve">paragraph </w:t>
            </w:r>
            <w:r w:rsidR="00FD04F8">
              <w:rPr>
                <w:rFonts w:cs="Arial"/>
              </w:rPr>
              <w:t>11</w:t>
            </w:r>
            <w:r w:rsidRPr="00165FC0">
              <w:rPr>
                <w:rFonts w:cs="Arial"/>
              </w:rPr>
              <w:t>(1)(</w:t>
            </w:r>
            <w:r w:rsidR="00FD04F8">
              <w:rPr>
                <w:rFonts w:cs="Arial"/>
              </w:rPr>
              <w:t>d</w:t>
            </w:r>
            <w:r w:rsidRPr="00165FC0">
              <w:rPr>
                <w:rFonts w:cs="Arial"/>
              </w:rPr>
              <w:t>)</w:t>
            </w:r>
            <w:r w:rsidR="00B227B4">
              <w:rPr>
                <w:rFonts w:cs="Arial"/>
              </w:rPr>
              <w:t xml:space="preserve"> in Schedule 2 to the BSA</w:t>
            </w:r>
            <w:r w:rsidRPr="00165FC0">
              <w:rPr>
                <w:rFonts w:cs="Arial"/>
              </w:rPr>
              <w:t xml:space="preserve"> [comply with subclause 4(2)]</w:t>
            </w:r>
            <w:bookmarkEnd w:id="1"/>
          </w:p>
        </w:tc>
      </w:tr>
      <w:tr w:rsidR="00CC1A30" w14:paraId="4415D665"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631CB41" w14:textId="26310459" w:rsidR="00CC1A30" w:rsidRPr="0033104B" w:rsidRDefault="00CC1A30" w:rsidP="00CC1A30">
            <w:pPr>
              <w:pStyle w:val="ACMATableBody"/>
              <w:rPr>
                <w:b/>
              </w:rPr>
            </w:pPr>
            <w:r w:rsidRPr="0033104B">
              <w:rPr>
                <w:b/>
              </w:rPr>
              <w:t>Relev</w:t>
            </w:r>
            <w:r w:rsidRPr="00CC1A30">
              <w:rPr>
                <w:b/>
              </w:rPr>
              <w:t>ant legislation</w:t>
            </w:r>
          </w:p>
        </w:tc>
        <w:tc>
          <w:tcPr>
            <w:tcW w:w="5724" w:type="dxa"/>
            <w:tcBorders>
              <w:top w:val="single" w:sz="4" w:space="0" w:color="auto"/>
              <w:left w:val="single" w:sz="4" w:space="0" w:color="auto"/>
              <w:bottom w:val="single" w:sz="4" w:space="0" w:color="auto"/>
            </w:tcBorders>
            <w:shd w:val="clear" w:color="auto" w:fill="auto"/>
          </w:tcPr>
          <w:p w14:paraId="1F4F6657" w14:textId="1D3A90E2" w:rsidR="00CC1A30" w:rsidRDefault="00CC1A30" w:rsidP="00CC1A30">
            <w:pPr>
              <w:pStyle w:val="ACMATableBody"/>
            </w:pPr>
            <w:r>
              <w:rPr>
                <w:rFonts w:cs="Arial"/>
              </w:rPr>
              <w:t xml:space="preserve">Schedule 2 to the </w:t>
            </w:r>
            <w:r w:rsidR="00B227B4">
              <w:rPr>
                <w:rFonts w:cs="Arial"/>
              </w:rPr>
              <w:t>BSA</w:t>
            </w:r>
          </w:p>
        </w:tc>
      </w:tr>
      <w:tr w:rsidR="00400A16" w14:paraId="3E133E05" w14:textId="77777777" w:rsidTr="00400A16">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B23C9B3" w14:textId="2C0A8561" w:rsidR="00400A16" w:rsidRPr="0033104B" w:rsidRDefault="00400A16" w:rsidP="00CC1A30">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36FDB4F0" w14:textId="13BCF875" w:rsidR="00400A16" w:rsidRDefault="00400A16" w:rsidP="00CC1A30">
            <w:pPr>
              <w:pStyle w:val="ACMATableBody"/>
              <w:rPr>
                <w:rFonts w:cs="Arial"/>
              </w:rPr>
            </w:pPr>
            <w:r>
              <w:rPr>
                <w:rFonts w:cs="Arial"/>
              </w:rPr>
              <w:t>23 July 2023</w:t>
            </w:r>
          </w:p>
        </w:tc>
      </w:tr>
      <w:tr w:rsidR="00CC1A30" w14:paraId="04039452"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5494A37" w14:textId="417E2C5A" w:rsidR="00CC1A30" w:rsidRPr="00CC1A30" w:rsidRDefault="00CC1A30" w:rsidP="00CC1A30">
            <w:pPr>
              <w:pStyle w:val="ACMATableBody"/>
              <w:rPr>
                <w:b/>
              </w:rPr>
            </w:pPr>
            <w:r w:rsidRPr="00CC1A30">
              <w:rPr>
                <w:b/>
              </w:rPr>
              <w:t>Broadcasting matter</w:t>
            </w:r>
          </w:p>
        </w:tc>
        <w:tc>
          <w:tcPr>
            <w:tcW w:w="5724" w:type="dxa"/>
            <w:tcBorders>
              <w:top w:val="single" w:sz="4" w:space="0" w:color="auto"/>
              <w:left w:val="single" w:sz="4" w:space="0" w:color="auto"/>
              <w:bottom w:val="single" w:sz="4" w:space="0" w:color="auto"/>
            </w:tcBorders>
            <w:shd w:val="clear" w:color="auto" w:fill="auto"/>
          </w:tcPr>
          <w:p w14:paraId="67B0C85D" w14:textId="062A3D02" w:rsidR="00CC1A30" w:rsidRPr="00CC1A30" w:rsidRDefault="00CC1A30" w:rsidP="00CC1A30">
            <w:pPr>
              <w:pStyle w:val="ACMATableBody"/>
              <w:rPr>
                <w:i/>
              </w:rPr>
            </w:pPr>
            <w:r w:rsidRPr="00CC1A30">
              <w:rPr>
                <w:i/>
              </w:rPr>
              <w:t xml:space="preserve">Call for </w:t>
            </w:r>
            <w:r w:rsidR="00B33C7D">
              <w:rPr>
                <w:i/>
              </w:rPr>
              <w:t>Federal assistance</w:t>
            </w:r>
            <w:r w:rsidR="006E4C21">
              <w:rPr>
                <w:i/>
              </w:rPr>
              <w:t xml:space="preserve"> to fix roads</w:t>
            </w:r>
            <w:r>
              <w:rPr>
                <w:i/>
              </w:rPr>
              <w:t xml:space="preserve"> </w:t>
            </w:r>
          </w:p>
        </w:tc>
      </w:tr>
      <w:tr w:rsidR="00CC1A30" w14:paraId="1F7B29FD"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65CE645" w14:textId="6A28D751" w:rsidR="00CC1A30" w:rsidRPr="0033104B" w:rsidRDefault="00CC1A30" w:rsidP="00CC1A30">
            <w:pPr>
              <w:pStyle w:val="ACMATableBody"/>
              <w:rPr>
                <w:b/>
              </w:rPr>
            </w:pPr>
            <w:r w:rsidRPr="00747CC0">
              <w:rPr>
                <w:b/>
              </w:rPr>
              <w:t>Dat</w:t>
            </w:r>
            <w:r w:rsidRPr="00CC1A30">
              <w:rPr>
                <w:b/>
              </w:rPr>
              <w:t>es o</w:t>
            </w:r>
            <w:r w:rsidRPr="0033104B">
              <w:rPr>
                <w:b/>
              </w:rPr>
              <w:t>f broadcast</w:t>
            </w:r>
          </w:p>
        </w:tc>
        <w:tc>
          <w:tcPr>
            <w:tcW w:w="5724" w:type="dxa"/>
            <w:tcBorders>
              <w:top w:val="single" w:sz="4" w:space="0" w:color="auto"/>
              <w:left w:val="single" w:sz="4" w:space="0" w:color="auto"/>
              <w:bottom w:val="single" w:sz="4" w:space="0" w:color="auto"/>
            </w:tcBorders>
            <w:shd w:val="clear" w:color="auto" w:fill="auto"/>
          </w:tcPr>
          <w:p w14:paraId="04FAAAE8" w14:textId="3256FBD8" w:rsidR="00CC1A30" w:rsidRDefault="003676C9" w:rsidP="00CC1A30">
            <w:pPr>
              <w:pStyle w:val="ACMATableBody"/>
            </w:pPr>
            <w:r>
              <w:t>19 October</w:t>
            </w:r>
            <w:r w:rsidR="0009496D">
              <w:t xml:space="preserve"> 2022 to 31 December 2022 (inclusive)</w:t>
            </w:r>
          </w:p>
        </w:tc>
      </w:tr>
      <w:tr w:rsidR="00CC1A30" w14:paraId="4CF213F2"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A3F09C1" w14:textId="77777777" w:rsidR="00CC1A30" w:rsidRPr="0033104B" w:rsidRDefault="00CC1A30" w:rsidP="00CC1A30">
            <w:pPr>
              <w:pStyle w:val="ACMATableBody"/>
              <w:rPr>
                <w:b/>
              </w:rPr>
            </w:pPr>
            <w:r w:rsidRPr="0033104B">
              <w:rPr>
                <w:b/>
              </w:rPr>
              <w:t>Type of service</w:t>
            </w:r>
          </w:p>
        </w:tc>
        <w:tc>
          <w:tcPr>
            <w:tcW w:w="5724" w:type="dxa"/>
            <w:tcBorders>
              <w:top w:val="single" w:sz="4" w:space="0" w:color="auto"/>
              <w:left w:val="single" w:sz="4" w:space="0" w:color="auto"/>
              <w:bottom w:val="single" w:sz="4" w:space="0" w:color="auto"/>
            </w:tcBorders>
            <w:shd w:val="clear" w:color="auto" w:fill="auto"/>
          </w:tcPr>
          <w:p w14:paraId="3F6626FA" w14:textId="72554F20" w:rsidR="00CC1A30" w:rsidRPr="00CC1A30" w:rsidRDefault="00CC1A30" w:rsidP="00CC1A30">
            <w:pPr>
              <w:pStyle w:val="ACMATableBody"/>
            </w:pPr>
            <w:r w:rsidRPr="00CC1A30">
              <w:t>Open narrowcasting – radio</w:t>
            </w:r>
          </w:p>
        </w:tc>
      </w:tr>
      <w:tr w:rsidR="00D015DD" w14:paraId="40C54500" w14:textId="77777777" w:rsidTr="00D015D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A4B9505" w14:textId="7F93D47C" w:rsidR="00D015DD" w:rsidRPr="0033104B" w:rsidRDefault="00D015DD" w:rsidP="00D015DD">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auto"/>
          </w:tcPr>
          <w:p w14:paraId="017687B6" w14:textId="77777777" w:rsidR="00D015DD" w:rsidRDefault="00D015DD" w:rsidP="00D015DD">
            <w:pPr>
              <w:pStyle w:val="ACMABodyText"/>
              <w:spacing w:before="40" w:after="120"/>
            </w:pPr>
            <w:r>
              <w:rPr>
                <w:b/>
                <w:bCs/>
              </w:rPr>
              <w:t>A</w:t>
            </w:r>
            <w:r>
              <w:t xml:space="preserve"> - extract</w:t>
            </w:r>
            <w:r w:rsidRPr="0025285D">
              <w:rPr>
                <w:bCs/>
              </w:rPr>
              <w:t>s of</w:t>
            </w:r>
            <w:r>
              <w:rPr>
                <w:b/>
              </w:rPr>
              <w:t xml:space="preserve"> </w:t>
            </w:r>
            <w:bookmarkStart w:id="2" w:name="_Hlk67479987"/>
            <w:r w:rsidRPr="00E62697">
              <w:rPr>
                <w:bCs/>
              </w:rPr>
              <w:t>r</w:t>
            </w:r>
            <w:r>
              <w:t>elevant legislation</w:t>
            </w:r>
            <w:bookmarkEnd w:id="2"/>
          </w:p>
          <w:p w14:paraId="50A0B825" w14:textId="069EC04E" w:rsidR="001E5BEC" w:rsidRPr="00CC1A30" w:rsidRDefault="001E5BEC" w:rsidP="00D015DD">
            <w:pPr>
              <w:pStyle w:val="ACMABodyText"/>
              <w:spacing w:before="40" w:after="120"/>
            </w:pPr>
            <w:r w:rsidRPr="001E5BEC">
              <w:rPr>
                <w:b/>
                <w:bCs/>
              </w:rPr>
              <w:t>B</w:t>
            </w:r>
            <w:r>
              <w:t xml:space="preserve"> – transcript of the message</w:t>
            </w:r>
          </w:p>
        </w:tc>
      </w:tr>
    </w:tbl>
    <w:p w14:paraId="5F906631" w14:textId="77777777" w:rsidR="001C6546" w:rsidRPr="00972DB3" w:rsidRDefault="00D668E3" w:rsidP="00972DB3">
      <w:pPr>
        <w:pStyle w:val="ACMABodyText"/>
        <w:rPr>
          <w:rFonts w:eastAsiaTheme="minorHAnsi"/>
          <w:i/>
        </w:rPr>
      </w:pPr>
      <w:r>
        <w:br w:type="page"/>
      </w:r>
    </w:p>
    <w:p w14:paraId="41AD43B0" w14:textId="77777777" w:rsidR="001C6546" w:rsidRPr="007A7C97" w:rsidRDefault="007B047A" w:rsidP="001C6546">
      <w:pPr>
        <w:pStyle w:val="ACMAHeading2"/>
      </w:pPr>
      <w:r>
        <w:lastRenderedPageBreak/>
        <w:t>Background</w:t>
      </w:r>
    </w:p>
    <w:p w14:paraId="52E3C6B9" w14:textId="665E707F" w:rsidR="0073124D" w:rsidRDefault="001C6546" w:rsidP="001C6546">
      <w:pPr>
        <w:pStyle w:val="ACMABodyText"/>
      </w:pPr>
      <w:r>
        <w:t>In</w:t>
      </w:r>
      <w:r w:rsidR="00CC1A30">
        <w:t xml:space="preserve"> May 2023</w:t>
      </w:r>
      <w:r>
        <w:t xml:space="preserve">, the Australian Communications and Media Authority (the </w:t>
      </w:r>
      <w:r w:rsidRPr="003676C9">
        <w:rPr>
          <w:b/>
          <w:bCs/>
        </w:rPr>
        <w:t>ACMA</w:t>
      </w:r>
      <w:r>
        <w:t xml:space="preserve">) commenced an investigation </w:t>
      </w:r>
      <w:r w:rsidR="00205CDE">
        <w:t>under</w:t>
      </w:r>
      <w:r w:rsidR="00CD2711">
        <w:t xml:space="preserve"> </w:t>
      </w:r>
      <w:r w:rsidR="00205CDE" w:rsidRPr="00CD2711">
        <w:t xml:space="preserve">the </w:t>
      </w:r>
      <w:r w:rsidR="00205CDE" w:rsidRPr="00CD2711">
        <w:rPr>
          <w:i/>
        </w:rPr>
        <w:t>Broadcasting Services Act 1992</w:t>
      </w:r>
      <w:r w:rsidR="00205CDE">
        <w:rPr>
          <w:i/>
        </w:rPr>
        <w:t xml:space="preserve"> </w:t>
      </w:r>
      <w:r w:rsidR="00205CDE" w:rsidRPr="00F42D92">
        <w:t xml:space="preserve">(the </w:t>
      </w:r>
      <w:r w:rsidR="00205CDE" w:rsidRPr="003676C9">
        <w:rPr>
          <w:b/>
          <w:bCs/>
        </w:rPr>
        <w:t>BSA</w:t>
      </w:r>
      <w:r w:rsidR="00205CDE" w:rsidRPr="00F42D92">
        <w:t xml:space="preserve">) </w:t>
      </w:r>
      <w:r w:rsidR="00550001">
        <w:t>into</w:t>
      </w:r>
      <w:r w:rsidR="00213AFF">
        <w:t xml:space="preserve"> </w:t>
      </w:r>
      <w:r w:rsidR="00CC1A30">
        <w:t xml:space="preserve">the broadcast of a </w:t>
      </w:r>
      <w:r w:rsidR="00E76728">
        <w:rPr>
          <w:i/>
          <w:iCs/>
        </w:rPr>
        <w:t xml:space="preserve"> </w:t>
      </w:r>
      <w:r w:rsidR="00CC1A30">
        <w:t>message</w:t>
      </w:r>
      <w:r w:rsidR="006E4C21">
        <w:t xml:space="preserve"> - </w:t>
      </w:r>
      <w:r w:rsidR="006E4C21">
        <w:rPr>
          <w:i/>
          <w:iCs/>
        </w:rPr>
        <w:t>Call for Federal assistance to fix roads,</w:t>
      </w:r>
      <w:r w:rsidR="00CC1A30">
        <w:t xml:space="preserve"> by One Central West FM88</w:t>
      </w:r>
      <w:r w:rsidR="00F36C21">
        <w:t xml:space="preserve"> (the </w:t>
      </w:r>
      <w:r w:rsidR="00F36C21" w:rsidRPr="00F36C21">
        <w:rPr>
          <w:b/>
          <w:bCs/>
        </w:rPr>
        <w:t>message</w:t>
      </w:r>
      <w:r w:rsidR="00F36C21">
        <w:t>)</w:t>
      </w:r>
      <w:r w:rsidR="008F3B5D">
        <w:t>.</w:t>
      </w:r>
    </w:p>
    <w:p w14:paraId="6824D1DA" w14:textId="121F203F" w:rsidR="0073124D" w:rsidRDefault="0073124D" w:rsidP="001C6546">
      <w:pPr>
        <w:pStyle w:val="ACMABodyText"/>
      </w:pPr>
      <w:r>
        <w:t xml:space="preserve">The message </w:t>
      </w:r>
      <w:r w:rsidR="008F3B5D">
        <w:t xml:space="preserve">was </w:t>
      </w:r>
      <w:r>
        <w:t>read by</w:t>
      </w:r>
      <w:r w:rsidR="00841CAF">
        <w:t xml:space="preserve"> the</w:t>
      </w:r>
      <w:r>
        <w:t xml:space="preserve"> </w:t>
      </w:r>
      <w:r w:rsidR="003676C9">
        <w:t xml:space="preserve">Federal </w:t>
      </w:r>
      <w:r>
        <w:t>Member for Calare</w:t>
      </w:r>
      <w:r w:rsidR="008F3B5D">
        <w:t xml:space="preserve">, and </w:t>
      </w:r>
      <w:r>
        <w:t>call</w:t>
      </w:r>
      <w:r w:rsidR="002B3247">
        <w:t>ed</w:t>
      </w:r>
      <w:r>
        <w:t xml:space="preserve"> for </w:t>
      </w:r>
      <w:r w:rsidR="002B3247">
        <w:t>an urgent increase to</w:t>
      </w:r>
      <w:r w:rsidR="002B3247" w:rsidRPr="002B3247">
        <w:t xml:space="preserve"> </w:t>
      </w:r>
      <w:r w:rsidR="002B3247">
        <w:t xml:space="preserve">Federal </w:t>
      </w:r>
      <w:r w:rsidR="003676C9">
        <w:t xml:space="preserve">and State </w:t>
      </w:r>
      <w:r w:rsidR="002B3247">
        <w:t xml:space="preserve">road funding following extensive damage to local and regional roads caused by floods. </w:t>
      </w:r>
    </w:p>
    <w:p w14:paraId="0EEB5E5E" w14:textId="0DD20D6E" w:rsidR="008F3B5D" w:rsidRDefault="008F3B5D" w:rsidP="001C6546">
      <w:pPr>
        <w:pStyle w:val="ACMABodyText"/>
      </w:pPr>
      <w:r>
        <w:t xml:space="preserve">The message was </w:t>
      </w:r>
      <w:r w:rsidR="006E4C21">
        <w:t>2 minutes and 9</w:t>
      </w:r>
      <w:r>
        <w:t xml:space="preserve"> seconds in duration and was broadcast on multiple occasions on each day</w:t>
      </w:r>
      <w:r w:rsidR="00364D92">
        <w:t xml:space="preserve"> from 19 October 2022 to 31 </w:t>
      </w:r>
      <w:r>
        <w:t>December 2022.</w:t>
      </w:r>
    </w:p>
    <w:p w14:paraId="5D99E9F6" w14:textId="53ED8953" w:rsidR="007534AC" w:rsidRDefault="007534AC" w:rsidP="007534AC">
      <w:pPr>
        <w:pStyle w:val="ACMABodyText"/>
        <w:rPr>
          <w:rFonts w:cs="Arial"/>
        </w:rPr>
      </w:pPr>
      <w:r>
        <w:rPr>
          <w:rFonts w:cs="Arial"/>
        </w:rPr>
        <w:t xml:space="preserve">The ACMA investigated </w:t>
      </w:r>
      <w:r w:rsidR="00B227B4">
        <w:rPr>
          <w:rFonts w:cs="Arial"/>
        </w:rPr>
        <w:t xml:space="preserve">compliance by </w:t>
      </w:r>
      <w:r w:rsidR="00CB3591">
        <w:rPr>
          <w:rFonts w:cs="Arial"/>
        </w:rPr>
        <w:t>Farren Hotham (</w:t>
      </w:r>
      <w:r>
        <w:rPr>
          <w:rFonts w:cs="Arial"/>
        </w:rPr>
        <w:t xml:space="preserve">the </w:t>
      </w:r>
      <w:r w:rsidR="00CB3591">
        <w:rPr>
          <w:rFonts w:cs="Arial"/>
          <w:b/>
          <w:bCs/>
        </w:rPr>
        <w:t>L</w:t>
      </w:r>
      <w:r w:rsidRPr="003676C9">
        <w:rPr>
          <w:rFonts w:cs="Arial"/>
          <w:b/>
          <w:bCs/>
        </w:rPr>
        <w:t>icensee</w:t>
      </w:r>
      <w:r w:rsidR="00CB3591">
        <w:rPr>
          <w:rFonts w:cs="Arial"/>
        </w:rPr>
        <w:t>)</w:t>
      </w:r>
      <w:r>
        <w:rPr>
          <w:rFonts w:cs="Arial"/>
        </w:rPr>
        <w:t xml:space="preserve"> with</w:t>
      </w:r>
      <w:r w:rsidRPr="00FF2611">
        <w:rPr>
          <w:rFonts w:cs="Arial"/>
        </w:rPr>
        <w:t xml:space="preserve"> </w:t>
      </w:r>
      <w:r>
        <w:rPr>
          <w:rFonts w:cs="Arial"/>
        </w:rPr>
        <w:t xml:space="preserve">subclause 4(2) and </w:t>
      </w:r>
      <w:r>
        <w:rPr>
          <w:bCs/>
        </w:rPr>
        <w:t xml:space="preserve">paragraph </w:t>
      </w:r>
      <w:r w:rsidR="0009496D">
        <w:rPr>
          <w:bCs/>
        </w:rPr>
        <w:t>11</w:t>
      </w:r>
      <w:r>
        <w:rPr>
          <w:bCs/>
        </w:rPr>
        <w:t>(1)(</w:t>
      </w:r>
      <w:r w:rsidR="0009496D">
        <w:rPr>
          <w:bCs/>
        </w:rPr>
        <w:t>d</w:t>
      </w:r>
      <w:r>
        <w:rPr>
          <w:bCs/>
        </w:rPr>
        <w:t xml:space="preserve">) </w:t>
      </w:r>
      <w:r w:rsidRPr="00E07669">
        <w:rPr>
          <w:rFonts w:cs="Arial"/>
        </w:rPr>
        <w:t>of Schedule 2 to the BSA</w:t>
      </w:r>
      <w:r>
        <w:rPr>
          <w:rFonts w:cs="Arial"/>
        </w:rPr>
        <w:t>.</w:t>
      </w:r>
    </w:p>
    <w:p w14:paraId="1979ABA0" w14:textId="3192B8C7" w:rsidR="008F7C69" w:rsidRDefault="007534AC" w:rsidP="007534AC">
      <w:pPr>
        <w:pStyle w:val="ACMABodyText"/>
      </w:pPr>
      <w:r>
        <w:t>S</w:t>
      </w:r>
      <w:r w:rsidRPr="00FF02D3">
        <w:t>ubclause 4(2)</w:t>
      </w:r>
      <w:r w:rsidR="003A3410">
        <w:t xml:space="preserve"> </w:t>
      </w:r>
      <w:r w:rsidRPr="00FF02D3">
        <w:t>requires</w:t>
      </w:r>
      <w:r>
        <w:t xml:space="preserve"> </w:t>
      </w:r>
      <w:r w:rsidRPr="00FF02D3">
        <w:t>a</w:t>
      </w:r>
      <w:r>
        <w:t xml:space="preserve"> </w:t>
      </w:r>
      <w:r w:rsidR="00CB3591">
        <w:t>licensee</w:t>
      </w:r>
      <w:r w:rsidR="00B227B4">
        <w:t>,</w:t>
      </w:r>
      <w:r w:rsidR="00873CC0">
        <w:t xml:space="preserve"> who </w:t>
      </w:r>
      <w:r>
        <w:t>broadcasts political matter at the request of another person,</w:t>
      </w:r>
      <w:r w:rsidRPr="00FF02D3">
        <w:t xml:space="preserve"> </w:t>
      </w:r>
      <w:r w:rsidR="00873CC0">
        <w:t>to include an announcement of</w:t>
      </w:r>
      <w:r>
        <w:t xml:space="preserve"> ‘required particulars’ in accordance with any requirements determ</w:t>
      </w:r>
      <w:r w:rsidR="00873CC0">
        <w:t xml:space="preserve">ined under </w:t>
      </w:r>
      <w:r>
        <w:t xml:space="preserve">subsection 321D(7) of the </w:t>
      </w:r>
      <w:r w:rsidRPr="008B7B5B">
        <w:rPr>
          <w:i/>
        </w:rPr>
        <w:t>Commonwealth Electoral Act 1918</w:t>
      </w:r>
      <w:r>
        <w:rPr>
          <w:i/>
        </w:rPr>
        <w:t xml:space="preserve"> </w:t>
      </w:r>
      <w:r>
        <w:rPr>
          <w:iCs/>
        </w:rPr>
        <w:t xml:space="preserve">(the </w:t>
      </w:r>
      <w:r w:rsidRPr="00020BA8">
        <w:rPr>
          <w:b/>
          <w:bCs/>
          <w:iCs/>
        </w:rPr>
        <w:t>Electoral Act</w:t>
      </w:r>
      <w:r>
        <w:rPr>
          <w:iCs/>
        </w:rPr>
        <w:t>)</w:t>
      </w:r>
      <w:r w:rsidRPr="00FF02D3">
        <w:t xml:space="preserve">. </w:t>
      </w:r>
    </w:p>
    <w:p w14:paraId="74B1748E" w14:textId="24D88152" w:rsidR="007534AC" w:rsidRPr="00FF02D3" w:rsidRDefault="008F7C69" w:rsidP="007534AC">
      <w:pPr>
        <w:pStyle w:val="ACMABodyText"/>
      </w:pPr>
      <w:r>
        <w:t>One Central West FM88 is an open narrowcast radio sta</w:t>
      </w:r>
      <w:r w:rsidR="003C2A74">
        <w:t>t</w:t>
      </w:r>
      <w:r>
        <w:t xml:space="preserve">ion that operates under a class licence. </w:t>
      </w:r>
      <w:r w:rsidR="007534AC">
        <w:t>P</w:t>
      </w:r>
      <w:r w:rsidR="007534AC">
        <w:rPr>
          <w:bCs/>
        </w:rPr>
        <w:t xml:space="preserve">aragraph </w:t>
      </w:r>
      <w:r w:rsidR="0009496D">
        <w:rPr>
          <w:bCs/>
        </w:rPr>
        <w:t>11</w:t>
      </w:r>
      <w:r w:rsidR="007534AC">
        <w:rPr>
          <w:bCs/>
        </w:rPr>
        <w:t>(1)(</w:t>
      </w:r>
      <w:r w:rsidR="0009496D">
        <w:rPr>
          <w:bCs/>
        </w:rPr>
        <w:t>d</w:t>
      </w:r>
      <w:r w:rsidR="007534AC">
        <w:rPr>
          <w:bCs/>
        </w:rPr>
        <w:t xml:space="preserve">) of </w:t>
      </w:r>
      <w:r w:rsidR="00CB3591">
        <w:rPr>
          <w:bCs/>
        </w:rPr>
        <w:t xml:space="preserve">Schedule 2 to </w:t>
      </w:r>
      <w:r w:rsidR="007534AC">
        <w:rPr>
          <w:bCs/>
        </w:rPr>
        <w:t xml:space="preserve">the BSA </w:t>
      </w:r>
      <w:r w:rsidR="007534AC">
        <w:rPr>
          <w:rFonts w:cs="Arial"/>
        </w:rPr>
        <w:t xml:space="preserve">makes it a condition </w:t>
      </w:r>
      <w:r w:rsidR="00CB3591">
        <w:rPr>
          <w:rFonts w:cs="Arial"/>
        </w:rPr>
        <w:t xml:space="preserve">of such a class licence </w:t>
      </w:r>
      <w:r w:rsidR="0009496D">
        <w:rPr>
          <w:rFonts w:cs="Arial"/>
        </w:rPr>
        <w:t xml:space="preserve">that </w:t>
      </w:r>
      <w:r w:rsidR="00CB3591">
        <w:rPr>
          <w:rFonts w:cs="Arial"/>
        </w:rPr>
        <w:t>the</w:t>
      </w:r>
      <w:r w:rsidR="0009496D">
        <w:rPr>
          <w:rFonts w:cs="Arial"/>
        </w:rPr>
        <w:t xml:space="preserve"> person providing a service under </w:t>
      </w:r>
      <w:r w:rsidR="00CB3591">
        <w:rPr>
          <w:rFonts w:cs="Arial"/>
        </w:rPr>
        <w:t>the</w:t>
      </w:r>
      <w:r w:rsidR="0009496D">
        <w:rPr>
          <w:rFonts w:cs="Arial"/>
        </w:rPr>
        <w:t xml:space="preserve"> licence must </w:t>
      </w:r>
      <w:r w:rsidR="007534AC">
        <w:rPr>
          <w:rFonts w:cs="Arial"/>
        </w:rPr>
        <w:t>comply with subclause 4(2).</w:t>
      </w:r>
    </w:p>
    <w:p w14:paraId="1478142F" w14:textId="1937C3D5" w:rsidR="007534AC" w:rsidRPr="00B67EA1" w:rsidRDefault="007534AC" w:rsidP="007534AC">
      <w:pPr>
        <w:pStyle w:val="ACMAHeading2"/>
      </w:pPr>
      <w:r>
        <w:t xml:space="preserve">Issue: </w:t>
      </w:r>
      <w:r w:rsidRPr="00447892">
        <w:t>Identification of political matter</w:t>
      </w:r>
    </w:p>
    <w:p w14:paraId="5DAB1475" w14:textId="4C55F997" w:rsidR="007534AC" w:rsidRDefault="007534AC" w:rsidP="007534AC">
      <w:pPr>
        <w:pStyle w:val="ACMAHeading2"/>
        <w:spacing w:before="240"/>
      </w:pPr>
      <w:r>
        <w:t>Finding</w:t>
      </w:r>
    </w:p>
    <w:p w14:paraId="073CADFD" w14:textId="30CCF1DD" w:rsidR="007534AC" w:rsidRPr="000B5EFB" w:rsidRDefault="007534AC" w:rsidP="007534AC">
      <w:pPr>
        <w:pStyle w:val="ACMABodyText"/>
        <w:spacing w:after="360"/>
        <w:rPr>
          <w:rFonts w:cs="Arial"/>
        </w:rPr>
      </w:pPr>
      <w:bookmarkStart w:id="3" w:name="_Hlk14263300"/>
      <w:r w:rsidRPr="000B5EFB">
        <w:rPr>
          <w:rFonts w:cs="Arial"/>
        </w:rPr>
        <w:t>The</w:t>
      </w:r>
      <w:r>
        <w:rPr>
          <w:rFonts w:cs="Arial"/>
        </w:rPr>
        <w:t xml:space="preserve"> ACMA </w:t>
      </w:r>
      <w:r w:rsidR="00B31CDF">
        <w:rPr>
          <w:rFonts w:cs="Arial"/>
        </w:rPr>
        <w:t>finds</w:t>
      </w:r>
      <w:r>
        <w:rPr>
          <w:rFonts w:cs="Arial"/>
        </w:rPr>
        <w:t xml:space="preserve"> that the</w:t>
      </w:r>
      <w:r w:rsidRPr="000B5EFB">
        <w:rPr>
          <w:rFonts w:cs="Arial"/>
        </w:rPr>
        <w:t xml:space="preserve"> </w:t>
      </w:r>
      <w:r w:rsidR="00CB3591">
        <w:rPr>
          <w:rFonts w:cs="Arial"/>
        </w:rPr>
        <w:t>L</w:t>
      </w:r>
      <w:r w:rsidRPr="000B5EFB">
        <w:rPr>
          <w:rFonts w:cs="Arial"/>
        </w:rPr>
        <w:t xml:space="preserve">icensee breached </w:t>
      </w:r>
      <w:r w:rsidRPr="000B5EFB">
        <w:rPr>
          <w:bCs/>
        </w:rPr>
        <w:t>subclause 4(2</w:t>
      </w:r>
      <w:bookmarkStart w:id="4" w:name="_Hlk67397042"/>
      <w:r w:rsidRPr="000B5EFB">
        <w:rPr>
          <w:bCs/>
        </w:rPr>
        <w:t xml:space="preserve">) </w:t>
      </w:r>
      <w:r w:rsidR="00936DFB" w:rsidRPr="000B5EFB">
        <w:rPr>
          <w:bCs/>
        </w:rPr>
        <w:t xml:space="preserve">of Schedule 2 to the </w:t>
      </w:r>
      <w:r w:rsidR="00936DFB" w:rsidRPr="000B5EFB">
        <w:t>BSA</w:t>
      </w:r>
      <w:r w:rsidR="00936DFB">
        <w:rPr>
          <w:bCs/>
        </w:rPr>
        <w:t xml:space="preserve"> </w:t>
      </w:r>
      <w:r>
        <w:t>and as a consequence,</w:t>
      </w:r>
      <w:r w:rsidR="003C2A74">
        <w:t xml:space="preserve"> also</w:t>
      </w:r>
      <w:r>
        <w:t xml:space="preserve"> breached</w:t>
      </w:r>
      <w:r w:rsidRPr="00344B04">
        <w:rPr>
          <w:bCs/>
        </w:rPr>
        <w:t xml:space="preserve"> </w:t>
      </w:r>
      <w:r>
        <w:rPr>
          <w:bCs/>
        </w:rPr>
        <w:t xml:space="preserve">paragraph </w:t>
      </w:r>
      <w:r w:rsidR="003C2A74">
        <w:rPr>
          <w:bCs/>
        </w:rPr>
        <w:t>11</w:t>
      </w:r>
      <w:r>
        <w:rPr>
          <w:bCs/>
        </w:rPr>
        <w:t>(</w:t>
      </w:r>
      <w:r w:rsidR="008F7C69">
        <w:rPr>
          <w:bCs/>
        </w:rPr>
        <w:t>1</w:t>
      </w:r>
      <w:r>
        <w:rPr>
          <w:bCs/>
        </w:rPr>
        <w:t>)(</w:t>
      </w:r>
      <w:r w:rsidR="008F7C69">
        <w:rPr>
          <w:bCs/>
        </w:rPr>
        <w:t>d</w:t>
      </w:r>
      <w:r>
        <w:rPr>
          <w:bCs/>
        </w:rPr>
        <w:t xml:space="preserve">) </w:t>
      </w:r>
      <w:r w:rsidRPr="000B5EFB">
        <w:rPr>
          <w:bCs/>
        </w:rPr>
        <w:t xml:space="preserve">of Schedule 2 to the </w:t>
      </w:r>
      <w:r w:rsidRPr="000B5EFB">
        <w:t>BSA</w:t>
      </w:r>
      <w:r>
        <w:t xml:space="preserve"> with respect to the broadcast of the </w:t>
      </w:r>
      <w:r w:rsidR="008F7C69">
        <w:t>message</w:t>
      </w:r>
      <w:r w:rsidRPr="000B5EFB">
        <w:rPr>
          <w:rFonts w:cs="Arial"/>
        </w:rPr>
        <w:t xml:space="preserve">. </w:t>
      </w:r>
      <w:bookmarkEnd w:id="4"/>
    </w:p>
    <w:p w14:paraId="3DEB8273" w14:textId="77777777" w:rsidR="007534AC" w:rsidRDefault="007534AC" w:rsidP="007534AC">
      <w:pPr>
        <w:pStyle w:val="ACMAHeading2"/>
      </w:pPr>
      <w:r>
        <w:t>Reasons</w:t>
      </w:r>
    </w:p>
    <w:p w14:paraId="0EF850D2" w14:textId="77777777" w:rsidR="007534AC" w:rsidRPr="007960F3" w:rsidRDefault="007534AC" w:rsidP="007534AC">
      <w:pPr>
        <w:pStyle w:val="ACMABodyText"/>
        <w:rPr>
          <w:rFonts w:cs="Arial"/>
          <w:i/>
        </w:rPr>
      </w:pPr>
      <w:r w:rsidRPr="00C821D7">
        <w:rPr>
          <w:rFonts w:cs="Arial"/>
        </w:rPr>
        <w:t xml:space="preserve">In assessing compliance with </w:t>
      </w:r>
      <w:r w:rsidRPr="000B5EFB">
        <w:rPr>
          <w:bCs/>
        </w:rPr>
        <w:t>subclause 4(2) of Schedule 2</w:t>
      </w:r>
      <w:r>
        <w:rPr>
          <w:bCs/>
        </w:rPr>
        <w:t xml:space="preserve"> to the BSA</w:t>
      </w:r>
      <w:r w:rsidRPr="00C821D7">
        <w:rPr>
          <w:rFonts w:cs="Arial"/>
        </w:rPr>
        <w:t xml:space="preserve">, the ACMA asks: </w:t>
      </w:r>
    </w:p>
    <w:p w14:paraId="67413000" w14:textId="2F940A2A" w:rsidR="007534AC" w:rsidRPr="00FF02D3" w:rsidRDefault="007534AC" w:rsidP="007534AC">
      <w:pPr>
        <w:pStyle w:val="ACMABodyText0"/>
        <w:numPr>
          <w:ilvl w:val="0"/>
          <w:numId w:val="17"/>
        </w:numPr>
        <w:spacing w:before="0" w:line="240" w:lineRule="atLeast"/>
        <w:ind w:left="927"/>
        <w:rPr>
          <w:rFonts w:ascii="Arial" w:hAnsi="Arial" w:cs="Arial"/>
          <w:sz w:val="20"/>
        </w:rPr>
      </w:pPr>
      <w:r w:rsidRPr="00FF02D3">
        <w:rPr>
          <w:rFonts w:ascii="Arial" w:hAnsi="Arial" w:cs="Arial"/>
          <w:sz w:val="20"/>
        </w:rPr>
        <w:t>W</w:t>
      </w:r>
      <w:r>
        <w:rPr>
          <w:rFonts w:ascii="Arial" w:hAnsi="Arial" w:cs="Arial"/>
          <w:sz w:val="20"/>
        </w:rPr>
        <w:t>as</w:t>
      </w:r>
      <w:r w:rsidRPr="00FF02D3">
        <w:rPr>
          <w:rFonts w:ascii="Arial" w:hAnsi="Arial" w:cs="Arial"/>
          <w:sz w:val="20"/>
        </w:rPr>
        <w:t xml:space="preserve"> the </w:t>
      </w:r>
      <w:r w:rsidR="003C2A74">
        <w:rPr>
          <w:rFonts w:ascii="Arial" w:hAnsi="Arial" w:cs="Arial"/>
          <w:sz w:val="20"/>
        </w:rPr>
        <w:t>message</w:t>
      </w:r>
      <w:r w:rsidRPr="00FF02D3">
        <w:rPr>
          <w:rFonts w:ascii="Arial" w:hAnsi="Arial" w:cs="Arial"/>
          <w:sz w:val="20"/>
        </w:rPr>
        <w:t xml:space="preserve"> </w:t>
      </w:r>
      <w:r>
        <w:rPr>
          <w:rFonts w:ascii="Arial" w:hAnsi="Arial" w:cs="Arial"/>
          <w:sz w:val="20"/>
        </w:rPr>
        <w:t>‘</w:t>
      </w:r>
      <w:r w:rsidRPr="00FF02D3">
        <w:rPr>
          <w:rFonts w:ascii="Arial" w:hAnsi="Arial" w:cs="Arial"/>
          <w:sz w:val="20"/>
        </w:rPr>
        <w:t>political matter</w:t>
      </w:r>
      <w:r>
        <w:rPr>
          <w:rFonts w:ascii="Arial" w:hAnsi="Arial" w:cs="Arial"/>
          <w:sz w:val="20"/>
        </w:rPr>
        <w:t>’</w:t>
      </w:r>
      <w:r w:rsidRPr="00FF02D3">
        <w:rPr>
          <w:rFonts w:ascii="Arial" w:hAnsi="Arial" w:cs="Arial"/>
          <w:sz w:val="20"/>
        </w:rPr>
        <w:t>?</w:t>
      </w:r>
    </w:p>
    <w:p w14:paraId="4ADB542E" w14:textId="77777777" w:rsidR="007534AC" w:rsidRPr="00FF02D3" w:rsidRDefault="007534AC" w:rsidP="007534AC">
      <w:pPr>
        <w:pStyle w:val="ACMABodyText0"/>
        <w:numPr>
          <w:ilvl w:val="0"/>
          <w:numId w:val="17"/>
        </w:numPr>
        <w:ind w:left="927"/>
        <w:rPr>
          <w:rFonts w:ascii="Arial" w:hAnsi="Arial" w:cs="Arial"/>
          <w:sz w:val="20"/>
        </w:rPr>
      </w:pPr>
      <w:r w:rsidRPr="00FF02D3">
        <w:rPr>
          <w:rFonts w:ascii="Arial" w:hAnsi="Arial" w:cs="Arial"/>
          <w:sz w:val="20"/>
        </w:rPr>
        <w:t xml:space="preserve">If so, </w:t>
      </w:r>
      <w:r>
        <w:rPr>
          <w:rFonts w:ascii="Arial" w:hAnsi="Arial" w:cs="Arial"/>
          <w:sz w:val="20"/>
        </w:rPr>
        <w:t xml:space="preserve">was the political matter broadcast </w:t>
      </w:r>
      <w:r w:rsidRPr="003F67F8">
        <w:rPr>
          <w:rFonts w:ascii="Arial" w:hAnsi="Arial" w:cs="Arial"/>
          <w:sz w:val="20"/>
        </w:rPr>
        <w:t>at the request of another person</w:t>
      </w:r>
      <w:r w:rsidRPr="00FF02D3">
        <w:rPr>
          <w:rFonts w:ascii="Arial" w:hAnsi="Arial" w:cs="Arial"/>
          <w:sz w:val="20"/>
        </w:rPr>
        <w:t>?</w:t>
      </w:r>
    </w:p>
    <w:p w14:paraId="5B393CEE" w14:textId="79AAD35D" w:rsidR="007534AC" w:rsidRPr="00FF02D3" w:rsidRDefault="007534AC" w:rsidP="007534AC">
      <w:pPr>
        <w:pStyle w:val="ACMABodyText0"/>
        <w:numPr>
          <w:ilvl w:val="0"/>
          <w:numId w:val="17"/>
        </w:numPr>
        <w:spacing w:before="0" w:after="240" w:line="240" w:lineRule="atLeast"/>
        <w:ind w:left="924" w:hanging="357"/>
        <w:rPr>
          <w:rFonts w:ascii="Arial" w:hAnsi="Arial" w:cs="Arial"/>
          <w:sz w:val="20"/>
        </w:rPr>
      </w:pPr>
      <w:bookmarkStart w:id="5" w:name="_Hlk5371510"/>
      <w:r w:rsidRPr="00FF02D3">
        <w:rPr>
          <w:rFonts w:ascii="Arial" w:hAnsi="Arial" w:cs="Arial"/>
          <w:sz w:val="20"/>
        </w:rPr>
        <w:t>If so</w:t>
      </w:r>
      <w:bookmarkStart w:id="6" w:name="_Hlk67326342"/>
      <w:r w:rsidRPr="00FF02D3">
        <w:rPr>
          <w:rFonts w:ascii="Arial" w:hAnsi="Arial" w:cs="Arial"/>
          <w:sz w:val="20"/>
        </w:rPr>
        <w:t xml:space="preserve">, did the </w:t>
      </w:r>
      <w:r w:rsidR="003C2A74">
        <w:rPr>
          <w:rFonts w:ascii="Arial" w:hAnsi="Arial" w:cs="Arial"/>
          <w:sz w:val="20"/>
        </w:rPr>
        <w:t>licensee</w:t>
      </w:r>
      <w:r>
        <w:rPr>
          <w:rFonts w:ascii="Arial" w:hAnsi="Arial" w:cs="Arial"/>
          <w:sz w:val="20"/>
        </w:rPr>
        <w:t xml:space="preserve"> ensure that the</w:t>
      </w:r>
      <w:r w:rsidRPr="00FF02D3">
        <w:rPr>
          <w:rFonts w:ascii="Arial" w:hAnsi="Arial" w:cs="Arial"/>
          <w:sz w:val="20"/>
        </w:rPr>
        <w:t xml:space="preserve"> required particulars </w:t>
      </w:r>
      <w:r>
        <w:rPr>
          <w:rFonts w:ascii="Arial" w:hAnsi="Arial" w:cs="Arial"/>
          <w:sz w:val="20"/>
        </w:rPr>
        <w:t>were</w:t>
      </w:r>
      <w:r w:rsidRPr="00FF02D3">
        <w:rPr>
          <w:rFonts w:ascii="Arial" w:hAnsi="Arial" w:cs="Arial"/>
          <w:sz w:val="20"/>
        </w:rPr>
        <w:t xml:space="preserve"> announced </w:t>
      </w:r>
      <w:r>
        <w:rPr>
          <w:rFonts w:ascii="Arial" w:hAnsi="Arial" w:cs="Arial"/>
          <w:sz w:val="20"/>
        </w:rPr>
        <w:t xml:space="preserve">in accordance with the requirements specified in subclause 4(2) of Schedule 2 to the BSA? </w:t>
      </w:r>
      <w:bookmarkEnd w:id="6"/>
    </w:p>
    <w:bookmarkEnd w:id="5"/>
    <w:p w14:paraId="3DE35698" w14:textId="0E6D4230" w:rsidR="007534AC" w:rsidRPr="00BF443D" w:rsidRDefault="007534AC" w:rsidP="007534AC">
      <w:pPr>
        <w:pStyle w:val="ACMABodyText"/>
      </w:pPr>
      <w:r w:rsidRPr="00A7523A">
        <w:t xml:space="preserve">Extracts of relevant legislation are set out in </w:t>
      </w:r>
      <w:r w:rsidRPr="00A7523A">
        <w:rPr>
          <w:b/>
          <w:bCs/>
        </w:rPr>
        <w:t xml:space="preserve">Attachment </w:t>
      </w:r>
      <w:r w:rsidR="0073124D" w:rsidRPr="00A7523A">
        <w:rPr>
          <w:b/>
          <w:bCs/>
        </w:rPr>
        <w:t>A</w:t>
      </w:r>
      <w:r w:rsidRPr="00A7523A">
        <w:t>.</w:t>
      </w:r>
    </w:p>
    <w:p w14:paraId="557DE0C8" w14:textId="3D4AE57D" w:rsidR="007534AC" w:rsidRDefault="007534AC" w:rsidP="007534AC">
      <w:pPr>
        <w:pStyle w:val="ACMABodyText"/>
        <w:rPr>
          <w:b/>
          <w:bCs/>
          <w:i/>
          <w:iCs/>
        </w:rPr>
      </w:pPr>
      <w:r w:rsidRPr="00EF4016">
        <w:rPr>
          <w:b/>
          <w:bCs/>
          <w:i/>
          <w:iCs/>
        </w:rPr>
        <w:t>W</w:t>
      </w:r>
      <w:r>
        <w:rPr>
          <w:b/>
          <w:bCs/>
          <w:i/>
          <w:iCs/>
        </w:rPr>
        <w:t>as</w:t>
      </w:r>
      <w:r w:rsidRPr="00EF4016">
        <w:rPr>
          <w:b/>
          <w:bCs/>
          <w:i/>
          <w:iCs/>
        </w:rPr>
        <w:t xml:space="preserve"> the broadcast </w:t>
      </w:r>
      <w:r>
        <w:rPr>
          <w:b/>
          <w:bCs/>
          <w:i/>
          <w:iCs/>
        </w:rPr>
        <w:t>‘</w:t>
      </w:r>
      <w:r w:rsidRPr="00EF4016">
        <w:rPr>
          <w:b/>
          <w:bCs/>
          <w:i/>
          <w:iCs/>
        </w:rPr>
        <w:t>political matter’?</w:t>
      </w:r>
    </w:p>
    <w:p w14:paraId="5E7077FA" w14:textId="2173DC02" w:rsidR="00131945" w:rsidRDefault="002B3247" w:rsidP="007534AC">
      <w:pPr>
        <w:pStyle w:val="ACMABodyText"/>
      </w:pPr>
      <w:r>
        <w:t xml:space="preserve">As outlined above, the message called for an urgent increase </w:t>
      </w:r>
      <w:r w:rsidR="001D0D19">
        <w:t xml:space="preserve">to </w:t>
      </w:r>
      <w:r w:rsidR="003E609C">
        <w:t xml:space="preserve">Federal </w:t>
      </w:r>
      <w:r>
        <w:t>road funding</w:t>
      </w:r>
      <w:r w:rsidR="001D0D19">
        <w:t xml:space="preserve"> and referred to t</w:t>
      </w:r>
      <w:r>
        <w:t>he</w:t>
      </w:r>
      <w:r w:rsidR="001D0D19">
        <w:t xml:space="preserve"> upcoming</w:t>
      </w:r>
      <w:r>
        <w:t xml:space="preserve"> Federal Budget</w:t>
      </w:r>
      <w:r w:rsidR="001D0D19">
        <w:t xml:space="preserve"> as ‘the place to do it’</w:t>
      </w:r>
      <w:r w:rsidR="00E76728">
        <w:t xml:space="preserve">. A transcript of the message is at </w:t>
      </w:r>
      <w:r w:rsidR="00E76728" w:rsidRPr="00E76728">
        <w:rPr>
          <w:b/>
          <w:bCs/>
        </w:rPr>
        <w:t>Attachment B.</w:t>
      </w:r>
    </w:p>
    <w:p w14:paraId="0BE77A5F" w14:textId="7CAA4AC9" w:rsidR="002B3247" w:rsidRDefault="002B3247" w:rsidP="007534AC">
      <w:pPr>
        <w:pStyle w:val="ACMABodyText"/>
      </w:pPr>
      <w:r>
        <w:t xml:space="preserve">The ACMA considers that the </w:t>
      </w:r>
      <w:r w:rsidR="00131945">
        <w:t>message was ‘political matter’</w:t>
      </w:r>
      <w:r w:rsidR="00D07087">
        <w:t>.</w:t>
      </w:r>
    </w:p>
    <w:bookmarkEnd w:id="3"/>
    <w:p w14:paraId="25AAA34F" w14:textId="77777777" w:rsidR="007534AC" w:rsidRPr="00502D08" w:rsidRDefault="007534AC" w:rsidP="007534AC">
      <w:pPr>
        <w:pStyle w:val="ACMABodyText0"/>
        <w:tabs>
          <w:tab w:val="left" w:pos="1134"/>
        </w:tabs>
        <w:spacing w:before="0" w:after="240" w:line="240" w:lineRule="atLeast"/>
        <w:rPr>
          <w:rFonts w:ascii="Arial" w:hAnsi="Arial" w:cs="Arial"/>
          <w:b/>
          <w:bCs/>
          <w:i/>
          <w:sz w:val="20"/>
        </w:rPr>
      </w:pPr>
      <w:r w:rsidRPr="00502D08">
        <w:rPr>
          <w:rFonts w:ascii="Arial" w:hAnsi="Arial" w:cs="Arial"/>
          <w:b/>
          <w:bCs/>
          <w:i/>
          <w:sz w:val="20"/>
        </w:rPr>
        <w:lastRenderedPageBreak/>
        <w:t xml:space="preserve">If so, was the political matter broadcast at the request of another person? </w:t>
      </w:r>
    </w:p>
    <w:p w14:paraId="1E47E1B2" w14:textId="79E3198C" w:rsidR="007534AC" w:rsidRDefault="007534AC" w:rsidP="007534AC">
      <w:pPr>
        <w:spacing w:before="0" w:line="240" w:lineRule="atLeast"/>
        <w:rPr>
          <w:rFonts w:cs="Arial"/>
          <w:i w:val="0"/>
          <w:szCs w:val="20"/>
        </w:rPr>
      </w:pPr>
      <w:r>
        <w:rPr>
          <w:rFonts w:cs="Arial"/>
          <w:i w:val="0"/>
          <w:szCs w:val="20"/>
        </w:rPr>
        <w:t xml:space="preserve">The </w:t>
      </w:r>
      <w:r w:rsidR="00937EF2">
        <w:rPr>
          <w:rFonts w:cs="Arial"/>
          <w:i w:val="0"/>
          <w:szCs w:val="20"/>
        </w:rPr>
        <w:t>L</w:t>
      </w:r>
      <w:r>
        <w:rPr>
          <w:rFonts w:cs="Arial"/>
          <w:i w:val="0"/>
          <w:szCs w:val="20"/>
        </w:rPr>
        <w:t xml:space="preserve">icensee advised </w:t>
      </w:r>
      <w:r w:rsidR="00F36C21">
        <w:rPr>
          <w:rFonts w:cs="Arial"/>
          <w:i w:val="0"/>
          <w:szCs w:val="20"/>
        </w:rPr>
        <w:t xml:space="preserve">the ACMA </w:t>
      </w:r>
      <w:r>
        <w:rPr>
          <w:rFonts w:cs="Arial"/>
          <w:i w:val="0"/>
          <w:szCs w:val="20"/>
        </w:rPr>
        <w:t xml:space="preserve">that the advertisement was broadcast at the request </w:t>
      </w:r>
      <w:r w:rsidRPr="008D007A">
        <w:rPr>
          <w:rFonts w:cs="Arial"/>
          <w:i w:val="0"/>
          <w:szCs w:val="20"/>
        </w:rPr>
        <w:t xml:space="preserve">of </w:t>
      </w:r>
      <w:r w:rsidR="002F72C8">
        <w:rPr>
          <w:rFonts w:cs="Arial"/>
          <w:i w:val="0"/>
          <w:szCs w:val="20"/>
        </w:rPr>
        <w:t>the Federal Member for Calare.</w:t>
      </w:r>
    </w:p>
    <w:p w14:paraId="46AA34E4" w14:textId="77777777" w:rsidR="007534AC" w:rsidRDefault="007534AC" w:rsidP="007534AC">
      <w:pPr>
        <w:pStyle w:val="ACMABodyText"/>
      </w:pPr>
      <w:r>
        <w:t>Therefore, the political matter was broadcast at the request of another person.</w:t>
      </w:r>
    </w:p>
    <w:p w14:paraId="4F36105B" w14:textId="7D39C644" w:rsidR="007534AC" w:rsidRPr="00184DBD" w:rsidRDefault="007534AC" w:rsidP="007534AC">
      <w:pPr>
        <w:pStyle w:val="ACMABodyText"/>
        <w:rPr>
          <w:rFonts w:cs="Arial"/>
          <w:b/>
          <w:i/>
        </w:rPr>
      </w:pPr>
      <w:r w:rsidRPr="005D463A">
        <w:rPr>
          <w:rFonts w:cs="Arial"/>
          <w:b/>
          <w:i/>
        </w:rPr>
        <w:t>If so, did the broa</w:t>
      </w:r>
      <w:r w:rsidR="00E04B54">
        <w:rPr>
          <w:rFonts w:cs="Arial"/>
          <w:b/>
          <w:i/>
        </w:rPr>
        <w:t>dcaster</w:t>
      </w:r>
      <w:r w:rsidRPr="005D463A">
        <w:rPr>
          <w:rFonts w:cs="Arial"/>
          <w:b/>
          <w:i/>
        </w:rPr>
        <w:t xml:space="preserve"> ensure that the required particulars </w:t>
      </w:r>
      <w:r>
        <w:rPr>
          <w:rFonts w:cs="Arial"/>
          <w:b/>
          <w:i/>
        </w:rPr>
        <w:t>were</w:t>
      </w:r>
      <w:r w:rsidRPr="005D463A">
        <w:rPr>
          <w:rFonts w:cs="Arial"/>
          <w:b/>
          <w:i/>
        </w:rPr>
        <w:t xml:space="preserve"> announced in accordance with the requirements specified in subclause 4(2) of Schedule 2 to the BSA?</w:t>
      </w:r>
      <w:r w:rsidRPr="00184DBD">
        <w:rPr>
          <w:rFonts w:cs="Arial"/>
          <w:b/>
          <w:i/>
        </w:rPr>
        <w:t xml:space="preserve"> </w:t>
      </w:r>
    </w:p>
    <w:p w14:paraId="46C7B1A2" w14:textId="1719ED7E" w:rsidR="00E04B54" w:rsidRDefault="001B0FD8" w:rsidP="007534AC">
      <w:pPr>
        <w:pStyle w:val="ACMABodyText0"/>
        <w:spacing w:before="0" w:after="240" w:line="240" w:lineRule="atLeast"/>
        <w:rPr>
          <w:rFonts w:ascii="Arial" w:hAnsi="Arial" w:cs="Arial"/>
          <w:sz w:val="20"/>
        </w:rPr>
      </w:pPr>
      <w:r>
        <w:rPr>
          <w:rFonts w:ascii="Arial" w:hAnsi="Arial" w:cs="Arial"/>
          <w:sz w:val="20"/>
        </w:rPr>
        <w:t>If political matter is broadcast at the request of another person, the</w:t>
      </w:r>
      <w:r w:rsidR="00F36C21">
        <w:rPr>
          <w:rFonts w:ascii="Arial" w:hAnsi="Arial" w:cs="Arial"/>
          <w:sz w:val="20"/>
        </w:rPr>
        <w:t xml:space="preserve"> </w:t>
      </w:r>
      <w:r w:rsidR="00937EF2">
        <w:rPr>
          <w:rFonts w:ascii="Arial" w:hAnsi="Arial" w:cs="Arial"/>
          <w:sz w:val="20"/>
        </w:rPr>
        <w:t>licensee</w:t>
      </w:r>
      <w:r w:rsidR="00E04B54">
        <w:rPr>
          <w:rFonts w:ascii="Arial" w:hAnsi="Arial" w:cs="Arial"/>
          <w:sz w:val="20"/>
        </w:rPr>
        <w:t xml:space="preserve"> must announce </w:t>
      </w:r>
      <w:r w:rsidR="000C4466">
        <w:rPr>
          <w:rFonts w:ascii="Arial" w:hAnsi="Arial" w:cs="Arial"/>
          <w:sz w:val="20"/>
        </w:rPr>
        <w:t>the ‘</w:t>
      </w:r>
      <w:r w:rsidR="00E04B54">
        <w:rPr>
          <w:rFonts w:ascii="Arial" w:hAnsi="Arial" w:cs="Arial"/>
          <w:sz w:val="20"/>
        </w:rPr>
        <w:t>required particulars</w:t>
      </w:r>
      <w:r w:rsidR="000C4466">
        <w:rPr>
          <w:rFonts w:ascii="Arial" w:hAnsi="Arial" w:cs="Arial"/>
          <w:sz w:val="20"/>
        </w:rPr>
        <w:t>’</w:t>
      </w:r>
      <w:r w:rsidR="00E04B54">
        <w:rPr>
          <w:rFonts w:ascii="Arial" w:hAnsi="Arial" w:cs="Arial"/>
          <w:sz w:val="20"/>
        </w:rPr>
        <w:t xml:space="preserve"> </w:t>
      </w:r>
      <w:r w:rsidR="000C4466">
        <w:rPr>
          <w:rFonts w:ascii="Arial" w:hAnsi="Arial" w:cs="Arial"/>
          <w:sz w:val="20"/>
        </w:rPr>
        <w:t xml:space="preserve">of the person or entity who has authorised the broadcast. The announcement must be made </w:t>
      </w:r>
      <w:r w:rsidR="00E04B54">
        <w:rPr>
          <w:rFonts w:ascii="Arial" w:hAnsi="Arial" w:cs="Arial"/>
          <w:sz w:val="20"/>
        </w:rPr>
        <w:t>at the end of the communication</w:t>
      </w:r>
      <w:r w:rsidR="000C4466">
        <w:rPr>
          <w:rFonts w:ascii="Arial" w:hAnsi="Arial" w:cs="Arial"/>
          <w:sz w:val="20"/>
        </w:rPr>
        <w:t xml:space="preserve"> in the language used for the rest of the communication.</w:t>
      </w:r>
      <w:r>
        <w:rPr>
          <w:rStyle w:val="FootnoteReference"/>
          <w:rFonts w:ascii="Arial" w:hAnsi="Arial" w:cs="Arial"/>
          <w:sz w:val="20"/>
        </w:rPr>
        <w:footnoteReference w:id="1"/>
      </w:r>
      <w:r w:rsidR="00E04B54">
        <w:rPr>
          <w:rFonts w:ascii="Arial" w:hAnsi="Arial" w:cs="Arial"/>
          <w:sz w:val="20"/>
        </w:rPr>
        <w:t xml:space="preserve"> </w:t>
      </w:r>
    </w:p>
    <w:p w14:paraId="7D1FA72E" w14:textId="326FEEFE" w:rsidR="008B782E" w:rsidRDefault="00937EF2" w:rsidP="007534AC">
      <w:pPr>
        <w:pStyle w:val="ACMABodyText"/>
        <w:rPr>
          <w:rFonts w:cs="Arial"/>
        </w:rPr>
      </w:pPr>
      <w:r>
        <w:rPr>
          <w:rFonts w:cs="Arial"/>
        </w:rPr>
        <w:t>As noted above, t</w:t>
      </w:r>
      <w:r w:rsidR="007534AC" w:rsidRPr="00300540">
        <w:rPr>
          <w:rFonts w:cs="Arial"/>
        </w:rPr>
        <w:t xml:space="preserve">he </w:t>
      </w:r>
      <w:r w:rsidR="001B0FD8">
        <w:rPr>
          <w:rFonts w:cs="Arial"/>
        </w:rPr>
        <w:t xml:space="preserve">Licensee advised the </w:t>
      </w:r>
      <w:r w:rsidR="007534AC" w:rsidRPr="00300540">
        <w:rPr>
          <w:rFonts w:cs="Arial"/>
        </w:rPr>
        <w:t>ACMA that the broadcast</w:t>
      </w:r>
      <w:r w:rsidR="0065414D">
        <w:rPr>
          <w:rFonts w:cs="Arial"/>
        </w:rPr>
        <w:t xml:space="preserve">s </w:t>
      </w:r>
      <w:r w:rsidR="007534AC" w:rsidRPr="00300540">
        <w:rPr>
          <w:rFonts w:cs="Arial"/>
        </w:rPr>
        <w:t xml:space="preserve">were </w:t>
      </w:r>
      <w:r w:rsidR="00BD5710">
        <w:rPr>
          <w:rFonts w:cs="Arial"/>
        </w:rPr>
        <w:t>requested</w:t>
      </w:r>
      <w:r w:rsidR="007534AC">
        <w:rPr>
          <w:rFonts w:cs="Arial"/>
        </w:rPr>
        <w:t xml:space="preserve"> by </w:t>
      </w:r>
      <w:r w:rsidR="002F72C8">
        <w:rPr>
          <w:rFonts w:cs="Arial"/>
        </w:rPr>
        <w:t xml:space="preserve">the </w:t>
      </w:r>
      <w:r w:rsidR="002F72C8" w:rsidRPr="002F72C8">
        <w:rPr>
          <w:rFonts w:cs="Arial"/>
          <w:iCs/>
        </w:rPr>
        <w:t>Federal Member for Calare.</w:t>
      </w:r>
    </w:p>
    <w:p w14:paraId="0386CAA8" w14:textId="14AF9094" w:rsidR="0045374B" w:rsidRDefault="009D51FE" w:rsidP="007534AC">
      <w:pPr>
        <w:pStyle w:val="ACMABodyText"/>
        <w:rPr>
          <w:rFonts w:cs="Arial"/>
          <w:bCs/>
          <w:iCs/>
          <w:lang w:eastAsia="en-AU"/>
        </w:rPr>
      </w:pPr>
      <w:r>
        <w:rPr>
          <w:rFonts w:cs="Arial"/>
        </w:rPr>
        <w:t>Member</w:t>
      </w:r>
      <w:r w:rsidR="008B782E">
        <w:rPr>
          <w:rFonts w:cs="Arial"/>
        </w:rPr>
        <w:t>s</w:t>
      </w:r>
      <w:r w:rsidR="00B91169">
        <w:rPr>
          <w:rFonts w:cs="Arial"/>
        </w:rPr>
        <w:t xml:space="preserve"> </w:t>
      </w:r>
      <w:r>
        <w:rPr>
          <w:rFonts w:cs="Arial"/>
        </w:rPr>
        <w:t>of the House of Representatives</w:t>
      </w:r>
      <w:r w:rsidR="00EE1C55">
        <w:rPr>
          <w:rFonts w:cs="Arial"/>
        </w:rPr>
        <w:t xml:space="preserve"> </w:t>
      </w:r>
      <w:r w:rsidR="008B782E">
        <w:rPr>
          <w:rFonts w:cs="Arial"/>
        </w:rPr>
        <w:t>are</w:t>
      </w:r>
      <w:r>
        <w:rPr>
          <w:rFonts w:cs="Arial"/>
        </w:rPr>
        <w:t xml:space="preserve"> </w:t>
      </w:r>
      <w:r w:rsidR="007534AC">
        <w:rPr>
          <w:rFonts w:cs="Arial"/>
        </w:rPr>
        <w:t xml:space="preserve">a </w:t>
      </w:r>
      <w:r w:rsidR="00AD3A6F">
        <w:rPr>
          <w:rFonts w:cs="Arial"/>
        </w:rPr>
        <w:t xml:space="preserve">‘disclosure entity’ under the </w:t>
      </w:r>
      <w:r w:rsidR="00B91169">
        <w:rPr>
          <w:rFonts w:cs="Arial"/>
        </w:rPr>
        <w:t>Electoral Act</w:t>
      </w:r>
      <w:r w:rsidR="00AE3B85">
        <w:rPr>
          <w:rFonts w:cs="Arial"/>
        </w:rPr>
        <w:t>.</w:t>
      </w:r>
      <w:r w:rsidR="008B782E">
        <w:rPr>
          <w:rFonts w:cs="Arial"/>
        </w:rPr>
        <w:t xml:space="preserve"> </w:t>
      </w:r>
      <w:r w:rsidR="00B91169">
        <w:rPr>
          <w:rStyle w:val="FootnoteReference"/>
          <w:rFonts w:cs="Arial"/>
        </w:rPr>
        <w:footnoteReference w:id="2"/>
      </w:r>
      <w:r w:rsidR="00232314">
        <w:rPr>
          <w:rFonts w:cs="Arial"/>
        </w:rPr>
        <w:t xml:space="preserve"> </w:t>
      </w:r>
      <w:r w:rsidR="00BD5710">
        <w:rPr>
          <w:rFonts w:cs="Arial"/>
        </w:rPr>
        <w:t>T</w:t>
      </w:r>
      <w:r w:rsidR="008B782E">
        <w:rPr>
          <w:rFonts w:cs="Arial"/>
        </w:rPr>
        <w:t xml:space="preserve">he BSA </w:t>
      </w:r>
      <w:r w:rsidR="00BD5710" w:rsidRPr="001B0FD8">
        <w:rPr>
          <w:rFonts w:cs="Arial"/>
          <w:bCs/>
          <w:iCs/>
          <w:lang w:eastAsia="en-AU"/>
        </w:rPr>
        <w:t>in</w:t>
      </w:r>
      <w:r w:rsidR="00BD5710">
        <w:rPr>
          <w:rFonts w:cs="Arial"/>
          <w:bCs/>
          <w:iCs/>
          <w:lang w:eastAsia="en-AU"/>
        </w:rPr>
        <w:t>cludes</w:t>
      </w:r>
      <w:r w:rsidR="00BD5710" w:rsidRPr="001B0FD8">
        <w:rPr>
          <w:rFonts w:cs="Arial"/>
          <w:bCs/>
          <w:iCs/>
          <w:lang w:eastAsia="en-AU"/>
        </w:rPr>
        <w:t xml:space="preserve"> </w:t>
      </w:r>
      <w:r w:rsidR="00BD5710">
        <w:rPr>
          <w:rFonts w:cs="Arial"/>
          <w:bCs/>
          <w:iCs/>
          <w:lang w:eastAsia="en-AU"/>
        </w:rPr>
        <w:t xml:space="preserve">a table at </w:t>
      </w:r>
      <w:bookmarkStart w:id="7" w:name="_Hlk137722663"/>
      <w:r w:rsidR="00BD5710" w:rsidRPr="001B0FD8">
        <w:rPr>
          <w:rFonts w:cs="Arial"/>
          <w:bCs/>
          <w:iCs/>
          <w:lang w:eastAsia="en-AU"/>
        </w:rPr>
        <w:t xml:space="preserve">subclause 1(2) </w:t>
      </w:r>
      <w:bookmarkEnd w:id="7"/>
      <w:r w:rsidR="00BD5710" w:rsidRPr="001B0FD8">
        <w:rPr>
          <w:rFonts w:cs="Arial"/>
          <w:bCs/>
          <w:iCs/>
          <w:lang w:eastAsia="en-AU"/>
        </w:rPr>
        <w:t>of Schedule 2</w:t>
      </w:r>
      <w:r w:rsidR="00AE3B85" w:rsidRPr="00AE3B85">
        <w:rPr>
          <w:rFonts w:cs="Arial"/>
          <w:bCs/>
          <w:i/>
          <w:snapToGrid/>
          <w:szCs w:val="24"/>
          <w:lang w:eastAsia="en-AU"/>
        </w:rPr>
        <w:t xml:space="preserve"> </w:t>
      </w:r>
      <w:r w:rsidR="00BD5710">
        <w:rPr>
          <w:rFonts w:cs="Arial"/>
          <w:bCs/>
          <w:iCs/>
          <w:lang w:eastAsia="en-AU"/>
        </w:rPr>
        <w:t xml:space="preserve">that specifies </w:t>
      </w:r>
      <w:r w:rsidR="008B782E">
        <w:rPr>
          <w:rFonts w:cs="Arial"/>
        </w:rPr>
        <w:t>the ‘required particulars’</w:t>
      </w:r>
      <w:r w:rsidR="00BD5710">
        <w:rPr>
          <w:rFonts w:cs="Arial"/>
        </w:rPr>
        <w:t xml:space="preserve"> </w:t>
      </w:r>
      <w:r w:rsidR="008B782E">
        <w:rPr>
          <w:rFonts w:cs="Arial"/>
        </w:rPr>
        <w:t>applicable to each ‘disclosure entity’</w:t>
      </w:r>
      <w:r w:rsidR="00BD5710">
        <w:rPr>
          <w:rFonts w:cs="Arial"/>
        </w:rPr>
        <w:t>.</w:t>
      </w:r>
      <w:r w:rsidR="008B782E" w:rsidRPr="008B782E">
        <w:rPr>
          <w:rFonts w:cs="Arial"/>
          <w:bCs/>
          <w:iCs/>
          <w:lang w:eastAsia="en-AU"/>
        </w:rPr>
        <w:t xml:space="preserve"> </w:t>
      </w:r>
      <w:r w:rsidR="00630F3E">
        <w:rPr>
          <w:rFonts w:cs="Arial"/>
          <w:bCs/>
          <w:iCs/>
          <w:lang w:eastAsia="en-AU"/>
        </w:rPr>
        <w:t xml:space="preserve">The required particulars for a broadcast authorised by a disclosure entity who is a natural person are specified in ‘Item 2’ of the table and </w:t>
      </w:r>
      <w:r w:rsidR="00937EF2">
        <w:rPr>
          <w:rFonts w:cs="Arial"/>
          <w:bCs/>
          <w:iCs/>
          <w:lang w:eastAsia="en-AU"/>
        </w:rPr>
        <w:t>consist of</w:t>
      </w:r>
      <w:r w:rsidR="0045374B">
        <w:rPr>
          <w:rFonts w:cs="Arial"/>
          <w:bCs/>
          <w:iCs/>
          <w:lang w:eastAsia="en-AU"/>
        </w:rPr>
        <w:t>:</w:t>
      </w:r>
    </w:p>
    <w:p w14:paraId="0379DAAD" w14:textId="03433E3F" w:rsidR="0045374B" w:rsidRDefault="0045374B" w:rsidP="0045374B">
      <w:pPr>
        <w:pStyle w:val="ACMABodyText"/>
        <w:numPr>
          <w:ilvl w:val="0"/>
          <w:numId w:val="22"/>
        </w:numPr>
        <w:rPr>
          <w:rFonts w:cs="Arial"/>
          <w:bCs/>
          <w:iCs/>
          <w:lang w:eastAsia="en-AU"/>
        </w:rPr>
      </w:pPr>
      <w:r>
        <w:rPr>
          <w:rFonts w:cs="Arial"/>
          <w:bCs/>
          <w:iCs/>
          <w:lang w:eastAsia="en-AU"/>
        </w:rPr>
        <w:t>the name of the person</w:t>
      </w:r>
    </w:p>
    <w:p w14:paraId="37D0DD25" w14:textId="346028C7" w:rsidR="00937EF2" w:rsidRPr="0045374B" w:rsidRDefault="0045374B" w:rsidP="0045374B">
      <w:pPr>
        <w:pStyle w:val="ACMABodyText"/>
        <w:numPr>
          <w:ilvl w:val="0"/>
          <w:numId w:val="22"/>
        </w:numPr>
        <w:rPr>
          <w:rFonts w:cs="Arial"/>
          <w:bCs/>
          <w:iCs/>
          <w:lang w:eastAsia="en-AU"/>
        </w:rPr>
      </w:pPr>
      <w:r>
        <w:rPr>
          <w:rFonts w:cs="Arial"/>
          <w:bCs/>
          <w:iCs/>
          <w:lang w:eastAsia="en-AU"/>
        </w:rPr>
        <w:t>the town or city in which the person lives</w:t>
      </w:r>
      <w:r w:rsidR="00FF521E">
        <w:rPr>
          <w:rFonts w:cs="Arial"/>
          <w:bCs/>
          <w:iCs/>
          <w:lang w:eastAsia="en-AU"/>
        </w:rPr>
        <w:t>.</w:t>
      </w:r>
    </w:p>
    <w:p w14:paraId="12B3EC45" w14:textId="0971E691" w:rsidR="008F3B5D" w:rsidRPr="001B0FD8" w:rsidRDefault="00E04B54" w:rsidP="008F3B5D">
      <w:pPr>
        <w:pStyle w:val="ACMAHeading2"/>
        <w:spacing w:before="0" w:after="240" w:line="240" w:lineRule="atLeast"/>
        <w:rPr>
          <w:b w:val="0"/>
          <w:bCs/>
          <w:sz w:val="20"/>
        </w:rPr>
      </w:pPr>
      <w:r>
        <w:rPr>
          <w:b w:val="0"/>
          <w:bCs/>
          <w:sz w:val="20"/>
        </w:rPr>
        <w:t xml:space="preserve">The </w:t>
      </w:r>
      <w:r w:rsidR="00F36C21">
        <w:rPr>
          <w:b w:val="0"/>
          <w:bCs/>
          <w:sz w:val="20"/>
        </w:rPr>
        <w:t xml:space="preserve">ACMA reviewed a recording of the message broadcast by the </w:t>
      </w:r>
      <w:r w:rsidR="00937EF2">
        <w:rPr>
          <w:b w:val="0"/>
          <w:bCs/>
          <w:sz w:val="20"/>
        </w:rPr>
        <w:t>L</w:t>
      </w:r>
      <w:r w:rsidR="00F36C21">
        <w:rPr>
          <w:b w:val="0"/>
          <w:bCs/>
          <w:sz w:val="20"/>
        </w:rPr>
        <w:t xml:space="preserve">icensee </w:t>
      </w:r>
      <w:r w:rsidR="00DA553B">
        <w:rPr>
          <w:b w:val="0"/>
          <w:bCs/>
          <w:sz w:val="20"/>
        </w:rPr>
        <w:t>and found that it did not include an announcement of the required particulars</w:t>
      </w:r>
      <w:r w:rsidR="00A468D7">
        <w:rPr>
          <w:b w:val="0"/>
          <w:bCs/>
          <w:sz w:val="20"/>
        </w:rPr>
        <w:t>,</w:t>
      </w:r>
      <w:r w:rsidR="00E44472">
        <w:rPr>
          <w:b w:val="0"/>
          <w:bCs/>
          <w:sz w:val="20"/>
        </w:rPr>
        <w:t xml:space="preserve"> </w:t>
      </w:r>
      <w:r w:rsidR="001B0FD8">
        <w:rPr>
          <w:b w:val="0"/>
          <w:bCs/>
          <w:sz w:val="20"/>
        </w:rPr>
        <w:t>as</w:t>
      </w:r>
      <w:r w:rsidR="001B0FD8" w:rsidRPr="001B0FD8">
        <w:rPr>
          <w:b w:val="0"/>
          <w:bCs/>
          <w:sz w:val="20"/>
        </w:rPr>
        <w:t xml:space="preserve"> </w:t>
      </w:r>
      <w:r w:rsidR="001B0FD8" w:rsidRPr="001B0FD8">
        <w:rPr>
          <w:rFonts w:cs="Arial"/>
          <w:b w:val="0"/>
          <w:bCs/>
          <w:iCs/>
          <w:sz w:val="20"/>
          <w:lang w:eastAsia="en-AU"/>
        </w:rPr>
        <w:t xml:space="preserve">specified </w:t>
      </w:r>
      <w:r w:rsidR="00937EF2">
        <w:rPr>
          <w:rFonts w:cs="Arial"/>
          <w:b w:val="0"/>
          <w:bCs/>
          <w:iCs/>
          <w:sz w:val="20"/>
          <w:lang w:eastAsia="en-AU"/>
        </w:rPr>
        <w:t xml:space="preserve">in </w:t>
      </w:r>
      <w:r w:rsidR="00937EF2" w:rsidRPr="00937EF2">
        <w:rPr>
          <w:rFonts w:cs="Arial"/>
          <w:b w:val="0"/>
          <w:bCs/>
          <w:iCs/>
          <w:sz w:val="20"/>
          <w:lang w:eastAsia="en-AU"/>
        </w:rPr>
        <w:t>subclause</w:t>
      </w:r>
      <w:r w:rsidR="0078656D">
        <w:rPr>
          <w:rFonts w:cs="Arial"/>
          <w:b w:val="0"/>
          <w:bCs/>
          <w:iCs/>
          <w:sz w:val="20"/>
          <w:lang w:eastAsia="en-AU"/>
        </w:rPr>
        <w:t xml:space="preserve"> </w:t>
      </w:r>
      <w:r w:rsidR="00937EF2" w:rsidRPr="00937EF2">
        <w:rPr>
          <w:rFonts w:cs="Arial"/>
          <w:b w:val="0"/>
          <w:bCs/>
          <w:iCs/>
          <w:sz w:val="20"/>
          <w:lang w:eastAsia="en-AU"/>
        </w:rPr>
        <w:t>1(2)</w:t>
      </w:r>
      <w:r w:rsidR="00AE3B85" w:rsidRPr="00AE3B85">
        <w:rPr>
          <w:rFonts w:cs="Arial"/>
          <w:b w:val="0"/>
          <w:i/>
          <w:sz w:val="20"/>
          <w:szCs w:val="24"/>
        </w:rPr>
        <w:t xml:space="preserve"> </w:t>
      </w:r>
      <w:r w:rsidR="00AE3B85" w:rsidRPr="00E62697">
        <w:rPr>
          <w:rFonts w:cs="Arial"/>
          <w:b w:val="0"/>
          <w:bCs/>
          <w:sz w:val="20"/>
          <w:lang w:eastAsia="en-AU"/>
        </w:rPr>
        <w:t xml:space="preserve">of Schedule 2 </w:t>
      </w:r>
      <w:bookmarkStart w:id="8" w:name="_Hlk140050586"/>
      <w:r w:rsidR="00AE3B85" w:rsidRPr="00E62697">
        <w:rPr>
          <w:rFonts w:cs="Arial"/>
          <w:b w:val="0"/>
          <w:bCs/>
          <w:sz w:val="20"/>
          <w:lang w:eastAsia="en-AU"/>
        </w:rPr>
        <w:t>to the BSA</w:t>
      </w:r>
      <w:bookmarkEnd w:id="8"/>
      <w:r w:rsidR="0078656D">
        <w:rPr>
          <w:rFonts w:cs="Arial"/>
          <w:b w:val="0"/>
          <w:bCs/>
          <w:sz w:val="20"/>
          <w:lang w:eastAsia="en-AU"/>
        </w:rPr>
        <w:t xml:space="preserve">, </w:t>
      </w:r>
      <w:bookmarkStart w:id="9" w:name="_Hlk140050890"/>
      <w:r w:rsidR="00A468D7">
        <w:rPr>
          <w:rFonts w:cs="Arial"/>
          <w:b w:val="0"/>
          <w:bCs/>
          <w:iCs/>
          <w:sz w:val="20"/>
          <w:lang w:eastAsia="en-AU"/>
        </w:rPr>
        <w:t>at the end of the political matter</w:t>
      </w:r>
      <w:bookmarkEnd w:id="9"/>
      <w:r w:rsidR="008B782E">
        <w:rPr>
          <w:rFonts w:cs="Arial"/>
          <w:b w:val="0"/>
          <w:bCs/>
          <w:iCs/>
          <w:sz w:val="20"/>
          <w:lang w:eastAsia="en-AU"/>
        </w:rPr>
        <w:t>.</w:t>
      </w:r>
      <w:r w:rsidR="001B0FD8" w:rsidRPr="001B0FD8">
        <w:rPr>
          <w:rFonts w:cs="Arial"/>
          <w:b w:val="0"/>
          <w:bCs/>
          <w:iCs/>
          <w:sz w:val="20"/>
          <w:lang w:eastAsia="en-AU"/>
        </w:rPr>
        <w:t xml:space="preserve"> </w:t>
      </w:r>
    </w:p>
    <w:p w14:paraId="72402E2E" w14:textId="06845EEE" w:rsidR="00DA553B" w:rsidRDefault="00DA553B" w:rsidP="00DA553B">
      <w:pPr>
        <w:pStyle w:val="ACMABodyText0"/>
        <w:tabs>
          <w:tab w:val="left" w:pos="1134"/>
        </w:tabs>
        <w:spacing w:before="0" w:after="240" w:line="240" w:lineRule="atLeast"/>
        <w:rPr>
          <w:rFonts w:ascii="Arial" w:hAnsi="Arial" w:cs="Arial"/>
          <w:sz w:val="20"/>
        </w:rPr>
      </w:pPr>
      <w:r>
        <w:rPr>
          <w:rFonts w:ascii="Arial" w:hAnsi="Arial" w:cs="Arial"/>
          <w:sz w:val="20"/>
        </w:rPr>
        <w:t xml:space="preserve">Accordingly, </w:t>
      </w:r>
      <w:r w:rsidRPr="003F67F8">
        <w:rPr>
          <w:rFonts w:ascii="Arial" w:hAnsi="Arial" w:cs="Arial"/>
          <w:sz w:val="20"/>
        </w:rPr>
        <w:t>the</w:t>
      </w:r>
      <w:r>
        <w:rPr>
          <w:rFonts w:ascii="Arial" w:hAnsi="Arial" w:cs="Arial"/>
          <w:sz w:val="20"/>
        </w:rPr>
        <w:t xml:space="preserve"> ACMA </w:t>
      </w:r>
      <w:r w:rsidR="00B31CDF">
        <w:rPr>
          <w:rFonts w:ascii="Arial" w:hAnsi="Arial" w:cs="Arial"/>
          <w:sz w:val="20"/>
        </w:rPr>
        <w:t>finds</w:t>
      </w:r>
      <w:r>
        <w:rPr>
          <w:rFonts w:ascii="Arial" w:hAnsi="Arial" w:cs="Arial"/>
          <w:sz w:val="20"/>
        </w:rPr>
        <w:t xml:space="preserve"> that the</w:t>
      </w:r>
      <w:r w:rsidRPr="003F67F8">
        <w:rPr>
          <w:rFonts w:ascii="Arial" w:hAnsi="Arial" w:cs="Arial"/>
          <w:sz w:val="20"/>
        </w:rPr>
        <w:t xml:space="preserve"> </w:t>
      </w:r>
      <w:r>
        <w:rPr>
          <w:rFonts w:ascii="Arial" w:hAnsi="Arial" w:cs="Arial"/>
          <w:sz w:val="20"/>
        </w:rPr>
        <w:t>L</w:t>
      </w:r>
      <w:r w:rsidRPr="003F67F8">
        <w:rPr>
          <w:rFonts w:ascii="Arial" w:hAnsi="Arial" w:cs="Arial"/>
          <w:sz w:val="20"/>
        </w:rPr>
        <w:t>icensee breach</w:t>
      </w:r>
      <w:r>
        <w:rPr>
          <w:rFonts w:ascii="Arial" w:hAnsi="Arial" w:cs="Arial"/>
          <w:sz w:val="20"/>
        </w:rPr>
        <w:t>ed</w:t>
      </w:r>
      <w:r w:rsidRPr="003F67F8">
        <w:rPr>
          <w:rFonts w:ascii="Arial" w:hAnsi="Arial" w:cs="Arial"/>
          <w:sz w:val="20"/>
        </w:rPr>
        <w:t xml:space="preserve"> </w:t>
      </w:r>
      <w:r>
        <w:rPr>
          <w:rFonts w:ascii="Arial" w:hAnsi="Arial" w:cs="Arial"/>
          <w:sz w:val="20"/>
        </w:rPr>
        <w:t>sub</w:t>
      </w:r>
      <w:r w:rsidRPr="003F67F8">
        <w:rPr>
          <w:rFonts w:ascii="Arial" w:hAnsi="Arial" w:cs="Arial"/>
          <w:sz w:val="20"/>
        </w:rPr>
        <w:t xml:space="preserve">clause 4(2) </w:t>
      </w:r>
      <w:bookmarkStart w:id="10" w:name="_Hlk140050533"/>
      <w:r w:rsidRPr="003F67F8">
        <w:rPr>
          <w:rFonts w:ascii="Arial" w:hAnsi="Arial" w:cs="Arial"/>
          <w:sz w:val="20"/>
        </w:rPr>
        <w:t xml:space="preserve">of Schedule 2 to the </w:t>
      </w:r>
      <w:r>
        <w:rPr>
          <w:rFonts w:ascii="Arial" w:hAnsi="Arial" w:cs="Arial"/>
          <w:sz w:val="20"/>
        </w:rPr>
        <w:t>BSA</w:t>
      </w:r>
      <w:r w:rsidRPr="003E10B5">
        <w:rPr>
          <w:rFonts w:ascii="Arial" w:hAnsi="Arial" w:cs="Arial"/>
          <w:sz w:val="20"/>
        </w:rPr>
        <w:t xml:space="preserve"> </w:t>
      </w:r>
      <w:bookmarkEnd w:id="10"/>
      <w:r w:rsidRPr="003E10B5">
        <w:rPr>
          <w:rFonts w:ascii="Arial" w:hAnsi="Arial" w:cs="Arial"/>
          <w:sz w:val="20"/>
        </w:rPr>
        <w:t>and</w:t>
      </w:r>
      <w:r>
        <w:rPr>
          <w:rFonts w:ascii="Arial" w:hAnsi="Arial" w:cs="Arial"/>
          <w:sz w:val="20"/>
        </w:rPr>
        <w:t xml:space="preserve">, </w:t>
      </w:r>
      <w:r w:rsidRPr="003E10B5">
        <w:rPr>
          <w:rFonts w:ascii="Arial" w:hAnsi="Arial" w:cs="Arial"/>
          <w:sz w:val="20"/>
        </w:rPr>
        <w:t xml:space="preserve">as a consequence, </w:t>
      </w:r>
      <w:r w:rsidR="00937EF2">
        <w:rPr>
          <w:rFonts w:ascii="Arial" w:hAnsi="Arial" w:cs="Arial"/>
          <w:sz w:val="20"/>
        </w:rPr>
        <w:t xml:space="preserve">also </w:t>
      </w:r>
      <w:r w:rsidRPr="003E10B5">
        <w:rPr>
          <w:rFonts w:ascii="Arial" w:hAnsi="Arial" w:cs="Arial"/>
          <w:sz w:val="20"/>
        </w:rPr>
        <w:t xml:space="preserve">breached paragraph </w:t>
      </w:r>
      <w:r w:rsidR="0023668A">
        <w:rPr>
          <w:rFonts w:ascii="Arial" w:hAnsi="Arial" w:cs="Arial"/>
          <w:sz w:val="20"/>
        </w:rPr>
        <w:t>11</w:t>
      </w:r>
      <w:r w:rsidRPr="003E10B5">
        <w:rPr>
          <w:rFonts w:ascii="Arial" w:hAnsi="Arial" w:cs="Arial"/>
          <w:sz w:val="20"/>
        </w:rPr>
        <w:t>(1)(</w:t>
      </w:r>
      <w:r w:rsidR="0023668A">
        <w:rPr>
          <w:rFonts w:ascii="Arial" w:hAnsi="Arial" w:cs="Arial"/>
          <w:sz w:val="20"/>
        </w:rPr>
        <w:t>d</w:t>
      </w:r>
      <w:r w:rsidRPr="003E10B5">
        <w:rPr>
          <w:rFonts w:ascii="Arial" w:hAnsi="Arial" w:cs="Arial"/>
          <w:sz w:val="20"/>
        </w:rPr>
        <w:t xml:space="preserve">) of Schedule 2 to the BSA with respect to the broadcast of the </w:t>
      </w:r>
      <w:r w:rsidR="005B2B40">
        <w:rPr>
          <w:rFonts w:ascii="Arial" w:hAnsi="Arial" w:cs="Arial"/>
          <w:sz w:val="20"/>
        </w:rPr>
        <w:t>message</w:t>
      </w:r>
      <w:r w:rsidRPr="003E10B5">
        <w:rPr>
          <w:rFonts w:ascii="Arial" w:hAnsi="Arial" w:cs="Arial"/>
          <w:sz w:val="20"/>
        </w:rPr>
        <w:t>.</w:t>
      </w:r>
    </w:p>
    <w:p w14:paraId="699DA4A0" w14:textId="77777777" w:rsidR="00DA553B" w:rsidRDefault="00DA553B" w:rsidP="00DA553B">
      <w:pPr>
        <w:pStyle w:val="ACMABodyText"/>
        <w:rPr>
          <w:rFonts w:cs="Arial"/>
          <w:bCs/>
          <w:iCs/>
        </w:rPr>
      </w:pPr>
    </w:p>
    <w:p w14:paraId="20E73D4F" w14:textId="0C8972F7" w:rsidR="004F0301" w:rsidRDefault="004F0301">
      <w:pPr>
        <w:spacing w:before="0" w:after="0" w:line="240" w:lineRule="auto"/>
        <w:rPr>
          <w:i w:val="0"/>
          <w:snapToGrid w:val="0"/>
          <w:szCs w:val="20"/>
        </w:rPr>
      </w:pPr>
      <w:r>
        <w:br w:type="page"/>
      </w:r>
    </w:p>
    <w:p w14:paraId="48C35607" w14:textId="77777777" w:rsidR="008F3B5D" w:rsidRPr="00153F9D" w:rsidRDefault="008F3B5D" w:rsidP="008F3B5D">
      <w:pPr>
        <w:pStyle w:val="ACMAHeading2"/>
        <w:pageBreakBefore/>
        <w:spacing w:after="240"/>
        <w:jc w:val="right"/>
      </w:pPr>
      <w:r w:rsidRPr="00153F9D">
        <w:lastRenderedPageBreak/>
        <w:t xml:space="preserve">Attachment </w:t>
      </w:r>
      <w:r>
        <w:t>A</w:t>
      </w:r>
    </w:p>
    <w:p w14:paraId="422F77FE" w14:textId="586A51A4" w:rsidR="008F3B5D" w:rsidRDefault="008F3B5D" w:rsidP="008F3B5D">
      <w:pPr>
        <w:pStyle w:val="ACMAHeading2"/>
        <w:spacing w:before="0" w:after="240" w:line="240" w:lineRule="atLeast"/>
        <w:rPr>
          <w:b w:val="0"/>
        </w:rPr>
      </w:pPr>
      <w:r w:rsidRPr="0025201D">
        <w:t xml:space="preserve">Relevant </w:t>
      </w:r>
      <w:r>
        <w:t xml:space="preserve">legislation and </w:t>
      </w:r>
      <w:r w:rsidRPr="00B67EA1">
        <w:t xml:space="preserve">the ACMA’s </w:t>
      </w:r>
      <w:r>
        <w:t xml:space="preserve">assessment </w:t>
      </w:r>
      <w:r w:rsidRPr="00B67EA1">
        <w:t>process</w:t>
      </w:r>
    </w:p>
    <w:p w14:paraId="321B1D05" w14:textId="77777777" w:rsidR="008F3B5D" w:rsidRPr="00796833" w:rsidRDefault="008F3B5D" w:rsidP="008F3B5D">
      <w:pPr>
        <w:pStyle w:val="ACMABodyText0"/>
        <w:spacing w:before="160"/>
        <w:ind w:right="660"/>
        <w:rPr>
          <w:rFonts w:ascii="Arial" w:hAnsi="Arial" w:cs="Arial"/>
          <w:b/>
          <w:szCs w:val="24"/>
        </w:rPr>
      </w:pPr>
      <w:r w:rsidRPr="00796833">
        <w:rPr>
          <w:rFonts w:ascii="Arial" w:hAnsi="Arial" w:cs="Arial"/>
          <w:b/>
          <w:i/>
          <w:iCs/>
          <w:szCs w:val="24"/>
        </w:rPr>
        <w:t>Broadcasting Services Act 1992</w:t>
      </w:r>
    </w:p>
    <w:p w14:paraId="73796D73" w14:textId="77777777" w:rsidR="008F3B5D" w:rsidRPr="00CD4AA4" w:rsidRDefault="008F3B5D" w:rsidP="008F3B5D">
      <w:pPr>
        <w:pStyle w:val="ACMABodyText0"/>
        <w:spacing w:before="120"/>
        <w:ind w:right="660"/>
        <w:rPr>
          <w:rFonts w:ascii="Arial" w:hAnsi="Arial" w:cs="Arial"/>
          <w:b/>
          <w:sz w:val="22"/>
          <w:szCs w:val="22"/>
        </w:rPr>
      </w:pPr>
      <w:r w:rsidRPr="00CD4AA4">
        <w:rPr>
          <w:rFonts w:ascii="Arial" w:hAnsi="Arial" w:cs="Arial"/>
          <w:b/>
          <w:sz w:val="22"/>
          <w:szCs w:val="22"/>
        </w:rPr>
        <w:t>Schedule 2—Standard conditions</w:t>
      </w:r>
    </w:p>
    <w:p w14:paraId="1468C745" w14:textId="77777777" w:rsidR="008F3B5D" w:rsidRDefault="008F3B5D" w:rsidP="008F3B5D">
      <w:pPr>
        <w:pStyle w:val="ACMABodyText0"/>
        <w:tabs>
          <w:tab w:val="left" w:pos="284"/>
        </w:tabs>
        <w:ind w:right="660"/>
        <w:rPr>
          <w:rFonts w:ascii="Arial" w:hAnsi="Arial" w:cs="Arial"/>
          <w:b/>
          <w:sz w:val="20"/>
        </w:rPr>
      </w:pPr>
      <w:r>
        <w:rPr>
          <w:rFonts w:ascii="Arial" w:hAnsi="Arial" w:cs="Arial"/>
          <w:b/>
          <w:sz w:val="20"/>
        </w:rPr>
        <w:t>Part 1—Interpretation</w:t>
      </w:r>
    </w:p>
    <w:p w14:paraId="12B16A86" w14:textId="77777777" w:rsidR="008F3B5D" w:rsidRPr="00DE31CF" w:rsidRDefault="008F3B5D" w:rsidP="008F3B5D">
      <w:pPr>
        <w:pStyle w:val="ACMABodyText0"/>
        <w:tabs>
          <w:tab w:val="left" w:pos="284"/>
        </w:tabs>
        <w:ind w:right="660"/>
        <w:rPr>
          <w:rFonts w:ascii="Arial" w:hAnsi="Arial" w:cs="Arial"/>
          <w:b/>
          <w:sz w:val="20"/>
        </w:rPr>
      </w:pPr>
      <w:r w:rsidRPr="007F70D3">
        <w:rPr>
          <w:rFonts w:ascii="Arial" w:hAnsi="Arial" w:cs="Arial"/>
          <w:b/>
          <w:sz w:val="20"/>
        </w:rPr>
        <w:t xml:space="preserve">1 </w:t>
      </w:r>
      <w:r w:rsidRPr="00DE31CF">
        <w:rPr>
          <w:rFonts w:ascii="Arial" w:hAnsi="Arial" w:cs="Arial"/>
          <w:b/>
          <w:sz w:val="20"/>
        </w:rPr>
        <w:t>Definitions</w:t>
      </w:r>
    </w:p>
    <w:p w14:paraId="3B5062F5" w14:textId="5CD98479" w:rsidR="008F3B5D" w:rsidRDefault="008F3B5D" w:rsidP="008F3B5D">
      <w:pPr>
        <w:pStyle w:val="ACMABodyText0"/>
        <w:numPr>
          <w:ilvl w:val="0"/>
          <w:numId w:val="18"/>
        </w:numPr>
        <w:tabs>
          <w:tab w:val="left" w:pos="284"/>
        </w:tabs>
        <w:ind w:right="660"/>
        <w:rPr>
          <w:rFonts w:ascii="Arial" w:hAnsi="Arial" w:cs="Arial"/>
          <w:sz w:val="20"/>
        </w:rPr>
      </w:pPr>
      <w:r w:rsidRPr="00DE31CF">
        <w:rPr>
          <w:rFonts w:ascii="Arial" w:hAnsi="Arial" w:cs="Arial"/>
          <w:sz w:val="20"/>
        </w:rPr>
        <w:t>In this Schedule</w:t>
      </w:r>
    </w:p>
    <w:p w14:paraId="1FBC0767" w14:textId="14F3DF29" w:rsidR="00131945" w:rsidRDefault="00131945" w:rsidP="00131945">
      <w:pPr>
        <w:pStyle w:val="ACMABodyText0"/>
        <w:tabs>
          <w:tab w:val="left" w:pos="284"/>
        </w:tabs>
        <w:ind w:left="720" w:right="660"/>
        <w:rPr>
          <w:rFonts w:ascii="Arial" w:hAnsi="Arial" w:cs="Arial"/>
          <w:sz w:val="20"/>
        </w:rPr>
      </w:pPr>
      <w:r>
        <w:rPr>
          <w:rFonts w:ascii="Arial" w:hAnsi="Arial" w:cs="Arial"/>
          <w:sz w:val="20"/>
        </w:rPr>
        <w:t>[…]</w:t>
      </w:r>
    </w:p>
    <w:p w14:paraId="6313336B" w14:textId="77777777" w:rsidR="00131945" w:rsidRPr="00131945" w:rsidRDefault="00131945" w:rsidP="00131945">
      <w:pPr>
        <w:pStyle w:val="ACMABodyText0"/>
        <w:spacing w:before="0" w:line="240" w:lineRule="atLeast"/>
        <w:ind w:left="567" w:right="660"/>
        <w:rPr>
          <w:rFonts w:ascii="Arial" w:hAnsi="Arial" w:cs="Arial"/>
          <w:sz w:val="20"/>
        </w:rPr>
      </w:pPr>
      <w:r w:rsidRPr="00131945">
        <w:rPr>
          <w:rFonts w:ascii="Arial" w:hAnsi="Arial" w:cs="Arial"/>
          <w:b/>
          <w:bCs/>
          <w:sz w:val="20"/>
        </w:rPr>
        <w:t>disclosure entity</w:t>
      </w:r>
      <w:r w:rsidRPr="00131945">
        <w:rPr>
          <w:rFonts w:ascii="Arial" w:hAnsi="Arial" w:cs="Arial"/>
          <w:sz w:val="20"/>
        </w:rPr>
        <w:t xml:space="preserve"> has the meaning given by:</w:t>
      </w:r>
    </w:p>
    <w:p w14:paraId="4CE67944" w14:textId="2B34DD4A" w:rsidR="00131945" w:rsidRPr="00131945" w:rsidRDefault="00131945" w:rsidP="00131945">
      <w:pPr>
        <w:pStyle w:val="ACMABodyText0"/>
        <w:spacing w:before="0" w:line="240" w:lineRule="atLeast"/>
        <w:ind w:left="567" w:right="660"/>
        <w:rPr>
          <w:rFonts w:ascii="Arial" w:hAnsi="Arial" w:cs="Arial"/>
          <w:sz w:val="20"/>
        </w:rPr>
      </w:pPr>
      <w:r w:rsidRPr="00131945">
        <w:rPr>
          <w:rFonts w:ascii="Arial" w:hAnsi="Arial" w:cs="Arial"/>
          <w:sz w:val="20"/>
        </w:rPr>
        <w:t>(a)  section 321B of the Commonwealth Electoral Act 1918; or</w:t>
      </w:r>
    </w:p>
    <w:p w14:paraId="38F2539B" w14:textId="6C98E04D" w:rsidR="00131945" w:rsidRPr="00DE31CF" w:rsidRDefault="00131945" w:rsidP="00131945">
      <w:pPr>
        <w:pStyle w:val="ACMABodyText0"/>
        <w:spacing w:before="0" w:line="240" w:lineRule="atLeast"/>
        <w:ind w:left="567" w:right="660"/>
        <w:rPr>
          <w:rFonts w:ascii="Arial" w:hAnsi="Arial" w:cs="Arial"/>
          <w:sz w:val="20"/>
        </w:rPr>
      </w:pPr>
      <w:r w:rsidRPr="00131945">
        <w:rPr>
          <w:rFonts w:ascii="Arial" w:hAnsi="Arial" w:cs="Arial"/>
          <w:sz w:val="20"/>
        </w:rPr>
        <w:t>(b)  paragraph (e) of the definition of disclosure entity in section 110A of the Referendum (Machinery Provisions) Act 1984.</w:t>
      </w:r>
    </w:p>
    <w:p w14:paraId="15F12766" w14:textId="77777777" w:rsidR="008F3B5D" w:rsidRPr="00DE31CF" w:rsidRDefault="008F3B5D" w:rsidP="008F3B5D">
      <w:pPr>
        <w:pStyle w:val="ACMABodyText0"/>
        <w:spacing w:before="0" w:line="240" w:lineRule="atLeast"/>
        <w:ind w:left="567" w:right="660"/>
        <w:rPr>
          <w:rFonts w:ascii="Arial" w:hAnsi="Arial" w:cs="Arial"/>
          <w:sz w:val="20"/>
        </w:rPr>
      </w:pPr>
      <w:r w:rsidRPr="00DE31CF">
        <w:rPr>
          <w:rFonts w:ascii="Arial" w:hAnsi="Arial" w:cs="Arial"/>
          <w:sz w:val="20"/>
        </w:rPr>
        <w:t>[…]</w:t>
      </w:r>
    </w:p>
    <w:p w14:paraId="3D8CF905" w14:textId="77777777" w:rsidR="008F3B5D" w:rsidRPr="00DE31CF" w:rsidRDefault="008F3B5D" w:rsidP="008F3B5D">
      <w:pPr>
        <w:pStyle w:val="ACMABodyText0"/>
        <w:spacing w:before="0" w:line="240" w:lineRule="atLeast"/>
        <w:ind w:left="567" w:right="660"/>
        <w:rPr>
          <w:rFonts w:ascii="Arial" w:hAnsi="Arial" w:cs="Arial"/>
          <w:sz w:val="20"/>
        </w:rPr>
      </w:pPr>
      <w:r w:rsidRPr="00DE31CF">
        <w:rPr>
          <w:rFonts w:ascii="Arial" w:hAnsi="Arial" w:cs="Arial"/>
          <w:b/>
          <w:i/>
          <w:sz w:val="20"/>
        </w:rPr>
        <w:t>person</w:t>
      </w:r>
      <w:r w:rsidRPr="00DE31CF">
        <w:rPr>
          <w:rFonts w:ascii="Arial" w:hAnsi="Arial" w:cs="Arial"/>
          <w:sz w:val="20"/>
        </w:rPr>
        <w:t xml:space="preserve"> includes a political party, a corporation and any other association (whether incorporated or unincorporated).</w:t>
      </w:r>
    </w:p>
    <w:p w14:paraId="643A0404" w14:textId="77777777" w:rsidR="008F3B5D" w:rsidRPr="00DE31CF" w:rsidRDefault="008F3B5D" w:rsidP="008F3B5D">
      <w:pPr>
        <w:pStyle w:val="ACMABodyText0"/>
        <w:spacing w:before="0" w:line="240" w:lineRule="atLeast"/>
        <w:ind w:left="567" w:right="658"/>
        <w:rPr>
          <w:rFonts w:ascii="Arial" w:hAnsi="Arial" w:cs="Arial"/>
          <w:sz w:val="20"/>
        </w:rPr>
      </w:pPr>
      <w:r w:rsidRPr="00DE31CF">
        <w:rPr>
          <w:rFonts w:ascii="Arial" w:hAnsi="Arial" w:cs="Arial"/>
          <w:b/>
          <w:i/>
          <w:sz w:val="20"/>
        </w:rPr>
        <w:t>political matter</w:t>
      </w:r>
      <w:r w:rsidRPr="00DE31CF">
        <w:rPr>
          <w:rFonts w:ascii="Arial" w:hAnsi="Arial" w:cs="Arial"/>
          <w:sz w:val="20"/>
        </w:rPr>
        <w:t xml:space="preserve"> means any political matter, including the policy launch of a political party.</w:t>
      </w:r>
    </w:p>
    <w:p w14:paraId="20B8E712" w14:textId="77777777" w:rsidR="008F3B5D" w:rsidRPr="00DE31CF" w:rsidRDefault="008F3B5D" w:rsidP="008F3B5D">
      <w:pPr>
        <w:pStyle w:val="ACMABodyText0"/>
        <w:spacing w:before="0" w:line="240" w:lineRule="atLeast"/>
        <w:ind w:right="658" w:firstLine="567"/>
        <w:rPr>
          <w:rFonts w:ascii="Arial" w:hAnsi="Arial" w:cs="Arial"/>
          <w:sz w:val="20"/>
        </w:rPr>
      </w:pPr>
      <w:r w:rsidRPr="00DE31CF">
        <w:rPr>
          <w:rFonts w:ascii="Arial" w:hAnsi="Arial" w:cs="Arial"/>
          <w:sz w:val="20"/>
        </w:rPr>
        <w:t>[…]</w:t>
      </w:r>
    </w:p>
    <w:p w14:paraId="70855A4E" w14:textId="77777777" w:rsidR="008F3B5D" w:rsidRPr="005B6997" w:rsidRDefault="008F3B5D" w:rsidP="008F3B5D">
      <w:pPr>
        <w:pStyle w:val="ListParagraph"/>
        <w:numPr>
          <w:ilvl w:val="0"/>
          <w:numId w:val="18"/>
        </w:numPr>
        <w:spacing w:before="0" w:after="120" w:line="240" w:lineRule="atLeast"/>
        <w:rPr>
          <w:rFonts w:cs="Arial"/>
          <w:i w:val="0"/>
          <w:snapToGrid w:val="0"/>
          <w:szCs w:val="20"/>
        </w:rPr>
      </w:pPr>
      <w:r w:rsidRPr="005B6997">
        <w:rPr>
          <w:rFonts w:cs="Arial"/>
          <w:i w:val="0"/>
          <w:snapToGrid w:val="0"/>
          <w:szCs w:val="20"/>
        </w:rPr>
        <w:t xml:space="preserve">The </w:t>
      </w:r>
      <w:r w:rsidRPr="005B6997">
        <w:rPr>
          <w:rFonts w:cs="Arial"/>
          <w:b/>
          <w:snapToGrid w:val="0"/>
          <w:szCs w:val="20"/>
        </w:rPr>
        <w:t>required particulars</w:t>
      </w:r>
      <w:r w:rsidRPr="005B6997">
        <w:rPr>
          <w:rFonts w:cs="Arial"/>
          <w:i w:val="0"/>
          <w:snapToGrid w:val="0"/>
          <w:szCs w:val="20"/>
        </w:rPr>
        <w:t xml:space="preserve"> are:</w:t>
      </w:r>
    </w:p>
    <w:p w14:paraId="46E64817" w14:textId="77777777" w:rsidR="008F3B5D" w:rsidRPr="00DE31CF" w:rsidRDefault="008F3B5D" w:rsidP="008F3B5D">
      <w:pPr>
        <w:spacing w:before="0" w:after="120" w:line="240" w:lineRule="atLeast"/>
        <w:ind w:left="567"/>
        <w:rPr>
          <w:rFonts w:cs="Arial"/>
          <w:i w:val="0"/>
          <w:szCs w:val="20"/>
          <w:lang w:eastAsia="en-AU"/>
        </w:rPr>
      </w:pPr>
      <w:r w:rsidRPr="00DE31CF">
        <w:rPr>
          <w:rFonts w:cs="Arial"/>
          <w:i w:val="0"/>
          <w:szCs w:val="20"/>
          <w:lang w:eastAsia="en-AU"/>
        </w:rPr>
        <w:t xml:space="preserve">(a) the particulars set out in the following table; and </w:t>
      </w:r>
    </w:p>
    <w:p w14:paraId="0B68679C" w14:textId="77777777" w:rsidR="008F3B5D" w:rsidRPr="00DE31CF" w:rsidRDefault="008F3B5D" w:rsidP="008F3B5D">
      <w:pPr>
        <w:spacing w:before="0" w:after="0" w:line="240" w:lineRule="atLeast"/>
        <w:ind w:left="567"/>
        <w:rPr>
          <w:rFonts w:cs="Arial"/>
          <w:i w:val="0"/>
          <w:szCs w:val="20"/>
          <w:lang w:eastAsia="en-AU"/>
        </w:rPr>
      </w:pPr>
      <w:r w:rsidRPr="00DE31CF">
        <w:rPr>
          <w:rFonts w:cs="Arial"/>
          <w:i w:val="0"/>
          <w:szCs w:val="20"/>
          <w:lang w:eastAsia="en-AU"/>
        </w:rPr>
        <w:t xml:space="preserve">(b) any other particulars determined under subsection 321D(7) of the </w:t>
      </w:r>
      <w:r w:rsidRPr="00DE31CF">
        <w:rPr>
          <w:rFonts w:cs="Arial"/>
          <w:iCs/>
          <w:szCs w:val="20"/>
          <w:lang w:eastAsia="en-AU"/>
        </w:rPr>
        <w:t xml:space="preserve">Commonwealth Electoral Act 1918 </w:t>
      </w:r>
      <w:r w:rsidRPr="00DE31CF">
        <w:rPr>
          <w:rFonts w:cs="Arial"/>
          <w:i w:val="0"/>
          <w:szCs w:val="20"/>
          <w:lang w:eastAsia="en-AU"/>
        </w:rPr>
        <w:t xml:space="preserve">for the purposes of this paragraph. </w:t>
      </w:r>
    </w:p>
    <w:tbl>
      <w:tblPr>
        <w:tblpPr w:leftFromText="181" w:rightFromText="181" w:vertAnchor="text" w:horzAnchor="page" w:tblpX="2343" w:tblpY="171"/>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7"/>
        <w:gridCol w:w="1965"/>
        <w:gridCol w:w="4820"/>
      </w:tblGrid>
      <w:tr w:rsidR="008F3B5D" w:rsidRPr="00F93AED" w14:paraId="35B93480" w14:textId="77777777" w:rsidTr="00FC1FFF">
        <w:trPr>
          <w:tblHeader/>
        </w:trPr>
        <w:tc>
          <w:tcPr>
            <w:tcW w:w="7372"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3F5B8990" w14:textId="77777777" w:rsidR="008F3B5D" w:rsidRPr="00F93AED" w:rsidRDefault="008F3B5D" w:rsidP="00FC1FFF">
            <w:pPr>
              <w:spacing w:before="0" w:after="100" w:afterAutospacing="1" w:line="240" w:lineRule="auto"/>
              <w:rPr>
                <w:rFonts w:cs="Arial"/>
                <w:b/>
                <w:i w:val="0"/>
                <w:sz w:val="16"/>
                <w:szCs w:val="16"/>
                <w:lang w:eastAsia="en-AU"/>
              </w:rPr>
            </w:pPr>
            <w:r w:rsidRPr="00F93AED">
              <w:rPr>
                <w:rFonts w:cs="Arial"/>
                <w:b/>
                <w:i w:val="0"/>
                <w:sz w:val="16"/>
                <w:szCs w:val="16"/>
                <w:lang w:eastAsia="en-AU"/>
              </w:rPr>
              <w:t xml:space="preserve">Required particulars </w:t>
            </w:r>
          </w:p>
        </w:tc>
      </w:tr>
      <w:tr w:rsidR="008F3B5D" w:rsidRPr="00F93AED" w14:paraId="17CAE755" w14:textId="77777777" w:rsidTr="00FC1FFF">
        <w:trPr>
          <w:tblHeader/>
        </w:trPr>
        <w:tc>
          <w:tcPr>
            <w:tcW w:w="587" w:type="dxa"/>
            <w:tcBorders>
              <w:top w:val="nil"/>
              <w:left w:val="nil"/>
              <w:bottom w:val="single" w:sz="12" w:space="0" w:color="auto"/>
              <w:right w:val="nil"/>
            </w:tcBorders>
            <w:tcMar>
              <w:top w:w="0" w:type="dxa"/>
              <w:left w:w="108" w:type="dxa"/>
              <w:bottom w:w="0" w:type="dxa"/>
              <w:right w:w="108" w:type="dxa"/>
            </w:tcMar>
            <w:hideMark/>
          </w:tcPr>
          <w:p w14:paraId="1D1FEE84" w14:textId="77777777" w:rsidR="008F3B5D" w:rsidRPr="00F93AED" w:rsidRDefault="008F3B5D" w:rsidP="00FC1FFF">
            <w:pPr>
              <w:spacing w:before="100" w:beforeAutospacing="1" w:after="100" w:afterAutospacing="1" w:line="240" w:lineRule="auto"/>
              <w:rPr>
                <w:rFonts w:cs="Arial"/>
                <w:b/>
                <w:i w:val="0"/>
                <w:sz w:val="16"/>
                <w:szCs w:val="16"/>
                <w:lang w:eastAsia="en-AU"/>
              </w:rPr>
            </w:pPr>
            <w:r w:rsidRPr="00F93AED">
              <w:rPr>
                <w:rFonts w:cs="Arial"/>
                <w:b/>
                <w:i w:val="0"/>
                <w:sz w:val="16"/>
                <w:szCs w:val="16"/>
                <w:lang w:eastAsia="en-AU"/>
              </w:rPr>
              <w:t xml:space="preserve">Item </w:t>
            </w:r>
          </w:p>
        </w:tc>
        <w:tc>
          <w:tcPr>
            <w:tcW w:w="1965" w:type="dxa"/>
            <w:tcBorders>
              <w:top w:val="nil"/>
              <w:left w:val="nil"/>
              <w:bottom w:val="single" w:sz="12" w:space="0" w:color="auto"/>
              <w:right w:val="nil"/>
            </w:tcBorders>
            <w:tcMar>
              <w:top w:w="0" w:type="dxa"/>
              <w:left w:w="108" w:type="dxa"/>
              <w:bottom w:w="0" w:type="dxa"/>
              <w:right w:w="108" w:type="dxa"/>
            </w:tcMar>
            <w:hideMark/>
          </w:tcPr>
          <w:p w14:paraId="6D0DF386" w14:textId="77777777" w:rsidR="008F3B5D" w:rsidRPr="00F93AED" w:rsidRDefault="008F3B5D" w:rsidP="00FC1FFF">
            <w:pPr>
              <w:spacing w:before="100" w:beforeAutospacing="1" w:after="100" w:afterAutospacing="1" w:line="240" w:lineRule="auto"/>
              <w:rPr>
                <w:rFonts w:cs="Arial"/>
                <w:b/>
                <w:i w:val="0"/>
                <w:sz w:val="16"/>
                <w:szCs w:val="16"/>
                <w:lang w:eastAsia="en-AU"/>
              </w:rPr>
            </w:pPr>
            <w:r w:rsidRPr="00F93AED">
              <w:rPr>
                <w:rFonts w:cs="Arial"/>
                <w:b/>
                <w:i w:val="0"/>
                <w:sz w:val="16"/>
                <w:szCs w:val="16"/>
                <w:lang w:eastAsia="en-AU"/>
              </w:rPr>
              <w:t xml:space="preserve">If ... </w:t>
            </w:r>
          </w:p>
        </w:tc>
        <w:tc>
          <w:tcPr>
            <w:tcW w:w="4820" w:type="dxa"/>
            <w:tcBorders>
              <w:top w:val="nil"/>
              <w:left w:val="nil"/>
              <w:bottom w:val="single" w:sz="12" w:space="0" w:color="auto"/>
              <w:right w:val="nil"/>
            </w:tcBorders>
            <w:tcMar>
              <w:top w:w="0" w:type="dxa"/>
              <w:left w:w="108" w:type="dxa"/>
              <w:bottom w:w="0" w:type="dxa"/>
              <w:right w:w="108" w:type="dxa"/>
            </w:tcMar>
            <w:hideMark/>
          </w:tcPr>
          <w:p w14:paraId="4B445703" w14:textId="77777777" w:rsidR="008F3B5D" w:rsidRPr="00F93AED" w:rsidRDefault="008F3B5D" w:rsidP="00FC1FFF">
            <w:pPr>
              <w:spacing w:before="100" w:beforeAutospacing="1" w:after="100" w:afterAutospacing="1" w:line="240" w:lineRule="auto"/>
              <w:rPr>
                <w:rFonts w:cs="Arial"/>
                <w:b/>
                <w:i w:val="0"/>
                <w:sz w:val="16"/>
                <w:szCs w:val="16"/>
                <w:lang w:eastAsia="en-AU"/>
              </w:rPr>
            </w:pPr>
            <w:r w:rsidRPr="00F93AED">
              <w:rPr>
                <w:rFonts w:cs="Arial"/>
                <w:b/>
                <w:i w:val="0"/>
                <w:sz w:val="16"/>
                <w:szCs w:val="16"/>
                <w:lang w:eastAsia="en-AU"/>
              </w:rPr>
              <w:t xml:space="preserve">the </w:t>
            </w:r>
            <w:r w:rsidRPr="00F93AED">
              <w:rPr>
                <w:rFonts w:cs="Arial"/>
                <w:b/>
                <w:iCs/>
                <w:sz w:val="16"/>
                <w:szCs w:val="16"/>
                <w:lang w:eastAsia="en-AU"/>
              </w:rPr>
              <w:t xml:space="preserve">required particulars </w:t>
            </w:r>
            <w:r w:rsidRPr="00F93AED">
              <w:rPr>
                <w:rFonts w:cs="Arial"/>
                <w:b/>
                <w:i w:val="0"/>
                <w:sz w:val="16"/>
                <w:szCs w:val="16"/>
                <w:lang w:eastAsia="en-AU"/>
              </w:rPr>
              <w:t xml:space="preserve">are the following ... </w:t>
            </w:r>
          </w:p>
        </w:tc>
      </w:tr>
      <w:tr w:rsidR="008F3B5D" w:rsidRPr="00F93AED" w14:paraId="29150D41" w14:textId="77777777" w:rsidTr="00FC1FFF">
        <w:tc>
          <w:tcPr>
            <w:tcW w:w="587" w:type="dxa"/>
            <w:tcBorders>
              <w:top w:val="nil"/>
              <w:left w:val="nil"/>
              <w:bottom w:val="single" w:sz="8" w:space="0" w:color="auto"/>
              <w:right w:val="nil"/>
            </w:tcBorders>
            <w:tcMar>
              <w:top w:w="0" w:type="dxa"/>
              <w:left w:w="108" w:type="dxa"/>
              <w:bottom w:w="0" w:type="dxa"/>
              <w:right w:w="108" w:type="dxa"/>
            </w:tcMar>
            <w:hideMark/>
          </w:tcPr>
          <w:p w14:paraId="5E19682A" w14:textId="77777777" w:rsidR="008F3B5D" w:rsidRPr="00F93AED" w:rsidRDefault="008F3B5D" w:rsidP="00FC1FFF">
            <w:pPr>
              <w:spacing w:before="100" w:beforeAutospacing="1" w:after="100" w:afterAutospacing="1" w:line="240" w:lineRule="auto"/>
              <w:rPr>
                <w:rFonts w:cs="Arial"/>
                <w:i w:val="0"/>
                <w:sz w:val="16"/>
                <w:szCs w:val="16"/>
                <w:lang w:eastAsia="en-AU"/>
              </w:rPr>
            </w:pPr>
            <w:r w:rsidRPr="00F93AED">
              <w:rPr>
                <w:rFonts w:cs="Arial"/>
                <w:i w:val="0"/>
                <w:sz w:val="16"/>
                <w:szCs w:val="16"/>
                <w:lang w:eastAsia="en-AU"/>
              </w:rPr>
              <w:t xml:space="preserve">1 </w:t>
            </w:r>
          </w:p>
        </w:tc>
        <w:tc>
          <w:tcPr>
            <w:tcW w:w="1965" w:type="dxa"/>
            <w:tcBorders>
              <w:top w:val="nil"/>
              <w:left w:val="nil"/>
              <w:bottom w:val="single" w:sz="8" w:space="0" w:color="auto"/>
              <w:right w:val="nil"/>
            </w:tcBorders>
            <w:tcMar>
              <w:top w:w="0" w:type="dxa"/>
              <w:left w:w="108" w:type="dxa"/>
              <w:bottom w:w="0" w:type="dxa"/>
              <w:right w:w="108" w:type="dxa"/>
            </w:tcMar>
            <w:hideMark/>
          </w:tcPr>
          <w:p w14:paraId="0FBE0D9E" w14:textId="77777777" w:rsidR="008F3B5D" w:rsidRPr="00F93AED" w:rsidRDefault="008F3B5D" w:rsidP="00FC1FFF">
            <w:pPr>
              <w:spacing w:before="100" w:beforeAutospacing="1" w:after="100" w:afterAutospacing="1" w:line="240" w:lineRule="auto"/>
              <w:rPr>
                <w:rFonts w:cs="Arial"/>
                <w:i w:val="0"/>
                <w:sz w:val="16"/>
                <w:szCs w:val="16"/>
                <w:lang w:eastAsia="en-AU"/>
              </w:rPr>
            </w:pPr>
            <w:r w:rsidRPr="00F93AED">
              <w:rPr>
                <w:rFonts w:cs="Arial"/>
                <w:i w:val="0"/>
                <w:sz w:val="16"/>
                <w:szCs w:val="16"/>
                <w:lang w:eastAsia="en-AU"/>
              </w:rPr>
              <w:t xml:space="preserve">the broadcast is authorised by a disclosure entity that is not a natural person </w:t>
            </w:r>
          </w:p>
        </w:tc>
        <w:tc>
          <w:tcPr>
            <w:tcW w:w="4820" w:type="dxa"/>
            <w:tcBorders>
              <w:top w:val="nil"/>
              <w:left w:val="nil"/>
              <w:bottom w:val="single" w:sz="8" w:space="0" w:color="auto"/>
              <w:right w:val="nil"/>
            </w:tcBorders>
            <w:tcMar>
              <w:top w:w="0" w:type="dxa"/>
              <w:left w:w="108" w:type="dxa"/>
              <w:bottom w:w="0" w:type="dxa"/>
              <w:right w:w="108" w:type="dxa"/>
            </w:tcMar>
            <w:hideMark/>
          </w:tcPr>
          <w:p w14:paraId="091D31A1" w14:textId="77777777" w:rsidR="008F3B5D" w:rsidRPr="00F93AED" w:rsidRDefault="008F3B5D" w:rsidP="00FC1FFF">
            <w:pPr>
              <w:spacing w:before="0" w:after="80" w:line="240" w:lineRule="auto"/>
              <w:rPr>
                <w:rFonts w:cs="Arial"/>
                <w:i w:val="0"/>
                <w:sz w:val="16"/>
                <w:szCs w:val="16"/>
                <w:lang w:eastAsia="en-AU"/>
              </w:rPr>
            </w:pPr>
            <w:r w:rsidRPr="00F93AED">
              <w:rPr>
                <w:rFonts w:cs="Arial"/>
                <w:i w:val="0"/>
                <w:sz w:val="16"/>
                <w:szCs w:val="16"/>
                <w:lang w:eastAsia="en-AU"/>
              </w:rPr>
              <w:t xml:space="preserve">(a) the name of the entity (as included in the most recent return given in relation to the entity under Part XX of the </w:t>
            </w:r>
            <w:r w:rsidRPr="00F93AED">
              <w:rPr>
                <w:rFonts w:cs="Arial"/>
                <w:iCs/>
                <w:sz w:val="16"/>
                <w:szCs w:val="16"/>
                <w:lang w:eastAsia="en-AU"/>
              </w:rPr>
              <w:t>Commonwealth Electoral Act 1918</w:t>
            </w:r>
            <w:r w:rsidRPr="00F93AED">
              <w:rPr>
                <w:rFonts w:cs="Arial"/>
                <w:i w:val="0"/>
                <w:sz w:val="16"/>
                <w:szCs w:val="16"/>
                <w:lang w:eastAsia="en-AU"/>
              </w:rPr>
              <w:t xml:space="preserve">, if a return has been given in relation to the entity under that Part); </w:t>
            </w:r>
          </w:p>
          <w:p w14:paraId="4005AF0D" w14:textId="77777777" w:rsidR="008F3B5D" w:rsidRPr="00F93AED" w:rsidRDefault="008F3B5D" w:rsidP="00FC1FFF">
            <w:pPr>
              <w:spacing w:before="0" w:after="80" w:line="240" w:lineRule="auto"/>
              <w:rPr>
                <w:rFonts w:cs="Arial"/>
                <w:i w:val="0"/>
                <w:sz w:val="16"/>
                <w:szCs w:val="16"/>
                <w:lang w:eastAsia="en-AU"/>
              </w:rPr>
            </w:pPr>
            <w:r w:rsidRPr="00F93AED">
              <w:rPr>
                <w:rFonts w:cs="Arial"/>
                <w:i w:val="0"/>
                <w:sz w:val="16"/>
                <w:szCs w:val="16"/>
                <w:lang w:eastAsia="en-AU"/>
              </w:rPr>
              <w:t xml:space="preserve">(b) the relevant town or city of the entity; </w:t>
            </w:r>
          </w:p>
          <w:p w14:paraId="35195D17" w14:textId="77777777" w:rsidR="008F3B5D" w:rsidRPr="00F93AED" w:rsidRDefault="008F3B5D" w:rsidP="00FC1FFF">
            <w:pPr>
              <w:spacing w:before="0" w:after="80" w:line="240" w:lineRule="auto"/>
              <w:rPr>
                <w:rFonts w:cs="Arial"/>
                <w:i w:val="0"/>
                <w:sz w:val="16"/>
                <w:szCs w:val="16"/>
                <w:lang w:eastAsia="en-AU"/>
              </w:rPr>
            </w:pPr>
            <w:r w:rsidRPr="00F93AED">
              <w:rPr>
                <w:rFonts w:cs="Arial"/>
                <w:i w:val="0"/>
                <w:sz w:val="16"/>
                <w:szCs w:val="16"/>
                <w:lang w:eastAsia="en-AU"/>
              </w:rPr>
              <w:t xml:space="preserve">(c) the name of the natural person responsible for giving effect to the authorisation </w:t>
            </w:r>
          </w:p>
        </w:tc>
      </w:tr>
      <w:tr w:rsidR="008F3B5D" w:rsidRPr="00F93AED" w14:paraId="01159837" w14:textId="77777777" w:rsidTr="00FC1FFF">
        <w:tc>
          <w:tcPr>
            <w:tcW w:w="587" w:type="dxa"/>
            <w:tcBorders>
              <w:top w:val="nil"/>
              <w:left w:val="nil"/>
              <w:bottom w:val="single" w:sz="8" w:space="0" w:color="auto"/>
              <w:right w:val="nil"/>
            </w:tcBorders>
            <w:tcMar>
              <w:top w:w="0" w:type="dxa"/>
              <w:left w:w="108" w:type="dxa"/>
              <w:bottom w:w="0" w:type="dxa"/>
              <w:right w:w="108" w:type="dxa"/>
            </w:tcMar>
            <w:hideMark/>
          </w:tcPr>
          <w:p w14:paraId="27AA3E8C" w14:textId="77777777" w:rsidR="008F3B5D" w:rsidRPr="00F93AED" w:rsidRDefault="008F3B5D" w:rsidP="00FC1FFF">
            <w:pPr>
              <w:spacing w:before="100" w:beforeAutospacing="1" w:after="100" w:afterAutospacing="1" w:line="240" w:lineRule="auto"/>
              <w:rPr>
                <w:rFonts w:cs="Arial"/>
                <w:b/>
                <w:bCs/>
                <w:i w:val="0"/>
                <w:sz w:val="16"/>
                <w:szCs w:val="16"/>
                <w:lang w:eastAsia="en-AU"/>
              </w:rPr>
            </w:pPr>
            <w:r w:rsidRPr="00F93AED">
              <w:rPr>
                <w:rFonts w:cs="Arial"/>
                <w:b/>
                <w:bCs/>
                <w:i w:val="0"/>
                <w:sz w:val="16"/>
                <w:szCs w:val="16"/>
                <w:lang w:eastAsia="en-AU"/>
              </w:rPr>
              <w:t xml:space="preserve">2 </w:t>
            </w:r>
          </w:p>
        </w:tc>
        <w:tc>
          <w:tcPr>
            <w:tcW w:w="1965" w:type="dxa"/>
            <w:tcBorders>
              <w:top w:val="nil"/>
              <w:left w:val="nil"/>
              <w:bottom w:val="single" w:sz="8" w:space="0" w:color="auto"/>
              <w:right w:val="nil"/>
            </w:tcBorders>
            <w:tcMar>
              <w:top w:w="0" w:type="dxa"/>
              <w:left w:w="108" w:type="dxa"/>
              <w:bottom w:w="0" w:type="dxa"/>
              <w:right w:w="108" w:type="dxa"/>
            </w:tcMar>
            <w:hideMark/>
          </w:tcPr>
          <w:p w14:paraId="492E42B9" w14:textId="77777777" w:rsidR="008F3B5D" w:rsidRPr="00F93AED" w:rsidRDefault="008F3B5D" w:rsidP="00FC1FFF">
            <w:pPr>
              <w:spacing w:before="100" w:beforeAutospacing="1" w:after="0" w:line="240" w:lineRule="auto"/>
              <w:rPr>
                <w:rFonts w:cs="Arial"/>
                <w:i w:val="0"/>
                <w:sz w:val="16"/>
                <w:szCs w:val="16"/>
                <w:lang w:eastAsia="en-AU"/>
              </w:rPr>
            </w:pPr>
            <w:r w:rsidRPr="00F93AED">
              <w:rPr>
                <w:rFonts w:cs="Arial"/>
                <w:i w:val="0"/>
                <w:sz w:val="16"/>
                <w:szCs w:val="16"/>
                <w:lang w:eastAsia="en-AU"/>
              </w:rPr>
              <w:t xml:space="preserve">the broadcast is authorised by a disclosure entity who is a natural person </w:t>
            </w:r>
          </w:p>
        </w:tc>
        <w:tc>
          <w:tcPr>
            <w:tcW w:w="4820" w:type="dxa"/>
            <w:tcBorders>
              <w:top w:val="nil"/>
              <w:left w:val="nil"/>
              <w:bottom w:val="single" w:sz="8" w:space="0" w:color="auto"/>
              <w:right w:val="nil"/>
            </w:tcBorders>
            <w:tcMar>
              <w:top w:w="0" w:type="dxa"/>
              <w:left w:w="108" w:type="dxa"/>
              <w:bottom w:w="0" w:type="dxa"/>
              <w:right w:w="108" w:type="dxa"/>
            </w:tcMar>
            <w:hideMark/>
          </w:tcPr>
          <w:p w14:paraId="0EC28016" w14:textId="77777777" w:rsidR="008F3B5D" w:rsidRPr="00F93AED" w:rsidRDefault="008F3B5D" w:rsidP="00FC1FFF">
            <w:pPr>
              <w:spacing w:after="120" w:line="240" w:lineRule="auto"/>
              <w:rPr>
                <w:rFonts w:cs="Arial"/>
                <w:i w:val="0"/>
                <w:sz w:val="16"/>
                <w:szCs w:val="16"/>
                <w:lang w:eastAsia="en-AU"/>
              </w:rPr>
            </w:pPr>
            <w:r w:rsidRPr="00F93AED">
              <w:rPr>
                <w:rFonts w:cs="Arial"/>
                <w:i w:val="0"/>
                <w:sz w:val="16"/>
                <w:szCs w:val="16"/>
                <w:lang w:eastAsia="en-AU"/>
              </w:rPr>
              <w:t xml:space="preserve">(a) the name of the person; </w:t>
            </w:r>
          </w:p>
          <w:p w14:paraId="56B88D67" w14:textId="77777777" w:rsidR="008F3B5D" w:rsidRPr="00F93AED" w:rsidRDefault="008F3B5D" w:rsidP="00FC1FFF">
            <w:pPr>
              <w:spacing w:before="0" w:after="0" w:line="240" w:lineRule="auto"/>
              <w:rPr>
                <w:rFonts w:cs="Arial"/>
                <w:i w:val="0"/>
                <w:sz w:val="16"/>
                <w:szCs w:val="16"/>
                <w:lang w:eastAsia="en-AU"/>
              </w:rPr>
            </w:pPr>
            <w:r w:rsidRPr="00F93AED">
              <w:rPr>
                <w:rFonts w:cs="Arial"/>
                <w:i w:val="0"/>
                <w:sz w:val="16"/>
                <w:szCs w:val="16"/>
                <w:lang w:eastAsia="en-AU"/>
              </w:rPr>
              <w:t xml:space="preserve">(b) the town or city in which the person lives </w:t>
            </w:r>
          </w:p>
        </w:tc>
      </w:tr>
      <w:tr w:rsidR="008F3B5D" w:rsidRPr="00F93AED" w14:paraId="710E85D8" w14:textId="77777777" w:rsidTr="00FC1FFF">
        <w:tc>
          <w:tcPr>
            <w:tcW w:w="587" w:type="dxa"/>
            <w:tcBorders>
              <w:top w:val="nil"/>
              <w:left w:val="nil"/>
              <w:bottom w:val="single" w:sz="8" w:space="0" w:color="auto"/>
              <w:right w:val="nil"/>
            </w:tcBorders>
            <w:tcMar>
              <w:top w:w="0" w:type="dxa"/>
              <w:left w:w="108" w:type="dxa"/>
              <w:bottom w:w="0" w:type="dxa"/>
              <w:right w:w="108" w:type="dxa"/>
            </w:tcMar>
            <w:hideMark/>
          </w:tcPr>
          <w:p w14:paraId="347D29C2" w14:textId="77777777" w:rsidR="008F3B5D" w:rsidRPr="00F93AED" w:rsidRDefault="008F3B5D" w:rsidP="00FC1FFF">
            <w:pPr>
              <w:spacing w:before="100" w:beforeAutospacing="1" w:after="100" w:afterAutospacing="1" w:line="240" w:lineRule="auto"/>
              <w:rPr>
                <w:rFonts w:cs="Arial"/>
                <w:b/>
                <w:bCs/>
                <w:i w:val="0"/>
                <w:sz w:val="16"/>
                <w:szCs w:val="16"/>
                <w:lang w:eastAsia="en-AU"/>
              </w:rPr>
            </w:pPr>
            <w:r w:rsidRPr="00F93AED">
              <w:rPr>
                <w:rFonts w:cs="Arial"/>
                <w:b/>
                <w:bCs/>
                <w:i w:val="0"/>
                <w:sz w:val="16"/>
                <w:szCs w:val="16"/>
                <w:lang w:eastAsia="en-AU"/>
              </w:rPr>
              <w:t xml:space="preserve">3 </w:t>
            </w:r>
          </w:p>
        </w:tc>
        <w:tc>
          <w:tcPr>
            <w:tcW w:w="1965" w:type="dxa"/>
            <w:tcBorders>
              <w:top w:val="nil"/>
              <w:left w:val="nil"/>
              <w:bottom w:val="single" w:sz="8" w:space="0" w:color="auto"/>
              <w:right w:val="nil"/>
            </w:tcBorders>
            <w:tcMar>
              <w:top w:w="0" w:type="dxa"/>
              <w:left w:w="108" w:type="dxa"/>
              <w:bottom w:w="0" w:type="dxa"/>
              <w:right w:w="108" w:type="dxa"/>
            </w:tcMar>
            <w:hideMark/>
          </w:tcPr>
          <w:p w14:paraId="40B7BEA9" w14:textId="77777777" w:rsidR="008F3B5D" w:rsidRPr="00F93AED" w:rsidRDefault="008F3B5D" w:rsidP="00FC1FFF">
            <w:pPr>
              <w:spacing w:before="100" w:beforeAutospacing="1" w:after="100" w:afterAutospacing="1" w:line="240" w:lineRule="auto"/>
              <w:rPr>
                <w:rFonts w:cs="Arial"/>
                <w:i w:val="0"/>
                <w:sz w:val="16"/>
                <w:szCs w:val="16"/>
                <w:lang w:eastAsia="en-AU"/>
              </w:rPr>
            </w:pPr>
            <w:r w:rsidRPr="00F93AED">
              <w:rPr>
                <w:rFonts w:cs="Arial"/>
                <w:i w:val="0"/>
                <w:sz w:val="16"/>
                <w:szCs w:val="16"/>
                <w:lang w:eastAsia="en-AU"/>
              </w:rPr>
              <w:t xml:space="preserve">the broadcast is authorised by an entity that is not a disclosure entity or a natural person </w:t>
            </w:r>
          </w:p>
        </w:tc>
        <w:tc>
          <w:tcPr>
            <w:tcW w:w="4820" w:type="dxa"/>
            <w:tcBorders>
              <w:top w:val="nil"/>
              <w:left w:val="nil"/>
              <w:bottom w:val="single" w:sz="8" w:space="0" w:color="auto"/>
              <w:right w:val="nil"/>
            </w:tcBorders>
            <w:tcMar>
              <w:top w:w="0" w:type="dxa"/>
              <w:left w:w="108" w:type="dxa"/>
              <w:bottom w:w="0" w:type="dxa"/>
              <w:right w:w="108" w:type="dxa"/>
            </w:tcMar>
            <w:hideMark/>
          </w:tcPr>
          <w:p w14:paraId="641A2DCD" w14:textId="77777777" w:rsidR="008F3B5D" w:rsidRPr="00F93AED" w:rsidRDefault="008F3B5D" w:rsidP="00FC1FFF">
            <w:pPr>
              <w:spacing w:after="120" w:line="240" w:lineRule="auto"/>
              <w:rPr>
                <w:rFonts w:cs="Arial"/>
                <w:i w:val="0"/>
                <w:sz w:val="16"/>
                <w:szCs w:val="16"/>
                <w:lang w:eastAsia="en-AU"/>
              </w:rPr>
            </w:pPr>
            <w:r w:rsidRPr="00F93AED">
              <w:rPr>
                <w:rFonts w:cs="Arial"/>
                <w:i w:val="0"/>
                <w:sz w:val="16"/>
                <w:szCs w:val="16"/>
                <w:lang w:eastAsia="en-AU"/>
              </w:rPr>
              <w:t xml:space="preserve">(a) the name of the entity; </w:t>
            </w:r>
          </w:p>
          <w:p w14:paraId="5B5BEFE2" w14:textId="77777777" w:rsidR="008F3B5D" w:rsidRPr="00F93AED" w:rsidRDefault="008F3B5D" w:rsidP="00FC1FFF">
            <w:pPr>
              <w:spacing w:before="0" w:after="100" w:afterAutospacing="1" w:line="240" w:lineRule="auto"/>
              <w:rPr>
                <w:rFonts w:cs="Arial"/>
                <w:i w:val="0"/>
                <w:sz w:val="16"/>
                <w:szCs w:val="16"/>
                <w:lang w:eastAsia="en-AU"/>
              </w:rPr>
            </w:pPr>
            <w:r w:rsidRPr="00F93AED">
              <w:rPr>
                <w:rFonts w:cs="Arial"/>
                <w:i w:val="0"/>
                <w:sz w:val="16"/>
                <w:szCs w:val="16"/>
                <w:lang w:eastAsia="en-AU"/>
              </w:rPr>
              <w:t xml:space="preserve">(b) the relevant town or city of the entity </w:t>
            </w:r>
          </w:p>
        </w:tc>
      </w:tr>
      <w:tr w:rsidR="008F3B5D" w:rsidRPr="00F93AED" w14:paraId="221E2CA1" w14:textId="77777777" w:rsidTr="00FC1FFF">
        <w:tc>
          <w:tcPr>
            <w:tcW w:w="587" w:type="dxa"/>
            <w:tcBorders>
              <w:top w:val="nil"/>
              <w:left w:val="nil"/>
              <w:bottom w:val="single" w:sz="12" w:space="0" w:color="auto"/>
              <w:right w:val="nil"/>
            </w:tcBorders>
            <w:shd w:val="clear" w:color="auto" w:fill="auto"/>
            <w:tcMar>
              <w:top w:w="0" w:type="dxa"/>
              <w:left w:w="108" w:type="dxa"/>
              <w:bottom w:w="0" w:type="dxa"/>
              <w:right w:w="108" w:type="dxa"/>
            </w:tcMar>
            <w:hideMark/>
          </w:tcPr>
          <w:p w14:paraId="55319A04" w14:textId="77777777" w:rsidR="008F3B5D" w:rsidRPr="00F93AED" w:rsidRDefault="008F3B5D" w:rsidP="00FC1FFF">
            <w:pPr>
              <w:spacing w:before="100" w:beforeAutospacing="1" w:after="100" w:afterAutospacing="1" w:line="240" w:lineRule="auto"/>
              <w:rPr>
                <w:rFonts w:cs="Arial"/>
                <w:b/>
                <w:bCs/>
                <w:i w:val="0"/>
                <w:sz w:val="16"/>
                <w:szCs w:val="16"/>
                <w:lang w:eastAsia="en-AU"/>
              </w:rPr>
            </w:pPr>
            <w:r w:rsidRPr="00F93AED">
              <w:rPr>
                <w:rFonts w:cs="Arial"/>
                <w:b/>
                <w:bCs/>
                <w:i w:val="0"/>
                <w:sz w:val="16"/>
                <w:szCs w:val="16"/>
                <w:lang w:eastAsia="en-AU"/>
              </w:rPr>
              <w:t xml:space="preserve">4 </w:t>
            </w:r>
          </w:p>
        </w:tc>
        <w:tc>
          <w:tcPr>
            <w:tcW w:w="1965" w:type="dxa"/>
            <w:tcBorders>
              <w:top w:val="nil"/>
              <w:left w:val="nil"/>
              <w:bottom w:val="single" w:sz="12" w:space="0" w:color="auto"/>
              <w:right w:val="nil"/>
            </w:tcBorders>
            <w:shd w:val="clear" w:color="auto" w:fill="auto"/>
            <w:tcMar>
              <w:top w:w="0" w:type="dxa"/>
              <w:left w:w="108" w:type="dxa"/>
              <w:bottom w:w="0" w:type="dxa"/>
              <w:right w:w="108" w:type="dxa"/>
            </w:tcMar>
            <w:hideMark/>
          </w:tcPr>
          <w:p w14:paraId="6AEE70AE" w14:textId="77777777" w:rsidR="008F3B5D" w:rsidRPr="00F93AED" w:rsidRDefault="008F3B5D" w:rsidP="00FC1FFF">
            <w:pPr>
              <w:spacing w:before="100" w:beforeAutospacing="1" w:after="100" w:afterAutospacing="1" w:line="240" w:lineRule="auto"/>
              <w:rPr>
                <w:rFonts w:cs="Arial"/>
                <w:i w:val="0"/>
                <w:sz w:val="16"/>
                <w:szCs w:val="16"/>
                <w:lang w:eastAsia="en-AU"/>
              </w:rPr>
            </w:pPr>
            <w:r w:rsidRPr="00F93AED">
              <w:rPr>
                <w:rFonts w:cs="Arial"/>
                <w:i w:val="0"/>
                <w:sz w:val="16"/>
                <w:szCs w:val="16"/>
                <w:lang w:eastAsia="en-AU"/>
              </w:rPr>
              <w:t xml:space="preserve">the broadcast is authorised by a natural person who is not a disclosure entity </w:t>
            </w:r>
          </w:p>
        </w:tc>
        <w:tc>
          <w:tcPr>
            <w:tcW w:w="4820" w:type="dxa"/>
            <w:tcBorders>
              <w:top w:val="nil"/>
              <w:left w:val="nil"/>
              <w:bottom w:val="single" w:sz="12" w:space="0" w:color="auto"/>
              <w:right w:val="nil"/>
            </w:tcBorders>
            <w:shd w:val="clear" w:color="auto" w:fill="auto"/>
            <w:tcMar>
              <w:top w:w="0" w:type="dxa"/>
              <w:left w:w="108" w:type="dxa"/>
              <w:bottom w:w="0" w:type="dxa"/>
              <w:right w:w="108" w:type="dxa"/>
            </w:tcMar>
            <w:hideMark/>
          </w:tcPr>
          <w:p w14:paraId="5865AC42" w14:textId="77777777" w:rsidR="008F3B5D" w:rsidRPr="00F93AED" w:rsidRDefault="008F3B5D" w:rsidP="00FC1FFF">
            <w:pPr>
              <w:spacing w:before="100" w:beforeAutospacing="1" w:after="120" w:line="240" w:lineRule="auto"/>
              <w:rPr>
                <w:rFonts w:cs="Arial"/>
                <w:i w:val="0"/>
                <w:sz w:val="16"/>
                <w:szCs w:val="16"/>
                <w:lang w:eastAsia="en-AU"/>
              </w:rPr>
            </w:pPr>
            <w:r w:rsidRPr="00F93AED">
              <w:rPr>
                <w:rFonts w:cs="Arial"/>
                <w:i w:val="0"/>
                <w:sz w:val="16"/>
                <w:szCs w:val="16"/>
                <w:lang w:eastAsia="en-AU"/>
              </w:rPr>
              <w:t xml:space="preserve">(a) the name of the person; </w:t>
            </w:r>
          </w:p>
          <w:p w14:paraId="4F8E534A" w14:textId="77777777" w:rsidR="008F3B5D" w:rsidRPr="00F93AED" w:rsidRDefault="008F3B5D" w:rsidP="00FC1FFF">
            <w:pPr>
              <w:spacing w:before="0" w:after="100" w:afterAutospacing="1" w:line="240" w:lineRule="auto"/>
              <w:rPr>
                <w:rFonts w:cs="Arial"/>
                <w:i w:val="0"/>
                <w:sz w:val="16"/>
                <w:szCs w:val="16"/>
                <w:lang w:eastAsia="en-AU"/>
              </w:rPr>
            </w:pPr>
            <w:r w:rsidRPr="00F93AED">
              <w:rPr>
                <w:rFonts w:cs="Arial"/>
                <w:i w:val="0"/>
                <w:sz w:val="16"/>
                <w:szCs w:val="16"/>
                <w:lang w:eastAsia="en-AU"/>
              </w:rPr>
              <w:t xml:space="preserve">(b) the town or city in which the person lives </w:t>
            </w:r>
          </w:p>
        </w:tc>
      </w:tr>
    </w:tbl>
    <w:p w14:paraId="7AA2E1CB" w14:textId="77777777" w:rsidR="008F3B5D" w:rsidRPr="00F93AED" w:rsidRDefault="008F3B5D" w:rsidP="008F3B5D">
      <w:pPr>
        <w:spacing w:before="0" w:after="0" w:line="240" w:lineRule="auto"/>
        <w:ind w:firstLine="142"/>
        <w:rPr>
          <w:rFonts w:cs="Arial"/>
          <w:b/>
          <w:sz w:val="16"/>
          <w:szCs w:val="16"/>
        </w:rPr>
      </w:pPr>
      <w:r w:rsidRPr="00F93AED">
        <w:rPr>
          <w:rFonts w:cs="Arial"/>
          <w:b/>
          <w:sz w:val="16"/>
          <w:szCs w:val="16"/>
        </w:rPr>
        <w:tab/>
      </w:r>
    </w:p>
    <w:p w14:paraId="55BD299F" w14:textId="77777777" w:rsidR="008F3B5D" w:rsidRPr="00843714" w:rsidRDefault="008F3B5D" w:rsidP="008F3B5D">
      <w:pPr>
        <w:spacing w:before="0" w:after="120" w:line="240" w:lineRule="auto"/>
        <w:rPr>
          <w:rFonts w:cs="Arial"/>
          <w:b/>
          <w:i w:val="0"/>
          <w:iCs/>
          <w:sz w:val="22"/>
          <w:szCs w:val="22"/>
        </w:rPr>
      </w:pPr>
      <w:r w:rsidRPr="00843714">
        <w:rPr>
          <w:rFonts w:cs="Arial"/>
          <w:b/>
          <w:i w:val="0"/>
          <w:iCs/>
          <w:sz w:val="22"/>
          <w:szCs w:val="22"/>
        </w:rPr>
        <w:t>Part 2—Special conditions</w:t>
      </w:r>
    </w:p>
    <w:p w14:paraId="54F2A2C9" w14:textId="77777777" w:rsidR="008F3B5D" w:rsidRPr="00076623" w:rsidRDefault="008F3B5D" w:rsidP="008F3B5D">
      <w:pPr>
        <w:spacing w:before="120" w:after="120" w:line="240" w:lineRule="auto"/>
        <w:rPr>
          <w:rFonts w:cs="Arial"/>
          <w:b/>
          <w:i w:val="0"/>
          <w:iCs/>
          <w:szCs w:val="20"/>
        </w:rPr>
      </w:pPr>
      <w:r w:rsidRPr="00076623">
        <w:rPr>
          <w:rFonts w:cs="Arial"/>
          <w:b/>
          <w:i w:val="0"/>
          <w:iCs/>
          <w:szCs w:val="20"/>
        </w:rPr>
        <w:t>4   Identification of certain political matter</w:t>
      </w:r>
    </w:p>
    <w:p w14:paraId="7B5BD3AE" w14:textId="77777777" w:rsidR="008F3B5D" w:rsidRPr="00076623" w:rsidRDefault="008F3B5D" w:rsidP="008F3B5D">
      <w:pPr>
        <w:pStyle w:val="ACMABodyText0"/>
        <w:tabs>
          <w:tab w:val="left" w:pos="284"/>
        </w:tabs>
        <w:spacing w:before="0" w:line="240" w:lineRule="atLeast"/>
        <w:ind w:left="284" w:right="658"/>
        <w:rPr>
          <w:rFonts w:ascii="Arial" w:hAnsi="Arial" w:cs="Arial"/>
          <w:sz w:val="20"/>
        </w:rPr>
      </w:pPr>
      <w:r w:rsidRPr="00076623">
        <w:rPr>
          <w:rFonts w:ascii="Arial" w:hAnsi="Arial" w:cs="Arial"/>
          <w:sz w:val="20"/>
        </w:rPr>
        <w:lastRenderedPageBreak/>
        <w:t>[…]</w:t>
      </w:r>
    </w:p>
    <w:p w14:paraId="0CD4B22D" w14:textId="77777777" w:rsidR="008F3B5D" w:rsidRPr="00076623" w:rsidRDefault="008F3B5D" w:rsidP="008F3B5D">
      <w:pPr>
        <w:pStyle w:val="ACMABodyText0"/>
        <w:tabs>
          <w:tab w:val="left" w:pos="284"/>
        </w:tabs>
        <w:spacing w:before="0" w:line="240" w:lineRule="atLeast"/>
        <w:ind w:right="658" w:firstLine="284"/>
        <w:rPr>
          <w:rFonts w:ascii="Arial" w:hAnsi="Arial" w:cs="Arial"/>
          <w:i/>
          <w:sz w:val="20"/>
        </w:rPr>
      </w:pPr>
      <w:r w:rsidRPr="00076623">
        <w:rPr>
          <w:rFonts w:ascii="Arial" w:hAnsi="Arial" w:cs="Arial"/>
          <w:i/>
          <w:sz w:val="20"/>
        </w:rPr>
        <w:t>Announcing required particulars</w:t>
      </w:r>
    </w:p>
    <w:p w14:paraId="56C4147B" w14:textId="41738029" w:rsidR="008F3B5D" w:rsidRDefault="008F3B5D" w:rsidP="008F3B5D">
      <w:pPr>
        <w:pStyle w:val="ACMABodyText0"/>
        <w:spacing w:before="0" w:line="240" w:lineRule="atLeast"/>
        <w:ind w:left="709" w:right="658" w:hanging="425"/>
        <w:rPr>
          <w:rFonts w:ascii="Arial" w:hAnsi="Arial" w:cs="Arial"/>
          <w:sz w:val="20"/>
        </w:rPr>
      </w:pPr>
      <w:r w:rsidRPr="00076623">
        <w:rPr>
          <w:rFonts w:ascii="Arial" w:hAnsi="Arial" w:cs="Arial"/>
          <w:sz w:val="20"/>
        </w:rPr>
        <w:t>(2)</w:t>
      </w:r>
      <w:r w:rsidRPr="00076623">
        <w:rPr>
          <w:rFonts w:ascii="Arial" w:hAnsi="Arial" w:cs="Arial"/>
          <w:sz w:val="20"/>
        </w:rPr>
        <w:tab/>
        <w:t xml:space="preserve">If a broadcaster broadcasts political matter at the request of another person, the broadcaster must ensure that the required particulars in relation to the matter are announced in accordance with any requirements determined under subsection 321D(7) of the </w:t>
      </w:r>
      <w:r w:rsidRPr="00076623">
        <w:rPr>
          <w:rFonts w:ascii="Arial" w:hAnsi="Arial" w:cs="Arial"/>
          <w:i/>
          <w:sz w:val="20"/>
        </w:rPr>
        <w:t>Commonwealth Electoral Act 1918</w:t>
      </w:r>
      <w:r w:rsidRPr="00076623">
        <w:rPr>
          <w:rFonts w:ascii="Arial" w:hAnsi="Arial" w:cs="Arial"/>
          <w:sz w:val="20"/>
        </w:rPr>
        <w:t xml:space="preserve"> for the purposes of this subclause.</w:t>
      </w:r>
    </w:p>
    <w:p w14:paraId="07087885" w14:textId="6AC9EB96" w:rsidR="0053256E" w:rsidRPr="00076623" w:rsidRDefault="0053256E" w:rsidP="008F3B5D">
      <w:pPr>
        <w:pStyle w:val="ACMABodyText0"/>
        <w:spacing w:before="0" w:line="240" w:lineRule="atLeast"/>
        <w:ind w:left="709" w:right="658" w:hanging="425"/>
        <w:rPr>
          <w:rFonts w:ascii="Arial" w:hAnsi="Arial" w:cs="Arial"/>
          <w:sz w:val="20"/>
        </w:rPr>
      </w:pPr>
      <w:r>
        <w:rPr>
          <w:rFonts w:ascii="Arial" w:hAnsi="Arial" w:cs="Arial"/>
          <w:sz w:val="20"/>
        </w:rPr>
        <w:t>[…]</w:t>
      </w:r>
    </w:p>
    <w:p w14:paraId="5C2A4F49" w14:textId="16B701A5" w:rsidR="00DA553B" w:rsidRPr="000C4466" w:rsidRDefault="0038501C" w:rsidP="00DA553B">
      <w:pPr>
        <w:pStyle w:val="ACMABodyText0"/>
        <w:spacing w:before="0" w:line="240" w:lineRule="atLeast"/>
        <w:ind w:left="839" w:right="658" w:hanging="839"/>
        <w:rPr>
          <w:rFonts w:ascii="Arial" w:hAnsi="Arial" w:cs="Arial"/>
          <w:b/>
          <w:iCs/>
          <w:snapToGrid/>
          <w:sz w:val="20"/>
        </w:rPr>
      </w:pPr>
      <w:bookmarkStart w:id="11" w:name="_Toc130911560"/>
      <w:r w:rsidRPr="000C4466">
        <w:rPr>
          <w:rFonts w:ascii="Arial" w:hAnsi="Arial" w:cs="Arial"/>
          <w:iCs/>
          <w:snapToGrid/>
          <w:sz w:val="20"/>
        </w:rPr>
        <w:t>11</w:t>
      </w:r>
      <w:r w:rsidRPr="000C4466">
        <w:rPr>
          <w:rFonts w:ascii="Arial" w:hAnsi="Arial" w:cs="Arial"/>
          <w:b/>
          <w:iCs/>
          <w:snapToGrid/>
          <w:sz w:val="20"/>
        </w:rPr>
        <w:t> Conditions applicable to broadcasting services provided under class licences</w:t>
      </w:r>
      <w:bookmarkEnd w:id="11"/>
    </w:p>
    <w:p w14:paraId="476335DB" w14:textId="30112475" w:rsidR="0038501C" w:rsidRPr="0038501C" w:rsidRDefault="0038501C" w:rsidP="00DA553B">
      <w:pPr>
        <w:pStyle w:val="ACMABodyText0"/>
        <w:spacing w:before="0" w:line="240" w:lineRule="atLeast"/>
        <w:ind w:left="839" w:right="658" w:hanging="839"/>
        <w:rPr>
          <w:rFonts w:ascii="Arial" w:hAnsi="Arial" w:cs="Arial"/>
          <w:b/>
          <w:bCs/>
          <w:color w:val="000000"/>
          <w:sz w:val="20"/>
          <w:shd w:val="clear" w:color="auto" w:fill="FFFFFF"/>
        </w:rPr>
      </w:pPr>
      <w:r>
        <w:rPr>
          <w:color w:val="000000"/>
          <w:sz w:val="22"/>
          <w:szCs w:val="22"/>
          <w:shd w:val="clear" w:color="auto" w:fill="FFFFFF"/>
        </w:rPr>
        <w:t> </w:t>
      </w:r>
      <w:r w:rsidRPr="0038501C">
        <w:rPr>
          <w:rFonts w:ascii="Arial" w:hAnsi="Arial" w:cs="Arial"/>
          <w:color w:val="000000"/>
          <w:sz w:val="20"/>
          <w:shd w:val="clear" w:color="auto" w:fill="FFFFFF"/>
        </w:rPr>
        <w:t xml:space="preserve"> (1)  The following conditions apply to the provision by a person of a broadcasting service under a class licence:</w:t>
      </w:r>
    </w:p>
    <w:p w14:paraId="16C50EF3" w14:textId="7B59F6E1" w:rsidR="0038501C" w:rsidRPr="0038501C" w:rsidRDefault="0038501C" w:rsidP="0038501C">
      <w:pPr>
        <w:pStyle w:val="ACMABodyText0"/>
        <w:spacing w:before="0" w:line="240" w:lineRule="atLeast"/>
        <w:ind w:left="839" w:right="658" w:hanging="119"/>
        <w:rPr>
          <w:rFonts w:ascii="Arial" w:hAnsi="Arial" w:cs="Arial"/>
          <w:color w:val="000000"/>
          <w:sz w:val="20"/>
          <w:shd w:val="clear" w:color="auto" w:fill="FFFFFF"/>
        </w:rPr>
      </w:pPr>
      <w:r w:rsidRPr="0038501C">
        <w:rPr>
          <w:rFonts w:ascii="Arial" w:hAnsi="Arial" w:cs="Arial"/>
          <w:color w:val="000000"/>
          <w:sz w:val="20"/>
          <w:shd w:val="clear" w:color="auto" w:fill="FFFFFF"/>
        </w:rPr>
        <w:t>[…]</w:t>
      </w:r>
    </w:p>
    <w:p w14:paraId="45612274" w14:textId="71FBDE13" w:rsidR="0038501C" w:rsidRPr="0038501C" w:rsidRDefault="0038501C" w:rsidP="0038501C">
      <w:pPr>
        <w:pStyle w:val="ACMABodyText0"/>
        <w:spacing w:before="0" w:line="240" w:lineRule="atLeast"/>
        <w:ind w:left="839" w:right="624" w:hanging="119"/>
        <w:rPr>
          <w:rFonts w:ascii="Arial" w:hAnsi="Arial" w:cs="Arial"/>
          <w:color w:val="000000"/>
          <w:sz w:val="20"/>
          <w:shd w:val="clear" w:color="auto" w:fill="FFFFFF"/>
        </w:rPr>
      </w:pPr>
      <w:r w:rsidRPr="0038501C">
        <w:rPr>
          <w:rFonts w:ascii="Arial" w:hAnsi="Arial" w:cs="Arial"/>
          <w:color w:val="000000"/>
          <w:sz w:val="20"/>
          <w:shd w:val="clear" w:color="auto" w:fill="FFFFFF"/>
        </w:rPr>
        <w:t>(d)  the person will comply with the requirements of clauses 3, 3A, 3B, 4 and 5;</w:t>
      </w:r>
    </w:p>
    <w:p w14:paraId="54DA7C7B" w14:textId="77777777" w:rsidR="00131945" w:rsidRPr="004F4BC3" w:rsidRDefault="00131945" w:rsidP="00131945">
      <w:pPr>
        <w:pStyle w:val="ACMABodyText0"/>
        <w:spacing w:before="0" w:after="0"/>
        <w:ind w:right="658"/>
        <w:rPr>
          <w:rFonts w:ascii="Arial" w:hAnsi="Arial" w:cs="Arial"/>
          <w:b/>
          <w:szCs w:val="24"/>
        </w:rPr>
      </w:pPr>
      <w:bookmarkStart w:id="12" w:name="_Hlk67316160"/>
      <w:r w:rsidRPr="004F4BC3">
        <w:rPr>
          <w:rFonts w:ascii="Arial" w:hAnsi="Arial" w:cs="Arial"/>
          <w:b/>
          <w:i/>
          <w:szCs w:val="24"/>
        </w:rPr>
        <w:t>Commonwealth Electoral Act 1918</w:t>
      </w:r>
      <w:r w:rsidRPr="004F4BC3">
        <w:rPr>
          <w:rFonts w:ascii="Arial" w:hAnsi="Arial" w:cs="Arial"/>
          <w:b/>
          <w:szCs w:val="24"/>
        </w:rPr>
        <w:t xml:space="preserve"> </w:t>
      </w:r>
    </w:p>
    <w:p w14:paraId="5CE664B5" w14:textId="77777777" w:rsidR="00131945" w:rsidRPr="00CD4AA4" w:rsidRDefault="00131945" w:rsidP="00131945">
      <w:pPr>
        <w:pStyle w:val="ACMABodyText0"/>
        <w:spacing w:before="240" w:after="0"/>
        <w:ind w:right="658"/>
        <w:rPr>
          <w:rFonts w:ascii="Arial" w:hAnsi="Arial" w:cs="Arial"/>
          <w:b/>
          <w:sz w:val="22"/>
          <w:szCs w:val="22"/>
        </w:rPr>
      </w:pPr>
      <w:r w:rsidRPr="00CD4AA4">
        <w:rPr>
          <w:rFonts w:ascii="Arial" w:hAnsi="Arial" w:cs="Arial"/>
          <w:b/>
          <w:sz w:val="22"/>
          <w:szCs w:val="22"/>
        </w:rPr>
        <w:t>Part XXA—Authorisation of electoral matter</w:t>
      </w:r>
    </w:p>
    <w:bookmarkEnd w:id="12"/>
    <w:p w14:paraId="0DB24E6C" w14:textId="77777777" w:rsidR="00131945" w:rsidRPr="00CD4AA4" w:rsidRDefault="00131945" w:rsidP="00131945">
      <w:pPr>
        <w:pStyle w:val="ACMABodyText0"/>
        <w:spacing w:before="120" w:after="0"/>
        <w:ind w:right="658"/>
        <w:rPr>
          <w:rFonts w:ascii="Arial" w:hAnsi="Arial" w:cs="Arial"/>
          <w:b/>
          <w:sz w:val="20"/>
        </w:rPr>
      </w:pPr>
      <w:r w:rsidRPr="00CD4AA4">
        <w:rPr>
          <w:rFonts w:ascii="Arial" w:hAnsi="Arial" w:cs="Arial"/>
          <w:b/>
          <w:sz w:val="20"/>
        </w:rPr>
        <w:t>Division 1—Preliminary</w:t>
      </w:r>
    </w:p>
    <w:p w14:paraId="0C773079" w14:textId="4F3D1E8E" w:rsidR="00131945" w:rsidRDefault="00131945" w:rsidP="00131945">
      <w:pPr>
        <w:pStyle w:val="ACMABodyText0"/>
        <w:spacing w:before="120" w:after="0"/>
        <w:ind w:right="658"/>
        <w:rPr>
          <w:rFonts w:ascii="Arial" w:hAnsi="Arial" w:cs="Arial"/>
          <w:b/>
          <w:sz w:val="20"/>
        </w:rPr>
      </w:pPr>
      <w:r w:rsidRPr="00CB4209">
        <w:rPr>
          <w:rFonts w:ascii="Arial" w:hAnsi="Arial" w:cs="Arial"/>
          <w:b/>
          <w:sz w:val="20"/>
        </w:rPr>
        <w:t>321B Definitions</w:t>
      </w:r>
    </w:p>
    <w:p w14:paraId="76CA1ECD" w14:textId="0D63F0A4" w:rsidR="009D2284" w:rsidRPr="009D2284" w:rsidRDefault="009D2284" w:rsidP="009D2284">
      <w:pPr>
        <w:pStyle w:val="ACMABodyText0"/>
        <w:spacing w:before="120" w:after="0"/>
        <w:ind w:right="658" w:firstLine="567"/>
        <w:rPr>
          <w:rFonts w:ascii="Arial" w:hAnsi="Arial" w:cs="Arial"/>
          <w:bCs/>
          <w:sz w:val="20"/>
        </w:rPr>
      </w:pPr>
      <w:r w:rsidRPr="009D2284">
        <w:rPr>
          <w:rFonts w:ascii="Arial" w:hAnsi="Arial" w:cs="Arial"/>
          <w:bCs/>
          <w:sz w:val="20"/>
        </w:rPr>
        <w:t>[…]</w:t>
      </w:r>
    </w:p>
    <w:p w14:paraId="538B3E04" w14:textId="77777777" w:rsidR="00131945" w:rsidRPr="001F6739" w:rsidRDefault="00131945" w:rsidP="00131945">
      <w:pPr>
        <w:pStyle w:val="definition"/>
        <w:shd w:val="clear" w:color="auto" w:fill="FFFFFF"/>
        <w:spacing w:before="180" w:beforeAutospacing="0" w:after="0" w:afterAutospacing="0"/>
        <w:ind w:left="567"/>
        <w:rPr>
          <w:rFonts w:ascii="Arial" w:hAnsi="Arial" w:cs="Arial"/>
          <w:color w:val="000000"/>
          <w:sz w:val="20"/>
          <w:szCs w:val="20"/>
        </w:rPr>
      </w:pPr>
      <w:r w:rsidRPr="001F6739">
        <w:rPr>
          <w:rFonts w:ascii="Arial" w:hAnsi="Arial" w:cs="Arial"/>
          <w:b/>
          <w:bCs/>
          <w:i/>
          <w:iCs/>
          <w:color w:val="000000"/>
          <w:sz w:val="20"/>
          <w:szCs w:val="20"/>
        </w:rPr>
        <w:t>disclosure entity</w:t>
      </w:r>
      <w:r w:rsidRPr="001F6739">
        <w:rPr>
          <w:rFonts w:ascii="Arial" w:hAnsi="Arial" w:cs="Arial"/>
          <w:color w:val="000000"/>
          <w:sz w:val="20"/>
          <w:szCs w:val="20"/>
        </w:rPr>
        <w:t>: a person or entity is a </w:t>
      </w:r>
      <w:r w:rsidRPr="001F6739">
        <w:rPr>
          <w:rFonts w:ascii="Arial" w:hAnsi="Arial" w:cs="Arial"/>
          <w:b/>
          <w:bCs/>
          <w:i/>
          <w:iCs/>
          <w:color w:val="000000"/>
          <w:sz w:val="20"/>
          <w:szCs w:val="20"/>
        </w:rPr>
        <w:t>disclosure entity</w:t>
      </w:r>
      <w:r w:rsidRPr="001F6739">
        <w:rPr>
          <w:rFonts w:ascii="Arial" w:hAnsi="Arial" w:cs="Arial"/>
          <w:color w:val="000000"/>
          <w:sz w:val="20"/>
          <w:szCs w:val="20"/>
        </w:rPr>
        <w:t> at a particular time if the person or entity is any of the following at that time:</w:t>
      </w:r>
    </w:p>
    <w:p w14:paraId="111A9DA0" w14:textId="30437471" w:rsidR="00131945" w:rsidRDefault="00131945" w:rsidP="00131945">
      <w:pPr>
        <w:pStyle w:val="ACMABodyText0"/>
        <w:spacing w:before="0" w:line="240" w:lineRule="atLeast"/>
        <w:ind w:left="839" w:right="658" w:hanging="272"/>
        <w:rPr>
          <w:rFonts w:ascii="Arial" w:hAnsi="Arial" w:cs="Arial"/>
          <w:sz w:val="20"/>
        </w:rPr>
      </w:pPr>
      <w:r>
        <w:rPr>
          <w:rFonts w:ascii="Arial" w:hAnsi="Arial" w:cs="Arial"/>
          <w:sz w:val="20"/>
        </w:rPr>
        <w:t>[…]</w:t>
      </w:r>
    </w:p>
    <w:p w14:paraId="26D6D750" w14:textId="6B57660C" w:rsidR="00131945" w:rsidRDefault="00131945" w:rsidP="009D30F8">
      <w:pPr>
        <w:pStyle w:val="ACMABodyText0"/>
        <w:numPr>
          <w:ilvl w:val="0"/>
          <w:numId w:val="21"/>
        </w:numPr>
        <w:spacing w:before="0" w:line="240" w:lineRule="atLeast"/>
        <w:ind w:right="658"/>
        <w:rPr>
          <w:rFonts w:ascii="Arial" w:hAnsi="Arial" w:cs="Arial"/>
          <w:sz w:val="20"/>
        </w:rPr>
      </w:pPr>
      <w:r>
        <w:rPr>
          <w:rFonts w:ascii="Arial" w:hAnsi="Arial" w:cs="Arial"/>
          <w:sz w:val="20"/>
        </w:rPr>
        <w:t>a senator or member of the House of Representatives;</w:t>
      </w:r>
    </w:p>
    <w:p w14:paraId="462D6D49" w14:textId="77777777" w:rsidR="0053256E" w:rsidRPr="003676C9" w:rsidRDefault="0053256E" w:rsidP="009D30F8">
      <w:pPr>
        <w:pStyle w:val="ACMABodyText0"/>
        <w:ind w:right="658"/>
        <w:rPr>
          <w:rFonts w:ascii="Arial" w:hAnsi="Arial" w:cs="Arial"/>
          <w:bCs/>
          <w:sz w:val="20"/>
        </w:rPr>
      </w:pPr>
      <w:r w:rsidRPr="003676C9">
        <w:rPr>
          <w:rFonts w:ascii="Arial" w:hAnsi="Arial" w:cs="Arial"/>
          <w:bCs/>
          <w:sz w:val="20"/>
        </w:rPr>
        <w:t>[…]</w:t>
      </w:r>
    </w:p>
    <w:p w14:paraId="0DE481D2" w14:textId="07CFB3B2" w:rsidR="009D30F8" w:rsidRPr="00CD4AA4" w:rsidRDefault="009D30F8" w:rsidP="009D30F8">
      <w:pPr>
        <w:pStyle w:val="ACMABodyText0"/>
        <w:ind w:right="658"/>
        <w:rPr>
          <w:rFonts w:ascii="Arial" w:hAnsi="Arial" w:cs="Arial"/>
          <w:b/>
          <w:sz w:val="20"/>
        </w:rPr>
      </w:pPr>
      <w:r w:rsidRPr="00CD4AA4">
        <w:rPr>
          <w:rFonts w:ascii="Arial" w:hAnsi="Arial" w:cs="Arial"/>
          <w:b/>
          <w:sz w:val="20"/>
        </w:rPr>
        <w:t>Division 2—Authorisation of certain electoral matter</w:t>
      </w:r>
    </w:p>
    <w:p w14:paraId="12550EC3" w14:textId="45C9752A" w:rsidR="009D30F8" w:rsidRPr="00A03641" w:rsidRDefault="009D30F8" w:rsidP="009D30F8">
      <w:pPr>
        <w:pStyle w:val="ACMABodyText0"/>
        <w:spacing w:before="120"/>
        <w:ind w:right="658"/>
        <w:rPr>
          <w:rFonts w:ascii="Arial" w:hAnsi="Arial" w:cs="Arial"/>
          <w:b/>
          <w:sz w:val="20"/>
        </w:rPr>
      </w:pPr>
      <w:r w:rsidRPr="00A03641">
        <w:rPr>
          <w:rFonts w:ascii="Arial" w:hAnsi="Arial" w:cs="Arial"/>
          <w:b/>
          <w:sz w:val="20"/>
        </w:rPr>
        <w:t>321D Authorisation of certain electoral matter</w:t>
      </w:r>
    </w:p>
    <w:p w14:paraId="64240E87" w14:textId="77777777" w:rsidR="009D30F8" w:rsidRPr="002770CF" w:rsidRDefault="009D30F8" w:rsidP="009D30F8">
      <w:pPr>
        <w:spacing w:before="0" w:after="120" w:line="240" w:lineRule="atLeast"/>
        <w:rPr>
          <w:rFonts w:cs="Arial"/>
          <w:i w:val="0"/>
          <w:szCs w:val="20"/>
        </w:rPr>
      </w:pPr>
      <w:r w:rsidRPr="002770CF">
        <w:rPr>
          <w:rFonts w:cs="Arial"/>
          <w:i w:val="0"/>
          <w:szCs w:val="20"/>
        </w:rPr>
        <w:t>[…]</w:t>
      </w:r>
    </w:p>
    <w:p w14:paraId="564E3A04" w14:textId="77777777" w:rsidR="009D30F8" w:rsidRPr="002770CF" w:rsidRDefault="009D30F8" w:rsidP="009D30F8">
      <w:pPr>
        <w:spacing w:before="0" w:after="120" w:line="240" w:lineRule="atLeast"/>
        <w:rPr>
          <w:rFonts w:cs="Arial"/>
          <w:iCs/>
          <w:szCs w:val="20"/>
        </w:rPr>
      </w:pPr>
      <w:r w:rsidRPr="002770CF">
        <w:rPr>
          <w:rFonts w:cs="Arial"/>
          <w:iCs/>
          <w:szCs w:val="20"/>
        </w:rPr>
        <w:t xml:space="preserve">Legislative instrument </w:t>
      </w:r>
    </w:p>
    <w:p w14:paraId="121497A7" w14:textId="77777777" w:rsidR="009D30F8" w:rsidRPr="002770CF" w:rsidRDefault="009D30F8" w:rsidP="009D30F8">
      <w:pPr>
        <w:pStyle w:val="ACMABodyText0"/>
        <w:spacing w:before="0" w:line="240" w:lineRule="atLeast"/>
        <w:ind w:left="709" w:right="660" w:hanging="425"/>
        <w:rPr>
          <w:rFonts w:ascii="Arial" w:hAnsi="Arial" w:cs="Arial"/>
          <w:sz w:val="20"/>
        </w:rPr>
      </w:pPr>
      <w:r w:rsidRPr="002770CF">
        <w:rPr>
          <w:rFonts w:ascii="Arial" w:hAnsi="Arial" w:cs="Arial"/>
          <w:sz w:val="20"/>
        </w:rPr>
        <w:t>(7</w:t>
      </w:r>
      <w:bookmarkStart w:id="13" w:name="_Hlk67316845"/>
      <w:r w:rsidRPr="002770CF">
        <w:rPr>
          <w:rFonts w:ascii="Arial" w:hAnsi="Arial" w:cs="Arial"/>
          <w:sz w:val="20"/>
        </w:rPr>
        <w:t xml:space="preserve">)  The </w:t>
      </w:r>
      <w:hyperlink r:id="rId11" w:anchor="electoral_commissioner" w:history="1">
        <w:r w:rsidRPr="002770CF">
          <w:rPr>
            <w:rFonts w:ascii="Arial" w:hAnsi="Arial" w:cs="Arial"/>
            <w:sz w:val="20"/>
          </w:rPr>
          <w:t>Electoral Commissioner</w:t>
        </w:r>
      </w:hyperlink>
      <w:r w:rsidRPr="002770CF">
        <w:rPr>
          <w:rFonts w:ascii="Arial" w:hAnsi="Arial" w:cs="Arial"/>
          <w:sz w:val="20"/>
        </w:rPr>
        <w:t xml:space="preserve"> may, by legislative instrument, determine: </w:t>
      </w:r>
    </w:p>
    <w:p w14:paraId="3B0AA03C" w14:textId="77777777" w:rsidR="009D30F8" w:rsidRPr="002770CF" w:rsidRDefault="009D30F8" w:rsidP="009D30F8">
      <w:pPr>
        <w:pStyle w:val="ACMABodyText0"/>
        <w:spacing w:before="0" w:line="240" w:lineRule="atLeast"/>
        <w:ind w:right="660" w:firstLine="709"/>
        <w:rPr>
          <w:rFonts w:ascii="Arial" w:hAnsi="Arial" w:cs="Arial"/>
          <w:sz w:val="20"/>
        </w:rPr>
      </w:pPr>
      <w:r w:rsidRPr="002770CF">
        <w:rPr>
          <w:rFonts w:ascii="Arial" w:hAnsi="Arial" w:cs="Arial"/>
          <w:sz w:val="20"/>
        </w:rPr>
        <w:t>[…]</w:t>
      </w:r>
    </w:p>
    <w:p w14:paraId="21B1EAFA" w14:textId="77777777" w:rsidR="009D30F8" w:rsidRPr="002770CF" w:rsidRDefault="009D30F8" w:rsidP="009D30F8">
      <w:pPr>
        <w:spacing w:before="0" w:after="120" w:line="240" w:lineRule="atLeast"/>
        <w:ind w:left="993" w:hanging="993"/>
        <w:rPr>
          <w:rFonts w:cs="Arial"/>
          <w:i w:val="0"/>
          <w:szCs w:val="20"/>
        </w:rPr>
      </w:pPr>
      <w:r w:rsidRPr="002770CF">
        <w:rPr>
          <w:rFonts w:cs="Arial"/>
          <w:i w:val="0"/>
          <w:szCs w:val="20"/>
        </w:rPr>
        <w:t>             </w:t>
      </w:r>
      <w:r w:rsidRPr="002770CF">
        <w:rPr>
          <w:rFonts w:cs="Arial"/>
          <w:i w:val="0"/>
          <w:szCs w:val="20"/>
        </w:rPr>
        <w:tab/>
        <w:t xml:space="preserve">(b)  requirements or </w:t>
      </w:r>
      <w:hyperlink r:id="rId12" w:anchor="part" w:history="1">
        <w:r w:rsidRPr="002770CF">
          <w:rPr>
            <w:rFonts w:cs="Arial"/>
            <w:i w:val="0"/>
            <w:szCs w:val="20"/>
          </w:rPr>
          <w:t>particulars</w:t>
        </w:r>
      </w:hyperlink>
      <w:r w:rsidRPr="002770CF">
        <w:rPr>
          <w:rFonts w:cs="Arial"/>
          <w:i w:val="0"/>
          <w:szCs w:val="20"/>
        </w:rPr>
        <w:t xml:space="preserve"> for the purposes of any one or more of the following: </w:t>
      </w:r>
    </w:p>
    <w:bookmarkEnd w:id="13"/>
    <w:p w14:paraId="41902FBE" w14:textId="77777777" w:rsidR="009D30F8" w:rsidRPr="002770CF" w:rsidRDefault="009D30F8" w:rsidP="009D30F8">
      <w:pPr>
        <w:spacing w:before="0" w:after="120" w:line="240" w:lineRule="atLeast"/>
        <w:ind w:left="720" w:firstLine="720"/>
        <w:rPr>
          <w:rFonts w:cs="Arial"/>
          <w:i w:val="0"/>
          <w:szCs w:val="20"/>
        </w:rPr>
      </w:pPr>
      <w:r w:rsidRPr="002770CF">
        <w:rPr>
          <w:rFonts w:cs="Arial"/>
          <w:i w:val="0"/>
          <w:szCs w:val="20"/>
        </w:rPr>
        <w:t>[…]</w:t>
      </w:r>
    </w:p>
    <w:p w14:paraId="53846B55" w14:textId="40A4C96F" w:rsidR="009D30F8" w:rsidRDefault="009D30F8" w:rsidP="009D30F8">
      <w:pPr>
        <w:spacing w:before="0" w:after="120" w:line="240" w:lineRule="atLeast"/>
        <w:ind w:left="1440"/>
        <w:rPr>
          <w:rFonts w:cs="Arial"/>
          <w:i w:val="0"/>
          <w:szCs w:val="20"/>
        </w:rPr>
      </w:pPr>
      <w:r w:rsidRPr="002770CF">
        <w:rPr>
          <w:rFonts w:cs="Arial"/>
          <w:i w:val="0"/>
          <w:szCs w:val="20"/>
        </w:rPr>
        <w:t xml:space="preserve">(iv)  </w:t>
      </w:r>
      <w:hyperlink r:id="rId13" w:anchor="paragraph" w:history="1">
        <w:r w:rsidRPr="002770CF">
          <w:rPr>
            <w:rFonts w:cs="Arial"/>
            <w:i w:val="0"/>
            <w:szCs w:val="20"/>
          </w:rPr>
          <w:t>paragraph</w:t>
        </w:r>
      </w:hyperlink>
      <w:r w:rsidRPr="002770CF">
        <w:rPr>
          <w:rFonts w:cs="Arial"/>
          <w:i w:val="0"/>
          <w:szCs w:val="20"/>
        </w:rPr>
        <w:t xml:space="preserve"> 1(2)(b) and </w:t>
      </w:r>
      <w:bookmarkStart w:id="14" w:name="_Hlk67316932"/>
      <w:r w:rsidRPr="002770CF">
        <w:rPr>
          <w:rFonts w:cs="Arial"/>
          <w:i w:val="0"/>
          <w:szCs w:val="20"/>
        </w:rPr>
        <w:t xml:space="preserve">subclause 4(2) of Schedule 2 to the </w:t>
      </w:r>
      <w:r w:rsidRPr="002770CF">
        <w:rPr>
          <w:rFonts w:cs="Arial"/>
          <w:szCs w:val="20"/>
        </w:rPr>
        <w:t>Broadcasting Services Act 1992</w:t>
      </w:r>
      <w:bookmarkEnd w:id="14"/>
      <w:r w:rsidRPr="002770CF">
        <w:rPr>
          <w:rFonts w:cs="Arial"/>
          <w:i w:val="0"/>
          <w:szCs w:val="20"/>
        </w:rPr>
        <w:t>;</w:t>
      </w:r>
    </w:p>
    <w:p w14:paraId="0CD08763" w14:textId="1699B42F" w:rsidR="00812AAB" w:rsidRDefault="00812AAB">
      <w:pPr>
        <w:spacing w:before="0" w:after="0" w:line="240" w:lineRule="auto"/>
        <w:rPr>
          <w:i w:val="0"/>
          <w:snapToGrid w:val="0"/>
          <w:szCs w:val="20"/>
        </w:rPr>
      </w:pPr>
      <w:r>
        <w:br w:type="page"/>
      </w:r>
    </w:p>
    <w:p w14:paraId="21A22DA4" w14:textId="77777777" w:rsidR="00812AAB" w:rsidRPr="00812AAB" w:rsidRDefault="00812AAB" w:rsidP="00812AAB">
      <w:pPr>
        <w:pStyle w:val="ACMABodyText"/>
      </w:pPr>
    </w:p>
    <w:p w14:paraId="1A167785" w14:textId="77777777" w:rsidR="009D30F8" w:rsidRPr="004F4BC3" w:rsidRDefault="009D30F8" w:rsidP="009D30F8">
      <w:pPr>
        <w:pStyle w:val="ACMABodyText0"/>
        <w:spacing w:before="240" w:after="0"/>
        <w:ind w:right="658"/>
        <w:rPr>
          <w:rFonts w:cs="Arial"/>
          <w:b/>
          <w:i/>
          <w:szCs w:val="24"/>
        </w:rPr>
      </w:pPr>
      <w:bookmarkStart w:id="15" w:name="_Hlk67317757"/>
      <w:r w:rsidRPr="004F4BC3">
        <w:rPr>
          <w:rFonts w:ascii="Arial" w:hAnsi="Arial" w:cs="Arial"/>
          <w:b/>
          <w:i/>
          <w:szCs w:val="24"/>
        </w:rPr>
        <w:t>Commonwealth Electoral (Authorisation of Voter Communication) Determination 2018</w:t>
      </w:r>
    </w:p>
    <w:bookmarkEnd w:id="15"/>
    <w:p w14:paraId="6AF3E269" w14:textId="77777777" w:rsidR="009D30F8" w:rsidRPr="00CD4AA4" w:rsidRDefault="009D30F8" w:rsidP="009D30F8">
      <w:pPr>
        <w:pStyle w:val="ACMABodyText0"/>
        <w:ind w:right="660"/>
        <w:rPr>
          <w:rFonts w:ascii="Arial" w:hAnsi="Arial" w:cs="Arial"/>
          <w:b/>
          <w:sz w:val="22"/>
          <w:szCs w:val="22"/>
        </w:rPr>
      </w:pPr>
      <w:r w:rsidRPr="00CD4AA4">
        <w:rPr>
          <w:rFonts w:ascii="Arial" w:hAnsi="Arial" w:cs="Arial"/>
          <w:b/>
          <w:sz w:val="22"/>
          <w:szCs w:val="22"/>
        </w:rPr>
        <w:t>Part 1—Preliminary</w:t>
      </w:r>
    </w:p>
    <w:p w14:paraId="2941BFB8" w14:textId="77777777" w:rsidR="009D30F8" w:rsidRPr="001F04BB" w:rsidRDefault="009D30F8" w:rsidP="009D30F8">
      <w:pPr>
        <w:pStyle w:val="ACMABodyText0"/>
        <w:ind w:right="660"/>
        <w:rPr>
          <w:rFonts w:ascii="Arial" w:hAnsi="Arial" w:cs="Arial"/>
          <w:b/>
          <w:sz w:val="20"/>
        </w:rPr>
      </w:pPr>
      <w:r w:rsidRPr="001F04BB">
        <w:rPr>
          <w:rFonts w:ascii="Arial" w:hAnsi="Arial" w:cs="Arial"/>
          <w:b/>
          <w:sz w:val="20"/>
        </w:rPr>
        <w:t>3 Authority</w:t>
      </w:r>
    </w:p>
    <w:p w14:paraId="5A64CD22" w14:textId="77777777" w:rsidR="009D30F8" w:rsidRPr="001F04BB" w:rsidRDefault="009D30F8" w:rsidP="009D30F8">
      <w:pPr>
        <w:pStyle w:val="ACMABodyText0"/>
        <w:spacing w:after="0"/>
        <w:ind w:left="567" w:right="660"/>
        <w:rPr>
          <w:rFonts w:ascii="Arial" w:hAnsi="Arial" w:cs="Arial"/>
          <w:bCs/>
          <w:sz w:val="20"/>
        </w:rPr>
      </w:pPr>
      <w:r w:rsidRPr="001F04BB">
        <w:rPr>
          <w:rFonts w:ascii="Arial" w:hAnsi="Arial" w:cs="Arial"/>
          <w:bCs/>
          <w:sz w:val="20"/>
        </w:rPr>
        <w:t xml:space="preserve">This instrument is made under subsection 321D(7) of the </w:t>
      </w:r>
      <w:r w:rsidRPr="00D44E9A">
        <w:rPr>
          <w:rFonts w:ascii="Arial" w:hAnsi="Arial" w:cs="Arial"/>
          <w:bCs/>
          <w:i/>
          <w:iCs/>
          <w:sz w:val="20"/>
        </w:rPr>
        <w:t>Commonwealth Electoral Act 1918</w:t>
      </w:r>
      <w:r w:rsidRPr="00D44E9A">
        <w:rPr>
          <w:rFonts w:ascii="Arial" w:hAnsi="Arial" w:cs="Arial"/>
          <w:bCs/>
          <w:sz w:val="20"/>
        </w:rPr>
        <w:t>.</w:t>
      </w:r>
    </w:p>
    <w:p w14:paraId="681E82A4" w14:textId="77777777" w:rsidR="009D30F8" w:rsidRPr="00450839" w:rsidRDefault="009D30F8" w:rsidP="009D30F8">
      <w:pPr>
        <w:pStyle w:val="ACMABodyText0"/>
        <w:spacing w:after="0"/>
        <w:ind w:right="660"/>
        <w:rPr>
          <w:rFonts w:ascii="Arial" w:hAnsi="Arial" w:cs="Arial"/>
          <w:bCs/>
          <w:sz w:val="20"/>
        </w:rPr>
      </w:pPr>
      <w:r w:rsidRPr="00450839">
        <w:rPr>
          <w:rFonts w:ascii="Arial" w:hAnsi="Arial" w:cs="Arial"/>
          <w:bCs/>
          <w:sz w:val="20"/>
        </w:rPr>
        <w:t>[…]</w:t>
      </w:r>
    </w:p>
    <w:p w14:paraId="7586BFFE" w14:textId="77777777" w:rsidR="009D30F8" w:rsidRPr="00CD4AA4" w:rsidRDefault="009D30F8" w:rsidP="009D30F8">
      <w:pPr>
        <w:pStyle w:val="ACMABodyText0"/>
        <w:spacing w:after="0"/>
        <w:ind w:right="660"/>
        <w:rPr>
          <w:rFonts w:ascii="Arial" w:hAnsi="Arial" w:cs="Arial"/>
          <w:b/>
          <w:sz w:val="22"/>
          <w:szCs w:val="22"/>
        </w:rPr>
      </w:pPr>
      <w:r w:rsidRPr="00CD4AA4">
        <w:rPr>
          <w:rFonts w:ascii="Arial" w:hAnsi="Arial" w:cs="Arial"/>
          <w:b/>
          <w:sz w:val="22"/>
          <w:szCs w:val="22"/>
        </w:rPr>
        <w:t>Part 3—Requirements and particulars</w:t>
      </w:r>
    </w:p>
    <w:p w14:paraId="4D805B20" w14:textId="77777777" w:rsidR="009D30F8" w:rsidRPr="004D410A" w:rsidRDefault="009D30F8" w:rsidP="009D30F8">
      <w:pPr>
        <w:pStyle w:val="ACMABodyText0"/>
        <w:spacing w:after="0"/>
        <w:ind w:right="660"/>
        <w:rPr>
          <w:rFonts w:ascii="Arial" w:hAnsi="Arial" w:cs="Arial"/>
          <w:bCs/>
          <w:sz w:val="20"/>
        </w:rPr>
      </w:pPr>
      <w:r w:rsidRPr="004D410A">
        <w:rPr>
          <w:rFonts w:ascii="Arial" w:hAnsi="Arial" w:cs="Arial"/>
          <w:bCs/>
          <w:sz w:val="20"/>
        </w:rPr>
        <w:t>[…]</w:t>
      </w:r>
    </w:p>
    <w:p w14:paraId="5034AB2C" w14:textId="77777777" w:rsidR="009D30F8" w:rsidRPr="004D410A" w:rsidRDefault="009D30F8" w:rsidP="009D30F8">
      <w:pPr>
        <w:pStyle w:val="ACMABodyText0"/>
        <w:spacing w:after="0"/>
        <w:ind w:right="660"/>
        <w:rPr>
          <w:rFonts w:cs="Arial"/>
          <w:b/>
          <w:i/>
          <w:sz w:val="20"/>
        </w:rPr>
      </w:pPr>
      <w:r w:rsidRPr="004D410A">
        <w:rPr>
          <w:rFonts w:ascii="Arial" w:hAnsi="Arial" w:cs="Arial"/>
          <w:b/>
          <w:sz w:val="20"/>
        </w:rPr>
        <w:t>10 Broadcasting Acts</w:t>
      </w:r>
    </w:p>
    <w:p w14:paraId="0F979AF1" w14:textId="77777777" w:rsidR="009D30F8" w:rsidRPr="004D410A" w:rsidRDefault="009D30F8" w:rsidP="009D30F8">
      <w:pPr>
        <w:spacing w:before="120" w:after="120" w:line="240" w:lineRule="auto"/>
        <w:rPr>
          <w:rFonts w:cs="Arial"/>
          <w:i w:val="0"/>
          <w:szCs w:val="20"/>
          <w:lang w:val="en-US"/>
        </w:rPr>
      </w:pPr>
      <w:r w:rsidRPr="004D410A">
        <w:rPr>
          <w:rFonts w:cs="Arial"/>
          <w:i w:val="0"/>
          <w:szCs w:val="20"/>
        </w:rPr>
        <w:t>The following table sets out requirements for notifying particulars for the purposes of the following provisions:</w:t>
      </w:r>
    </w:p>
    <w:p w14:paraId="461FCEDD" w14:textId="77777777" w:rsidR="009D30F8" w:rsidRPr="004D410A" w:rsidRDefault="009D30F8" w:rsidP="009D30F8">
      <w:pPr>
        <w:spacing w:before="120" w:after="120" w:line="240" w:lineRule="auto"/>
        <w:ind w:left="426"/>
        <w:rPr>
          <w:rFonts w:cs="Arial"/>
          <w:i w:val="0"/>
          <w:szCs w:val="20"/>
          <w:lang w:val="en-US"/>
        </w:rPr>
      </w:pPr>
      <w:r w:rsidRPr="004D410A">
        <w:rPr>
          <w:rFonts w:cs="Arial"/>
          <w:i w:val="0"/>
          <w:szCs w:val="20"/>
        </w:rPr>
        <w:t>     </w:t>
      </w:r>
      <w:r>
        <w:rPr>
          <w:rFonts w:cs="Arial"/>
          <w:i w:val="0"/>
          <w:szCs w:val="20"/>
        </w:rPr>
        <w:t>[...]</w:t>
      </w:r>
      <w:r w:rsidRPr="004D410A">
        <w:rPr>
          <w:rFonts w:cs="Arial"/>
          <w:i w:val="0"/>
          <w:szCs w:val="20"/>
        </w:rPr>
        <w:t> </w:t>
      </w:r>
    </w:p>
    <w:p w14:paraId="4D4FE0C8" w14:textId="77777777" w:rsidR="009D30F8" w:rsidRPr="004D410A" w:rsidRDefault="009D30F8" w:rsidP="009D30F8">
      <w:pPr>
        <w:spacing w:before="120" w:after="120" w:line="240" w:lineRule="auto"/>
        <w:rPr>
          <w:rFonts w:cs="Arial"/>
          <w:i w:val="0"/>
          <w:szCs w:val="20"/>
          <w:lang w:val="en-US"/>
        </w:rPr>
      </w:pPr>
      <w:r w:rsidRPr="004D410A">
        <w:rPr>
          <w:rFonts w:cs="Arial"/>
          <w:i w:val="0"/>
          <w:szCs w:val="20"/>
        </w:rPr>
        <w:t>            </w:t>
      </w:r>
      <w:r w:rsidRPr="004D410A">
        <w:rPr>
          <w:rFonts w:cs="Arial"/>
          <w:i w:val="0"/>
          <w:szCs w:val="20"/>
        </w:rPr>
        <w:tab/>
        <w:t xml:space="preserve">(b)  subclause 4(2) of Schedule 2 to the </w:t>
      </w:r>
      <w:r w:rsidRPr="004D410A">
        <w:rPr>
          <w:rFonts w:cs="Arial"/>
          <w:iCs/>
          <w:szCs w:val="20"/>
        </w:rPr>
        <w:t>Broadcasting Services Act 1992</w:t>
      </w:r>
      <w:r w:rsidRPr="004D410A">
        <w:rPr>
          <w:rFonts w:cs="Arial"/>
          <w:i w:val="0"/>
          <w:szCs w:val="20"/>
        </w:rPr>
        <w:t>;</w:t>
      </w:r>
    </w:p>
    <w:p w14:paraId="0C6F3319" w14:textId="77777777" w:rsidR="009D30F8" w:rsidRPr="004D410A" w:rsidRDefault="009D30F8" w:rsidP="009D30F8">
      <w:pPr>
        <w:spacing w:before="120" w:line="240" w:lineRule="auto"/>
        <w:rPr>
          <w:rFonts w:cs="Arial"/>
          <w:i w:val="0"/>
          <w:szCs w:val="20"/>
          <w:lang w:val="en-US"/>
        </w:rPr>
      </w:pPr>
      <w:r w:rsidRPr="004D410A">
        <w:rPr>
          <w:rFonts w:cs="Arial"/>
          <w:i w:val="0"/>
          <w:szCs w:val="20"/>
        </w:rPr>
        <w:t>            </w:t>
      </w:r>
      <w:r w:rsidRPr="004D410A">
        <w:rPr>
          <w:rFonts w:cs="Arial"/>
          <w:i w:val="0"/>
          <w:szCs w:val="20"/>
        </w:rPr>
        <w:tab/>
      </w:r>
      <w:r>
        <w:rPr>
          <w:rFonts w:cs="Arial"/>
          <w:i w:val="0"/>
          <w:szCs w:val="20"/>
        </w:rPr>
        <w:t>[...]</w:t>
      </w:r>
    </w:p>
    <w:tbl>
      <w:tblPr>
        <w:tblW w:w="0" w:type="auto"/>
        <w:tblInd w:w="1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5"/>
        <w:gridCol w:w="2654"/>
        <w:gridCol w:w="4913"/>
      </w:tblGrid>
      <w:tr w:rsidR="009D30F8" w:rsidRPr="004D410A" w14:paraId="4B5F44B7" w14:textId="77777777" w:rsidTr="00FC1FFF">
        <w:trPr>
          <w:tblHeader/>
        </w:trPr>
        <w:tc>
          <w:tcPr>
            <w:tcW w:w="8202" w:type="dxa"/>
            <w:gridSpan w:val="3"/>
            <w:tcBorders>
              <w:top w:val="single" w:sz="4" w:space="0" w:color="auto"/>
              <w:left w:val="nil"/>
              <w:bottom w:val="single" w:sz="8" w:space="0" w:color="auto"/>
              <w:right w:val="nil"/>
            </w:tcBorders>
            <w:tcMar>
              <w:top w:w="0" w:type="dxa"/>
              <w:left w:w="108" w:type="dxa"/>
              <w:bottom w:w="0" w:type="dxa"/>
              <w:right w:w="108" w:type="dxa"/>
            </w:tcMar>
            <w:hideMark/>
          </w:tcPr>
          <w:p w14:paraId="210802C7" w14:textId="77777777" w:rsidR="009D30F8" w:rsidRPr="00EB1E8B" w:rsidRDefault="009D30F8" w:rsidP="00FC1FFF">
            <w:pPr>
              <w:spacing w:before="120" w:after="120" w:line="240" w:lineRule="auto"/>
              <w:rPr>
                <w:rFonts w:cs="Arial"/>
                <w:b/>
                <w:i w:val="0"/>
                <w:sz w:val="18"/>
                <w:szCs w:val="18"/>
              </w:rPr>
            </w:pPr>
            <w:r w:rsidRPr="00EB1E8B">
              <w:rPr>
                <w:rFonts w:cs="Arial"/>
                <w:i w:val="0"/>
                <w:sz w:val="18"/>
                <w:szCs w:val="18"/>
              </w:rPr>
              <w:t> </w:t>
            </w:r>
            <w:r w:rsidRPr="00EB1E8B">
              <w:rPr>
                <w:rFonts w:cs="Arial"/>
                <w:b/>
                <w:i w:val="0"/>
                <w:sz w:val="18"/>
                <w:szCs w:val="18"/>
              </w:rPr>
              <w:t>Requirements for notifying particulars—broadcasting Acts</w:t>
            </w:r>
          </w:p>
        </w:tc>
      </w:tr>
      <w:tr w:rsidR="009D30F8" w:rsidRPr="004D410A" w14:paraId="045727E3" w14:textId="77777777" w:rsidTr="00FC1FFF">
        <w:trPr>
          <w:tblHeader/>
        </w:trPr>
        <w:tc>
          <w:tcPr>
            <w:tcW w:w="635" w:type="dxa"/>
            <w:tcBorders>
              <w:top w:val="nil"/>
              <w:left w:val="nil"/>
              <w:bottom w:val="single" w:sz="4" w:space="0" w:color="auto"/>
              <w:right w:val="nil"/>
            </w:tcBorders>
            <w:tcMar>
              <w:top w:w="0" w:type="dxa"/>
              <w:left w:w="108" w:type="dxa"/>
              <w:bottom w:w="0" w:type="dxa"/>
              <w:right w:w="108" w:type="dxa"/>
            </w:tcMar>
            <w:hideMark/>
          </w:tcPr>
          <w:p w14:paraId="20DBF1B4" w14:textId="77777777" w:rsidR="009D30F8" w:rsidRPr="00EB1E8B" w:rsidRDefault="009D30F8" w:rsidP="00FC1FFF">
            <w:pPr>
              <w:spacing w:before="120" w:after="120" w:line="240" w:lineRule="auto"/>
              <w:rPr>
                <w:rFonts w:cs="Arial"/>
                <w:b/>
                <w:i w:val="0"/>
                <w:sz w:val="18"/>
                <w:szCs w:val="18"/>
              </w:rPr>
            </w:pPr>
            <w:r w:rsidRPr="00EB1E8B">
              <w:rPr>
                <w:rFonts w:cs="Arial"/>
                <w:b/>
                <w:i w:val="0"/>
                <w:sz w:val="18"/>
                <w:szCs w:val="18"/>
              </w:rPr>
              <w:t>Item</w:t>
            </w:r>
          </w:p>
        </w:tc>
        <w:tc>
          <w:tcPr>
            <w:tcW w:w="2654" w:type="dxa"/>
            <w:tcBorders>
              <w:top w:val="nil"/>
              <w:left w:val="nil"/>
              <w:bottom w:val="single" w:sz="4" w:space="0" w:color="auto"/>
              <w:right w:val="nil"/>
            </w:tcBorders>
            <w:tcMar>
              <w:top w:w="0" w:type="dxa"/>
              <w:left w:w="108" w:type="dxa"/>
              <w:bottom w:w="0" w:type="dxa"/>
              <w:right w:w="108" w:type="dxa"/>
            </w:tcMar>
            <w:hideMark/>
          </w:tcPr>
          <w:p w14:paraId="30D45C56" w14:textId="77777777" w:rsidR="009D30F8" w:rsidRPr="00EB1E8B" w:rsidRDefault="009D30F8" w:rsidP="00FC1FFF">
            <w:pPr>
              <w:spacing w:before="120" w:after="120" w:line="240" w:lineRule="auto"/>
              <w:rPr>
                <w:rFonts w:cs="Arial"/>
                <w:b/>
                <w:i w:val="0"/>
                <w:sz w:val="18"/>
                <w:szCs w:val="18"/>
              </w:rPr>
            </w:pPr>
            <w:r w:rsidRPr="00EB1E8B">
              <w:rPr>
                <w:rFonts w:cs="Arial"/>
                <w:b/>
                <w:i w:val="0"/>
                <w:sz w:val="18"/>
                <w:szCs w:val="18"/>
              </w:rPr>
              <w:t xml:space="preserve">If the communication is... </w:t>
            </w:r>
          </w:p>
        </w:tc>
        <w:tc>
          <w:tcPr>
            <w:tcW w:w="4913" w:type="dxa"/>
            <w:tcBorders>
              <w:top w:val="nil"/>
              <w:left w:val="nil"/>
              <w:bottom w:val="single" w:sz="4" w:space="0" w:color="auto"/>
              <w:right w:val="nil"/>
            </w:tcBorders>
            <w:tcMar>
              <w:top w:w="0" w:type="dxa"/>
              <w:left w:w="108" w:type="dxa"/>
              <w:bottom w:w="0" w:type="dxa"/>
              <w:right w:w="108" w:type="dxa"/>
            </w:tcMar>
            <w:hideMark/>
          </w:tcPr>
          <w:p w14:paraId="5DE70FD4" w14:textId="77777777" w:rsidR="009D30F8" w:rsidRPr="00EB1E8B" w:rsidRDefault="009D30F8" w:rsidP="00FC1FFF">
            <w:pPr>
              <w:spacing w:before="120" w:after="120" w:line="240" w:lineRule="auto"/>
              <w:rPr>
                <w:rFonts w:cs="Arial"/>
                <w:b/>
                <w:i w:val="0"/>
                <w:sz w:val="18"/>
                <w:szCs w:val="18"/>
              </w:rPr>
            </w:pPr>
            <w:r w:rsidRPr="00EB1E8B">
              <w:rPr>
                <w:rFonts w:cs="Arial"/>
                <w:b/>
                <w:i w:val="0"/>
                <w:sz w:val="18"/>
                <w:szCs w:val="18"/>
              </w:rPr>
              <w:t>the particulars must …</w:t>
            </w:r>
          </w:p>
        </w:tc>
      </w:tr>
      <w:tr w:rsidR="009D30F8" w:rsidRPr="004D410A" w14:paraId="013055FB" w14:textId="77777777" w:rsidTr="00FC1FFF">
        <w:tc>
          <w:tcPr>
            <w:tcW w:w="635" w:type="dxa"/>
            <w:tcBorders>
              <w:top w:val="single" w:sz="4" w:space="0" w:color="auto"/>
              <w:left w:val="nil"/>
              <w:bottom w:val="single" w:sz="8" w:space="0" w:color="auto"/>
              <w:right w:val="nil"/>
            </w:tcBorders>
            <w:tcMar>
              <w:top w:w="0" w:type="dxa"/>
              <w:left w:w="108" w:type="dxa"/>
              <w:bottom w:w="0" w:type="dxa"/>
              <w:right w:w="108" w:type="dxa"/>
            </w:tcMar>
            <w:hideMark/>
          </w:tcPr>
          <w:p w14:paraId="1EA1EA36" w14:textId="77777777" w:rsidR="009D30F8" w:rsidRPr="00EB1E8B" w:rsidRDefault="009D30F8" w:rsidP="00FC1FFF">
            <w:pPr>
              <w:spacing w:before="120" w:after="120" w:line="240" w:lineRule="auto"/>
              <w:rPr>
                <w:rFonts w:cs="Arial"/>
                <w:i w:val="0"/>
                <w:sz w:val="18"/>
                <w:szCs w:val="18"/>
              </w:rPr>
            </w:pPr>
            <w:r w:rsidRPr="00EB1E8B">
              <w:rPr>
                <w:rFonts w:cs="Arial"/>
                <w:i w:val="0"/>
                <w:sz w:val="18"/>
                <w:szCs w:val="18"/>
              </w:rPr>
              <w:t>1</w:t>
            </w:r>
          </w:p>
        </w:tc>
        <w:tc>
          <w:tcPr>
            <w:tcW w:w="2654" w:type="dxa"/>
            <w:tcBorders>
              <w:top w:val="single" w:sz="4" w:space="0" w:color="auto"/>
              <w:left w:val="nil"/>
              <w:bottom w:val="single" w:sz="8" w:space="0" w:color="auto"/>
              <w:right w:val="nil"/>
            </w:tcBorders>
            <w:tcMar>
              <w:top w:w="0" w:type="dxa"/>
              <w:left w:w="108" w:type="dxa"/>
              <w:bottom w:w="0" w:type="dxa"/>
              <w:right w:w="108" w:type="dxa"/>
            </w:tcMar>
            <w:hideMark/>
          </w:tcPr>
          <w:p w14:paraId="44A2DCAE" w14:textId="77777777" w:rsidR="009D30F8" w:rsidRPr="00EB1E8B" w:rsidRDefault="009D30F8" w:rsidP="00FC1FFF">
            <w:pPr>
              <w:spacing w:before="120" w:after="120" w:line="240" w:lineRule="auto"/>
              <w:rPr>
                <w:rFonts w:cs="Arial"/>
                <w:i w:val="0"/>
                <w:sz w:val="18"/>
                <w:szCs w:val="18"/>
              </w:rPr>
            </w:pPr>
            <w:r w:rsidRPr="00EB1E8B">
              <w:rPr>
                <w:rFonts w:cs="Arial"/>
                <w:i w:val="0"/>
                <w:sz w:val="18"/>
                <w:szCs w:val="18"/>
              </w:rPr>
              <w:t>a broadcast by radio</w:t>
            </w:r>
          </w:p>
        </w:tc>
        <w:tc>
          <w:tcPr>
            <w:tcW w:w="4913" w:type="dxa"/>
            <w:tcBorders>
              <w:top w:val="single" w:sz="4" w:space="0" w:color="auto"/>
              <w:left w:val="nil"/>
              <w:bottom w:val="single" w:sz="8" w:space="0" w:color="auto"/>
              <w:right w:val="nil"/>
            </w:tcBorders>
            <w:tcMar>
              <w:top w:w="0" w:type="dxa"/>
              <w:left w:w="108" w:type="dxa"/>
              <w:bottom w:w="0" w:type="dxa"/>
              <w:right w:w="108" w:type="dxa"/>
            </w:tcMar>
            <w:hideMark/>
          </w:tcPr>
          <w:p w14:paraId="36F8C87E" w14:textId="77777777" w:rsidR="009D30F8" w:rsidRPr="00EB1E8B" w:rsidRDefault="009D30F8" w:rsidP="00FC1FFF">
            <w:pPr>
              <w:spacing w:before="120" w:after="60" w:line="240" w:lineRule="auto"/>
              <w:rPr>
                <w:rFonts w:cs="Arial"/>
                <w:i w:val="0"/>
                <w:sz w:val="18"/>
                <w:szCs w:val="18"/>
              </w:rPr>
            </w:pPr>
            <w:r w:rsidRPr="00EB1E8B">
              <w:rPr>
                <w:rFonts w:cs="Arial"/>
                <w:i w:val="0"/>
                <w:sz w:val="18"/>
                <w:szCs w:val="18"/>
              </w:rPr>
              <w:t>be announced at the end of the communication in the language used for the rest of the communication.</w:t>
            </w:r>
          </w:p>
        </w:tc>
      </w:tr>
      <w:tr w:rsidR="009D30F8" w:rsidRPr="004D410A" w14:paraId="56687C01" w14:textId="77777777" w:rsidTr="00FC1FFF">
        <w:trPr>
          <w:trHeight w:val="520"/>
        </w:trPr>
        <w:tc>
          <w:tcPr>
            <w:tcW w:w="635" w:type="dxa"/>
            <w:tcBorders>
              <w:top w:val="nil"/>
              <w:left w:val="nil"/>
              <w:bottom w:val="single" w:sz="12" w:space="0" w:color="auto"/>
              <w:right w:val="nil"/>
            </w:tcBorders>
            <w:tcMar>
              <w:top w:w="0" w:type="dxa"/>
              <w:left w:w="108" w:type="dxa"/>
              <w:bottom w:w="0" w:type="dxa"/>
              <w:right w:w="108" w:type="dxa"/>
            </w:tcMar>
            <w:hideMark/>
          </w:tcPr>
          <w:p w14:paraId="365F273F" w14:textId="77777777" w:rsidR="009D30F8" w:rsidRPr="00EB1E8B" w:rsidRDefault="009D30F8" w:rsidP="00FC1FFF">
            <w:pPr>
              <w:spacing w:before="120" w:after="120" w:line="240" w:lineRule="auto"/>
              <w:rPr>
                <w:rFonts w:cs="Arial"/>
                <w:b/>
                <w:bCs/>
                <w:i w:val="0"/>
                <w:sz w:val="18"/>
                <w:szCs w:val="18"/>
              </w:rPr>
            </w:pPr>
            <w:r w:rsidRPr="00EB1E8B">
              <w:rPr>
                <w:rFonts w:cs="Arial"/>
                <w:b/>
                <w:bCs/>
                <w:i w:val="0"/>
                <w:sz w:val="18"/>
                <w:szCs w:val="18"/>
              </w:rPr>
              <w:t>2</w:t>
            </w:r>
          </w:p>
        </w:tc>
        <w:tc>
          <w:tcPr>
            <w:tcW w:w="2654" w:type="dxa"/>
            <w:tcBorders>
              <w:top w:val="nil"/>
              <w:left w:val="nil"/>
              <w:bottom w:val="single" w:sz="12" w:space="0" w:color="auto"/>
              <w:right w:val="nil"/>
            </w:tcBorders>
            <w:tcMar>
              <w:top w:w="0" w:type="dxa"/>
              <w:left w:w="108" w:type="dxa"/>
              <w:bottom w:w="0" w:type="dxa"/>
              <w:right w:w="108" w:type="dxa"/>
            </w:tcMar>
            <w:hideMark/>
          </w:tcPr>
          <w:p w14:paraId="7B71640A" w14:textId="77777777" w:rsidR="009D30F8" w:rsidRPr="00EB1E8B" w:rsidRDefault="009D30F8" w:rsidP="00FC1FFF">
            <w:pPr>
              <w:spacing w:before="120" w:after="120" w:line="240" w:lineRule="auto"/>
              <w:rPr>
                <w:rFonts w:cs="Arial"/>
                <w:i w:val="0"/>
                <w:sz w:val="18"/>
                <w:szCs w:val="18"/>
              </w:rPr>
            </w:pPr>
            <w:r w:rsidRPr="00EB1E8B">
              <w:rPr>
                <w:rFonts w:cs="Arial"/>
                <w:i w:val="0"/>
                <w:sz w:val="18"/>
                <w:szCs w:val="18"/>
              </w:rPr>
              <w:t>a broadcast by television</w:t>
            </w:r>
          </w:p>
        </w:tc>
        <w:tc>
          <w:tcPr>
            <w:tcW w:w="4913" w:type="dxa"/>
            <w:tcBorders>
              <w:top w:val="nil"/>
              <w:left w:val="nil"/>
              <w:bottom w:val="single" w:sz="12" w:space="0" w:color="auto"/>
              <w:right w:val="nil"/>
            </w:tcBorders>
            <w:tcMar>
              <w:top w:w="0" w:type="dxa"/>
              <w:left w:w="108" w:type="dxa"/>
              <w:bottom w:w="0" w:type="dxa"/>
              <w:right w:w="108" w:type="dxa"/>
            </w:tcMar>
            <w:hideMark/>
          </w:tcPr>
          <w:p w14:paraId="4817DC3A" w14:textId="77777777" w:rsidR="009D30F8" w:rsidRPr="00EB1E8B" w:rsidRDefault="009D30F8" w:rsidP="00FC1FFF">
            <w:pPr>
              <w:spacing w:before="120" w:after="60" w:line="240" w:lineRule="auto"/>
              <w:rPr>
                <w:rFonts w:cs="Arial"/>
                <w:i w:val="0"/>
                <w:sz w:val="18"/>
                <w:szCs w:val="18"/>
              </w:rPr>
            </w:pPr>
            <w:bookmarkStart w:id="16" w:name="_Hlk67314871"/>
            <w:r w:rsidRPr="00EB1E8B">
              <w:rPr>
                <w:rFonts w:cs="Arial"/>
                <w:i w:val="0"/>
                <w:sz w:val="18"/>
                <w:szCs w:val="18"/>
              </w:rPr>
              <w:t>be announced and shown at the end of the communication in the language used for the rest of the communication.</w:t>
            </w:r>
            <w:bookmarkEnd w:id="16"/>
          </w:p>
        </w:tc>
      </w:tr>
    </w:tbl>
    <w:p w14:paraId="733C08DC" w14:textId="3E3A131A" w:rsidR="00ED2511" w:rsidRDefault="00ED2511" w:rsidP="009D30F8">
      <w:pPr>
        <w:pStyle w:val="ACMABodyText0"/>
        <w:spacing w:before="0" w:line="240" w:lineRule="atLeast"/>
        <w:ind w:right="658"/>
        <w:rPr>
          <w:rFonts w:ascii="Arial" w:hAnsi="Arial" w:cs="Arial"/>
          <w:sz w:val="20"/>
        </w:rPr>
      </w:pPr>
    </w:p>
    <w:p w14:paraId="54FB95E0" w14:textId="77777777" w:rsidR="00ED2511" w:rsidRDefault="00ED2511" w:rsidP="00ED2511">
      <w:pPr>
        <w:pStyle w:val="ACMABodyText"/>
      </w:pPr>
      <w:r>
        <w:br w:type="page"/>
      </w:r>
    </w:p>
    <w:p w14:paraId="438C40A0" w14:textId="04B86DBD" w:rsidR="00ED2511" w:rsidRDefault="00ED2511" w:rsidP="00ED2511">
      <w:pPr>
        <w:pStyle w:val="ACMAHeading2"/>
        <w:pageBreakBefore/>
        <w:spacing w:after="240"/>
        <w:jc w:val="right"/>
      </w:pPr>
      <w:r w:rsidRPr="00153F9D">
        <w:lastRenderedPageBreak/>
        <w:t xml:space="preserve">Attachment </w:t>
      </w:r>
      <w:r>
        <w:t>B</w:t>
      </w:r>
    </w:p>
    <w:p w14:paraId="325692D9" w14:textId="75BD4EE6" w:rsidR="00ED2511" w:rsidRPr="00ED2511" w:rsidRDefault="00ED2511" w:rsidP="00ED2511">
      <w:pPr>
        <w:pStyle w:val="ACMABodyText"/>
        <w:rPr>
          <w:b/>
          <w:bCs/>
        </w:rPr>
      </w:pPr>
      <w:r w:rsidRPr="00ED2511">
        <w:rPr>
          <w:b/>
          <w:bCs/>
        </w:rPr>
        <w:t xml:space="preserve">Transcript of the </w:t>
      </w:r>
      <w:r w:rsidRPr="00ED2511">
        <w:rPr>
          <w:b/>
          <w:bCs/>
          <w:i/>
          <w:iCs/>
        </w:rPr>
        <w:t>Call for road funding</w:t>
      </w:r>
      <w:r w:rsidRPr="00ED2511">
        <w:rPr>
          <w:b/>
          <w:bCs/>
        </w:rPr>
        <w:t xml:space="preserve"> message</w:t>
      </w:r>
    </w:p>
    <w:p w14:paraId="007141D6" w14:textId="4FFC1F9B" w:rsidR="00C628C9" w:rsidRPr="00C628C9" w:rsidRDefault="001E5BEC" w:rsidP="00C628C9">
      <w:pPr>
        <w:pStyle w:val="ACMABodyText0"/>
        <w:rPr>
          <w:rFonts w:ascii="Arial" w:hAnsi="Arial" w:cs="Arial"/>
          <w:snapToGrid/>
          <w:sz w:val="20"/>
        </w:rPr>
      </w:pPr>
      <w:r>
        <w:rPr>
          <w:rFonts w:ascii="Arial" w:hAnsi="Arial" w:cs="Arial"/>
          <w:snapToGrid/>
          <w:sz w:val="20"/>
        </w:rPr>
        <w:t xml:space="preserve">Unidentified announcer: </w:t>
      </w:r>
      <w:r w:rsidR="00C628C9" w:rsidRPr="00C628C9">
        <w:rPr>
          <w:rFonts w:ascii="Arial" w:hAnsi="Arial" w:cs="Arial"/>
          <w:snapToGrid/>
          <w:sz w:val="20"/>
        </w:rPr>
        <w:t xml:space="preserve">Our Member for Calare </w:t>
      </w:r>
      <w:r w:rsidR="002F72C8">
        <w:rPr>
          <w:rFonts w:ascii="Arial" w:hAnsi="Arial" w:cs="Arial"/>
          <w:snapToGrid/>
          <w:sz w:val="20"/>
        </w:rPr>
        <w:t>[name of MP]</w:t>
      </w:r>
      <w:r w:rsidR="00C833F6">
        <w:rPr>
          <w:rFonts w:ascii="Arial" w:hAnsi="Arial" w:cs="Arial"/>
          <w:snapToGrid/>
          <w:sz w:val="20"/>
        </w:rPr>
        <w:t>.</w:t>
      </w:r>
      <w:r w:rsidR="00752E01">
        <w:rPr>
          <w:rFonts w:ascii="Arial" w:hAnsi="Arial" w:cs="Arial"/>
          <w:snapToGrid/>
          <w:sz w:val="20"/>
        </w:rPr>
        <w:t>mp</w:t>
      </w:r>
    </w:p>
    <w:p w14:paraId="25941D70" w14:textId="64D2F515" w:rsidR="009D30F8" w:rsidRPr="00C628C9" w:rsidRDefault="002F72C8" w:rsidP="00C628C9">
      <w:pPr>
        <w:pStyle w:val="ACMABodyText0"/>
        <w:spacing w:before="0" w:line="240" w:lineRule="atLeast"/>
        <w:ind w:right="658"/>
        <w:rPr>
          <w:rFonts w:ascii="Arial" w:hAnsi="Arial" w:cs="Arial"/>
          <w:sz w:val="20"/>
        </w:rPr>
      </w:pPr>
      <w:r w:rsidRPr="002F72C8">
        <w:rPr>
          <w:rFonts w:ascii="Arial" w:hAnsi="Arial" w:cs="Arial"/>
          <w:iCs/>
          <w:sz w:val="20"/>
        </w:rPr>
        <w:t>Federal Member for Calare</w:t>
      </w:r>
      <w:r w:rsidR="001E5BEC">
        <w:rPr>
          <w:rFonts w:ascii="Arial" w:hAnsi="Arial" w:cs="Arial"/>
          <w:snapToGrid/>
          <w:sz w:val="20"/>
        </w:rPr>
        <w:t xml:space="preserve">: </w:t>
      </w:r>
      <w:r w:rsidR="00C628C9" w:rsidRPr="00C628C9">
        <w:rPr>
          <w:rFonts w:ascii="Arial" w:hAnsi="Arial" w:cs="Arial"/>
          <w:snapToGrid/>
          <w:sz w:val="20"/>
        </w:rPr>
        <w:t>I am calling for Federal assistance to help local governments fix rain bombed roads. After months of wild wet weather road systems across entire regions of Australia are pockmarked with potholes. Drivers on roads across the country have been left thinking they are part of a new Mario Cart simulation following the recent severe wet weather and it is only going to get worse. Smooth and safe stretches of road clear of pothole chaos are rarer than hen’s teeth. The current condition of our roads is an incredibly dangerous issue that needs to be tackled immediately. Not only are potholes hitting our back pockets by puncturing tyres and bending wheel rims they are costing our local councils big time. The severe wet weather is creating a roads funding crisis for many local council areas which are being forced to pour significant money into road maintenance. The impact of the relentless rainfall is particularly being felt in country areas where local councils often manage extremely large road networks. As is the case with many country communities there is simply no way they can afford to meet the cost of these repairs nor do they have the capacity in their workforce to do so. Far too many councils across the country are facing the same road woes. The scale of the task facing many councils is gobsmacking. They need urgent help and it should be provided at both State and Federal level. The upcoming Federal Budget is the place to do it. There is no better time for the Government to step up with more funding and it is not just a question of costs and economics. Damaged roads put lives at risk which makes the issue urgent. We have got a wet summer forecast so the issue is only going to get more acute. State governments across Australia also have a vital role to play in assisting local governments to deal with this issue, their help is needed too. The road crews of many of our local councils are stretched and exhausted. Patching is the best many councils can do right now but this is not sustainable. Funding is urgently needed to make these roads safe again. This needs to be a national priority that crosses party lines. I call on the Federal Government to lead the way and commit to greater roads funding for the safety of road users around Australia. Our local councils need immediate assistance.</w:t>
      </w:r>
    </w:p>
    <w:sectPr w:rsidR="009D30F8" w:rsidRPr="00C628C9" w:rsidSect="00193967">
      <w:headerReference w:type="even" r:id="rId14"/>
      <w:footerReference w:type="even" r:id="rId15"/>
      <w:footerReference w:type="default" r:id="rId16"/>
      <w:headerReference w:type="first" r:id="rId17"/>
      <w:footerReference w:type="first" r:id="rId18"/>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BB39" w14:textId="77777777" w:rsidR="002D12BF" w:rsidRDefault="002D12BF">
      <w:r>
        <w:separator/>
      </w:r>
    </w:p>
  </w:endnote>
  <w:endnote w:type="continuationSeparator" w:id="0">
    <w:p w14:paraId="7226AA04" w14:textId="77777777" w:rsidR="002D12BF" w:rsidRDefault="002D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7CB1" w14:textId="61C7C762" w:rsidR="0061569D" w:rsidRDefault="0061569D">
    <w:pPr>
      <w:framePr w:wrap="around" w:vAnchor="text" w:hAnchor="margin" w:xAlign="right" w:y="1"/>
    </w:pPr>
    <w:r>
      <w:fldChar w:fldCharType="begin"/>
    </w:r>
    <w:r>
      <w:instrText xml:space="preserve">PAGE  </w:instrText>
    </w:r>
    <w:r>
      <w:fldChar w:fldCharType="separate"/>
    </w:r>
    <w:r w:rsidR="00193967">
      <w:rPr>
        <w:noProof/>
      </w:rPr>
      <w:t>2</w:t>
    </w:r>
    <w:r>
      <w:fldChar w:fldCharType="end"/>
    </w:r>
  </w:p>
  <w:p w14:paraId="7C418D2E" w14:textId="77777777" w:rsidR="0061569D" w:rsidRDefault="00615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7300" w14:textId="5871DFB8" w:rsidR="0061569D" w:rsidRPr="00816ADF" w:rsidRDefault="006A02B1" w:rsidP="00EF7A2A">
    <w:pPr>
      <w:pStyle w:val="ACMAFooter"/>
      <w:rPr>
        <w:sz w:val="16"/>
        <w:szCs w:val="16"/>
      </w:rPr>
    </w:pPr>
    <w:r w:rsidRPr="00816ADF">
      <w:rPr>
        <w:sz w:val="16"/>
        <w:szCs w:val="16"/>
      </w:rPr>
      <w:t xml:space="preserve">ACMA </w:t>
    </w:r>
    <w:r w:rsidR="00B31CDF">
      <w:rPr>
        <w:sz w:val="16"/>
        <w:szCs w:val="16"/>
      </w:rPr>
      <w:t>I</w:t>
    </w:r>
    <w:r w:rsidRPr="00816ADF">
      <w:rPr>
        <w:sz w:val="16"/>
        <w:szCs w:val="16"/>
      </w:rPr>
      <w:t xml:space="preserve">nvestigation </w:t>
    </w:r>
    <w:r w:rsidR="0079419E">
      <w:rPr>
        <w:sz w:val="16"/>
        <w:szCs w:val="16"/>
      </w:rPr>
      <w:t>r</w:t>
    </w:r>
    <w:r w:rsidRPr="00816ADF">
      <w:rPr>
        <w:sz w:val="16"/>
        <w:szCs w:val="16"/>
      </w:rPr>
      <w:t>eport—</w:t>
    </w:r>
    <w:r w:rsidR="00DC31D1">
      <w:rPr>
        <w:i/>
      </w:rPr>
      <w:t xml:space="preserve"> </w:t>
    </w:r>
    <w:r w:rsidR="00DC31D1" w:rsidRPr="00DC31D1">
      <w:rPr>
        <w:i/>
        <w:sz w:val="16"/>
        <w:szCs w:val="16"/>
      </w:rPr>
      <w:t>Call for Federal assistance to fix roads</w:t>
    </w:r>
    <w:r w:rsidR="00DC31D1">
      <w:rPr>
        <w:i/>
      </w:rPr>
      <w:t xml:space="preserve"> </w:t>
    </w:r>
    <w:r w:rsidRPr="00816ADF">
      <w:rPr>
        <w:sz w:val="16"/>
        <w:szCs w:val="16"/>
      </w:rPr>
      <w:t xml:space="preserve">broadcast </w:t>
    </w:r>
    <w:r w:rsidR="006162E4">
      <w:rPr>
        <w:sz w:val="16"/>
        <w:szCs w:val="16"/>
      </w:rPr>
      <w:t>on</w:t>
    </w:r>
    <w:r w:rsidRPr="00816ADF">
      <w:rPr>
        <w:sz w:val="16"/>
        <w:szCs w:val="16"/>
      </w:rPr>
      <w:t xml:space="preserve"> </w:t>
    </w:r>
    <w:r w:rsidR="00A7523A">
      <w:rPr>
        <w:sz w:val="16"/>
        <w:szCs w:val="16"/>
      </w:rPr>
      <w:t xml:space="preserve">One Central West FM88 </w:t>
    </w:r>
    <w:r w:rsidR="0022443E">
      <w:rPr>
        <w:sz w:val="16"/>
        <w:szCs w:val="16"/>
      </w:rPr>
      <w:t>October to</w:t>
    </w:r>
    <w:r w:rsidR="00A7523A">
      <w:rPr>
        <w:sz w:val="16"/>
        <w:szCs w:val="16"/>
      </w:rPr>
      <w:t xml:space="preserve"> December 2022</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3470D1">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870B23">
      <w:rPr>
        <w:noProof/>
        <w:sz w:val="16"/>
        <w:szCs w:val="16"/>
      </w:rPr>
      <w:t>7</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2CFE" w14:textId="53647C21" w:rsidR="0061569D" w:rsidRPr="00211185" w:rsidRDefault="00193967" w:rsidP="00193967">
    <w:pPr>
      <w:pStyle w:val="Footer"/>
      <w:jc w:val="right"/>
    </w:pPr>
    <w:r w:rsidRPr="005E250B">
      <w:rPr>
        <w:noProof/>
        <w:vertAlign w:val="subscript"/>
      </w:rPr>
      <w:drawing>
        <wp:inline distT="0" distB="0" distL="0" distR="0" wp14:anchorId="6D4A92F2" wp14:editId="60F43CF5">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72E3" w14:textId="77777777" w:rsidR="002D12BF" w:rsidRDefault="002D12BF">
      <w:r>
        <w:separator/>
      </w:r>
    </w:p>
  </w:footnote>
  <w:footnote w:type="continuationSeparator" w:id="0">
    <w:p w14:paraId="49FBFBE9" w14:textId="77777777" w:rsidR="002D12BF" w:rsidRDefault="002D12BF">
      <w:r>
        <w:continuationSeparator/>
      </w:r>
    </w:p>
  </w:footnote>
  <w:footnote w:id="1">
    <w:p w14:paraId="79F80FF3" w14:textId="77777777" w:rsidR="001B0FD8" w:rsidRPr="00DC55D7" w:rsidRDefault="001B0FD8" w:rsidP="001B0FD8">
      <w:pPr>
        <w:pStyle w:val="ACMABodyText0"/>
        <w:spacing w:before="240" w:after="0"/>
        <w:ind w:right="658"/>
        <w:rPr>
          <w:rFonts w:cs="Arial"/>
          <w:b/>
          <w:i/>
          <w:sz w:val="14"/>
          <w:szCs w:val="14"/>
        </w:rPr>
      </w:pPr>
      <w:r w:rsidRPr="00DC55D7">
        <w:rPr>
          <w:rStyle w:val="FootnoteReference"/>
          <w:sz w:val="14"/>
          <w:szCs w:val="14"/>
        </w:rPr>
        <w:footnoteRef/>
      </w:r>
      <w:r w:rsidRPr="00DC55D7">
        <w:rPr>
          <w:sz w:val="14"/>
          <w:szCs w:val="14"/>
        </w:rPr>
        <w:t xml:space="preserve"> </w:t>
      </w:r>
      <w:r w:rsidRPr="00DC55D7">
        <w:rPr>
          <w:rFonts w:ascii="Arial" w:hAnsi="Arial" w:cs="Arial"/>
          <w:sz w:val="14"/>
          <w:szCs w:val="14"/>
        </w:rPr>
        <w:t xml:space="preserve">Section 10 of the </w:t>
      </w:r>
      <w:r w:rsidRPr="00DC55D7">
        <w:rPr>
          <w:rFonts w:ascii="Arial" w:hAnsi="Arial" w:cs="Arial"/>
          <w:i/>
          <w:sz w:val="14"/>
          <w:szCs w:val="14"/>
        </w:rPr>
        <w:t>Commonwealth Electoral (Authorisation of Voter Communication) Determination 2018</w:t>
      </w:r>
    </w:p>
    <w:p w14:paraId="3C88E63F" w14:textId="77777777" w:rsidR="001B0FD8" w:rsidRDefault="001B0FD8" w:rsidP="001B0FD8">
      <w:pPr>
        <w:pStyle w:val="FootnoteText"/>
      </w:pPr>
    </w:p>
  </w:footnote>
  <w:footnote w:id="2">
    <w:p w14:paraId="20A87A04" w14:textId="55F848DF" w:rsidR="00B91169" w:rsidRPr="00DC55D7" w:rsidRDefault="00B91169">
      <w:pPr>
        <w:pStyle w:val="FootnoteText"/>
        <w:rPr>
          <w:i/>
          <w:iCs/>
          <w:sz w:val="14"/>
          <w:szCs w:val="14"/>
        </w:rPr>
      </w:pPr>
      <w:r w:rsidRPr="00DC55D7">
        <w:rPr>
          <w:rStyle w:val="FootnoteReference"/>
          <w:sz w:val="14"/>
          <w:szCs w:val="14"/>
        </w:rPr>
        <w:footnoteRef/>
      </w:r>
      <w:r w:rsidRPr="00DC55D7">
        <w:rPr>
          <w:sz w:val="14"/>
          <w:szCs w:val="14"/>
        </w:rPr>
        <w:t xml:space="preserve"> </w:t>
      </w:r>
      <w:r w:rsidR="005B2B40" w:rsidRPr="00DC55D7">
        <w:rPr>
          <w:sz w:val="14"/>
          <w:szCs w:val="14"/>
        </w:rPr>
        <w:t xml:space="preserve">Section 321B of the </w:t>
      </w:r>
      <w:r w:rsidR="005B2B40" w:rsidRPr="00DC55D7">
        <w:rPr>
          <w:i/>
          <w:iCs/>
          <w:sz w:val="14"/>
          <w:szCs w:val="14"/>
        </w:rPr>
        <w:t>Commonwealth Electoral Act 1918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8A6A" w14:textId="77777777" w:rsidR="0061569D" w:rsidRDefault="0061569D">
    <w:r>
      <w:fldChar w:fldCharType="begin"/>
    </w:r>
    <w:r>
      <w:instrText xml:space="preserve"> REF ReportTitle \h </w:instrText>
    </w:r>
    <w:r>
      <w:fldChar w:fldCharType="separate"/>
    </w:r>
    <w:r>
      <w:rPr>
        <w:b/>
      </w:rPr>
      <w:t>Error! Reference source not found.</w:t>
    </w:r>
    <w:r>
      <w:fldChar w:fldCharType="end"/>
    </w:r>
  </w:p>
  <w:p w14:paraId="5D31FC8B" w14:textId="77777777" w:rsidR="0061569D" w:rsidRDefault="00615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0372" w14:textId="77777777" w:rsidR="00B30A6C" w:rsidRDefault="00B30A6C" w:rsidP="00521BCF">
    <w:pPr>
      <w:pStyle w:val="ACMAInConfidence"/>
    </w:pPr>
  </w:p>
  <w:p w14:paraId="2EB525B9" w14:textId="679A04A1" w:rsidR="0061569D" w:rsidRPr="005F22AA" w:rsidRDefault="004D4EEE" w:rsidP="005F22AA">
    <w:pPr>
      <w:pStyle w:val="ACMAHeaderGraphicSpace"/>
    </w:pPr>
    <w:r>
      <w:rPr>
        <w:noProof/>
      </w:rPr>
      <w:drawing>
        <wp:inline distT="0" distB="0" distL="0" distR="0" wp14:anchorId="39B36CAF" wp14:editId="02E88395">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FB3F21"/>
    <w:multiLevelType w:val="hybridMultilevel"/>
    <w:tmpl w:val="A1E454D8"/>
    <w:lvl w:ilvl="0" w:tplc="5D1EC2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E13BB2"/>
    <w:multiLevelType w:val="hybridMultilevel"/>
    <w:tmpl w:val="4006A128"/>
    <w:lvl w:ilvl="0" w:tplc="4BFA2B5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C6D4B37"/>
    <w:multiLevelType w:val="hybridMultilevel"/>
    <w:tmpl w:val="C4F80DFE"/>
    <w:lvl w:ilvl="0" w:tplc="2EA4A6E8">
      <w:start w:val="1"/>
      <w:numFmt w:val="lowerLetter"/>
      <w:lvlText w:val="(%1)"/>
      <w:lvlJc w:val="left"/>
      <w:pPr>
        <w:ind w:left="1089" w:hanging="360"/>
      </w:pPr>
      <w:rPr>
        <w:rFonts w:hint="default"/>
      </w:r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6"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B45452"/>
    <w:multiLevelType w:val="hybridMultilevel"/>
    <w:tmpl w:val="ED08CEC2"/>
    <w:lvl w:ilvl="0" w:tplc="ABCE7B00">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2751C"/>
    <w:multiLevelType w:val="hybridMultilevel"/>
    <w:tmpl w:val="E586C1CA"/>
    <w:lvl w:ilvl="0" w:tplc="6D8C0A5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2" w15:restartNumberingAfterBreak="0">
    <w:nsid w:val="40523CAB"/>
    <w:multiLevelType w:val="hybridMultilevel"/>
    <w:tmpl w:val="36920D44"/>
    <w:lvl w:ilvl="0" w:tplc="BFD4AD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F5075E8"/>
    <w:multiLevelType w:val="hybridMultilevel"/>
    <w:tmpl w:val="360CB38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1192D30"/>
    <w:multiLevelType w:val="hybridMultilevel"/>
    <w:tmpl w:val="9980574C"/>
    <w:lvl w:ilvl="0" w:tplc="EABE15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0817828">
    <w:abstractNumId w:val="10"/>
  </w:num>
  <w:num w:numId="2" w16cid:durableId="963653887">
    <w:abstractNumId w:val="1"/>
  </w:num>
  <w:num w:numId="3" w16cid:durableId="1219246655">
    <w:abstractNumId w:val="11"/>
  </w:num>
  <w:num w:numId="4" w16cid:durableId="1680548433">
    <w:abstractNumId w:val="19"/>
  </w:num>
  <w:num w:numId="5" w16cid:durableId="1066337227">
    <w:abstractNumId w:val="16"/>
  </w:num>
  <w:num w:numId="6" w16cid:durableId="636179185">
    <w:abstractNumId w:val="13"/>
  </w:num>
  <w:num w:numId="7" w16cid:durableId="383875076">
    <w:abstractNumId w:val="9"/>
  </w:num>
  <w:num w:numId="8" w16cid:durableId="1923446887">
    <w:abstractNumId w:val="2"/>
  </w:num>
  <w:num w:numId="9" w16cid:durableId="1350449055">
    <w:abstractNumId w:val="0"/>
  </w:num>
  <w:num w:numId="10" w16cid:durableId="1103652108">
    <w:abstractNumId w:val="17"/>
  </w:num>
  <w:num w:numId="11" w16cid:durableId="52854490">
    <w:abstractNumId w:val="20"/>
  </w:num>
  <w:num w:numId="12" w16cid:durableId="1107698787">
    <w:abstractNumId w:val="14"/>
  </w:num>
  <w:num w:numId="13" w16cid:durableId="19597347">
    <w:abstractNumId w:val="6"/>
  </w:num>
  <w:num w:numId="14" w16cid:durableId="1788968886">
    <w:abstractNumId w:val="22"/>
  </w:num>
  <w:num w:numId="15" w16cid:durableId="1149056776">
    <w:abstractNumId w:val="18"/>
  </w:num>
  <w:num w:numId="16" w16cid:durableId="1737045002">
    <w:abstractNumId w:val="23"/>
  </w:num>
  <w:num w:numId="17" w16cid:durableId="1301617895">
    <w:abstractNumId w:val="8"/>
  </w:num>
  <w:num w:numId="18" w16cid:durableId="453017339">
    <w:abstractNumId w:val="3"/>
  </w:num>
  <w:num w:numId="19" w16cid:durableId="817721156">
    <w:abstractNumId w:val="5"/>
  </w:num>
  <w:num w:numId="20" w16cid:durableId="1133868120">
    <w:abstractNumId w:val="4"/>
  </w:num>
  <w:num w:numId="21" w16cid:durableId="1012491523">
    <w:abstractNumId w:val="12"/>
  </w:num>
  <w:num w:numId="22" w16cid:durableId="829713217">
    <w:abstractNumId w:val="15"/>
  </w:num>
  <w:num w:numId="23" w16cid:durableId="935791065">
    <w:abstractNumId w:val="21"/>
  </w:num>
  <w:num w:numId="24" w16cid:durableId="48320705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MtsIJJaIrnsVtSncRAQbc59+7Rf+f7j5fMy/Dk04Q9r4wWlcSrW70ZoCHfV7uJrenWrDwsecQX6+sBedIzQN9Q==" w:saltValue="Mnd9LjNRfYvOlG1ME39h7A==" w:algorithmName="SHA-512"/>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4A0E"/>
    <w:rsid w:val="0000588E"/>
    <w:rsid w:val="0000661F"/>
    <w:rsid w:val="000101EF"/>
    <w:rsid w:val="00013EAC"/>
    <w:rsid w:val="000307EE"/>
    <w:rsid w:val="000332CF"/>
    <w:rsid w:val="000370C8"/>
    <w:rsid w:val="00043DE2"/>
    <w:rsid w:val="00053457"/>
    <w:rsid w:val="000555E2"/>
    <w:rsid w:val="00075F5D"/>
    <w:rsid w:val="00076CB6"/>
    <w:rsid w:val="000845A8"/>
    <w:rsid w:val="00084627"/>
    <w:rsid w:val="00094589"/>
    <w:rsid w:val="0009496D"/>
    <w:rsid w:val="000A0747"/>
    <w:rsid w:val="000C4466"/>
    <w:rsid w:val="000C4D29"/>
    <w:rsid w:val="000D0502"/>
    <w:rsid w:val="000D4908"/>
    <w:rsid w:val="000E0C29"/>
    <w:rsid w:val="000E103F"/>
    <w:rsid w:val="000E3ACD"/>
    <w:rsid w:val="000E4F0D"/>
    <w:rsid w:val="000F12E8"/>
    <w:rsid w:val="000F3189"/>
    <w:rsid w:val="00102AB2"/>
    <w:rsid w:val="00105C54"/>
    <w:rsid w:val="00113573"/>
    <w:rsid w:val="001164DF"/>
    <w:rsid w:val="0011733F"/>
    <w:rsid w:val="0012464D"/>
    <w:rsid w:val="001262BD"/>
    <w:rsid w:val="00131277"/>
    <w:rsid w:val="00131945"/>
    <w:rsid w:val="0013198F"/>
    <w:rsid w:val="0013275A"/>
    <w:rsid w:val="001440EC"/>
    <w:rsid w:val="00146895"/>
    <w:rsid w:val="00146E30"/>
    <w:rsid w:val="001528B2"/>
    <w:rsid w:val="001573E1"/>
    <w:rsid w:val="00160831"/>
    <w:rsid w:val="00161F35"/>
    <w:rsid w:val="00174162"/>
    <w:rsid w:val="001845B1"/>
    <w:rsid w:val="00187224"/>
    <w:rsid w:val="00187E47"/>
    <w:rsid w:val="00191BDE"/>
    <w:rsid w:val="00191E26"/>
    <w:rsid w:val="00193093"/>
    <w:rsid w:val="00193967"/>
    <w:rsid w:val="00197E2F"/>
    <w:rsid w:val="001A375C"/>
    <w:rsid w:val="001B0FD8"/>
    <w:rsid w:val="001B2524"/>
    <w:rsid w:val="001B2EA7"/>
    <w:rsid w:val="001B7B29"/>
    <w:rsid w:val="001B7E7F"/>
    <w:rsid w:val="001C285C"/>
    <w:rsid w:val="001C3EC9"/>
    <w:rsid w:val="001C6546"/>
    <w:rsid w:val="001D0D19"/>
    <w:rsid w:val="001D1C8A"/>
    <w:rsid w:val="001D430E"/>
    <w:rsid w:val="001D5D4A"/>
    <w:rsid w:val="001E2D6A"/>
    <w:rsid w:val="001E3098"/>
    <w:rsid w:val="001E5BEC"/>
    <w:rsid w:val="001E63DF"/>
    <w:rsid w:val="001F2D5B"/>
    <w:rsid w:val="001F423C"/>
    <w:rsid w:val="00205CDE"/>
    <w:rsid w:val="00210199"/>
    <w:rsid w:val="00211185"/>
    <w:rsid w:val="002114D9"/>
    <w:rsid w:val="0021377B"/>
    <w:rsid w:val="00213AFF"/>
    <w:rsid w:val="00214950"/>
    <w:rsid w:val="002243C5"/>
    <w:rsid w:val="0022443E"/>
    <w:rsid w:val="00224A5E"/>
    <w:rsid w:val="00227744"/>
    <w:rsid w:val="00230D12"/>
    <w:rsid w:val="00232314"/>
    <w:rsid w:val="002325DB"/>
    <w:rsid w:val="0023314F"/>
    <w:rsid w:val="0023668A"/>
    <w:rsid w:val="0024000F"/>
    <w:rsid w:val="0024060D"/>
    <w:rsid w:val="00245CE7"/>
    <w:rsid w:val="00253814"/>
    <w:rsid w:val="00267125"/>
    <w:rsid w:val="00270105"/>
    <w:rsid w:val="00270182"/>
    <w:rsid w:val="0027366A"/>
    <w:rsid w:val="00281F78"/>
    <w:rsid w:val="00286AFC"/>
    <w:rsid w:val="0028781C"/>
    <w:rsid w:val="002B0831"/>
    <w:rsid w:val="002B1843"/>
    <w:rsid w:val="002B3247"/>
    <w:rsid w:val="002C3721"/>
    <w:rsid w:val="002C3B2E"/>
    <w:rsid w:val="002C6235"/>
    <w:rsid w:val="002D12BF"/>
    <w:rsid w:val="002D1F99"/>
    <w:rsid w:val="002D3179"/>
    <w:rsid w:val="002D7E3D"/>
    <w:rsid w:val="002E1A33"/>
    <w:rsid w:val="002E3B76"/>
    <w:rsid w:val="002E64F5"/>
    <w:rsid w:val="002F1908"/>
    <w:rsid w:val="002F3B30"/>
    <w:rsid w:val="002F72C8"/>
    <w:rsid w:val="003163A9"/>
    <w:rsid w:val="003169B0"/>
    <w:rsid w:val="00320122"/>
    <w:rsid w:val="00321A85"/>
    <w:rsid w:val="00322C79"/>
    <w:rsid w:val="003275E5"/>
    <w:rsid w:val="0033104B"/>
    <w:rsid w:val="003329A6"/>
    <w:rsid w:val="003364DB"/>
    <w:rsid w:val="00346A8C"/>
    <w:rsid w:val="003470D1"/>
    <w:rsid w:val="003505C0"/>
    <w:rsid w:val="00357507"/>
    <w:rsid w:val="003615D1"/>
    <w:rsid w:val="003634AA"/>
    <w:rsid w:val="00364D92"/>
    <w:rsid w:val="003676C9"/>
    <w:rsid w:val="00370FC9"/>
    <w:rsid w:val="00371957"/>
    <w:rsid w:val="003742CA"/>
    <w:rsid w:val="00382846"/>
    <w:rsid w:val="003832F2"/>
    <w:rsid w:val="0038501C"/>
    <w:rsid w:val="0039406A"/>
    <w:rsid w:val="00395815"/>
    <w:rsid w:val="003A1FF5"/>
    <w:rsid w:val="003A22C0"/>
    <w:rsid w:val="003A3410"/>
    <w:rsid w:val="003A4C94"/>
    <w:rsid w:val="003B1977"/>
    <w:rsid w:val="003B6843"/>
    <w:rsid w:val="003C0345"/>
    <w:rsid w:val="003C1096"/>
    <w:rsid w:val="003C2A74"/>
    <w:rsid w:val="003C42DB"/>
    <w:rsid w:val="003D7A22"/>
    <w:rsid w:val="003E08A5"/>
    <w:rsid w:val="003E609C"/>
    <w:rsid w:val="00400A16"/>
    <w:rsid w:val="0040529A"/>
    <w:rsid w:val="004054CE"/>
    <w:rsid w:val="004121C0"/>
    <w:rsid w:val="004132DE"/>
    <w:rsid w:val="00420BA9"/>
    <w:rsid w:val="00420F9B"/>
    <w:rsid w:val="00421558"/>
    <w:rsid w:val="004266E1"/>
    <w:rsid w:val="00426A3E"/>
    <w:rsid w:val="004309E6"/>
    <w:rsid w:val="00431E14"/>
    <w:rsid w:val="004413F1"/>
    <w:rsid w:val="00441634"/>
    <w:rsid w:val="00441B06"/>
    <w:rsid w:val="00444C27"/>
    <w:rsid w:val="00447AEF"/>
    <w:rsid w:val="0045374B"/>
    <w:rsid w:val="00483487"/>
    <w:rsid w:val="004957AC"/>
    <w:rsid w:val="0049754C"/>
    <w:rsid w:val="004C08C8"/>
    <w:rsid w:val="004C0AFA"/>
    <w:rsid w:val="004C3A71"/>
    <w:rsid w:val="004D1505"/>
    <w:rsid w:val="004D4EEE"/>
    <w:rsid w:val="004D6C6A"/>
    <w:rsid w:val="004E08CB"/>
    <w:rsid w:val="004E0B99"/>
    <w:rsid w:val="004E1601"/>
    <w:rsid w:val="004E2A31"/>
    <w:rsid w:val="004E7647"/>
    <w:rsid w:val="004F0301"/>
    <w:rsid w:val="004F330E"/>
    <w:rsid w:val="004F7A2B"/>
    <w:rsid w:val="0050049F"/>
    <w:rsid w:val="00507982"/>
    <w:rsid w:val="005122AF"/>
    <w:rsid w:val="005158CB"/>
    <w:rsid w:val="00520ED4"/>
    <w:rsid w:val="00521BCF"/>
    <w:rsid w:val="00522026"/>
    <w:rsid w:val="0053256E"/>
    <w:rsid w:val="00535423"/>
    <w:rsid w:val="00535EE2"/>
    <w:rsid w:val="0054340C"/>
    <w:rsid w:val="00550001"/>
    <w:rsid w:val="00554755"/>
    <w:rsid w:val="00554E5F"/>
    <w:rsid w:val="005566FE"/>
    <w:rsid w:val="005610A6"/>
    <w:rsid w:val="005631CB"/>
    <w:rsid w:val="00565785"/>
    <w:rsid w:val="005703E5"/>
    <w:rsid w:val="00586E25"/>
    <w:rsid w:val="005A227A"/>
    <w:rsid w:val="005A2628"/>
    <w:rsid w:val="005A58D4"/>
    <w:rsid w:val="005A5AE5"/>
    <w:rsid w:val="005A613B"/>
    <w:rsid w:val="005B2B40"/>
    <w:rsid w:val="005C1193"/>
    <w:rsid w:val="005C3648"/>
    <w:rsid w:val="005C3922"/>
    <w:rsid w:val="005C5EB3"/>
    <w:rsid w:val="005D0A26"/>
    <w:rsid w:val="005D267B"/>
    <w:rsid w:val="005E47E5"/>
    <w:rsid w:val="005F22AA"/>
    <w:rsid w:val="00605E62"/>
    <w:rsid w:val="00614008"/>
    <w:rsid w:val="0061569D"/>
    <w:rsid w:val="006162E4"/>
    <w:rsid w:val="00622D38"/>
    <w:rsid w:val="00625E1E"/>
    <w:rsid w:val="006308A9"/>
    <w:rsid w:val="00630F3E"/>
    <w:rsid w:val="00637492"/>
    <w:rsid w:val="00643DF0"/>
    <w:rsid w:val="00645F94"/>
    <w:rsid w:val="00647DD3"/>
    <w:rsid w:val="006526F9"/>
    <w:rsid w:val="0065414D"/>
    <w:rsid w:val="0065633C"/>
    <w:rsid w:val="006601D3"/>
    <w:rsid w:val="006708CE"/>
    <w:rsid w:val="00673AEA"/>
    <w:rsid w:val="00684B32"/>
    <w:rsid w:val="006877FC"/>
    <w:rsid w:val="006958B4"/>
    <w:rsid w:val="0069604A"/>
    <w:rsid w:val="006A02B1"/>
    <w:rsid w:val="006A40B9"/>
    <w:rsid w:val="006B7982"/>
    <w:rsid w:val="006C78D0"/>
    <w:rsid w:val="006D7DB1"/>
    <w:rsid w:val="006E1969"/>
    <w:rsid w:val="006E1C68"/>
    <w:rsid w:val="006E2405"/>
    <w:rsid w:val="006E2D96"/>
    <w:rsid w:val="006E340C"/>
    <w:rsid w:val="006E4C21"/>
    <w:rsid w:val="006F24EE"/>
    <w:rsid w:val="006F250D"/>
    <w:rsid w:val="006F3066"/>
    <w:rsid w:val="006F6CA7"/>
    <w:rsid w:val="00701E0D"/>
    <w:rsid w:val="00713916"/>
    <w:rsid w:val="00714AD5"/>
    <w:rsid w:val="00715297"/>
    <w:rsid w:val="00715C35"/>
    <w:rsid w:val="00720CC7"/>
    <w:rsid w:val="0072120E"/>
    <w:rsid w:val="007232C6"/>
    <w:rsid w:val="00725D8A"/>
    <w:rsid w:val="0073124D"/>
    <w:rsid w:val="007335E8"/>
    <w:rsid w:val="00733663"/>
    <w:rsid w:val="00733F89"/>
    <w:rsid w:val="00734881"/>
    <w:rsid w:val="007354ED"/>
    <w:rsid w:val="007379F4"/>
    <w:rsid w:val="007411F1"/>
    <w:rsid w:val="00741721"/>
    <w:rsid w:val="0074373C"/>
    <w:rsid w:val="007451C5"/>
    <w:rsid w:val="00747CC0"/>
    <w:rsid w:val="00750D40"/>
    <w:rsid w:val="00751159"/>
    <w:rsid w:val="00752E01"/>
    <w:rsid w:val="007534AC"/>
    <w:rsid w:val="00754C70"/>
    <w:rsid w:val="00755B0C"/>
    <w:rsid w:val="007566CE"/>
    <w:rsid w:val="007579B1"/>
    <w:rsid w:val="00763632"/>
    <w:rsid w:val="00766D75"/>
    <w:rsid w:val="00772E29"/>
    <w:rsid w:val="00775052"/>
    <w:rsid w:val="00776E4D"/>
    <w:rsid w:val="00783189"/>
    <w:rsid w:val="00784623"/>
    <w:rsid w:val="00785DDD"/>
    <w:rsid w:val="0078656D"/>
    <w:rsid w:val="007873B8"/>
    <w:rsid w:val="0079221C"/>
    <w:rsid w:val="0079419E"/>
    <w:rsid w:val="007A3FE6"/>
    <w:rsid w:val="007A4A1A"/>
    <w:rsid w:val="007A56F7"/>
    <w:rsid w:val="007B047A"/>
    <w:rsid w:val="007B368E"/>
    <w:rsid w:val="007B4828"/>
    <w:rsid w:val="007C3D2A"/>
    <w:rsid w:val="007C50C6"/>
    <w:rsid w:val="007D1E0F"/>
    <w:rsid w:val="007D6B6D"/>
    <w:rsid w:val="007E1EAA"/>
    <w:rsid w:val="007F617B"/>
    <w:rsid w:val="007F66DE"/>
    <w:rsid w:val="00804D47"/>
    <w:rsid w:val="00805F13"/>
    <w:rsid w:val="0081181E"/>
    <w:rsid w:val="00812AAB"/>
    <w:rsid w:val="0081646E"/>
    <w:rsid w:val="00816ADF"/>
    <w:rsid w:val="008238FE"/>
    <w:rsid w:val="008278C9"/>
    <w:rsid w:val="00841CAF"/>
    <w:rsid w:val="00844F3E"/>
    <w:rsid w:val="00845F36"/>
    <w:rsid w:val="008505DE"/>
    <w:rsid w:val="0085074F"/>
    <w:rsid w:val="00851F1C"/>
    <w:rsid w:val="008531F9"/>
    <w:rsid w:val="0085498B"/>
    <w:rsid w:val="00870B23"/>
    <w:rsid w:val="0087360D"/>
    <w:rsid w:val="00873CC0"/>
    <w:rsid w:val="00874227"/>
    <w:rsid w:val="008746E9"/>
    <w:rsid w:val="008764C7"/>
    <w:rsid w:val="00880246"/>
    <w:rsid w:val="00883556"/>
    <w:rsid w:val="008837B5"/>
    <w:rsid w:val="0088427E"/>
    <w:rsid w:val="008946C0"/>
    <w:rsid w:val="008A7415"/>
    <w:rsid w:val="008B0505"/>
    <w:rsid w:val="008B42DA"/>
    <w:rsid w:val="008B4571"/>
    <w:rsid w:val="008B68FC"/>
    <w:rsid w:val="008B782E"/>
    <w:rsid w:val="008C1455"/>
    <w:rsid w:val="008C588C"/>
    <w:rsid w:val="008D1173"/>
    <w:rsid w:val="008D7F7A"/>
    <w:rsid w:val="008E4AEE"/>
    <w:rsid w:val="008F0E8E"/>
    <w:rsid w:val="008F2BA5"/>
    <w:rsid w:val="008F2CB6"/>
    <w:rsid w:val="008F2EEF"/>
    <w:rsid w:val="008F3B5D"/>
    <w:rsid w:val="008F4B7B"/>
    <w:rsid w:val="008F791E"/>
    <w:rsid w:val="008F7C69"/>
    <w:rsid w:val="00903100"/>
    <w:rsid w:val="00906284"/>
    <w:rsid w:val="0091127E"/>
    <w:rsid w:val="00913557"/>
    <w:rsid w:val="00913D30"/>
    <w:rsid w:val="00920322"/>
    <w:rsid w:val="0093042F"/>
    <w:rsid w:val="00934ECC"/>
    <w:rsid w:val="009359FA"/>
    <w:rsid w:val="00936DFB"/>
    <w:rsid w:val="00937C1F"/>
    <w:rsid w:val="00937EF2"/>
    <w:rsid w:val="00942649"/>
    <w:rsid w:val="00947985"/>
    <w:rsid w:val="00951990"/>
    <w:rsid w:val="009532ED"/>
    <w:rsid w:val="0095427A"/>
    <w:rsid w:val="00956AE4"/>
    <w:rsid w:val="00962A0A"/>
    <w:rsid w:val="00963260"/>
    <w:rsid w:val="00964F1E"/>
    <w:rsid w:val="00972DB3"/>
    <w:rsid w:val="009822A1"/>
    <w:rsid w:val="00987D46"/>
    <w:rsid w:val="00997E79"/>
    <w:rsid w:val="009A1C2B"/>
    <w:rsid w:val="009A35E5"/>
    <w:rsid w:val="009A5AC7"/>
    <w:rsid w:val="009A7B23"/>
    <w:rsid w:val="009B2B79"/>
    <w:rsid w:val="009B3072"/>
    <w:rsid w:val="009B461B"/>
    <w:rsid w:val="009C18AF"/>
    <w:rsid w:val="009C4224"/>
    <w:rsid w:val="009D0EFF"/>
    <w:rsid w:val="009D2284"/>
    <w:rsid w:val="009D30F8"/>
    <w:rsid w:val="009D3591"/>
    <w:rsid w:val="009D4132"/>
    <w:rsid w:val="009D51FE"/>
    <w:rsid w:val="009E1F57"/>
    <w:rsid w:val="009E6A9F"/>
    <w:rsid w:val="009E7E53"/>
    <w:rsid w:val="009F5D03"/>
    <w:rsid w:val="00A04A54"/>
    <w:rsid w:val="00A05AF4"/>
    <w:rsid w:val="00A130F1"/>
    <w:rsid w:val="00A15205"/>
    <w:rsid w:val="00A2236D"/>
    <w:rsid w:val="00A2443C"/>
    <w:rsid w:val="00A2623E"/>
    <w:rsid w:val="00A26989"/>
    <w:rsid w:val="00A30232"/>
    <w:rsid w:val="00A31B1A"/>
    <w:rsid w:val="00A33D8F"/>
    <w:rsid w:val="00A34688"/>
    <w:rsid w:val="00A36ECB"/>
    <w:rsid w:val="00A43C96"/>
    <w:rsid w:val="00A44ED8"/>
    <w:rsid w:val="00A468D7"/>
    <w:rsid w:val="00A472AB"/>
    <w:rsid w:val="00A47E02"/>
    <w:rsid w:val="00A5055A"/>
    <w:rsid w:val="00A50581"/>
    <w:rsid w:val="00A57D5D"/>
    <w:rsid w:val="00A65C16"/>
    <w:rsid w:val="00A7236D"/>
    <w:rsid w:val="00A72BE6"/>
    <w:rsid w:val="00A7523A"/>
    <w:rsid w:val="00AA0EEA"/>
    <w:rsid w:val="00AA3D14"/>
    <w:rsid w:val="00AA4C6F"/>
    <w:rsid w:val="00AA5690"/>
    <w:rsid w:val="00AA5CF0"/>
    <w:rsid w:val="00AB01E8"/>
    <w:rsid w:val="00AC22AF"/>
    <w:rsid w:val="00AC4278"/>
    <w:rsid w:val="00AC4AF1"/>
    <w:rsid w:val="00AC5010"/>
    <w:rsid w:val="00AD198A"/>
    <w:rsid w:val="00AD1C18"/>
    <w:rsid w:val="00AD2B67"/>
    <w:rsid w:val="00AD3A6F"/>
    <w:rsid w:val="00AE20DD"/>
    <w:rsid w:val="00AE3B85"/>
    <w:rsid w:val="00AF056F"/>
    <w:rsid w:val="00AF0D57"/>
    <w:rsid w:val="00AF27CD"/>
    <w:rsid w:val="00B00E4D"/>
    <w:rsid w:val="00B0310E"/>
    <w:rsid w:val="00B07D45"/>
    <w:rsid w:val="00B163D6"/>
    <w:rsid w:val="00B227B4"/>
    <w:rsid w:val="00B24F9D"/>
    <w:rsid w:val="00B30A6C"/>
    <w:rsid w:val="00B31CDF"/>
    <w:rsid w:val="00B33C7D"/>
    <w:rsid w:val="00B43CAC"/>
    <w:rsid w:val="00B454CC"/>
    <w:rsid w:val="00B507BE"/>
    <w:rsid w:val="00B56B9B"/>
    <w:rsid w:val="00B66835"/>
    <w:rsid w:val="00B674D9"/>
    <w:rsid w:val="00B7300E"/>
    <w:rsid w:val="00B7699F"/>
    <w:rsid w:val="00B8072C"/>
    <w:rsid w:val="00B84BC2"/>
    <w:rsid w:val="00B86A58"/>
    <w:rsid w:val="00B91169"/>
    <w:rsid w:val="00B94DC3"/>
    <w:rsid w:val="00BA0C67"/>
    <w:rsid w:val="00BA3BBA"/>
    <w:rsid w:val="00BC4728"/>
    <w:rsid w:val="00BD5710"/>
    <w:rsid w:val="00BE2A3C"/>
    <w:rsid w:val="00BE2E03"/>
    <w:rsid w:val="00BE3EBD"/>
    <w:rsid w:val="00BE459D"/>
    <w:rsid w:val="00BE54BE"/>
    <w:rsid w:val="00BE6B8E"/>
    <w:rsid w:val="00BF3486"/>
    <w:rsid w:val="00BF3CC8"/>
    <w:rsid w:val="00BF554B"/>
    <w:rsid w:val="00C0205F"/>
    <w:rsid w:val="00C0320D"/>
    <w:rsid w:val="00C038E9"/>
    <w:rsid w:val="00C03DE1"/>
    <w:rsid w:val="00C04AF0"/>
    <w:rsid w:val="00C05671"/>
    <w:rsid w:val="00C07073"/>
    <w:rsid w:val="00C07B88"/>
    <w:rsid w:val="00C11CE2"/>
    <w:rsid w:val="00C201F2"/>
    <w:rsid w:val="00C2160C"/>
    <w:rsid w:val="00C22B6B"/>
    <w:rsid w:val="00C24A9A"/>
    <w:rsid w:val="00C24B21"/>
    <w:rsid w:val="00C2537D"/>
    <w:rsid w:val="00C30843"/>
    <w:rsid w:val="00C30E51"/>
    <w:rsid w:val="00C3399F"/>
    <w:rsid w:val="00C33E60"/>
    <w:rsid w:val="00C34B4D"/>
    <w:rsid w:val="00C34F7D"/>
    <w:rsid w:val="00C35B8B"/>
    <w:rsid w:val="00C37DDE"/>
    <w:rsid w:val="00C40428"/>
    <w:rsid w:val="00C44CC1"/>
    <w:rsid w:val="00C53E5D"/>
    <w:rsid w:val="00C5672B"/>
    <w:rsid w:val="00C60135"/>
    <w:rsid w:val="00C60B32"/>
    <w:rsid w:val="00C628C9"/>
    <w:rsid w:val="00C65EB0"/>
    <w:rsid w:val="00C76D75"/>
    <w:rsid w:val="00C833F6"/>
    <w:rsid w:val="00C857F8"/>
    <w:rsid w:val="00C873A9"/>
    <w:rsid w:val="00C947E2"/>
    <w:rsid w:val="00CA101F"/>
    <w:rsid w:val="00CA3AA6"/>
    <w:rsid w:val="00CB3591"/>
    <w:rsid w:val="00CB39B3"/>
    <w:rsid w:val="00CC16BE"/>
    <w:rsid w:val="00CC1A30"/>
    <w:rsid w:val="00CC597A"/>
    <w:rsid w:val="00CC7A32"/>
    <w:rsid w:val="00CD2711"/>
    <w:rsid w:val="00CD3452"/>
    <w:rsid w:val="00CE2DC3"/>
    <w:rsid w:val="00CF246A"/>
    <w:rsid w:val="00CF3E93"/>
    <w:rsid w:val="00CF40D3"/>
    <w:rsid w:val="00CF5789"/>
    <w:rsid w:val="00CF5EB3"/>
    <w:rsid w:val="00D01406"/>
    <w:rsid w:val="00D015DD"/>
    <w:rsid w:val="00D07087"/>
    <w:rsid w:val="00D11455"/>
    <w:rsid w:val="00D13D21"/>
    <w:rsid w:val="00D1637C"/>
    <w:rsid w:val="00D171F2"/>
    <w:rsid w:val="00D2288C"/>
    <w:rsid w:val="00D24D99"/>
    <w:rsid w:val="00D3071B"/>
    <w:rsid w:val="00D36446"/>
    <w:rsid w:val="00D37C93"/>
    <w:rsid w:val="00D457D5"/>
    <w:rsid w:val="00D46F22"/>
    <w:rsid w:val="00D530A5"/>
    <w:rsid w:val="00D6266E"/>
    <w:rsid w:val="00D62F1F"/>
    <w:rsid w:val="00D668E3"/>
    <w:rsid w:val="00D6705E"/>
    <w:rsid w:val="00D6718B"/>
    <w:rsid w:val="00D80CCA"/>
    <w:rsid w:val="00D82D87"/>
    <w:rsid w:val="00D840AC"/>
    <w:rsid w:val="00D9593A"/>
    <w:rsid w:val="00DA4B9A"/>
    <w:rsid w:val="00DA553B"/>
    <w:rsid w:val="00DB34DB"/>
    <w:rsid w:val="00DC099F"/>
    <w:rsid w:val="00DC2DE8"/>
    <w:rsid w:val="00DC31D1"/>
    <w:rsid w:val="00DC4A6C"/>
    <w:rsid w:val="00DC55D7"/>
    <w:rsid w:val="00DD1068"/>
    <w:rsid w:val="00DF0C59"/>
    <w:rsid w:val="00DF3CFE"/>
    <w:rsid w:val="00DF3DE3"/>
    <w:rsid w:val="00DF5321"/>
    <w:rsid w:val="00E04B54"/>
    <w:rsid w:val="00E063E8"/>
    <w:rsid w:val="00E06BF1"/>
    <w:rsid w:val="00E06E0F"/>
    <w:rsid w:val="00E104BD"/>
    <w:rsid w:val="00E11692"/>
    <w:rsid w:val="00E27E12"/>
    <w:rsid w:val="00E30230"/>
    <w:rsid w:val="00E35210"/>
    <w:rsid w:val="00E416C9"/>
    <w:rsid w:val="00E437A9"/>
    <w:rsid w:val="00E44472"/>
    <w:rsid w:val="00E44705"/>
    <w:rsid w:val="00E46944"/>
    <w:rsid w:val="00E46959"/>
    <w:rsid w:val="00E52144"/>
    <w:rsid w:val="00E52BEF"/>
    <w:rsid w:val="00E53480"/>
    <w:rsid w:val="00E536EE"/>
    <w:rsid w:val="00E54CC5"/>
    <w:rsid w:val="00E55CD3"/>
    <w:rsid w:val="00E574DE"/>
    <w:rsid w:val="00E62697"/>
    <w:rsid w:val="00E64144"/>
    <w:rsid w:val="00E67D3D"/>
    <w:rsid w:val="00E71217"/>
    <w:rsid w:val="00E738AF"/>
    <w:rsid w:val="00E7638D"/>
    <w:rsid w:val="00E76728"/>
    <w:rsid w:val="00E76DFD"/>
    <w:rsid w:val="00E80D8F"/>
    <w:rsid w:val="00E829F9"/>
    <w:rsid w:val="00E8312E"/>
    <w:rsid w:val="00E92A4F"/>
    <w:rsid w:val="00EA51AB"/>
    <w:rsid w:val="00EB20FD"/>
    <w:rsid w:val="00EB7881"/>
    <w:rsid w:val="00EC491A"/>
    <w:rsid w:val="00EC6C3A"/>
    <w:rsid w:val="00EC7793"/>
    <w:rsid w:val="00ED079E"/>
    <w:rsid w:val="00ED2511"/>
    <w:rsid w:val="00ED616B"/>
    <w:rsid w:val="00EE1C55"/>
    <w:rsid w:val="00EE20DA"/>
    <w:rsid w:val="00EE26E2"/>
    <w:rsid w:val="00EF1D52"/>
    <w:rsid w:val="00EF41B0"/>
    <w:rsid w:val="00EF494B"/>
    <w:rsid w:val="00EF7A2A"/>
    <w:rsid w:val="00F03742"/>
    <w:rsid w:val="00F1388F"/>
    <w:rsid w:val="00F13AF3"/>
    <w:rsid w:val="00F13ED1"/>
    <w:rsid w:val="00F15660"/>
    <w:rsid w:val="00F169A2"/>
    <w:rsid w:val="00F22F41"/>
    <w:rsid w:val="00F2457D"/>
    <w:rsid w:val="00F305D1"/>
    <w:rsid w:val="00F3319C"/>
    <w:rsid w:val="00F354B4"/>
    <w:rsid w:val="00F35B96"/>
    <w:rsid w:val="00F36C21"/>
    <w:rsid w:val="00F40E2A"/>
    <w:rsid w:val="00F414E6"/>
    <w:rsid w:val="00F42D92"/>
    <w:rsid w:val="00F4702E"/>
    <w:rsid w:val="00F5139C"/>
    <w:rsid w:val="00F56232"/>
    <w:rsid w:val="00F56960"/>
    <w:rsid w:val="00F621FB"/>
    <w:rsid w:val="00F63813"/>
    <w:rsid w:val="00F72A8A"/>
    <w:rsid w:val="00F7406F"/>
    <w:rsid w:val="00F74097"/>
    <w:rsid w:val="00F80519"/>
    <w:rsid w:val="00F80927"/>
    <w:rsid w:val="00F82933"/>
    <w:rsid w:val="00F93AED"/>
    <w:rsid w:val="00FA0195"/>
    <w:rsid w:val="00FA20DC"/>
    <w:rsid w:val="00FB71F4"/>
    <w:rsid w:val="00FC0DE9"/>
    <w:rsid w:val="00FC32A9"/>
    <w:rsid w:val="00FD04F8"/>
    <w:rsid w:val="00FD3843"/>
    <w:rsid w:val="00FD4482"/>
    <w:rsid w:val="00FD6149"/>
    <w:rsid w:val="00FD6639"/>
    <w:rsid w:val="00FD78BE"/>
    <w:rsid w:val="00FE254E"/>
    <w:rsid w:val="00FE2762"/>
    <w:rsid w:val="00FE43C9"/>
    <w:rsid w:val="00FE5622"/>
    <w:rsid w:val="00FE5C98"/>
    <w:rsid w:val="00FF4C2E"/>
    <w:rsid w:val="00FF52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31B3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definition">
    <w:name w:val="definition"/>
    <w:basedOn w:val="Normal"/>
    <w:rsid w:val="008F3B5D"/>
    <w:pPr>
      <w:spacing w:before="100" w:beforeAutospacing="1" w:after="100" w:afterAutospacing="1" w:line="240" w:lineRule="auto"/>
    </w:pPr>
    <w:rPr>
      <w:rFonts w:ascii="Times New Roman" w:hAnsi="Times New Roman"/>
      <w:i w:val="0"/>
      <w:sz w:val="24"/>
      <w:lang w:eastAsia="en-AU"/>
    </w:rPr>
  </w:style>
  <w:style w:type="paragraph" w:customStyle="1" w:styleId="paragraph">
    <w:name w:val="paragraph"/>
    <w:basedOn w:val="Normal"/>
    <w:rsid w:val="008F3B5D"/>
    <w:pPr>
      <w:spacing w:before="100" w:beforeAutospacing="1" w:after="100" w:afterAutospacing="1" w:line="240" w:lineRule="auto"/>
    </w:pPr>
    <w:rPr>
      <w:rFonts w:ascii="Times New Roman" w:hAnsi="Times New Roman"/>
      <w:i w:val="0"/>
      <w:sz w:val="24"/>
      <w:lang w:eastAsia="en-AU"/>
    </w:rPr>
  </w:style>
  <w:style w:type="paragraph" w:styleId="ListParagraph">
    <w:name w:val="List Paragraph"/>
    <w:basedOn w:val="Normal"/>
    <w:uiPriority w:val="34"/>
    <w:qFormat/>
    <w:rsid w:val="008F3B5D"/>
    <w:pPr>
      <w:ind w:left="720"/>
      <w:contextualSpacing/>
    </w:pPr>
  </w:style>
  <w:style w:type="paragraph" w:customStyle="1" w:styleId="acthead5">
    <w:name w:val="acthead5"/>
    <w:basedOn w:val="Normal"/>
    <w:rsid w:val="00A7523A"/>
    <w:pPr>
      <w:spacing w:before="100" w:beforeAutospacing="1" w:after="100" w:afterAutospacing="1" w:line="240" w:lineRule="auto"/>
    </w:pPr>
    <w:rPr>
      <w:rFonts w:ascii="Times New Roman" w:hAnsi="Times New Roman"/>
      <w:i w:val="0"/>
      <w:sz w:val="24"/>
      <w:lang w:eastAsia="en-AU"/>
    </w:rPr>
  </w:style>
  <w:style w:type="character" w:customStyle="1" w:styleId="charsectno">
    <w:name w:val="charsectno"/>
    <w:basedOn w:val="DefaultParagraphFont"/>
    <w:rsid w:val="00A7523A"/>
  </w:style>
  <w:style w:type="paragraph" w:customStyle="1" w:styleId="subsection">
    <w:name w:val="subsection"/>
    <w:basedOn w:val="Normal"/>
    <w:rsid w:val="00A7523A"/>
    <w:pPr>
      <w:spacing w:before="100" w:beforeAutospacing="1" w:after="100" w:afterAutospacing="1" w:line="240" w:lineRule="auto"/>
    </w:pPr>
    <w:rPr>
      <w:rFonts w:ascii="Times New Roman" w:hAnsi="Times New Roman"/>
      <w:i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76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lassic.austlii.edu.au/au/legis/cth/consol_act/cea1918233/s302f.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lassic.austlii.edu.au/au/legis/cth/consol_act/cea1918233/s4.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lassic.austlii.edu.au/au/legis/cth/consol_act/cea1918233/s4.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CEBDF-51CB-4FBD-882F-B53ED3A04FA7}">
  <ds:schemaRefs>
    <ds:schemaRef ds:uri="http://schemas.microsoft.com/sharepoint/v3/contenttype/forms"/>
  </ds:schemaRefs>
</ds:datastoreItem>
</file>

<file path=customXml/itemProps2.xml><?xml version="1.0" encoding="utf-8"?>
<ds:datastoreItem xmlns:ds="http://schemas.openxmlformats.org/officeDocument/2006/customXml" ds:itemID="{D8A51E3F-A7D7-49FC-87C7-48913AE24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9cf6-3f11-49f0-89bc-89075fac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9AD2C-C47E-4D1B-BC4F-3A619082C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D0BF0A-8B75-4289-9C35-A1A67EC8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1754</Words>
  <Characters>10002</Characters>
  <Application>Microsoft Office Word</Application>
  <DocSecurity>8</DocSecurity>
  <Lines>83</Lines>
  <Paragraphs>23</Paragraphs>
  <ScaleCrop>false</ScaleCrop>
  <Manager/>
  <Company/>
  <LinksUpToDate>false</LinksUpToDate>
  <CharactersWithSpaces>11733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2023-08-16T06:08:00Z</dcterms:created>
  <dcterms:modified xsi:type="dcterms:W3CDTF">2023-08-16T06:08:00Z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1074cc60-6945-4c09-bdd6-78f46873fff1</vt:lpwstr>
  </property>
  <property fmtid="{D5CDD505-2E9C-101B-9397-08002B2CF9AE}" pid="3" name="ContentTypeId">
    <vt:lpwstr>0x0101001974985E28F7B244AE320DC93E850309</vt:lpwstr>
  </property>
</Properties>
</file>