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996" w14:textId="7CA64662" w:rsidR="00B952C3" w:rsidRPr="00A51D1A" w:rsidRDefault="00B952C3" w:rsidP="00B952C3">
      <w:pPr>
        <w:pStyle w:val="Reporttitle"/>
      </w:pPr>
      <w:r>
        <w:t xml:space="preserve">Spectrum licence taxes: </w:t>
      </w:r>
      <w:r w:rsidR="00870AE6">
        <w:t>i</w:t>
      </w:r>
      <w:r>
        <w:t xml:space="preserve">ndexing the EME </w:t>
      </w:r>
      <w:r w:rsidR="008E5A30">
        <w:t>c</w:t>
      </w:r>
      <w:r>
        <w:t>omponent</w:t>
      </w:r>
      <w:r w:rsidR="00BD5E37">
        <w:t xml:space="preserve"> and other changes</w:t>
      </w:r>
    </w:p>
    <w:p w14:paraId="6E57F2F4" w14:textId="77777777" w:rsidR="00B952C3" w:rsidRDefault="00B952C3" w:rsidP="00B952C3">
      <w:pPr>
        <w:pStyle w:val="Reportsubtitle"/>
      </w:pPr>
      <w:r>
        <w:t>Consultation paper</w:t>
      </w:r>
    </w:p>
    <w:p w14:paraId="3F107752" w14:textId="77777777" w:rsidR="00B952C3" w:rsidRPr="000D76E0" w:rsidRDefault="00B952C3" w:rsidP="00B952C3">
      <w:pPr>
        <w:pStyle w:val="Reportdate"/>
        <w:spacing w:after="720"/>
        <w:rPr>
          <w:rFonts w:cs="Arial"/>
        </w:rPr>
        <w:sectPr w:rsidR="00B952C3"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96068F">
        <w:t>July</w:t>
      </w:r>
      <w:r w:rsidRPr="006D1938">
        <w:t xml:space="preserve"> 2023</w:t>
      </w:r>
    </w:p>
    <w:p w14:paraId="75BE6837" w14:textId="77777777" w:rsidR="00B952C3" w:rsidRPr="00F44F3A" w:rsidRDefault="00B952C3" w:rsidP="00B952C3">
      <w:pPr>
        <w:pStyle w:val="ACMACorporateAddressHeader"/>
      </w:pPr>
      <w:r w:rsidRPr="00F44F3A">
        <w:lastRenderedPageBreak/>
        <w:t>Canberra</w:t>
      </w:r>
    </w:p>
    <w:p w14:paraId="24B1079C" w14:textId="77777777" w:rsidR="00B952C3" w:rsidRPr="00FC07B9" w:rsidRDefault="00B952C3" w:rsidP="00B952C3">
      <w:pPr>
        <w:pStyle w:val="ACMACorporateAddresses"/>
      </w:pPr>
      <w:r w:rsidRPr="00FC07B9">
        <w:t xml:space="preserve">Red Building </w:t>
      </w:r>
      <w:r w:rsidRPr="00FC07B9">
        <w:br/>
        <w:t>Benjamin Offices</w:t>
      </w:r>
      <w:r w:rsidRPr="00FC07B9">
        <w:br/>
        <w:t xml:space="preserve">Chan Street </w:t>
      </w:r>
      <w:r w:rsidRPr="00FC07B9">
        <w:br/>
        <w:t>Belconnen ACT</w:t>
      </w:r>
    </w:p>
    <w:p w14:paraId="367DA871" w14:textId="77777777" w:rsidR="00B952C3" w:rsidRPr="00FC07B9" w:rsidRDefault="00B952C3" w:rsidP="00B952C3">
      <w:pPr>
        <w:pStyle w:val="ACMACorporateAddresses"/>
      </w:pPr>
      <w:r w:rsidRPr="00FC07B9">
        <w:t>PO Box 78</w:t>
      </w:r>
      <w:r w:rsidRPr="00FC07B9">
        <w:br/>
        <w:t>Belconnen ACT 2616</w:t>
      </w:r>
    </w:p>
    <w:p w14:paraId="0DB3B672" w14:textId="77777777" w:rsidR="00B952C3" w:rsidRPr="00FC07B9" w:rsidRDefault="00B952C3" w:rsidP="00B952C3">
      <w:pPr>
        <w:pStyle w:val="ACMACorporateAddresses"/>
      </w:pPr>
      <w:r w:rsidRPr="00FC07B9">
        <w:t>T</w:t>
      </w:r>
      <w:r w:rsidRPr="00FC07B9">
        <w:tab/>
        <w:t>+61 2 6219 5555</w:t>
      </w:r>
      <w:r w:rsidRPr="00FC07B9">
        <w:br/>
        <w:t>F</w:t>
      </w:r>
      <w:r w:rsidRPr="00FC07B9">
        <w:tab/>
        <w:t>+61 2 6219 5353</w:t>
      </w:r>
    </w:p>
    <w:p w14:paraId="426ADA27" w14:textId="77777777" w:rsidR="00B952C3" w:rsidRPr="00F44F3A" w:rsidRDefault="00B952C3" w:rsidP="00B952C3">
      <w:pPr>
        <w:pStyle w:val="ACMACorporateAddressHeader"/>
      </w:pPr>
      <w:r w:rsidRPr="00F44F3A">
        <w:t>Melbourne</w:t>
      </w:r>
    </w:p>
    <w:p w14:paraId="183FE07D" w14:textId="77777777" w:rsidR="00B952C3" w:rsidRPr="00F44F3A" w:rsidRDefault="00B952C3" w:rsidP="00B952C3">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6593D87A" w14:textId="77777777" w:rsidR="00B952C3" w:rsidRPr="00F44F3A" w:rsidRDefault="00B952C3" w:rsidP="00B952C3">
      <w:pPr>
        <w:pStyle w:val="ACMACorporateAddresses"/>
      </w:pPr>
      <w:r w:rsidRPr="00F44F3A">
        <w:t>PO Box 13112</w:t>
      </w:r>
      <w:r w:rsidRPr="00F44F3A">
        <w:br/>
        <w:t xml:space="preserve">Law Courts </w:t>
      </w:r>
      <w:r w:rsidRPr="00F44F3A">
        <w:br/>
        <w:t>Melbourne VIC 8010</w:t>
      </w:r>
    </w:p>
    <w:p w14:paraId="73E49B95" w14:textId="77777777" w:rsidR="00B952C3" w:rsidRPr="00F44F3A" w:rsidRDefault="00B952C3" w:rsidP="00B952C3">
      <w:pPr>
        <w:pStyle w:val="ACMACorporateAddresses"/>
      </w:pPr>
      <w:r w:rsidRPr="00F44F3A">
        <w:t>T</w:t>
      </w:r>
      <w:r w:rsidRPr="00F44F3A">
        <w:tab/>
        <w:t>+61 3 9963 6800</w:t>
      </w:r>
      <w:r w:rsidRPr="00F44F3A">
        <w:br/>
        <w:t>F</w:t>
      </w:r>
      <w:r w:rsidRPr="00F44F3A">
        <w:tab/>
        <w:t>+61 3 9963 6899</w:t>
      </w:r>
    </w:p>
    <w:p w14:paraId="2431861C" w14:textId="77777777" w:rsidR="00B952C3" w:rsidRPr="00F44F3A" w:rsidRDefault="00B952C3" w:rsidP="00B952C3">
      <w:pPr>
        <w:pStyle w:val="ACMACorporateAddressHeader"/>
      </w:pPr>
      <w:r w:rsidRPr="00F44F3A">
        <w:t>Sydney</w:t>
      </w:r>
    </w:p>
    <w:p w14:paraId="1AF2B811" w14:textId="77777777" w:rsidR="00B952C3" w:rsidRPr="00F44F3A" w:rsidRDefault="00B952C3" w:rsidP="00B952C3">
      <w:pPr>
        <w:pStyle w:val="ACMACorporateAddresses"/>
      </w:pPr>
      <w:r w:rsidRPr="00F44F3A">
        <w:t xml:space="preserve">Level 5 </w:t>
      </w:r>
      <w:r w:rsidRPr="00F44F3A">
        <w:br/>
        <w:t>The Bay Centre</w:t>
      </w:r>
      <w:r w:rsidRPr="00F44F3A">
        <w:br/>
        <w:t xml:space="preserve">65 Pirrama Road </w:t>
      </w:r>
      <w:r w:rsidRPr="00F44F3A">
        <w:br/>
        <w:t>Pyrmont NSW</w:t>
      </w:r>
    </w:p>
    <w:p w14:paraId="6C8C1A1F" w14:textId="77777777" w:rsidR="00B952C3" w:rsidRPr="00F44F3A" w:rsidRDefault="00B952C3" w:rsidP="00B952C3">
      <w:pPr>
        <w:pStyle w:val="ACMACorporateAddresses"/>
      </w:pPr>
      <w:r w:rsidRPr="00F44F3A">
        <w:t>PO Box Q500</w:t>
      </w:r>
      <w:r w:rsidRPr="00F44F3A">
        <w:br/>
        <w:t xml:space="preserve">Queen Victoria Building </w:t>
      </w:r>
      <w:r w:rsidRPr="00F44F3A">
        <w:br/>
        <w:t>NSW 1230</w:t>
      </w:r>
    </w:p>
    <w:p w14:paraId="55D30F12" w14:textId="77777777" w:rsidR="00B952C3" w:rsidRPr="00F44F3A" w:rsidRDefault="00B952C3" w:rsidP="00B952C3">
      <w:pPr>
        <w:pStyle w:val="ACMACorporateAddresses"/>
      </w:pPr>
      <w:r w:rsidRPr="00F44F3A">
        <w:t>T</w:t>
      </w:r>
      <w:r w:rsidRPr="00F44F3A">
        <w:tab/>
        <w:t>+61 2 9334 7700 or 1800 226 667</w:t>
      </w:r>
      <w:r w:rsidRPr="00F44F3A">
        <w:br/>
        <w:t>F</w:t>
      </w:r>
      <w:r w:rsidRPr="00F44F3A">
        <w:tab/>
        <w:t>+61 2 9334 7799</w:t>
      </w:r>
    </w:p>
    <w:p w14:paraId="1CF61077" w14:textId="77777777" w:rsidR="00B952C3" w:rsidRPr="006D46E5" w:rsidRDefault="00B952C3" w:rsidP="00B952C3">
      <w:pPr>
        <w:pStyle w:val="ACMACopyrightHeader"/>
      </w:pPr>
      <w:r w:rsidRPr="00140318">
        <w:t>Copyright notice</w:t>
      </w:r>
    </w:p>
    <w:p w14:paraId="26E2606D" w14:textId="77777777" w:rsidR="00B952C3" w:rsidRPr="006D46E5" w:rsidRDefault="00B952C3" w:rsidP="00B952C3">
      <w:pPr>
        <w:pStyle w:val="ACMACClogo"/>
      </w:pPr>
      <w:r w:rsidRPr="00623FF9">
        <w:rPr>
          <w:noProof/>
        </w:rPr>
        <w:drawing>
          <wp:inline distT="0" distB="0" distL="0" distR="0" wp14:anchorId="609DA6D3" wp14:editId="1B15CD1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599FC1B" w14:textId="77777777" w:rsidR="00B952C3" w:rsidRDefault="00877F7B" w:rsidP="00B952C3">
      <w:pPr>
        <w:pStyle w:val="ACMACorporateAddresses"/>
        <w:rPr>
          <w:rStyle w:val="Hyperlink"/>
        </w:rPr>
      </w:pPr>
      <w:hyperlink r:id="rId13" w:history="1">
        <w:r w:rsidR="00B952C3">
          <w:rPr>
            <w:rStyle w:val="Hyperlink"/>
          </w:rPr>
          <w:t>https://creativecommons.org/licenses/by/4.0/</w:t>
        </w:r>
      </w:hyperlink>
    </w:p>
    <w:p w14:paraId="0F696EBB" w14:textId="77777777" w:rsidR="00B952C3" w:rsidRDefault="00B952C3" w:rsidP="00B952C3">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5AC9A405" w14:textId="77777777" w:rsidR="00B952C3" w:rsidRDefault="00B952C3" w:rsidP="00B952C3">
      <w:pPr>
        <w:pStyle w:val="ACMACorporateAddresses"/>
      </w:pPr>
      <w:r>
        <w:t>We request attribution as © Commonwealth of Australia (Australian Communications and Media Authority) 2023.</w:t>
      </w:r>
    </w:p>
    <w:p w14:paraId="04A6347A" w14:textId="77777777" w:rsidR="00B952C3" w:rsidRDefault="00B952C3" w:rsidP="00B952C3">
      <w:pPr>
        <w:pStyle w:val="ACMACorporateAddresses"/>
      </w:pPr>
      <w:r>
        <w:t>All other rights are reserved.</w:t>
      </w:r>
    </w:p>
    <w:p w14:paraId="7737EBEE" w14:textId="77777777" w:rsidR="00B952C3" w:rsidRDefault="00B952C3" w:rsidP="00B952C3">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76311D5" w14:textId="77777777" w:rsidR="00B952C3" w:rsidRDefault="00B952C3" w:rsidP="00B952C3">
      <w:pPr>
        <w:pStyle w:val="ACMACorporateAddresses"/>
      </w:pPr>
      <w:r>
        <w:t>Written enquiries may be sent to:</w:t>
      </w:r>
    </w:p>
    <w:p w14:paraId="6EAFE255" w14:textId="77777777" w:rsidR="00B952C3" w:rsidRDefault="00B952C3" w:rsidP="00B952C3">
      <w:pPr>
        <w:pStyle w:val="ACMACorporateAddresses"/>
        <w:rPr>
          <w:rStyle w:val="Hyperlink"/>
        </w:rPr>
      </w:pPr>
      <w:r>
        <w:t>Manager, Editorial Services</w:t>
      </w:r>
      <w:r>
        <w:br/>
        <w:t>PO Box 13112</w:t>
      </w:r>
      <w:r>
        <w:br/>
        <w:t>Law Courts</w:t>
      </w:r>
      <w:r>
        <w:br/>
        <w:t>Melbourne VIC 8010</w:t>
      </w:r>
      <w:r>
        <w:br/>
        <w:t xml:space="preserve">Email: </w:t>
      </w:r>
      <w:hyperlink r:id="rId14" w:history="1">
        <w:r>
          <w:rPr>
            <w:rStyle w:val="Hyperlink"/>
          </w:rPr>
          <w:t>info@acma.gov.au</w:t>
        </w:r>
      </w:hyperlink>
    </w:p>
    <w:p w14:paraId="6C8ABB6E" w14:textId="77777777" w:rsidR="00B952C3" w:rsidRDefault="00B952C3" w:rsidP="00B952C3">
      <w:pPr>
        <w:pStyle w:val="ACMACorporateAddresses"/>
        <w:rPr>
          <w:rStyle w:val="Hyperlink"/>
        </w:rPr>
      </w:pPr>
    </w:p>
    <w:p w14:paraId="2145622D" w14:textId="77777777" w:rsidR="00B952C3" w:rsidRPr="00D16FE3" w:rsidRDefault="00B952C3" w:rsidP="00B952C3">
      <w:pPr>
        <w:pStyle w:val="ACMACorporateAddresses"/>
        <w:sectPr w:rsidR="00B952C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62396E8" w14:textId="1DE9B092" w:rsidR="00E462B9" w:rsidRDefault="00B952C3">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141278615" w:history="1">
        <w:r w:rsidR="00E462B9" w:rsidRPr="004968A5">
          <w:rPr>
            <w:rStyle w:val="Hyperlink"/>
          </w:rPr>
          <w:t>Updates to spectrum licence taxes</w:t>
        </w:r>
        <w:r w:rsidR="00E462B9">
          <w:rPr>
            <w:webHidden/>
          </w:rPr>
          <w:tab/>
        </w:r>
        <w:r w:rsidR="00E462B9">
          <w:rPr>
            <w:webHidden/>
          </w:rPr>
          <w:fldChar w:fldCharType="begin"/>
        </w:r>
        <w:r w:rsidR="00E462B9">
          <w:rPr>
            <w:webHidden/>
          </w:rPr>
          <w:instrText xml:space="preserve"> PAGEREF _Toc141278615 \h </w:instrText>
        </w:r>
        <w:r w:rsidR="00E462B9">
          <w:rPr>
            <w:webHidden/>
          </w:rPr>
        </w:r>
        <w:r w:rsidR="00E462B9">
          <w:rPr>
            <w:webHidden/>
          </w:rPr>
          <w:fldChar w:fldCharType="separate"/>
        </w:r>
        <w:r w:rsidR="00E462B9">
          <w:rPr>
            <w:webHidden/>
          </w:rPr>
          <w:t>1</w:t>
        </w:r>
        <w:r w:rsidR="00E462B9">
          <w:rPr>
            <w:webHidden/>
          </w:rPr>
          <w:fldChar w:fldCharType="end"/>
        </w:r>
      </w:hyperlink>
    </w:p>
    <w:p w14:paraId="3E61051E" w14:textId="3EBDB1AF" w:rsidR="00E462B9" w:rsidRDefault="00877F7B">
      <w:pPr>
        <w:pStyle w:val="TOC2"/>
        <w:rPr>
          <w:rFonts w:asciiTheme="minorHAnsi" w:eastAsiaTheme="minorEastAsia" w:hAnsiTheme="minorHAnsi" w:cstheme="minorBidi"/>
          <w:spacing w:val="0"/>
          <w:sz w:val="22"/>
          <w:szCs w:val="22"/>
        </w:rPr>
      </w:pPr>
      <w:hyperlink w:anchor="_Toc141278616" w:history="1">
        <w:r w:rsidR="00E462B9" w:rsidRPr="004968A5">
          <w:rPr>
            <w:rStyle w:val="Hyperlink"/>
          </w:rPr>
          <w:t>What are spectrum licence taxes?</w:t>
        </w:r>
        <w:r w:rsidR="00E462B9">
          <w:rPr>
            <w:webHidden/>
          </w:rPr>
          <w:tab/>
        </w:r>
        <w:r w:rsidR="00E462B9">
          <w:rPr>
            <w:webHidden/>
          </w:rPr>
          <w:fldChar w:fldCharType="begin"/>
        </w:r>
        <w:r w:rsidR="00E462B9">
          <w:rPr>
            <w:webHidden/>
          </w:rPr>
          <w:instrText xml:space="preserve"> PAGEREF _Toc141278616 \h </w:instrText>
        </w:r>
        <w:r w:rsidR="00E462B9">
          <w:rPr>
            <w:webHidden/>
          </w:rPr>
        </w:r>
        <w:r w:rsidR="00E462B9">
          <w:rPr>
            <w:webHidden/>
          </w:rPr>
          <w:fldChar w:fldCharType="separate"/>
        </w:r>
        <w:r w:rsidR="00E462B9">
          <w:rPr>
            <w:webHidden/>
          </w:rPr>
          <w:t>1</w:t>
        </w:r>
        <w:r w:rsidR="00E462B9">
          <w:rPr>
            <w:webHidden/>
          </w:rPr>
          <w:fldChar w:fldCharType="end"/>
        </w:r>
      </w:hyperlink>
    </w:p>
    <w:p w14:paraId="2B0E2AA3" w14:textId="40E6B0B7" w:rsidR="00E462B9" w:rsidRDefault="00877F7B">
      <w:pPr>
        <w:pStyle w:val="TOC2"/>
        <w:rPr>
          <w:rFonts w:asciiTheme="minorHAnsi" w:eastAsiaTheme="minorEastAsia" w:hAnsiTheme="minorHAnsi" w:cstheme="minorBidi"/>
          <w:spacing w:val="0"/>
          <w:sz w:val="22"/>
          <w:szCs w:val="22"/>
        </w:rPr>
      </w:pPr>
      <w:hyperlink w:anchor="_Toc141278617" w:history="1">
        <w:r w:rsidR="00E462B9" w:rsidRPr="004968A5">
          <w:rPr>
            <w:rStyle w:val="Hyperlink"/>
          </w:rPr>
          <w:t>2023–24 indexation of the EME component of the spectrum licence tax</w:t>
        </w:r>
        <w:r w:rsidR="00E462B9">
          <w:rPr>
            <w:webHidden/>
          </w:rPr>
          <w:tab/>
        </w:r>
        <w:r w:rsidR="00E462B9">
          <w:rPr>
            <w:webHidden/>
          </w:rPr>
          <w:fldChar w:fldCharType="begin"/>
        </w:r>
        <w:r w:rsidR="00E462B9">
          <w:rPr>
            <w:webHidden/>
          </w:rPr>
          <w:instrText xml:space="preserve"> PAGEREF _Toc141278617 \h </w:instrText>
        </w:r>
        <w:r w:rsidR="00E462B9">
          <w:rPr>
            <w:webHidden/>
          </w:rPr>
        </w:r>
        <w:r w:rsidR="00E462B9">
          <w:rPr>
            <w:webHidden/>
          </w:rPr>
          <w:fldChar w:fldCharType="separate"/>
        </w:r>
        <w:r w:rsidR="00E462B9">
          <w:rPr>
            <w:webHidden/>
          </w:rPr>
          <w:t>1</w:t>
        </w:r>
        <w:r w:rsidR="00E462B9">
          <w:rPr>
            <w:webHidden/>
          </w:rPr>
          <w:fldChar w:fldCharType="end"/>
        </w:r>
      </w:hyperlink>
    </w:p>
    <w:p w14:paraId="598687C7" w14:textId="5453E168" w:rsidR="00E462B9" w:rsidRDefault="00877F7B">
      <w:pPr>
        <w:pStyle w:val="TOC2"/>
        <w:rPr>
          <w:rFonts w:asciiTheme="minorHAnsi" w:eastAsiaTheme="minorEastAsia" w:hAnsiTheme="minorHAnsi" w:cstheme="minorBidi"/>
          <w:spacing w:val="0"/>
          <w:sz w:val="22"/>
          <w:szCs w:val="22"/>
        </w:rPr>
      </w:pPr>
      <w:hyperlink w:anchor="_Toc141278618" w:history="1">
        <w:r w:rsidR="00E462B9" w:rsidRPr="004968A5">
          <w:rPr>
            <w:rStyle w:val="Hyperlink"/>
          </w:rPr>
          <w:t>Other changes to the SLT Determination</w:t>
        </w:r>
        <w:r w:rsidR="00E462B9">
          <w:rPr>
            <w:webHidden/>
          </w:rPr>
          <w:tab/>
        </w:r>
        <w:r w:rsidR="00E462B9">
          <w:rPr>
            <w:webHidden/>
          </w:rPr>
          <w:fldChar w:fldCharType="begin"/>
        </w:r>
        <w:r w:rsidR="00E462B9">
          <w:rPr>
            <w:webHidden/>
          </w:rPr>
          <w:instrText xml:space="preserve"> PAGEREF _Toc141278618 \h </w:instrText>
        </w:r>
        <w:r w:rsidR="00E462B9">
          <w:rPr>
            <w:webHidden/>
          </w:rPr>
        </w:r>
        <w:r w:rsidR="00E462B9">
          <w:rPr>
            <w:webHidden/>
          </w:rPr>
          <w:fldChar w:fldCharType="separate"/>
        </w:r>
        <w:r w:rsidR="00E462B9">
          <w:rPr>
            <w:webHidden/>
          </w:rPr>
          <w:t>2</w:t>
        </w:r>
        <w:r w:rsidR="00E462B9">
          <w:rPr>
            <w:webHidden/>
          </w:rPr>
          <w:fldChar w:fldCharType="end"/>
        </w:r>
      </w:hyperlink>
    </w:p>
    <w:p w14:paraId="1913D1F6" w14:textId="0C41CFE7" w:rsidR="00E462B9" w:rsidRDefault="00877F7B">
      <w:pPr>
        <w:pStyle w:val="TOC2"/>
        <w:rPr>
          <w:rFonts w:asciiTheme="minorHAnsi" w:eastAsiaTheme="minorEastAsia" w:hAnsiTheme="minorHAnsi" w:cstheme="minorBidi"/>
          <w:spacing w:val="0"/>
          <w:sz w:val="22"/>
          <w:szCs w:val="22"/>
        </w:rPr>
      </w:pPr>
      <w:hyperlink w:anchor="_Toc141278619" w:history="1">
        <w:r w:rsidR="00E462B9" w:rsidRPr="004968A5">
          <w:rPr>
            <w:rStyle w:val="Hyperlink"/>
          </w:rPr>
          <w:t>Proposed timing of changes</w:t>
        </w:r>
        <w:r w:rsidR="00E462B9">
          <w:rPr>
            <w:webHidden/>
          </w:rPr>
          <w:tab/>
        </w:r>
        <w:r w:rsidR="00E462B9">
          <w:rPr>
            <w:webHidden/>
          </w:rPr>
          <w:fldChar w:fldCharType="begin"/>
        </w:r>
        <w:r w:rsidR="00E462B9">
          <w:rPr>
            <w:webHidden/>
          </w:rPr>
          <w:instrText xml:space="preserve"> PAGEREF _Toc141278619 \h </w:instrText>
        </w:r>
        <w:r w:rsidR="00E462B9">
          <w:rPr>
            <w:webHidden/>
          </w:rPr>
        </w:r>
        <w:r w:rsidR="00E462B9">
          <w:rPr>
            <w:webHidden/>
          </w:rPr>
          <w:fldChar w:fldCharType="separate"/>
        </w:r>
        <w:r w:rsidR="00E462B9">
          <w:rPr>
            <w:webHidden/>
          </w:rPr>
          <w:t>2</w:t>
        </w:r>
        <w:r w:rsidR="00E462B9">
          <w:rPr>
            <w:webHidden/>
          </w:rPr>
          <w:fldChar w:fldCharType="end"/>
        </w:r>
      </w:hyperlink>
    </w:p>
    <w:p w14:paraId="286A76BA" w14:textId="4389CFFE" w:rsidR="00E462B9" w:rsidRDefault="00877F7B">
      <w:pPr>
        <w:pStyle w:val="TOC1"/>
        <w:rPr>
          <w:rFonts w:asciiTheme="minorHAnsi" w:eastAsiaTheme="minorEastAsia" w:hAnsiTheme="minorHAnsi" w:cstheme="minorBidi"/>
          <w:b w:val="0"/>
          <w:spacing w:val="0"/>
          <w:sz w:val="22"/>
          <w:szCs w:val="22"/>
        </w:rPr>
      </w:pPr>
      <w:hyperlink w:anchor="_Toc141278620" w:history="1">
        <w:r w:rsidR="00E462B9" w:rsidRPr="004968A5">
          <w:rPr>
            <w:rStyle w:val="Hyperlink"/>
          </w:rPr>
          <w:t>Invitation to comment</w:t>
        </w:r>
        <w:r w:rsidR="00E462B9">
          <w:rPr>
            <w:webHidden/>
          </w:rPr>
          <w:tab/>
        </w:r>
        <w:r w:rsidR="00E462B9">
          <w:rPr>
            <w:webHidden/>
          </w:rPr>
          <w:fldChar w:fldCharType="begin"/>
        </w:r>
        <w:r w:rsidR="00E462B9">
          <w:rPr>
            <w:webHidden/>
          </w:rPr>
          <w:instrText xml:space="preserve"> PAGEREF _Toc141278620 \h </w:instrText>
        </w:r>
        <w:r w:rsidR="00E462B9">
          <w:rPr>
            <w:webHidden/>
          </w:rPr>
        </w:r>
        <w:r w:rsidR="00E462B9">
          <w:rPr>
            <w:webHidden/>
          </w:rPr>
          <w:fldChar w:fldCharType="separate"/>
        </w:r>
        <w:r w:rsidR="00E462B9">
          <w:rPr>
            <w:webHidden/>
          </w:rPr>
          <w:t>3</w:t>
        </w:r>
        <w:r w:rsidR="00E462B9">
          <w:rPr>
            <w:webHidden/>
          </w:rPr>
          <w:fldChar w:fldCharType="end"/>
        </w:r>
      </w:hyperlink>
    </w:p>
    <w:p w14:paraId="1759856E" w14:textId="36C1A6A7" w:rsidR="00E462B9" w:rsidRDefault="00877F7B">
      <w:pPr>
        <w:pStyle w:val="TOC2"/>
        <w:rPr>
          <w:rFonts w:asciiTheme="minorHAnsi" w:eastAsiaTheme="minorEastAsia" w:hAnsiTheme="minorHAnsi" w:cstheme="minorBidi"/>
          <w:spacing w:val="0"/>
          <w:sz w:val="22"/>
          <w:szCs w:val="22"/>
        </w:rPr>
      </w:pPr>
      <w:hyperlink w:anchor="_Toc141278621" w:history="1">
        <w:r w:rsidR="00E462B9" w:rsidRPr="004968A5">
          <w:rPr>
            <w:rStyle w:val="Hyperlink"/>
          </w:rPr>
          <w:t>Making a submission</w:t>
        </w:r>
        <w:r w:rsidR="00E462B9">
          <w:rPr>
            <w:webHidden/>
          </w:rPr>
          <w:tab/>
        </w:r>
        <w:r w:rsidR="00E462B9">
          <w:rPr>
            <w:webHidden/>
          </w:rPr>
          <w:fldChar w:fldCharType="begin"/>
        </w:r>
        <w:r w:rsidR="00E462B9">
          <w:rPr>
            <w:webHidden/>
          </w:rPr>
          <w:instrText xml:space="preserve"> PAGEREF _Toc141278621 \h </w:instrText>
        </w:r>
        <w:r w:rsidR="00E462B9">
          <w:rPr>
            <w:webHidden/>
          </w:rPr>
        </w:r>
        <w:r w:rsidR="00E462B9">
          <w:rPr>
            <w:webHidden/>
          </w:rPr>
          <w:fldChar w:fldCharType="separate"/>
        </w:r>
        <w:r w:rsidR="00E462B9">
          <w:rPr>
            <w:webHidden/>
          </w:rPr>
          <w:t>3</w:t>
        </w:r>
        <w:r w:rsidR="00E462B9">
          <w:rPr>
            <w:webHidden/>
          </w:rPr>
          <w:fldChar w:fldCharType="end"/>
        </w:r>
      </w:hyperlink>
    </w:p>
    <w:p w14:paraId="606087DA" w14:textId="2D1CA6F7" w:rsidR="00E462B9" w:rsidRDefault="00877F7B">
      <w:pPr>
        <w:pStyle w:val="TOC1"/>
        <w:rPr>
          <w:rFonts w:asciiTheme="minorHAnsi" w:eastAsiaTheme="minorEastAsia" w:hAnsiTheme="minorHAnsi" w:cstheme="minorBidi"/>
          <w:b w:val="0"/>
          <w:spacing w:val="0"/>
          <w:sz w:val="22"/>
          <w:szCs w:val="22"/>
        </w:rPr>
      </w:pPr>
      <w:hyperlink w:anchor="_Toc141278622" w:history="1">
        <w:r w:rsidR="00E462B9" w:rsidRPr="004968A5">
          <w:rPr>
            <w:rStyle w:val="Hyperlink"/>
          </w:rPr>
          <w:t>Appendix A</w:t>
        </w:r>
        <w:r w:rsidR="00E462B9">
          <w:rPr>
            <w:webHidden/>
          </w:rPr>
          <w:tab/>
        </w:r>
        <w:r w:rsidR="00E462B9">
          <w:rPr>
            <w:webHidden/>
          </w:rPr>
          <w:fldChar w:fldCharType="begin"/>
        </w:r>
        <w:r w:rsidR="00E462B9">
          <w:rPr>
            <w:webHidden/>
          </w:rPr>
          <w:instrText xml:space="preserve"> PAGEREF _Toc141278622 \h </w:instrText>
        </w:r>
        <w:r w:rsidR="00E462B9">
          <w:rPr>
            <w:webHidden/>
          </w:rPr>
        </w:r>
        <w:r w:rsidR="00E462B9">
          <w:rPr>
            <w:webHidden/>
          </w:rPr>
          <w:fldChar w:fldCharType="separate"/>
        </w:r>
        <w:r w:rsidR="00E462B9">
          <w:rPr>
            <w:webHidden/>
          </w:rPr>
          <w:t>4</w:t>
        </w:r>
        <w:r w:rsidR="00E462B9">
          <w:rPr>
            <w:webHidden/>
          </w:rPr>
          <w:fldChar w:fldCharType="end"/>
        </w:r>
      </w:hyperlink>
    </w:p>
    <w:p w14:paraId="28B14DF9" w14:textId="77777777" w:rsidR="00B952C3" w:rsidRPr="000D76E0" w:rsidRDefault="00B952C3" w:rsidP="00B952C3">
      <w:pPr>
        <w:rPr>
          <w:rFonts w:cs="Arial"/>
        </w:rPr>
        <w:sectPr w:rsidR="00B952C3"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350914D6" w14:textId="77777777" w:rsidR="00B952C3" w:rsidRPr="009174F3" w:rsidRDefault="00B952C3" w:rsidP="00B952C3">
      <w:pPr>
        <w:pStyle w:val="Heading1"/>
      </w:pPr>
      <w:bookmarkStart w:id="0" w:name="_Toc141278615"/>
      <w:r>
        <w:lastRenderedPageBreak/>
        <w:t>Updates to spectrum licence taxes</w:t>
      </w:r>
      <w:bookmarkEnd w:id="0"/>
    </w:p>
    <w:p w14:paraId="3871253E" w14:textId="77777777" w:rsidR="00B952C3" w:rsidRPr="00791C17" w:rsidRDefault="00B952C3" w:rsidP="00B952C3">
      <w:pPr>
        <w:pStyle w:val="Heading2"/>
      </w:pPr>
      <w:bookmarkStart w:id="1" w:name="_Toc141278616"/>
      <w:bookmarkStart w:id="2" w:name="_Toc433122125"/>
      <w:r w:rsidRPr="00791C17">
        <w:t>What are spectrum licence taxes?</w:t>
      </w:r>
      <w:bookmarkEnd w:id="1"/>
    </w:p>
    <w:p w14:paraId="4BB8E763" w14:textId="2B5D9B3F" w:rsidR="006D486A" w:rsidRDefault="00B952C3" w:rsidP="00744CF2">
      <w:pPr>
        <w:pStyle w:val="Paragraph"/>
      </w:pPr>
      <w:r w:rsidRPr="00791C17">
        <w:t xml:space="preserve">Each year on 11 October, the </w:t>
      </w:r>
      <w:hyperlink r:id="rId24" w:history="1">
        <w:r w:rsidRPr="00592B27">
          <w:rPr>
            <w:rStyle w:val="Hyperlink"/>
            <w:i/>
            <w:iCs/>
            <w:szCs w:val="20"/>
          </w:rPr>
          <w:t>Radiocommunications (Spectrum Licence Tax) Act 1997</w:t>
        </w:r>
      </w:hyperlink>
      <w:r>
        <w:t xml:space="preserve"> </w:t>
      </w:r>
      <w:r w:rsidRPr="00791C17">
        <w:t>imposes a spectrum licence tax</w:t>
      </w:r>
      <w:r>
        <w:t xml:space="preserve"> </w:t>
      </w:r>
      <w:r w:rsidR="00990F4F">
        <w:t>on spectrum licensees</w:t>
      </w:r>
      <w:r>
        <w:t xml:space="preserve">. The Australian Communications and Media Authority (ACMA) determines the amount of </w:t>
      </w:r>
      <w:r w:rsidR="006D486A">
        <w:t xml:space="preserve">tax </w:t>
      </w:r>
      <w:r>
        <w:t>imposed</w:t>
      </w:r>
      <w:r w:rsidRPr="00791C17">
        <w:t xml:space="preserve">, in the </w:t>
      </w:r>
      <w:hyperlink r:id="rId25" w:history="1">
        <w:r w:rsidRPr="00D90D5F">
          <w:rPr>
            <w:rStyle w:val="Hyperlink"/>
            <w:szCs w:val="20"/>
          </w:rPr>
          <w:t>Radiocommunications (Spectrum Licence Tax) Determination 2021</w:t>
        </w:r>
      </w:hyperlink>
      <w:r w:rsidRPr="00D90D5F">
        <w:t xml:space="preserve"> (the </w:t>
      </w:r>
      <w:r>
        <w:t xml:space="preserve">SLT </w:t>
      </w:r>
      <w:r w:rsidRPr="00D90D5F">
        <w:t>Determination)</w:t>
      </w:r>
      <w:r>
        <w:t>.</w:t>
      </w:r>
      <w:r w:rsidRPr="00791C17">
        <w:t xml:space="preserve"> </w:t>
      </w:r>
    </w:p>
    <w:p w14:paraId="67AE8AA5" w14:textId="49486817" w:rsidR="00B952C3" w:rsidRPr="00361ECC" w:rsidRDefault="00B952C3" w:rsidP="00E562E8">
      <w:pPr>
        <w:spacing w:after="80"/>
        <w:rPr>
          <w:szCs w:val="20"/>
        </w:rPr>
      </w:pPr>
      <w:r w:rsidRPr="00361ECC">
        <w:rPr>
          <w:szCs w:val="20"/>
        </w:rPr>
        <w:t xml:space="preserve">The amount of </w:t>
      </w:r>
      <w:r w:rsidR="006D486A" w:rsidRPr="00791C17">
        <w:rPr>
          <w:szCs w:val="20"/>
        </w:rPr>
        <w:t>spectrum licence tax</w:t>
      </w:r>
      <w:r w:rsidR="006D486A">
        <w:rPr>
          <w:szCs w:val="20"/>
        </w:rPr>
        <w:t xml:space="preserve"> is</w:t>
      </w:r>
      <w:r w:rsidRPr="00361ECC">
        <w:rPr>
          <w:szCs w:val="20"/>
        </w:rPr>
        <w:t xml:space="preserve"> determined to allow the ACMA to:</w:t>
      </w:r>
    </w:p>
    <w:p w14:paraId="2E09D4F4" w14:textId="79CE1444" w:rsidR="00B952C3" w:rsidRPr="00D30318" w:rsidRDefault="00B952C3" w:rsidP="00E562E8">
      <w:pPr>
        <w:pStyle w:val="Bulletlevel1"/>
      </w:pPr>
      <w:r w:rsidRPr="00D30318">
        <w:t>recover the indirect costs of spectrum management activities</w:t>
      </w:r>
      <w:r>
        <w:t>,</w:t>
      </w:r>
      <w:r w:rsidRPr="00D30318">
        <w:t xml:space="preserve"> such as international coordination, domestic planning, interference investigation and policy development from spectrum licensees</w:t>
      </w:r>
      <w:r>
        <w:t>. In the SLT Determination</w:t>
      </w:r>
      <w:r w:rsidR="006D486A">
        <w:t>,</w:t>
      </w:r>
      <w:r>
        <w:t xml:space="preserve"> these indirect costs are referred to as the </w:t>
      </w:r>
      <w:r w:rsidR="007D06C0">
        <w:t>‘</w:t>
      </w:r>
      <w:r>
        <w:t>Main Component</w:t>
      </w:r>
      <w:proofErr w:type="gramStart"/>
      <w:r w:rsidR="007D06C0">
        <w:t>’</w:t>
      </w:r>
      <w:r w:rsidR="006D486A">
        <w:t>.</w:t>
      </w:r>
      <w:proofErr w:type="gramEnd"/>
    </w:p>
    <w:p w14:paraId="4A3B5587" w14:textId="2F8F4A53" w:rsidR="00B952C3" w:rsidRPr="00D30318" w:rsidRDefault="003807E7" w:rsidP="00E562E8">
      <w:pPr>
        <w:pStyle w:val="Bulletlevel1"/>
        <w:spacing w:after="240"/>
      </w:pPr>
      <w:r w:rsidRPr="00FE7796">
        <w:t>recover</w:t>
      </w:r>
      <w:r w:rsidRPr="00D30318">
        <w:t xml:space="preserve"> costs related to the Commonwealth’s electromagnetic energy (EME) program</w:t>
      </w:r>
      <w:r w:rsidR="007549DC">
        <w:t xml:space="preserve"> </w:t>
      </w:r>
      <w:r w:rsidR="00B952C3">
        <w:t xml:space="preserve">in accordance with </w:t>
      </w:r>
      <w:r w:rsidR="00B952C3" w:rsidRPr="00FE7796">
        <w:t xml:space="preserve">the </w:t>
      </w:r>
      <w:hyperlink r:id="rId26" w:history="1">
        <w:r w:rsidR="00B952C3" w:rsidRPr="006201E5">
          <w:rPr>
            <w:rStyle w:val="Hyperlink"/>
          </w:rPr>
          <w:t>Australian Communications and Media Authority (Modifications to Apparatus and Spectrum Licences Taxes) Direction 2020</w:t>
        </w:r>
      </w:hyperlink>
      <w:r w:rsidR="00B952C3" w:rsidRPr="006201E5">
        <w:t xml:space="preserve"> (the Direction)</w:t>
      </w:r>
      <w:r w:rsidR="00B952C3" w:rsidRPr="00D30318">
        <w:t xml:space="preserve">. </w:t>
      </w:r>
      <w:r w:rsidR="00B952C3">
        <w:t xml:space="preserve">In the SLT Determination, these costs are referred to as the </w:t>
      </w:r>
      <w:r w:rsidR="007D06C0">
        <w:t>‘</w:t>
      </w:r>
      <w:r w:rsidR="00B952C3">
        <w:t>EME Component</w:t>
      </w:r>
      <w:proofErr w:type="gramStart"/>
      <w:r w:rsidR="007D06C0">
        <w:t>’</w:t>
      </w:r>
      <w:r w:rsidR="00B952C3">
        <w:t>.</w:t>
      </w:r>
      <w:proofErr w:type="gramEnd"/>
      <w:r w:rsidR="00B952C3">
        <w:t xml:space="preserve"> </w:t>
      </w:r>
    </w:p>
    <w:p w14:paraId="614D016B" w14:textId="252A0AB5" w:rsidR="00B952C3" w:rsidRPr="002D2BB9" w:rsidRDefault="006D486A" w:rsidP="00B952C3">
      <w:pPr>
        <w:rPr>
          <w:szCs w:val="20"/>
        </w:rPr>
      </w:pPr>
      <w:r>
        <w:rPr>
          <w:szCs w:val="20"/>
        </w:rPr>
        <w:t xml:space="preserve">Find out more </w:t>
      </w:r>
      <w:r w:rsidR="00B952C3" w:rsidRPr="00704AC4">
        <w:rPr>
          <w:szCs w:val="20"/>
        </w:rPr>
        <w:t xml:space="preserve">about the </w:t>
      </w:r>
      <w:hyperlink r:id="rId27" w:history="1">
        <w:r w:rsidR="00B952C3" w:rsidRPr="006D486A">
          <w:rPr>
            <w:rStyle w:val="Hyperlink"/>
            <w:szCs w:val="20"/>
          </w:rPr>
          <w:t xml:space="preserve">calculation of </w:t>
        </w:r>
        <w:r w:rsidRPr="006D486A">
          <w:rPr>
            <w:rStyle w:val="Hyperlink"/>
          </w:rPr>
          <w:t>spectrum licence tax</w:t>
        </w:r>
      </w:hyperlink>
      <w:r w:rsidR="00B952C3" w:rsidRPr="00704AC4">
        <w:rPr>
          <w:szCs w:val="20"/>
        </w:rPr>
        <w:t>.</w:t>
      </w:r>
    </w:p>
    <w:p w14:paraId="623C5CDB" w14:textId="58E990BA" w:rsidR="00B952C3" w:rsidRDefault="00B952C3" w:rsidP="00B952C3">
      <w:pPr>
        <w:pStyle w:val="Heading2"/>
      </w:pPr>
      <w:bookmarkStart w:id="3" w:name="_Toc141278617"/>
      <w:r>
        <w:t>2023</w:t>
      </w:r>
      <w:r w:rsidR="005455F4">
        <w:rPr>
          <w:color w:val="000000"/>
          <w:sz w:val="27"/>
          <w:szCs w:val="27"/>
        </w:rPr>
        <w:t>–</w:t>
      </w:r>
      <w:r>
        <w:t xml:space="preserve">24 indexation of the EME component of the </w:t>
      </w:r>
      <w:r w:rsidR="006D486A">
        <w:t>spectrum licence tax</w:t>
      </w:r>
      <w:bookmarkEnd w:id="3"/>
    </w:p>
    <w:p w14:paraId="40C3287B" w14:textId="38DBC57D" w:rsidR="00B952C3" w:rsidRDefault="00B952C3" w:rsidP="00B952C3">
      <w:pPr>
        <w:pStyle w:val="Paragraph"/>
      </w:pPr>
      <w:r>
        <w:t>The ACMA introduced the EME Component of the</w:t>
      </w:r>
      <w:r w:rsidR="006D486A">
        <w:rPr>
          <w:u w:color="0000FF"/>
        </w:rPr>
        <w:t xml:space="preserve"> spectrum licence tax</w:t>
      </w:r>
      <w:r>
        <w:t xml:space="preserve"> in </w:t>
      </w:r>
      <w:r w:rsidR="001A416E" w:rsidRPr="00BD79E3">
        <w:t>2020</w:t>
      </w:r>
      <w:r w:rsidR="001A416E" w:rsidRPr="003E6ED0">
        <w:t xml:space="preserve"> </w:t>
      </w:r>
      <w:r>
        <w:t xml:space="preserve">after the </w:t>
      </w:r>
      <w:r w:rsidR="00F23BAA">
        <w:t>Direction</w:t>
      </w:r>
      <w:r>
        <w:t xml:space="preserve"> was made.</w:t>
      </w:r>
      <w:r w:rsidR="003B30F0">
        <w:rPr>
          <w:rStyle w:val="FootnoteReference"/>
        </w:rPr>
        <w:footnoteReference w:id="2"/>
      </w:r>
      <w:r>
        <w:t xml:space="preserve"> In accordance with the Direction, for the first 3 financial years of operation of the EME Component (2020</w:t>
      </w:r>
      <w:r w:rsidR="006A3A92" w:rsidRPr="00F4253D">
        <w:rPr>
          <w:color w:val="000000"/>
          <w:szCs w:val="20"/>
        </w:rPr>
        <w:t>–</w:t>
      </w:r>
      <w:r>
        <w:t>2021 to 2022</w:t>
      </w:r>
      <w:r w:rsidR="006A3A92" w:rsidRPr="00F4253D">
        <w:rPr>
          <w:color w:val="000000"/>
          <w:szCs w:val="20"/>
        </w:rPr>
        <w:t>–</w:t>
      </w:r>
      <w:r>
        <w:t>23)</w:t>
      </w:r>
      <w:r w:rsidR="005F71F0">
        <w:t>,</w:t>
      </w:r>
      <w:r>
        <w:t xml:space="preserve"> the ACMA collected not more than $2.6 million each year for the EME Component </w:t>
      </w:r>
      <w:r w:rsidR="00B15A26">
        <w:t>from the majority of spectrum licensees.</w:t>
      </w:r>
      <w:r>
        <w:t xml:space="preserve"> In 2023</w:t>
      </w:r>
      <w:r w:rsidR="00C470AE" w:rsidRPr="00E43A58">
        <w:rPr>
          <w:color w:val="000000"/>
          <w:szCs w:val="20"/>
        </w:rPr>
        <w:t>–</w:t>
      </w:r>
      <w:r>
        <w:t xml:space="preserve">24 and each subsequent </w:t>
      </w:r>
      <w:proofErr w:type="gramStart"/>
      <w:r>
        <w:t>financial year</w:t>
      </w:r>
      <w:proofErr w:type="gramEnd"/>
      <w:r>
        <w:t xml:space="preserve">, the Direction requires the ACMA to collect EME Components totalling </w:t>
      </w:r>
      <w:r w:rsidR="006D486A">
        <w:t xml:space="preserve">no </w:t>
      </w:r>
      <w:r>
        <w:t>more than $1.</w:t>
      </w:r>
      <w:r w:rsidR="006D486A">
        <w:t>9 </w:t>
      </w:r>
      <w:r>
        <w:t xml:space="preserve">million, indexed by no more than </w:t>
      </w:r>
      <w:r>
        <w:rPr>
          <w:color w:val="000000"/>
          <w:shd w:val="clear" w:color="auto" w:fill="FFFFFF"/>
        </w:rPr>
        <w:t>the Consumer Price Index (CPI) for the reference period of June for the applicable year.</w:t>
      </w:r>
      <w:r>
        <w:rPr>
          <w:rStyle w:val="FootnoteReference"/>
          <w:color w:val="000000"/>
          <w:shd w:val="clear" w:color="auto" w:fill="FFFFFF"/>
        </w:rPr>
        <w:footnoteReference w:id="3"/>
      </w:r>
      <w:r>
        <w:rPr>
          <w:color w:val="000000"/>
          <w:shd w:val="clear" w:color="auto" w:fill="FFFFFF"/>
        </w:rPr>
        <w:t xml:space="preserve"> </w:t>
      </w:r>
    </w:p>
    <w:p w14:paraId="19F4D83E" w14:textId="57673E43" w:rsidR="00B952C3" w:rsidRPr="000375D6" w:rsidRDefault="00B952C3" w:rsidP="00B952C3">
      <w:pPr>
        <w:pStyle w:val="Paragraph"/>
      </w:pPr>
      <w:r w:rsidRPr="002E03FC">
        <w:t xml:space="preserve">The CPI for the June period </w:t>
      </w:r>
      <w:r w:rsidRPr="000375D6">
        <w:t xml:space="preserve">is </w:t>
      </w:r>
      <w:r w:rsidR="00BA6F5E" w:rsidRPr="000375D6">
        <w:t>6.0</w:t>
      </w:r>
      <w:r w:rsidRPr="000375D6">
        <w:t>%.</w:t>
      </w:r>
      <w:r w:rsidRPr="000375D6">
        <w:rPr>
          <w:rStyle w:val="FootnoteReference"/>
        </w:rPr>
        <w:footnoteReference w:id="4"/>
      </w:r>
      <w:r w:rsidRPr="000375D6">
        <w:t xml:space="preserve"> Based on this figure</w:t>
      </w:r>
      <w:r w:rsidR="006D486A">
        <w:t>,</w:t>
      </w:r>
      <w:r w:rsidRPr="000375D6">
        <w:t xml:space="preserve"> the CPI-adjusted EME </w:t>
      </w:r>
      <w:r w:rsidR="00604B4A" w:rsidRPr="000375D6">
        <w:t>C</w:t>
      </w:r>
      <w:r w:rsidRPr="000375D6">
        <w:t>omponent for the 2023</w:t>
      </w:r>
      <w:r w:rsidR="006A3A92" w:rsidRPr="000375D6">
        <w:rPr>
          <w:color w:val="000000"/>
          <w:szCs w:val="20"/>
        </w:rPr>
        <w:t>–</w:t>
      </w:r>
      <w:r w:rsidRPr="000375D6">
        <w:t>24 period is $</w:t>
      </w:r>
      <w:r w:rsidR="00327A82" w:rsidRPr="000375D6">
        <w:t xml:space="preserve">2,014,000 </w:t>
      </w:r>
      <w:r w:rsidRPr="000375D6">
        <w:t>(</w:t>
      </w:r>
      <w:r w:rsidR="007D06C0" w:rsidRPr="000375D6">
        <w:t>that is</w:t>
      </w:r>
      <w:r w:rsidR="0072730F" w:rsidRPr="000375D6">
        <w:t>,</w:t>
      </w:r>
      <w:r w:rsidRPr="000375D6">
        <w:t xml:space="preserve"> $1,900,000 multiplied by 1.</w:t>
      </w:r>
      <w:r w:rsidR="00BA6F5E" w:rsidRPr="000375D6">
        <w:t xml:space="preserve">06 </w:t>
      </w:r>
      <w:r w:rsidR="003A68D2" w:rsidRPr="000375D6">
        <w:t>and rounded down to the nearest $</w:t>
      </w:r>
      <w:r w:rsidR="002E23E5" w:rsidRPr="000375D6">
        <w:t>1,000</w:t>
      </w:r>
      <w:r w:rsidRPr="000375D6">
        <w:t xml:space="preserve">). </w:t>
      </w:r>
    </w:p>
    <w:p w14:paraId="105C546D" w14:textId="62342AF8" w:rsidR="00B952C3" w:rsidRDefault="00B952C3" w:rsidP="00B952C3">
      <w:pPr>
        <w:pStyle w:val="Paragraph"/>
      </w:pPr>
      <w:r w:rsidRPr="000375D6">
        <w:t>As the Direction requires the ACMA to collect no more than $1.9 million indexed by the CPI, to implement the indexation of the total EME Components for the 2023</w:t>
      </w:r>
      <w:r w:rsidR="006A3A92" w:rsidRPr="000375D6">
        <w:rPr>
          <w:color w:val="000000"/>
          <w:szCs w:val="20"/>
        </w:rPr>
        <w:t>–</w:t>
      </w:r>
      <w:r w:rsidRPr="000375D6">
        <w:t xml:space="preserve">24 </w:t>
      </w:r>
      <w:proofErr w:type="gramStart"/>
      <w:r w:rsidRPr="000375D6">
        <w:t>financial year</w:t>
      </w:r>
      <w:proofErr w:type="gramEnd"/>
      <w:r w:rsidRPr="000375D6">
        <w:t xml:space="preserve">, </w:t>
      </w:r>
      <w:r w:rsidR="006D486A">
        <w:t>we are</w:t>
      </w:r>
      <w:r w:rsidRPr="000375D6">
        <w:t xml:space="preserve"> proposing to amend the SLT Determination so that the ACMA collects no more than </w:t>
      </w:r>
      <w:r w:rsidR="00260F0D" w:rsidRPr="000375D6">
        <w:t>$2,014,000</w:t>
      </w:r>
      <w:r w:rsidRPr="000375D6">
        <w:t xml:space="preserve"> in total EME</w:t>
      </w:r>
      <w:r w:rsidRPr="002E03FC">
        <w:t xml:space="preserve"> Components.</w:t>
      </w:r>
    </w:p>
    <w:p w14:paraId="5428FB39" w14:textId="77777777" w:rsidR="00B952C3" w:rsidRDefault="00B952C3" w:rsidP="00B952C3">
      <w:pPr>
        <w:pStyle w:val="Paragraph"/>
        <w:ind w:firstLine="284"/>
      </w:pPr>
    </w:p>
    <w:p w14:paraId="433A932C" w14:textId="77777777" w:rsidR="00B952C3" w:rsidRDefault="00B952C3" w:rsidP="00B952C3">
      <w:pPr>
        <w:pStyle w:val="Heading2"/>
      </w:pPr>
      <w:bookmarkStart w:id="4" w:name="_Toc141278618"/>
      <w:r>
        <w:lastRenderedPageBreak/>
        <w:t>Other changes to the SLT Determination</w:t>
      </w:r>
      <w:bookmarkEnd w:id="4"/>
    </w:p>
    <w:p w14:paraId="392CD42E" w14:textId="0BF87C0D" w:rsidR="00B952C3" w:rsidRDefault="00B952C3" w:rsidP="00B952C3">
      <w:pPr>
        <w:pStyle w:val="Heading3"/>
      </w:pPr>
      <w:r>
        <w:t>Base amounts for the 3700</w:t>
      </w:r>
      <w:r w:rsidR="006A3A92" w:rsidRPr="009E34A6">
        <w:rPr>
          <w:color w:val="000000"/>
          <w:szCs w:val="20"/>
        </w:rPr>
        <w:t>–</w:t>
      </w:r>
      <w:r>
        <w:t xml:space="preserve">3800 MHz band </w:t>
      </w:r>
    </w:p>
    <w:p w14:paraId="07D4B059" w14:textId="559BB7A0" w:rsidR="00B952C3" w:rsidRDefault="00B952C3" w:rsidP="00B952C3">
      <w:pPr>
        <w:pStyle w:val="ListBullet"/>
        <w:numPr>
          <w:ilvl w:val="0"/>
          <w:numId w:val="0"/>
        </w:numPr>
      </w:pPr>
      <w:r>
        <w:t xml:space="preserve">At the same time as making the changes to the EME Component of the </w:t>
      </w:r>
      <w:r w:rsidR="006D486A">
        <w:t>spectrum licence tax</w:t>
      </w:r>
      <w:r>
        <w:t xml:space="preserve">, </w:t>
      </w:r>
      <w:r w:rsidR="006D486A">
        <w:t>we</w:t>
      </w:r>
      <w:r>
        <w:t xml:space="preserve"> expect to make changes to the SLT base amounts table ahead of the 3.4/3.7 GHz auction, which</w:t>
      </w:r>
      <w:r w:rsidR="000763C1">
        <w:t xml:space="preserve">, as noted in the ACMA’s </w:t>
      </w:r>
      <w:hyperlink r:id="rId28" w:history="1">
        <w:r w:rsidR="00BD68BF" w:rsidRPr="00BD68BF">
          <w:rPr>
            <w:rStyle w:val="Hyperlink"/>
          </w:rPr>
          <w:t>Auction guide</w:t>
        </w:r>
      </w:hyperlink>
      <w:r w:rsidR="0030116F" w:rsidRPr="009E34A6">
        <w:rPr>
          <w:rStyle w:val="Hyperlink"/>
          <w:color w:val="000000" w:themeColor="text1"/>
          <w:u w:val="none"/>
        </w:rPr>
        <w:t xml:space="preserve">, </w:t>
      </w:r>
      <w:r w:rsidR="00042167" w:rsidRPr="009E34A6">
        <w:rPr>
          <w:rStyle w:val="Hyperlink"/>
          <w:color w:val="000000" w:themeColor="text1"/>
          <w:u w:val="none"/>
        </w:rPr>
        <w:t>is estimated to commence late-</w:t>
      </w:r>
      <w:r>
        <w:t xml:space="preserve">October 2023. The ACMA </w:t>
      </w:r>
      <w:hyperlink r:id="rId29" w:history="1">
        <w:r w:rsidRPr="00AC0BAB">
          <w:rPr>
            <w:rStyle w:val="Hyperlink"/>
          </w:rPr>
          <w:t>consulted</w:t>
        </w:r>
      </w:hyperlink>
      <w:r>
        <w:t xml:space="preserve"> on this </w:t>
      </w:r>
      <w:r w:rsidR="001F7517">
        <w:t xml:space="preserve">proposal </w:t>
      </w:r>
      <w:r>
        <w:t>in February and March 2023, and sought comments on the proposal to change item 9 of clause 2 of Schedule 1 of SLT Determination</w:t>
      </w:r>
      <w:r>
        <w:rPr>
          <w:rStyle w:val="FootnoteReference"/>
        </w:rPr>
        <w:footnoteReference w:id="5"/>
      </w:r>
      <w:r w:rsidR="008430F1">
        <w:t xml:space="preserve"> to</w:t>
      </w:r>
      <w:r>
        <w:t xml:space="preserve">: </w:t>
      </w:r>
    </w:p>
    <w:p w14:paraId="057DEC53" w14:textId="59C10969" w:rsidR="00B952C3" w:rsidRDefault="00B952C3" w:rsidP="002E4D6B">
      <w:pPr>
        <w:pStyle w:val="Bulletlevel1"/>
      </w:pPr>
      <w:r>
        <w:t>amend the frequency range from 3400–3700 MHz to 3400–3800 MHz</w:t>
      </w:r>
    </w:p>
    <w:p w14:paraId="4ADFE326" w14:textId="7B0174DF" w:rsidR="00B952C3" w:rsidRDefault="00B952C3" w:rsidP="002E4D6B">
      <w:pPr>
        <w:pStyle w:val="Bulletlevel1last"/>
      </w:pPr>
      <w:r>
        <w:t>change the base amount from $166,032 to $221,376, to reflect the change in the frequency range.</w:t>
      </w:r>
    </w:p>
    <w:p w14:paraId="0A1A0F16" w14:textId="2464D55D" w:rsidR="00B952C3" w:rsidRPr="00AC0DF8" w:rsidRDefault="00B952C3" w:rsidP="00B952C3">
      <w:pPr>
        <w:pStyle w:val="ListBullet"/>
        <w:numPr>
          <w:ilvl w:val="0"/>
          <w:numId w:val="0"/>
        </w:numPr>
      </w:pPr>
      <w:r>
        <w:t>Appendix A of this paper displays the proposed change</w:t>
      </w:r>
      <w:r w:rsidR="00153F83">
        <w:t xml:space="preserve"> relevant to 3400</w:t>
      </w:r>
      <w:r w:rsidR="00454D23">
        <w:t>–</w:t>
      </w:r>
      <w:r w:rsidR="00153F83">
        <w:t>3800 MHz</w:t>
      </w:r>
      <w:r>
        <w:t xml:space="preserve">. The increase in the base amount is to ensure that the winners of spectrum licences in the </w:t>
      </w:r>
      <w:r w:rsidR="00EC3120">
        <w:t xml:space="preserve">forthcoming auction of spectrum licences </w:t>
      </w:r>
      <w:r w:rsidR="00953088">
        <w:t xml:space="preserve">in the </w:t>
      </w:r>
      <w:r>
        <w:t xml:space="preserve">3700–3800 MHz frequency range pay the equivalent </w:t>
      </w:r>
      <w:r w:rsidR="006D486A">
        <w:t xml:space="preserve">spectrum licence tax </w:t>
      </w:r>
      <w:r w:rsidR="00CE10DA">
        <w:t>to</w:t>
      </w:r>
      <w:r>
        <w:t xml:space="preserve"> those with spectrum licences in the 3400–3700 MHz frequency range. The change in the base amount will not increase the </w:t>
      </w:r>
      <w:r w:rsidR="006D486A">
        <w:t xml:space="preserve">tax </w:t>
      </w:r>
      <w:r>
        <w:t xml:space="preserve">for existing spectrum licences in the 3400–3700 MHz frequency range. </w:t>
      </w:r>
      <w:r w:rsidRPr="00B74C26">
        <w:t>No concerns were raised</w:t>
      </w:r>
      <w:r>
        <w:t xml:space="preserve"> in the submissions</w:t>
      </w:r>
      <w:r w:rsidRPr="00B74C26">
        <w:t>.</w:t>
      </w:r>
    </w:p>
    <w:p w14:paraId="24C17026" w14:textId="79AF9B91" w:rsidR="00B952C3" w:rsidRDefault="00B952C3" w:rsidP="00B952C3">
      <w:pPr>
        <w:pStyle w:val="Heading2"/>
      </w:pPr>
      <w:bookmarkStart w:id="5" w:name="_Toc141278619"/>
      <w:r>
        <w:t>Proposed timing of changes</w:t>
      </w:r>
      <w:bookmarkEnd w:id="5"/>
      <w:r>
        <w:t xml:space="preserve"> </w:t>
      </w:r>
    </w:p>
    <w:p w14:paraId="2BF81B47" w14:textId="58E09ECF" w:rsidR="00B952C3" w:rsidRDefault="00B952C3" w:rsidP="00B952C3">
      <w:pPr>
        <w:pStyle w:val="Paragraph"/>
        <w:rPr>
          <w:color w:val="000000"/>
          <w:shd w:val="clear" w:color="auto" w:fill="FFFFFF"/>
        </w:rPr>
      </w:pPr>
      <w:r>
        <w:t>The Direction requires that changes to the indexation of the total EME Component must be made no later than 20 days before 11 October</w:t>
      </w:r>
      <w:r>
        <w:rPr>
          <w:color w:val="000000"/>
          <w:shd w:val="clear" w:color="auto" w:fill="FFFFFF"/>
        </w:rPr>
        <w:t xml:space="preserve"> for the applicable </w:t>
      </w:r>
      <w:proofErr w:type="gramStart"/>
      <w:r>
        <w:rPr>
          <w:color w:val="000000"/>
          <w:shd w:val="clear" w:color="auto" w:fill="FFFFFF"/>
        </w:rPr>
        <w:t>financial year</w:t>
      </w:r>
      <w:proofErr w:type="gramEnd"/>
      <w:r>
        <w:rPr>
          <w:rStyle w:val="FootnoteReference"/>
          <w:color w:val="000000"/>
          <w:shd w:val="clear" w:color="auto" w:fill="FFFFFF"/>
        </w:rPr>
        <w:footnoteReference w:id="6"/>
      </w:r>
      <w:r>
        <w:rPr>
          <w:color w:val="000000"/>
          <w:shd w:val="clear" w:color="auto" w:fill="FFFFFF"/>
        </w:rPr>
        <w:t xml:space="preserve"> </w:t>
      </w:r>
      <w:r w:rsidR="006D486A">
        <w:rPr>
          <w:color w:val="000000"/>
          <w:shd w:val="clear" w:color="auto" w:fill="FFFFFF"/>
        </w:rPr>
        <w:t xml:space="preserve">– </w:t>
      </w:r>
      <w:r w:rsidR="00BD68BF">
        <w:rPr>
          <w:color w:val="000000"/>
          <w:shd w:val="clear" w:color="auto" w:fill="FFFFFF"/>
        </w:rPr>
        <w:t>that is</w:t>
      </w:r>
      <w:r w:rsidR="00454D23">
        <w:rPr>
          <w:color w:val="000000"/>
          <w:shd w:val="clear" w:color="auto" w:fill="FFFFFF"/>
        </w:rPr>
        <w:t>,</w:t>
      </w:r>
      <w:r>
        <w:rPr>
          <w:color w:val="000000"/>
          <w:shd w:val="clear" w:color="auto" w:fill="FFFFFF"/>
        </w:rPr>
        <w:t xml:space="preserve"> before 21 September 2023</w:t>
      </w:r>
      <w:r w:rsidR="00CE10DA">
        <w:rPr>
          <w:color w:val="000000"/>
          <w:shd w:val="clear" w:color="auto" w:fill="FFFFFF"/>
        </w:rPr>
        <w:t xml:space="preserve"> for the 2023</w:t>
      </w:r>
      <w:r w:rsidR="006A3A92" w:rsidRPr="00C02E70">
        <w:rPr>
          <w:color w:val="000000"/>
          <w:szCs w:val="20"/>
        </w:rPr>
        <w:t>–</w:t>
      </w:r>
      <w:r w:rsidR="00CE10DA">
        <w:rPr>
          <w:color w:val="000000"/>
          <w:shd w:val="clear" w:color="auto" w:fill="FFFFFF"/>
        </w:rPr>
        <w:t>24 financial year</w:t>
      </w:r>
      <w:r>
        <w:rPr>
          <w:color w:val="000000"/>
          <w:shd w:val="clear" w:color="auto" w:fill="FFFFFF"/>
        </w:rPr>
        <w:t xml:space="preserve">. </w:t>
      </w:r>
    </w:p>
    <w:p w14:paraId="75B0F3FF" w14:textId="37AAC5B8" w:rsidR="00B952C3" w:rsidRDefault="00950713" w:rsidP="006F7A8B">
      <w:pPr>
        <w:pStyle w:val="Paragraph"/>
      </w:pPr>
      <w:r>
        <w:rPr>
          <w:color w:val="000000"/>
          <w:shd w:val="clear" w:color="auto" w:fill="FFFFFF"/>
        </w:rPr>
        <w:t xml:space="preserve">Subject to feedback received </w:t>
      </w:r>
      <w:r w:rsidR="006D486A">
        <w:rPr>
          <w:color w:val="000000"/>
          <w:shd w:val="clear" w:color="auto" w:fill="FFFFFF"/>
        </w:rPr>
        <w:t xml:space="preserve">for </w:t>
      </w:r>
      <w:r w:rsidR="00CE10DA">
        <w:rPr>
          <w:color w:val="000000"/>
          <w:shd w:val="clear" w:color="auto" w:fill="FFFFFF"/>
        </w:rPr>
        <w:t>this</w:t>
      </w:r>
      <w:r>
        <w:rPr>
          <w:color w:val="000000"/>
          <w:shd w:val="clear" w:color="auto" w:fill="FFFFFF"/>
        </w:rPr>
        <w:t xml:space="preserve"> consultation, </w:t>
      </w:r>
      <w:r w:rsidR="006D486A">
        <w:rPr>
          <w:color w:val="000000"/>
          <w:shd w:val="clear" w:color="auto" w:fill="FFFFFF"/>
        </w:rPr>
        <w:t>we</w:t>
      </w:r>
      <w:r w:rsidR="00B952C3">
        <w:rPr>
          <w:color w:val="000000"/>
          <w:shd w:val="clear" w:color="auto" w:fill="FFFFFF"/>
        </w:rPr>
        <w:t xml:space="preserve"> plan to make </w:t>
      </w:r>
      <w:r w:rsidR="006F1C8E">
        <w:rPr>
          <w:color w:val="000000"/>
          <w:shd w:val="clear" w:color="auto" w:fill="FFFFFF"/>
        </w:rPr>
        <w:t>any</w:t>
      </w:r>
      <w:r w:rsidR="00B952C3">
        <w:rPr>
          <w:color w:val="000000"/>
          <w:shd w:val="clear" w:color="auto" w:fill="FFFFFF"/>
        </w:rPr>
        <w:t xml:space="preserve"> change</w:t>
      </w:r>
      <w:r w:rsidR="006F1C8E">
        <w:rPr>
          <w:color w:val="000000"/>
          <w:shd w:val="clear" w:color="auto" w:fill="FFFFFF"/>
        </w:rPr>
        <w:t>s</w:t>
      </w:r>
      <w:r w:rsidR="00B952C3">
        <w:rPr>
          <w:color w:val="000000"/>
          <w:shd w:val="clear" w:color="auto" w:fill="FFFFFF"/>
        </w:rPr>
        <w:t xml:space="preserve"> before 21 September 2023,</w:t>
      </w:r>
      <w:r w:rsidR="00CE10DA">
        <w:rPr>
          <w:color w:val="000000"/>
          <w:shd w:val="clear" w:color="auto" w:fill="FFFFFF"/>
        </w:rPr>
        <w:t xml:space="preserve"> and</w:t>
      </w:r>
      <w:r w:rsidR="00B952C3">
        <w:rPr>
          <w:color w:val="000000"/>
          <w:shd w:val="clear" w:color="auto" w:fill="FFFFFF"/>
        </w:rPr>
        <w:t xml:space="preserve"> as soon as practicable after this consultation</w:t>
      </w:r>
      <w:r w:rsidR="00CE10DA">
        <w:rPr>
          <w:color w:val="000000"/>
          <w:shd w:val="clear" w:color="auto" w:fill="FFFFFF"/>
        </w:rPr>
        <w:t xml:space="preserve"> </w:t>
      </w:r>
      <w:r w:rsidR="006D486A">
        <w:rPr>
          <w:color w:val="000000"/>
          <w:shd w:val="clear" w:color="auto" w:fill="FFFFFF"/>
        </w:rPr>
        <w:t>ends</w:t>
      </w:r>
      <w:r w:rsidR="00B952C3">
        <w:rPr>
          <w:color w:val="000000"/>
          <w:shd w:val="clear" w:color="auto" w:fill="FFFFFF"/>
        </w:rPr>
        <w:t xml:space="preserve">. </w:t>
      </w:r>
      <w:bookmarkEnd w:id="2"/>
    </w:p>
    <w:p w14:paraId="4D34E45C" w14:textId="77777777" w:rsidR="006F7A8B" w:rsidRDefault="006F7A8B">
      <w:pPr>
        <w:spacing w:after="0" w:line="240" w:lineRule="auto"/>
        <w:rPr>
          <w:rFonts w:cs="Arial"/>
          <w:sz w:val="53"/>
          <w:szCs w:val="53"/>
        </w:rPr>
      </w:pPr>
      <w:r>
        <w:rPr>
          <w:sz w:val="53"/>
          <w:szCs w:val="53"/>
        </w:rPr>
        <w:br w:type="page"/>
      </w:r>
    </w:p>
    <w:p w14:paraId="208D7141" w14:textId="74FDF1DF" w:rsidR="00B952C3" w:rsidRPr="007E099D" w:rsidRDefault="00B952C3" w:rsidP="00744CF2">
      <w:pPr>
        <w:pStyle w:val="Heading1"/>
      </w:pPr>
      <w:bookmarkStart w:id="6" w:name="_Toc141278620"/>
      <w:r w:rsidRPr="007E099D">
        <w:lastRenderedPageBreak/>
        <w:t>Invitation to comment</w:t>
      </w:r>
      <w:bookmarkEnd w:id="6"/>
    </w:p>
    <w:p w14:paraId="6D3E8894" w14:textId="77777777" w:rsidR="00B952C3" w:rsidRDefault="00B952C3" w:rsidP="00B952C3">
      <w:pPr>
        <w:pStyle w:val="Heading2"/>
      </w:pPr>
      <w:bookmarkStart w:id="7" w:name="_Toc433122131"/>
      <w:bookmarkStart w:id="8" w:name="_Toc348105637"/>
      <w:bookmarkStart w:id="9" w:name="_Toc300909556"/>
      <w:bookmarkStart w:id="10" w:name="_Toc298924673"/>
      <w:bookmarkStart w:id="11" w:name="_Toc141278621"/>
      <w:bookmarkStart w:id="12" w:name="_Toc348105638"/>
      <w:bookmarkStart w:id="13" w:name="_Toc300909557"/>
      <w:bookmarkStart w:id="14" w:name="_Toc298924674"/>
      <w:bookmarkStart w:id="15" w:name="_Toc274296357"/>
      <w:r>
        <w:t>Making a submission</w:t>
      </w:r>
      <w:bookmarkEnd w:id="7"/>
      <w:bookmarkEnd w:id="8"/>
      <w:bookmarkEnd w:id="9"/>
      <w:bookmarkEnd w:id="10"/>
      <w:bookmarkEnd w:id="11"/>
    </w:p>
    <w:p w14:paraId="130A77ED" w14:textId="77777777" w:rsidR="00B952C3" w:rsidRDefault="00B952C3" w:rsidP="00B952C3">
      <w:r>
        <w:t xml:space="preserve">We invite comments on the issues set out in this consultation paper. </w:t>
      </w:r>
    </w:p>
    <w:p w14:paraId="13A770C7" w14:textId="77777777" w:rsidR="00B952C3" w:rsidRDefault="00877F7B" w:rsidP="00B952C3">
      <w:pPr>
        <w:pStyle w:val="Bulletlevel1"/>
      </w:pPr>
      <w:hyperlink r:id="rId30" w:history="1">
        <w:r w:rsidR="00B952C3">
          <w:rPr>
            <w:rStyle w:val="Hyperlink"/>
          </w:rPr>
          <w:t>Online submissions</w:t>
        </w:r>
      </w:hyperlink>
      <w:r w:rsidR="00B952C3">
        <w:t xml:space="preserve"> can be made by </w:t>
      </w:r>
      <w:r w:rsidR="00B952C3" w:rsidRPr="0070133D">
        <w:t>uploading</w:t>
      </w:r>
      <w:r w:rsidR="00B952C3">
        <w:t xml:space="preserve"> a document. Submissions in PDF, Microsoft Word or Rich Text Format are preferred.</w:t>
      </w:r>
    </w:p>
    <w:p w14:paraId="199E462E" w14:textId="77777777" w:rsidR="00B952C3" w:rsidRDefault="00B952C3" w:rsidP="00B952C3">
      <w:pPr>
        <w:pStyle w:val="Bulletlevel1"/>
      </w:pPr>
      <w:r>
        <w:t xml:space="preserve">Submissions by post can be sent to: </w:t>
      </w:r>
    </w:p>
    <w:p w14:paraId="67F71BEA" w14:textId="77777777" w:rsidR="00B952C3" w:rsidRPr="00277E6C" w:rsidRDefault="00B952C3" w:rsidP="00B952C3">
      <w:pPr>
        <w:tabs>
          <w:tab w:val="num" w:pos="295"/>
        </w:tabs>
        <w:spacing w:after="0"/>
        <w:ind w:left="295"/>
        <w:rPr>
          <w:szCs w:val="20"/>
        </w:rPr>
      </w:pPr>
      <w:r w:rsidRPr="00277E6C">
        <w:rPr>
          <w:szCs w:val="20"/>
        </w:rPr>
        <w:t>The Manager</w:t>
      </w:r>
    </w:p>
    <w:p w14:paraId="0DF6CB9C" w14:textId="77777777" w:rsidR="00B952C3" w:rsidRPr="00277E6C" w:rsidRDefault="00B952C3" w:rsidP="00B952C3">
      <w:pPr>
        <w:spacing w:after="0"/>
        <w:ind w:left="295"/>
        <w:rPr>
          <w:szCs w:val="20"/>
        </w:rPr>
      </w:pPr>
      <w:r w:rsidRPr="00277E6C">
        <w:rPr>
          <w:szCs w:val="20"/>
        </w:rPr>
        <w:t>Economics Advisory</w:t>
      </w:r>
      <w:r>
        <w:rPr>
          <w:szCs w:val="20"/>
        </w:rPr>
        <w:t xml:space="preserve"> Section</w:t>
      </w:r>
    </w:p>
    <w:p w14:paraId="4FEDCCDA" w14:textId="77777777" w:rsidR="00B952C3" w:rsidRPr="00947E86" w:rsidRDefault="00B952C3" w:rsidP="00B952C3">
      <w:pPr>
        <w:spacing w:after="0"/>
        <w:ind w:left="295"/>
        <w:rPr>
          <w:szCs w:val="20"/>
        </w:rPr>
      </w:pPr>
      <w:r w:rsidRPr="00277E6C">
        <w:rPr>
          <w:szCs w:val="20"/>
        </w:rPr>
        <w:t>Australian Communications and Media Authority</w:t>
      </w:r>
      <w:r>
        <w:rPr>
          <w:szCs w:val="20"/>
        </w:rPr>
        <w:br/>
      </w:r>
      <w:r w:rsidRPr="00947E86">
        <w:rPr>
          <w:szCs w:val="20"/>
        </w:rPr>
        <w:t>PO Box 13112 Law Courts</w:t>
      </w:r>
    </w:p>
    <w:p w14:paraId="70D8B556" w14:textId="77777777" w:rsidR="00B952C3" w:rsidRDefault="00B952C3" w:rsidP="00B952C3">
      <w:pPr>
        <w:spacing w:after="0"/>
        <w:ind w:left="295"/>
        <w:rPr>
          <w:szCs w:val="20"/>
        </w:rPr>
      </w:pPr>
      <w:r w:rsidRPr="00947E86">
        <w:rPr>
          <w:szCs w:val="20"/>
        </w:rPr>
        <w:t>Melbourne Victoria 8010</w:t>
      </w:r>
    </w:p>
    <w:p w14:paraId="44B1A4E5" w14:textId="77777777" w:rsidR="00B952C3" w:rsidRDefault="00B952C3" w:rsidP="00B952C3">
      <w:pPr>
        <w:ind w:left="295"/>
        <w:rPr>
          <w:szCs w:val="20"/>
        </w:rPr>
      </w:pPr>
    </w:p>
    <w:p w14:paraId="6E0FBA62" w14:textId="4C6526C9" w:rsidR="00B952C3" w:rsidRDefault="00B952C3" w:rsidP="00B952C3">
      <w:r>
        <w:t xml:space="preserve">The closing date for submissions is </w:t>
      </w:r>
      <w:r w:rsidRPr="00F7612E">
        <w:rPr>
          <w:b/>
          <w:bCs/>
        </w:rPr>
        <w:t>COB,</w:t>
      </w:r>
      <w:r>
        <w:t xml:space="preserve"> </w:t>
      </w:r>
      <w:r w:rsidR="006D486A" w:rsidRPr="00744CF2">
        <w:rPr>
          <w:b/>
          <w:bCs/>
        </w:rPr>
        <w:t>Thursday</w:t>
      </w:r>
      <w:r w:rsidR="006D486A">
        <w:t xml:space="preserve"> </w:t>
      </w:r>
      <w:r w:rsidR="000763C1" w:rsidRPr="00744CF2">
        <w:rPr>
          <w:b/>
          <w:bCs/>
        </w:rPr>
        <w:t xml:space="preserve">24 </w:t>
      </w:r>
      <w:r w:rsidRPr="00744CF2">
        <w:rPr>
          <w:b/>
          <w:bCs/>
        </w:rPr>
        <w:t>August</w:t>
      </w:r>
      <w:r>
        <w:rPr>
          <w:b/>
          <w:bCs/>
        </w:rPr>
        <w:t xml:space="preserve"> </w:t>
      </w:r>
      <w:r w:rsidRPr="00F7612E">
        <w:rPr>
          <w:b/>
          <w:bCs/>
        </w:rPr>
        <w:t>202</w:t>
      </w:r>
      <w:r>
        <w:rPr>
          <w:b/>
          <w:bCs/>
        </w:rPr>
        <w:t>3</w:t>
      </w:r>
      <w:r>
        <w:t>.</w:t>
      </w:r>
    </w:p>
    <w:p w14:paraId="6C6E2F98" w14:textId="77777777" w:rsidR="00B952C3" w:rsidRDefault="00B952C3" w:rsidP="00B952C3">
      <w:pPr>
        <w:rPr>
          <w:szCs w:val="20"/>
        </w:rPr>
      </w:pPr>
      <w:r>
        <w:t xml:space="preserve">Consultation enquiries can be emailed </w:t>
      </w:r>
      <w:r>
        <w:rPr>
          <w:szCs w:val="20"/>
        </w:rPr>
        <w:t xml:space="preserve">to </w:t>
      </w:r>
      <w:hyperlink r:id="rId31" w:history="1">
        <w:r w:rsidRPr="005A5F40">
          <w:rPr>
            <w:rStyle w:val="Hyperlink"/>
            <w:szCs w:val="20"/>
          </w:rPr>
          <w:t>spectrumpricing@acma.gov.au</w:t>
        </w:r>
      </w:hyperlink>
      <w:r>
        <w:rPr>
          <w:szCs w:val="20"/>
        </w:rPr>
        <w:t>.</w:t>
      </w:r>
    </w:p>
    <w:p w14:paraId="5A24CCEF" w14:textId="77777777" w:rsidR="00B952C3" w:rsidRDefault="00B952C3" w:rsidP="00B952C3">
      <w:pPr>
        <w:pStyle w:val="Heading4"/>
      </w:pPr>
      <w:bookmarkStart w:id="16" w:name="_Toc348105639"/>
      <w:bookmarkStart w:id="17" w:name="_Toc300909558"/>
      <w:bookmarkStart w:id="18" w:name="_Hlk59627494"/>
      <w:bookmarkEnd w:id="12"/>
      <w:bookmarkEnd w:id="13"/>
      <w:r>
        <w:t xml:space="preserve">Publication of </w:t>
      </w:r>
      <w:r w:rsidRPr="005B2F0D">
        <w:t>submissions</w:t>
      </w:r>
      <w:bookmarkEnd w:id="14"/>
      <w:bookmarkEnd w:id="15"/>
      <w:bookmarkEnd w:id="16"/>
      <w:bookmarkEnd w:id="17"/>
    </w:p>
    <w:p w14:paraId="50D6CA42" w14:textId="77777777" w:rsidR="00B952C3" w:rsidRDefault="00B952C3" w:rsidP="00B952C3">
      <w:bookmarkStart w:id="19" w:name="_Toc348105640"/>
      <w:bookmarkStart w:id="20" w:name="_Toc300909559"/>
      <w:bookmarkStart w:id="21" w:name="_Toc265246234"/>
      <w:r>
        <w:t>We publish submissions on our website</w:t>
      </w:r>
      <w:r>
        <w:rPr>
          <w:rFonts w:cs="Arial"/>
        </w:rPr>
        <w:t>, including personal information (such as names and contact details)</w:t>
      </w:r>
      <w:r>
        <w:t xml:space="preserve">, except for information that you have claimed (and we have accepted) is confidential. </w:t>
      </w:r>
    </w:p>
    <w:p w14:paraId="5B1A3338" w14:textId="77777777" w:rsidR="00B952C3" w:rsidRDefault="00B952C3" w:rsidP="00B952C3">
      <w:r>
        <w:t>Confidential information will not be published or otherwise released unless required or authorised by law.</w:t>
      </w:r>
    </w:p>
    <w:p w14:paraId="172BE51B" w14:textId="77777777" w:rsidR="00B952C3" w:rsidRDefault="00B952C3" w:rsidP="00B952C3">
      <w:pPr>
        <w:pStyle w:val="Heading4"/>
      </w:pPr>
      <w:r>
        <w:t>Privacy</w:t>
      </w:r>
    </w:p>
    <w:p w14:paraId="0A00F6A8" w14:textId="77777777" w:rsidR="00B952C3" w:rsidRDefault="00B952C3" w:rsidP="00B952C3">
      <w:pPr>
        <w:pStyle w:val="Paragraph"/>
      </w:pPr>
      <w:r>
        <w:t xml:space="preserve">View information about our policy on the </w:t>
      </w:r>
      <w:hyperlink r:id="rId32" w:history="1">
        <w:r>
          <w:rPr>
            <w:rStyle w:val="Hyperlink"/>
          </w:rPr>
          <w:t>p</w:t>
        </w:r>
        <w:r w:rsidRPr="00E21056">
          <w:rPr>
            <w:rStyle w:val="Hyperlink"/>
          </w:rPr>
          <w:t>ublication of submissions</w:t>
        </w:r>
      </w:hyperlink>
      <w:r>
        <w:t>, including collection of personal information during consultation and how we handle that information.</w:t>
      </w:r>
    </w:p>
    <w:bookmarkEnd w:id="19"/>
    <w:bookmarkEnd w:id="20"/>
    <w:bookmarkEnd w:id="21"/>
    <w:p w14:paraId="62034732" w14:textId="77777777" w:rsidR="00B952C3" w:rsidRPr="0041233F" w:rsidRDefault="00B952C3" w:rsidP="00B952C3">
      <w:pPr>
        <w:pStyle w:val="Paragraph"/>
      </w:pPr>
      <w:r>
        <w:t xml:space="preserve">Information on the </w:t>
      </w:r>
      <w:r>
        <w:rPr>
          <w:i/>
        </w:rPr>
        <w:t xml:space="preserve">Privacy Act 1988, </w:t>
      </w:r>
      <w:r>
        <w:t xml:space="preserve">how to access or correct personal information, how to make a privacy complaint and how we will deal with any complaints, is available in our </w:t>
      </w:r>
      <w:hyperlink r:id="rId33" w:history="1">
        <w:r w:rsidRPr="00E21056">
          <w:rPr>
            <w:rStyle w:val="Hyperlink"/>
          </w:rPr>
          <w:t>privacy policy</w:t>
        </w:r>
      </w:hyperlink>
      <w:r>
        <w:t xml:space="preserve">. </w:t>
      </w:r>
    </w:p>
    <w:p w14:paraId="32CF43E6" w14:textId="77777777" w:rsidR="00B952C3" w:rsidRDefault="00B952C3" w:rsidP="00B952C3">
      <w:pPr>
        <w:spacing w:after="0" w:line="240" w:lineRule="auto"/>
      </w:pPr>
      <w:bookmarkStart w:id="22" w:name="_Toc320803330"/>
      <w:bookmarkEnd w:id="18"/>
      <w:bookmarkEnd w:id="22"/>
      <w:r>
        <w:br w:type="page"/>
      </w:r>
    </w:p>
    <w:p w14:paraId="546C9643" w14:textId="77777777" w:rsidR="00B952C3" w:rsidRDefault="00B952C3" w:rsidP="00B952C3">
      <w:pPr>
        <w:pStyle w:val="Heading1"/>
      </w:pPr>
      <w:bookmarkStart w:id="23" w:name="_Toc141278622"/>
      <w:r>
        <w:lastRenderedPageBreak/>
        <w:t>Appendix A</w:t>
      </w:r>
      <w:bookmarkEnd w:id="23"/>
    </w:p>
    <w:p w14:paraId="78E10326" w14:textId="77777777" w:rsidR="006D486A" w:rsidRDefault="00B952C3" w:rsidP="00B952C3">
      <w:r>
        <w:t>The proposed change to include the 3700</w:t>
      </w:r>
      <w:r w:rsidR="00BD68BF" w:rsidRPr="00893DD4">
        <w:rPr>
          <w:color w:val="000000"/>
          <w:szCs w:val="20"/>
        </w:rPr>
        <w:t>–</w:t>
      </w:r>
      <w:r>
        <w:t xml:space="preserve">3800 MHz frequency range requires a change to the item 9 of clause </w:t>
      </w:r>
      <w:proofErr w:type="gramStart"/>
      <w:r>
        <w:t>2</w:t>
      </w:r>
      <w:proofErr w:type="gramEnd"/>
      <w:r>
        <w:t xml:space="preserve"> of Schedule 1 of SLT Determination. </w:t>
      </w:r>
    </w:p>
    <w:p w14:paraId="35423BA3" w14:textId="774CDC29" w:rsidR="00B952C3" w:rsidRDefault="006D486A" w:rsidP="00744CF2">
      <w:pPr>
        <w:rPr>
          <w:rFonts w:ascii="Times New Roman" w:hAnsi="Times New Roman"/>
          <w:color w:val="000000"/>
          <w:sz w:val="22"/>
          <w:szCs w:val="22"/>
        </w:rPr>
      </w:pPr>
      <w:r>
        <w:t xml:space="preserve">This </w:t>
      </w:r>
      <w:r w:rsidR="00B952C3">
        <w:t>change</w:t>
      </w:r>
      <w:r>
        <w:t xml:space="preserve"> is shown in the table below</w:t>
      </w:r>
      <w:r w:rsidR="00B952C3">
        <w:t xml:space="preserve"> </w:t>
      </w:r>
      <w:r>
        <w:t>–</w:t>
      </w:r>
      <w:r w:rsidR="00B952C3">
        <w:t xml:space="preserve"> the </w:t>
      </w:r>
      <w:r>
        <w:t xml:space="preserve">red strike-through </w:t>
      </w:r>
      <w:r w:rsidR="00B952C3">
        <w:t xml:space="preserve">text </w:t>
      </w:r>
      <w:r>
        <w:t>will be</w:t>
      </w:r>
      <w:r w:rsidR="00B952C3">
        <w:t xml:space="preserve"> </w:t>
      </w:r>
      <w:r>
        <w:t>replaced</w:t>
      </w:r>
      <w:r w:rsidR="00B952C3">
        <w:t xml:space="preserve"> with the</w:t>
      </w:r>
      <w:r>
        <w:t xml:space="preserve"> blue</w:t>
      </w:r>
      <w:r w:rsidR="00B952C3">
        <w:t xml:space="preserve"> text.</w:t>
      </w:r>
    </w:p>
    <w:tbl>
      <w:tblPr>
        <w:tblW w:w="5000" w:type="pct"/>
        <w:shd w:val="clear" w:color="auto" w:fill="FFFFFF"/>
        <w:tblCellMar>
          <w:left w:w="0" w:type="dxa"/>
          <w:right w:w="0" w:type="dxa"/>
        </w:tblCellMar>
        <w:tblLook w:val="04A0" w:firstRow="1" w:lastRow="0" w:firstColumn="1" w:lastColumn="0" w:noHBand="0" w:noVBand="1"/>
      </w:tblPr>
      <w:tblGrid>
        <w:gridCol w:w="710"/>
        <w:gridCol w:w="2551"/>
        <w:gridCol w:w="2472"/>
        <w:gridCol w:w="1938"/>
      </w:tblGrid>
      <w:tr w:rsidR="00B952C3" w:rsidRPr="00B47DE8" w14:paraId="397FB160" w14:textId="77777777" w:rsidTr="006201E5">
        <w:trPr>
          <w:tblHeader/>
        </w:trPr>
        <w:tc>
          <w:tcPr>
            <w:tcW w:w="463"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48F69C81"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Item</w:t>
            </w:r>
          </w:p>
        </w:tc>
        <w:tc>
          <w:tcPr>
            <w:tcW w:w="1663"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37DED4DC"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Column 1</w:t>
            </w:r>
          </w:p>
        </w:tc>
        <w:tc>
          <w:tcPr>
            <w:tcW w:w="1611"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7A98C726"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Column 2</w:t>
            </w:r>
          </w:p>
        </w:tc>
        <w:tc>
          <w:tcPr>
            <w:tcW w:w="1263" w:type="pct"/>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521CE4BB"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Column 3</w:t>
            </w:r>
          </w:p>
        </w:tc>
      </w:tr>
      <w:tr w:rsidR="00B952C3" w:rsidRPr="00B47DE8" w14:paraId="38AFB811" w14:textId="77777777" w:rsidTr="006201E5">
        <w:trPr>
          <w:tblHeader/>
        </w:trPr>
        <w:tc>
          <w:tcPr>
            <w:tcW w:w="4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2C488BD"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 </w:t>
            </w:r>
          </w:p>
        </w:tc>
        <w:tc>
          <w:tcPr>
            <w:tcW w:w="16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8BEA4D5"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Frequency band</w:t>
            </w:r>
          </w:p>
        </w:tc>
        <w:tc>
          <w:tcPr>
            <w:tcW w:w="1611"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44C6680E"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Total specified spectrum</w:t>
            </w:r>
          </w:p>
        </w:tc>
        <w:tc>
          <w:tcPr>
            <w:tcW w:w="12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0A92B17D" w14:textId="77777777" w:rsidR="00B952C3" w:rsidRPr="00B47DE8" w:rsidRDefault="00B952C3" w:rsidP="006201E5">
            <w:pPr>
              <w:spacing w:before="60" w:after="0"/>
              <w:rPr>
                <w:rFonts w:ascii="Times New Roman" w:hAnsi="Times New Roman"/>
                <w:b/>
                <w:bCs/>
                <w:color w:val="000000"/>
                <w:szCs w:val="20"/>
              </w:rPr>
            </w:pPr>
            <w:r w:rsidRPr="00B47DE8">
              <w:rPr>
                <w:rFonts w:ascii="Times New Roman" w:hAnsi="Times New Roman"/>
                <w:b/>
                <w:bCs/>
                <w:color w:val="000000"/>
                <w:szCs w:val="20"/>
              </w:rPr>
              <w:t>Base amount ($)</w:t>
            </w:r>
          </w:p>
        </w:tc>
      </w:tr>
      <w:tr w:rsidR="00B952C3" w:rsidRPr="00B47DE8" w14:paraId="79718989"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8352BBB"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1</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ADB90AE"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703 MHz to 748 MHz</w:t>
            </w:r>
          </w:p>
          <w:p w14:paraId="144A44B2"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758 MHz to 803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03A2035"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90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0F245EE"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49,938</w:t>
            </w:r>
          </w:p>
        </w:tc>
      </w:tr>
      <w:tr w:rsidR="00B952C3" w:rsidRPr="00B47DE8" w14:paraId="682D835B"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3B63F57"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2</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1A895BE"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814 MHz to 845 MHz</w:t>
            </w:r>
          </w:p>
          <w:p w14:paraId="4B856926"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859 MHz to 915 MHz</w:t>
            </w:r>
          </w:p>
          <w:p w14:paraId="581FA973"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935 MHz to 960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1B48807"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112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5D359ED"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62,146</w:t>
            </w:r>
          </w:p>
        </w:tc>
      </w:tr>
      <w:tr w:rsidR="00B952C3" w:rsidRPr="00B47DE8" w14:paraId="63E3DFAD"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51524FB"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3</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73892BE"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1710 MHz to 1755 MHz</w:t>
            </w:r>
          </w:p>
          <w:p w14:paraId="20624989"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1805 MHz to 1850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5ABBD52"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90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88AE79A"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49,864</w:t>
            </w:r>
          </w:p>
        </w:tc>
      </w:tr>
      <w:tr w:rsidR="00B952C3" w:rsidRPr="00B47DE8" w14:paraId="15189216"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808DCCB"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4</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70B35A2"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1755 MHz to 1785 MHz</w:t>
            </w:r>
          </w:p>
          <w:p w14:paraId="1415522F"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1850 MHz to 1880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0FE8FBF"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60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0DD4E7B"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33,243</w:t>
            </w:r>
          </w:p>
        </w:tc>
      </w:tr>
      <w:tr w:rsidR="00B952C3" w:rsidRPr="00B47DE8" w14:paraId="6CBD9D78"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AA921D1"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5</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583483B"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1920 MHz to 1980 MHz</w:t>
            </w:r>
          </w:p>
          <w:p w14:paraId="4877028F"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2110 MHz to 2170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8A9FCFF"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120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C5B7C55"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66,485</w:t>
            </w:r>
          </w:p>
        </w:tc>
      </w:tr>
      <w:tr w:rsidR="00B952C3" w:rsidRPr="00B47DE8" w14:paraId="51846DF9"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14F0792"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6</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FE23300"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2302 MHz to 2400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3CB3AFF"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98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6A34B16"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54,296</w:t>
            </w:r>
          </w:p>
        </w:tc>
      </w:tr>
      <w:tr w:rsidR="00B952C3" w:rsidRPr="00B47DE8" w14:paraId="7A3A83E3"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07BC145"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7</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6B26FC7"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2500 MHz to 2570 MHz</w:t>
            </w:r>
          </w:p>
          <w:p w14:paraId="0676D480"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2620 MHz to 2690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7C2F69D"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140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D7B9CC9"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77,566</w:t>
            </w:r>
          </w:p>
        </w:tc>
      </w:tr>
      <w:tr w:rsidR="00B952C3" w:rsidRPr="00B47DE8" w14:paraId="1715C640"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1E29680"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8</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CB469DD"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2570 MHz to 2620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04E3A6D"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50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42413BC"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27,702</w:t>
            </w:r>
          </w:p>
        </w:tc>
      </w:tr>
      <w:tr w:rsidR="00B952C3" w:rsidRPr="00B47DE8" w14:paraId="3CBF8E5D"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9634C82"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9</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17AE71A" w14:textId="77777777" w:rsidR="00B952C3" w:rsidRPr="00631197" w:rsidRDefault="00B952C3" w:rsidP="006201E5">
            <w:pPr>
              <w:spacing w:before="60" w:after="0"/>
              <w:rPr>
                <w:rFonts w:ascii="Times New Roman" w:hAnsi="Times New Roman"/>
                <w:strike/>
                <w:color w:val="FF0000"/>
                <w:szCs w:val="20"/>
              </w:rPr>
            </w:pPr>
            <w:r w:rsidRPr="00DA5992">
              <w:rPr>
                <w:rFonts w:ascii="Times New Roman" w:hAnsi="Times New Roman"/>
                <w:strike/>
                <w:color w:val="FF0000"/>
                <w:szCs w:val="20"/>
              </w:rPr>
              <w:t>3400 MHz to 3700 MHz</w:t>
            </w:r>
          </w:p>
          <w:p w14:paraId="53009C0C" w14:textId="77777777" w:rsidR="00B952C3" w:rsidRPr="00B47DE8" w:rsidRDefault="00B952C3" w:rsidP="006201E5">
            <w:pPr>
              <w:spacing w:before="60" w:after="0"/>
              <w:rPr>
                <w:rFonts w:ascii="Times New Roman" w:hAnsi="Times New Roman"/>
                <w:color w:val="000000"/>
                <w:szCs w:val="20"/>
              </w:rPr>
            </w:pPr>
            <w:r w:rsidRPr="00DA5992">
              <w:rPr>
                <w:rFonts w:ascii="Times New Roman" w:hAnsi="Times New Roman"/>
                <w:color w:val="4F81BD" w:themeColor="accent1"/>
                <w:szCs w:val="20"/>
              </w:rPr>
              <w:t>3400 MHz to 3</w:t>
            </w:r>
            <w:r>
              <w:rPr>
                <w:rFonts w:ascii="Times New Roman" w:hAnsi="Times New Roman"/>
                <w:color w:val="4F81BD" w:themeColor="accent1"/>
                <w:szCs w:val="20"/>
              </w:rPr>
              <w:t>8</w:t>
            </w:r>
            <w:r w:rsidRPr="00DA5992">
              <w:rPr>
                <w:rFonts w:ascii="Times New Roman" w:hAnsi="Times New Roman"/>
                <w:color w:val="4F81BD" w:themeColor="accent1"/>
                <w:szCs w:val="20"/>
              </w:rPr>
              <w:t>00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96F5CC3" w14:textId="77777777" w:rsidR="00B952C3" w:rsidRPr="00631197" w:rsidRDefault="00B952C3" w:rsidP="006201E5">
            <w:pPr>
              <w:spacing w:before="60" w:after="0"/>
              <w:rPr>
                <w:rFonts w:ascii="Times New Roman" w:hAnsi="Times New Roman"/>
                <w:strike/>
                <w:color w:val="FF0000"/>
                <w:szCs w:val="20"/>
              </w:rPr>
            </w:pPr>
            <w:r w:rsidRPr="00DA5992">
              <w:rPr>
                <w:rFonts w:ascii="Times New Roman" w:hAnsi="Times New Roman"/>
                <w:strike/>
                <w:color w:val="FF0000"/>
                <w:szCs w:val="20"/>
              </w:rPr>
              <w:t>300 MHz</w:t>
            </w:r>
          </w:p>
          <w:p w14:paraId="20468DF7" w14:textId="77777777" w:rsidR="00B952C3" w:rsidRPr="00B47DE8" w:rsidRDefault="00B952C3" w:rsidP="006201E5">
            <w:pPr>
              <w:spacing w:before="60" w:after="0"/>
              <w:rPr>
                <w:rFonts w:ascii="Times New Roman" w:hAnsi="Times New Roman"/>
                <w:color w:val="000000"/>
                <w:szCs w:val="20"/>
              </w:rPr>
            </w:pPr>
            <w:r w:rsidRPr="00F80807">
              <w:rPr>
                <w:rFonts w:ascii="Times New Roman" w:hAnsi="Times New Roman"/>
                <w:color w:val="4F81BD" w:themeColor="accent1"/>
                <w:szCs w:val="20"/>
              </w:rPr>
              <w:t>400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DC11080" w14:textId="77777777" w:rsidR="00B952C3" w:rsidRPr="004F6711" w:rsidRDefault="00B952C3" w:rsidP="006201E5">
            <w:pPr>
              <w:spacing w:before="60" w:after="0"/>
              <w:rPr>
                <w:rFonts w:ascii="Times New Roman" w:hAnsi="Times New Roman"/>
                <w:strike/>
                <w:color w:val="FF0000"/>
                <w:szCs w:val="20"/>
              </w:rPr>
            </w:pPr>
            <w:r w:rsidRPr="00DA5992">
              <w:rPr>
                <w:rFonts w:ascii="Times New Roman" w:hAnsi="Times New Roman"/>
                <w:strike/>
                <w:color w:val="FF0000"/>
                <w:szCs w:val="20"/>
              </w:rPr>
              <w:t>166,032</w:t>
            </w:r>
          </w:p>
          <w:p w14:paraId="02A2DB31" w14:textId="77777777" w:rsidR="00B952C3" w:rsidRPr="00B47DE8" w:rsidRDefault="00B952C3" w:rsidP="006201E5">
            <w:pPr>
              <w:spacing w:before="60" w:after="0"/>
              <w:rPr>
                <w:rFonts w:ascii="Times New Roman" w:hAnsi="Times New Roman"/>
                <w:color w:val="000000"/>
                <w:szCs w:val="20"/>
              </w:rPr>
            </w:pPr>
            <w:r w:rsidRPr="00F80807">
              <w:rPr>
                <w:rFonts w:ascii="Times New Roman" w:hAnsi="Times New Roman"/>
                <w:color w:val="4F81BD" w:themeColor="accent1"/>
                <w:szCs w:val="20"/>
              </w:rPr>
              <w:t>221,376</w:t>
            </w:r>
          </w:p>
        </w:tc>
      </w:tr>
      <w:tr w:rsidR="00B952C3" w:rsidRPr="00B47DE8" w14:paraId="03C4B6E8" w14:textId="77777777" w:rsidTr="006201E5">
        <w:tc>
          <w:tcPr>
            <w:tcW w:w="4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BC55C08"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10</w:t>
            </w:r>
          </w:p>
        </w:tc>
        <w:tc>
          <w:tcPr>
            <w:tcW w:w="16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D686C01"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20,200 MHz to 21,200 MHz</w:t>
            </w:r>
          </w:p>
          <w:p w14:paraId="2A045F0C"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30,000 MHz to 31,000 MHz</w:t>
            </w:r>
          </w:p>
        </w:tc>
        <w:tc>
          <w:tcPr>
            <w:tcW w:w="1611"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4BF0C6E"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2,000 MHz</w:t>
            </w:r>
          </w:p>
        </w:tc>
        <w:tc>
          <w:tcPr>
            <w:tcW w:w="126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04C8CDD"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42,257</w:t>
            </w:r>
          </w:p>
        </w:tc>
      </w:tr>
      <w:tr w:rsidR="00B952C3" w:rsidRPr="00B47DE8" w14:paraId="6851F4BB" w14:textId="77777777" w:rsidTr="006201E5">
        <w:tc>
          <w:tcPr>
            <w:tcW w:w="4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2CA993BC"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i/>
                <w:iCs/>
                <w:color w:val="000000"/>
                <w:szCs w:val="20"/>
              </w:rPr>
              <w:t>11</w:t>
            </w:r>
          </w:p>
        </w:tc>
        <w:tc>
          <w:tcPr>
            <w:tcW w:w="16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009568A5"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25,100 MHz to 27,500 MHz</w:t>
            </w:r>
          </w:p>
        </w:tc>
        <w:tc>
          <w:tcPr>
            <w:tcW w:w="1611"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EDC3125"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2,400 MHz</w:t>
            </w:r>
          </w:p>
        </w:tc>
        <w:tc>
          <w:tcPr>
            <w:tcW w:w="126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605642EA" w14:textId="77777777" w:rsidR="00B952C3" w:rsidRPr="00B47DE8" w:rsidRDefault="00B952C3" w:rsidP="006201E5">
            <w:pPr>
              <w:spacing w:before="60" w:after="0"/>
              <w:rPr>
                <w:rFonts w:ascii="Times New Roman" w:hAnsi="Times New Roman"/>
                <w:color w:val="000000"/>
                <w:szCs w:val="20"/>
              </w:rPr>
            </w:pPr>
            <w:r w:rsidRPr="00B47DE8">
              <w:rPr>
                <w:rFonts w:ascii="Times New Roman" w:hAnsi="Times New Roman"/>
                <w:color w:val="000000"/>
                <w:szCs w:val="20"/>
              </w:rPr>
              <w:t>50,708</w:t>
            </w:r>
          </w:p>
        </w:tc>
      </w:tr>
    </w:tbl>
    <w:p w14:paraId="2B268F17" w14:textId="77777777" w:rsidR="00B952C3" w:rsidRDefault="00B952C3" w:rsidP="00B952C3">
      <w:pPr>
        <w:shd w:val="clear" w:color="auto" w:fill="FFFFFF"/>
        <w:spacing w:before="40" w:line="240" w:lineRule="auto"/>
        <w:ind w:left="1644" w:hanging="1644"/>
        <w:rPr>
          <w:rFonts w:ascii="Times New Roman" w:hAnsi="Times New Roman"/>
          <w:color w:val="000000"/>
          <w:sz w:val="22"/>
          <w:szCs w:val="22"/>
        </w:rPr>
      </w:pPr>
    </w:p>
    <w:p w14:paraId="014C2114" w14:textId="77777777" w:rsidR="00B952C3" w:rsidRDefault="00B952C3" w:rsidP="00B952C3">
      <w:pPr>
        <w:shd w:val="clear" w:color="auto" w:fill="FFFFFF"/>
        <w:spacing w:before="40" w:line="240" w:lineRule="auto"/>
        <w:ind w:left="1644" w:hanging="1644"/>
        <w:rPr>
          <w:rFonts w:ascii="Times New Roman" w:hAnsi="Times New Roman"/>
          <w:color w:val="000000"/>
          <w:sz w:val="22"/>
          <w:szCs w:val="22"/>
        </w:rPr>
      </w:pPr>
    </w:p>
    <w:p w14:paraId="0610FC46" w14:textId="77777777" w:rsidR="00B47DE8" w:rsidRPr="00B952C3" w:rsidRDefault="00B47DE8" w:rsidP="00B952C3"/>
    <w:sectPr w:rsidR="00B47DE8" w:rsidRPr="00B952C3" w:rsidSect="00C77380">
      <w:headerReference w:type="even" r:id="rId34"/>
      <w:headerReference w:type="default" r:id="rId35"/>
      <w:footerReference w:type="even" r:id="rId36"/>
      <w:footerReference w:type="default" r:id="rId3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B3CA" w14:textId="77777777" w:rsidR="00DA41F7" w:rsidRDefault="00DA41F7">
      <w:r>
        <w:separator/>
      </w:r>
    </w:p>
  </w:endnote>
  <w:endnote w:type="continuationSeparator" w:id="0">
    <w:p w14:paraId="4AE6BFB3" w14:textId="77777777" w:rsidR="00DA41F7" w:rsidRDefault="00DA41F7">
      <w:r>
        <w:continuationSeparator/>
      </w:r>
    </w:p>
  </w:endnote>
  <w:endnote w:type="continuationNotice" w:id="1">
    <w:p w14:paraId="0A67E5A1" w14:textId="77777777" w:rsidR="00DA41F7" w:rsidRDefault="00DA4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B11B" w14:textId="77777777" w:rsidR="00B952C3" w:rsidRDefault="00B952C3" w:rsidP="005E250B">
    <w:pPr>
      <w:pStyle w:val="Footer"/>
      <w:jc w:val="right"/>
    </w:pPr>
    <w:r w:rsidRPr="005E250B">
      <w:rPr>
        <w:noProof/>
        <w:vertAlign w:val="subscript"/>
      </w:rPr>
      <w:drawing>
        <wp:inline distT="0" distB="0" distL="0" distR="0" wp14:anchorId="17B46103" wp14:editId="7DFA76E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C61" w14:textId="77777777" w:rsidR="00B952C3" w:rsidRDefault="00B95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FBA" w14:textId="77777777" w:rsidR="00B952C3" w:rsidRDefault="00B952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00F1" w14:textId="77777777" w:rsidR="00B952C3" w:rsidRPr="00622A3B" w:rsidRDefault="00B952C3"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B7BD60C" w14:textId="77777777" w:rsidR="00B952C3" w:rsidRPr="00A5474E" w:rsidRDefault="00B952C3"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8D0B" w14:textId="77777777" w:rsidR="00B952C3" w:rsidRPr="00622A3B" w:rsidRDefault="00B952C3"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34A3C653" w14:textId="77777777" w:rsidR="00B952C3" w:rsidRPr="00A5474E" w:rsidRDefault="00B952C3"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F38" w14:textId="77777777" w:rsidR="00B952C3" w:rsidRPr="00622A3B" w:rsidRDefault="00B952C3"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7D16C46" w14:textId="77777777" w:rsidR="00B952C3" w:rsidRPr="00A5474E" w:rsidRDefault="00B952C3"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0D69"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4AB5534"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F1A9"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EACA75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2F92" w14:textId="77777777" w:rsidR="00DA41F7" w:rsidRDefault="00DA41F7" w:rsidP="00EA0969">
      <w:pPr>
        <w:spacing w:after="0"/>
      </w:pPr>
      <w:r>
        <w:separator/>
      </w:r>
    </w:p>
  </w:footnote>
  <w:footnote w:type="continuationSeparator" w:id="0">
    <w:p w14:paraId="47B27692" w14:textId="77777777" w:rsidR="00DA41F7" w:rsidRDefault="00DA41F7">
      <w:r>
        <w:continuationSeparator/>
      </w:r>
    </w:p>
  </w:footnote>
  <w:footnote w:type="continuationNotice" w:id="1">
    <w:p w14:paraId="32321D9B" w14:textId="77777777" w:rsidR="00DA41F7" w:rsidRDefault="00DA41F7">
      <w:pPr>
        <w:spacing w:after="0" w:line="240" w:lineRule="auto"/>
      </w:pPr>
    </w:p>
  </w:footnote>
  <w:footnote w:id="2">
    <w:p w14:paraId="352D4D3F" w14:textId="41C51DC3" w:rsidR="003B30F0" w:rsidRPr="000375D6" w:rsidRDefault="003B30F0">
      <w:pPr>
        <w:pStyle w:val="FootnoteText"/>
      </w:pPr>
      <w:r>
        <w:rPr>
          <w:rStyle w:val="FootnoteReference"/>
        </w:rPr>
        <w:footnoteRef/>
      </w:r>
      <w:r>
        <w:t xml:space="preserve"> The Direction was made by the </w:t>
      </w:r>
      <w:r w:rsidR="00373897">
        <w:rPr>
          <w:color w:val="000000"/>
          <w:shd w:val="clear" w:color="auto" w:fill="FFFFFF"/>
        </w:rPr>
        <w:t xml:space="preserve">Minister for </w:t>
      </w:r>
      <w:r w:rsidR="00373897" w:rsidRPr="000375D6">
        <w:rPr>
          <w:color w:val="000000"/>
          <w:shd w:val="clear" w:color="auto" w:fill="FFFFFF"/>
        </w:rPr>
        <w:t xml:space="preserve">Communications, Cyber </w:t>
      </w:r>
      <w:proofErr w:type="gramStart"/>
      <w:r w:rsidR="00373897" w:rsidRPr="000375D6">
        <w:rPr>
          <w:color w:val="000000"/>
          <w:shd w:val="clear" w:color="auto" w:fill="FFFFFF"/>
        </w:rPr>
        <w:t>Safety</w:t>
      </w:r>
      <w:proofErr w:type="gramEnd"/>
      <w:r w:rsidR="00373897" w:rsidRPr="000375D6">
        <w:rPr>
          <w:color w:val="000000"/>
          <w:shd w:val="clear" w:color="auto" w:fill="FFFFFF"/>
        </w:rPr>
        <w:t xml:space="preserve"> and the Arts,</w:t>
      </w:r>
      <w:r w:rsidR="00C51A3E" w:rsidRPr="000375D6">
        <w:rPr>
          <w:color w:val="000000"/>
          <w:shd w:val="clear" w:color="auto" w:fill="FFFFFF"/>
        </w:rPr>
        <w:t xml:space="preserve"> on 15 May 2020</w:t>
      </w:r>
      <w:r w:rsidR="0072730F" w:rsidRPr="000375D6">
        <w:rPr>
          <w:color w:val="000000"/>
          <w:shd w:val="clear" w:color="auto" w:fill="FFFFFF"/>
        </w:rPr>
        <w:t>.</w:t>
      </w:r>
    </w:p>
  </w:footnote>
  <w:footnote w:id="3">
    <w:p w14:paraId="6CD7672C" w14:textId="77777777" w:rsidR="00B952C3" w:rsidRPr="000375D6" w:rsidRDefault="00B952C3" w:rsidP="00B952C3">
      <w:pPr>
        <w:pStyle w:val="FootnoteText"/>
      </w:pPr>
      <w:r w:rsidRPr="000375D6">
        <w:rPr>
          <w:rStyle w:val="FootnoteReference"/>
        </w:rPr>
        <w:footnoteRef/>
      </w:r>
      <w:r w:rsidRPr="000375D6">
        <w:t xml:space="preserve"> See subsections 6(1) and 6(2) of the Direction. </w:t>
      </w:r>
    </w:p>
  </w:footnote>
  <w:footnote w:id="4">
    <w:p w14:paraId="1E9E0510" w14:textId="4941D4D5" w:rsidR="00B952C3" w:rsidRDefault="00B952C3" w:rsidP="00B952C3">
      <w:pPr>
        <w:pStyle w:val="FootnoteText"/>
      </w:pPr>
      <w:r w:rsidRPr="000375D6">
        <w:rPr>
          <w:rStyle w:val="FootnoteReference"/>
        </w:rPr>
        <w:footnoteRef/>
      </w:r>
      <w:r w:rsidRPr="000375D6">
        <w:t xml:space="preserve"> The </w:t>
      </w:r>
      <w:r w:rsidR="006D486A">
        <w:t>‘</w:t>
      </w:r>
      <w:r w:rsidRPr="000375D6">
        <w:t>All groups CPI</w:t>
      </w:r>
      <w:r w:rsidR="006D486A">
        <w:t>’</w:t>
      </w:r>
      <w:r w:rsidRPr="000375D6">
        <w:t xml:space="preserve"> from </w:t>
      </w:r>
      <w:r w:rsidR="00947CA2" w:rsidRPr="000375D6">
        <w:t>June</w:t>
      </w:r>
      <w:r w:rsidR="00500CD1" w:rsidRPr="000375D6">
        <w:t xml:space="preserve"> quarter</w:t>
      </w:r>
      <w:r w:rsidR="00947CA2" w:rsidRPr="000375D6">
        <w:t xml:space="preserve"> </w:t>
      </w:r>
      <w:r w:rsidRPr="000375D6">
        <w:t>2022 to June</w:t>
      </w:r>
      <w:r w:rsidR="00500CD1" w:rsidRPr="000375D6">
        <w:t xml:space="preserve"> quarter</w:t>
      </w:r>
      <w:r w:rsidRPr="000375D6">
        <w:t xml:space="preserve"> 2023, as published by the Australian Bureau of Statistics </w:t>
      </w:r>
      <w:r w:rsidR="00E76B30" w:rsidRPr="000375D6">
        <w:t xml:space="preserve">on its </w:t>
      </w:r>
      <w:hyperlink r:id="rId1" w:history="1">
        <w:r w:rsidR="00D52BB1" w:rsidRPr="000375D6">
          <w:rPr>
            <w:rStyle w:val="Hyperlink"/>
          </w:rPr>
          <w:t>website</w:t>
        </w:r>
      </w:hyperlink>
      <w:r w:rsidR="00D52BB1" w:rsidRPr="000375D6">
        <w:t>.</w:t>
      </w:r>
    </w:p>
  </w:footnote>
  <w:footnote w:id="5">
    <w:p w14:paraId="2F34F6E1" w14:textId="5AA70ACD" w:rsidR="00B952C3" w:rsidRDefault="00B952C3" w:rsidP="00B952C3">
      <w:pPr>
        <w:pStyle w:val="FootnoteText"/>
      </w:pPr>
      <w:r>
        <w:rPr>
          <w:rStyle w:val="FootnoteReference"/>
        </w:rPr>
        <w:footnoteRef/>
      </w:r>
      <w:r>
        <w:t xml:space="preserve"> </w:t>
      </w:r>
      <w:r w:rsidR="006D486A">
        <w:t>S</w:t>
      </w:r>
      <w:r>
        <w:t xml:space="preserve">ee page 70 of the </w:t>
      </w:r>
      <w:hyperlink r:id="rId2" w:history="1">
        <w:r w:rsidRPr="00C02E70">
          <w:rPr>
            <w:rStyle w:val="Hyperlink"/>
            <w:i/>
            <w:iCs/>
          </w:rPr>
          <w:t xml:space="preserve">Draft allocation and technical instruments for the 3.4/3.7 GHz bands auction </w:t>
        </w:r>
      </w:hyperlink>
      <w:r w:rsidR="009D261A">
        <w:t>consultation paper,</w:t>
      </w:r>
      <w:r>
        <w:t xml:space="preserve"> February 2023.</w:t>
      </w:r>
    </w:p>
  </w:footnote>
  <w:footnote w:id="6">
    <w:p w14:paraId="1DEFD4D5" w14:textId="77777777" w:rsidR="00B952C3" w:rsidRDefault="00B952C3" w:rsidP="00B952C3">
      <w:pPr>
        <w:pStyle w:val="FootnoteText"/>
      </w:pPr>
      <w:r>
        <w:rPr>
          <w:rStyle w:val="FootnoteReference"/>
        </w:rPr>
        <w:footnoteRef/>
      </w:r>
      <w:r>
        <w:t xml:space="preserve"> See subsection 6(5) of the Direction.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A09C" w14:textId="77777777" w:rsidR="00B952C3" w:rsidRPr="00A5474E" w:rsidRDefault="00B952C3" w:rsidP="00A5474E">
    <w:pPr>
      <w:pStyle w:val="Header"/>
    </w:pPr>
    <w:r>
      <w:rPr>
        <w:noProof/>
      </w:rPr>
      <w:drawing>
        <wp:inline distT="0" distB="0" distL="0" distR="0" wp14:anchorId="3406465B" wp14:editId="6FC5F0D0">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236C" w14:textId="77777777" w:rsidR="00B952C3" w:rsidRPr="00A5474E" w:rsidRDefault="00B952C3"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3ADF" w14:textId="77777777" w:rsidR="00B952C3" w:rsidRDefault="00B95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5A6C" w14:textId="77777777" w:rsidR="00B952C3" w:rsidRDefault="00B952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B952C3" w14:paraId="0B379D10" w14:textId="77777777" w:rsidTr="003B0421">
      <w:trPr>
        <w:trHeight w:hRule="exact" w:val="988"/>
      </w:trPr>
      <w:tc>
        <w:tcPr>
          <w:tcW w:w="7678" w:type="dxa"/>
          <w:shd w:val="clear" w:color="auto" w:fill="auto"/>
        </w:tcPr>
        <w:p w14:paraId="2C992BF2" w14:textId="77777777" w:rsidR="00B952C3" w:rsidRDefault="00B952C3" w:rsidP="00971914">
          <w:pPr>
            <w:pStyle w:val="Header"/>
          </w:pPr>
        </w:p>
      </w:tc>
    </w:tr>
    <w:tr w:rsidR="00B952C3" w14:paraId="2D9845A9" w14:textId="77777777" w:rsidTr="003B0421">
      <w:tc>
        <w:tcPr>
          <w:tcW w:w="7678" w:type="dxa"/>
          <w:shd w:val="clear" w:color="auto" w:fill="auto"/>
        </w:tcPr>
        <w:p w14:paraId="6F91207D" w14:textId="77777777" w:rsidR="00B952C3" w:rsidRDefault="00B952C3" w:rsidP="00971914">
          <w:pPr>
            <w:pStyle w:val="GridTable31"/>
          </w:pPr>
          <w:r>
            <w:t xml:space="preserve">Contents </w:t>
          </w:r>
          <w:r w:rsidRPr="00915B1C">
            <w:rPr>
              <w:b w:val="0"/>
              <w:spacing w:val="0"/>
              <w:sz w:val="28"/>
              <w:szCs w:val="28"/>
            </w:rPr>
            <w:t>(Continued)</w:t>
          </w:r>
        </w:p>
      </w:tc>
    </w:tr>
    <w:tr w:rsidR="00B952C3" w14:paraId="52A8F1EB" w14:textId="77777777" w:rsidTr="003B0421">
      <w:trPr>
        <w:trHeight w:val="1220"/>
      </w:trPr>
      <w:tc>
        <w:tcPr>
          <w:tcW w:w="7678" w:type="dxa"/>
          <w:shd w:val="clear" w:color="auto" w:fill="auto"/>
        </w:tcPr>
        <w:p w14:paraId="45B52DC0" w14:textId="77777777" w:rsidR="00B952C3" w:rsidRDefault="00B952C3" w:rsidP="00971914"/>
      </w:tc>
    </w:tr>
  </w:tbl>
  <w:p w14:paraId="3655B60A" w14:textId="77777777" w:rsidR="00B952C3" w:rsidRDefault="00B952C3"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B952C3" w14:paraId="50C12322" w14:textId="77777777" w:rsidTr="003B0421">
      <w:trPr>
        <w:trHeight w:hRule="exact" w:val="988"/>
      </w:trPr>
      <w:tc>
        <w:tcPr>
          <w:tcW w:w="7678" w:type="dxa"/>
          <w:shd w:val="clear" w:color="auto" w:fill="auto"/>
        </w:tcPr>
        <w:p w14:paraId="489D2C81" w14:textId="77777777" w:rsidR="00B952C3" w:rsidRDefault="00B952C3" w:rsidP="00971914">
          <w:pPr>
            <w:pStyle w:val="Header"/>
          </w:pPr>
        </w:p>
      </w:tc>
    </w:tr>
    <w:tr w:rsidR="00B952C3" w14:paraId="388A313F" w14:textId="77777777" w:rsidTr="003B0421">
      <w:tc>
        <w:tcPr>
          <w:tcW w:w="7678" w:type="dxa"/>
          <w:shd w:val="clear" w:color="auto" w:fill="auto"/>
        </w:tcPr>
        <w:p w14:paraId="1C6DBA20" w14:textId="77777777" w:rsidR="00B952C3" w:rsidRDefault="00B952C3" w:rsidP="00971914">
          <w:pPr>
            <w:pStyle w:val="GridTable31"/>
          </w:pPr>
          <w:r>
            <w:t xml:space="preserve">Contents </w:t>
          </w:r>
          <w:r w:rsidRPr="00915B1C">
            <w:rPr>
              <w:b w:val="0"/>
              <w:spacing w:val="0"/>
              <w:sz w:val="28"/>
              <w:szCs w:val="28"/>
            </w:rPr>
            <w:t>(Continued)</w:t>
          </w:r>
        </w:p>
      </w:tc>
    </w:tr>
    <w:tr w:rsidR="00B952C3" w14:paraId="39419F62" w14:textId="77777777" w:rsidTr="003B0421">
      <w:trPr>
        <w:trHeight w:val="1220"/>
      </w:trPr>
      <w:tc>
        <w:tcPr>
          <w:tcW w:w="7678" w:type="dxa"/>
          <w:shd w:val="clear" w:color="auto" w:fill="auto"/>
        </w:tcPr>
        <w:p w14:paraId="28900CA3" w14:textId="77777777" w:rsidR="00B952C3" w:rsidRDefault="00B952C3" w:rsidP="00971914"/>
      </w:tc>
    </w:tr>
  </w:tbl>
  <w:p w14:paraId="258C4819" w14:textId="77777777" w:rsidR="00B952C3" w:rsidRPr="00A5474E" w:rsidRDefault="00B952C3"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D355"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90A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F356BB3A"/>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B606976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0E46F6"/>
    <w:multiLevelType w:val="hybridMultilevel"/>
    <w:tmpl w:val="309EA3CC"/>
    <w:lvl w:ilvl="0" w:tplc="17461A8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C0A6A"/>
    <w:multiLevelType w:val="hybridMultilevel"/>
    <w:tmpl w:val="706C5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E7A1C"/>
    <w:multiLevelType w:val="hybridMultilevel"/>
    <w:tmpl w:val="9BD0F48A"/>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0790647"/>
    <w:multiLevelType w:val="hybridMultilevel"/>
    <w:tmpl w:val="800233AC"/>
    <w:lvl w:ilvl="0" w:tplc="0C090015">
      <w:start w:val="1"/>
      <w:numFmt w:val="upp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70402"/>
    <w:multiLevelType w:val="hybridMultilevel"/>
    <w:tmpl w:val="28ACC1C2"/>
    <w:lvl w:ilvl="0" w:tplc="ADEEFA2E">
      <w:start w:val="1"/>
      <w:numFmt w:val="decimal"/>
      <w:lvlText w:val="%1."/>
      <w:lvlJc w:val="left"/>
      <w:pPr>
        <w:ind w:left="360" w:hanging="360"/>
      </w:pPr>
      <w:rPr>
        <w:rFonts w:ascii="Arial" w:hAnsi="Arial" w:cs="Arial" w:hint="default"/>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52029418"/>
    <w:lvl w:ilvl="0" w:tplc="CF3A781E">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D27A1"/>
    <w:multiLevelType w:val="hybridMultilevel"/>
    <w:tmpl w:val="0A2EE400"/>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149C9"/>
    <w:multiLevelType w:val="hybridMultilevel"/>
    <w:tmpl w:val="B03216B4"/>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D4901"/>
    <w:multiLevelType w:val="multilevel"/>
    <w:tmpl w:val="D8B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348908">
    <w:abstractNumId w:val="3"/>
  </w:num>
  <w:num w:numId="2" w16cid:durableId="2041128378">
    <w:abstractNumId w:val="1"/>
  </w:num>
  <w:num w:numId="3" w16cid:durableId="413667997">
    <w:abstractNumId w:val="2"/>
  </w:num>
  <w:num w:numId="4" w16cid:durableId="602080446">
    <w:abstractNumId w:val="0"/>
  </w:num>
  <w:num w:numId="5" w16cid:durableId="208078082">
    <w:abstractNumId w:val="9"/>
  </w:num>
  <w:num w:numId="6" w16cid:durableId="722947420">
    <w:abstractNumId w:val="17"/>
  </w:num>
  <w:num w:numId="7" w16cid:durableId="1600988653">
    <w:abstractNumId w:val="13"/>
  </w:num>
  <w:num w:numId="8" w16cid:durableId="2043481503">
    <w:abstractNumId w:val="16"/>
  </w:num>
  <w:num w:numId="9" w16cid:durableId="1055857636">
    <w:abstractNumId w:val="18"/>
  </w:num>
  <w:num w:numId="10" w16cid:durableId="2016376987">
    <w:abstractNumId w:val="6"/>
  </w:num>
  <w:num w:numId="11" w16cid:durableId="1993243991">
    <w:abstractNumId w:val="5"/>
  </w:num>
  <w:num w:numId="12" w16cid:durableId="1003817805">
    <w:abstractNumId w:val="3"/>
  </w:num>
  <w:num w:numId="13" w16cid:durableId="179856837">
    <w:abstractNumId w:val="2"/>
    <w:lvlOverride w:ilvl="0">
      <w:startOverride w:val="1"/>
    </w:lvlOverride>
  </w:num>
  <w:num w:numId="14" w16cid:durableId="269313726">
    <w:abstractNumId w:val="2"/>
    <w:lvlOverride w:ilvl="0">
      <w:startOverride w:val="1"/>
    </w:lvlOverride>
  </w:num>
  <w:num w:numId="15" w16cid:durableId="2090811890">
    <w:abstractNumId w:val="2"/>
    <w:lvlOverride w:ilvl="0">
      <w:startOverride w:val="1"/>
    </w:lvlOverride>
  </w:num>
  <w:num w:numId="16" w16cid:durableId="1293824732">
    <w:abstractNumId w:val="10"/>
  </w:num>
  <w:num w:numId="17" w16cid:durableId="290289276">
    <w:abstractNumId w:val="2"/>
    <w:lvlOverride w:ilvl="0">
      <w:startOverride w:val="1"/>
    </w:lvlOverride>
  </w:num>
  <w:num w:numId="18" w16cid:durableId="159201785">
    <w:abstractNumId w:val="7"/>
  </w:num>
  <w:num w:numId="19" w16cid:durableId="1914076749">
    <w:abstractNumId w:val="20"/>
  </w:num>
  <w:num w:numId="20" w16cid:durableId="1284269345">
    <w:abstractNumId w:val="15"/>
  </w:num>
  <w:num w:numId="21" w16cid:durableId="1358116445">
    <w:abstractNumId w:val="8"/>
  </w:num>
  <w:num w:numId="22" w16cid:durableId="1866284686">
    <w:abstractNumId w:val="21"/>
  </w:num>
  <w:num w:numId="23" w16cid:durableId="1252425576">
    <w:abstractNumId w:val="19"/>
  </w:num>
  <w:num w:numId="24" w16cid:durableId="1652366372">
    <w:abstractNumId w:val="14"/>
  </w:num>
  <w:num w:numId="25" w16cid:durableId="835926527">
    <w:abstractNumId w:val="4"/>
  </w:num>
  <w:num w:numId="26" w16cid:durableId="1056733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237886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27"/>
    <w:rsid w:val="00002290"/>
    <w:rsid w:val="00003557"/>
    <w:rsid w:val="00003A9D"/>
    <w:rsid w:val="00005988"/>
    <w:rsid w:val="000075EE"/>
    <w:rsid w:val="00010667"/>
    <w:rsid w:val="000129D5"/>
    <w:rsid w:val="00015AE7"/>
    <w:rsid w:val="00016E21"/>
    <w:rsid w:val="0001719C"/>
    <w:rsid w:val="00020736"/>
    <w:rsid w:val="000217F1"/>
    <w:rsid w:val="0002224E"/>
    <w:rsid w:val="000223DA"/>
    <w:rsid w:val="00022F9E"/>
    <w:rsid w:val="00023A36"/>
    <w:rsid w:val="00023C61"/>
    <w:rsid w:val="00023F98"/>
    <w:rsid w:val="000243ED"/>
    <w:rsid w:val="000245E5"/>
    <w:rsid w:val="00026F91"/>
    <w:rsid w:val="00031CF0"/>
    <w:rsid w:val="00032621"/>
    <w:rsid w:val="000375D6"/>
    <w:rsid w:val="000401F0"/>
    <w:rsid w:val="00040359"/>
    <w:rsid w:val="00042167"/>
    <w:rsid w:val="0004361C"/>
    <w:rsid w:val="00046F05"/>
    <w:rsid w:val="0004764C"/>
    <w:rsid w:val="0005011A"/>
    <w:rsid w:val="0005045A"/>
    <w:rsid w:val="00051C1E"/>
    <w:rsid w:val="00051C4D"/>
    <w:rsid w:val="000523BA"/>
    <w:rsid w:val="000539F9"/>
    <w:rsid w:val="00054912"/>
    <w:rsid w:val="00054C27"/>
    <w:rsid w:val="00055EC3"/>
    <w:rsid w:val="000563CE"/>
    <w:rsid w:val="00060CE5"/>
    <w:rsid w:val="00061BE2"/>
    <w:rsid w:val="000652FB"/>
    <w:rsid w:val="000659B6"/>
    <w:rsid w:val="0006686F"/>
    <w:rsid w:val="0006722A"/>
    <w:rsid w:val="00071EBE"/>
    <w:rsid w:val="00072177"/>
    <w:rsid w:val="000732CF"/>
    <w:rsid w:val="0007331B"/>
    <w:rsid w:val="0007450E"/>
    <w:rsid w:val="000753D1"/>
    <w:rsid w:val="00075B96"/>
    <w:rsid w:val="000763C1"/>
    <w:rsid w:val="0008151B"/>
    <w:rsid w:val="0008196A"/>
    <w:rsid w:val="00082C9B"/>
    <w:rsid w:val="00090A36"/>
    <w:rsid w:val="000910E9"/>
    <w:rsid w:val="000915ED"/>
    <w:rsid w:val="0009209D"/>
    <w:rsid w:val="0009463C"/>
    <w:rsid w:val="000969BD"/>
    <w:rsid w:val="000969BF"/>
    <w:rsid w:val="000A0407"/>
    <w:rsid w:val="000A0C22"/>
    <w:rsid w:val="000A0DCF"/>
    <w:rsid w:val="000A1400"/>
    <w:rsid w:val="000A212D"/>
    <w:rsid w:val="000A3C43"/>
    <w:rsid w:val="000A4A51"/>
    <w:rsid w:val="000A4CC1"/>
    <w:rsid w:val="000A5D2B"/>
    <w:rsid w:val="000B0665"/>
    <w:rsid w:val="000B0B53"/>
    <w:rsid w:val="000B4664"/>
    <w:rsid w:val="000B4DA5"/>
    <w:rsid w:val="000B5DE3"/>
    <w:rsid w:val="000C0010"/>
    <w:rsid w:val="000C02E1"/>
    <w:rsid w:val="000C0A57"/>
    <w:rsid w:val="000C0E21"/>
    <w:rsid w:val="000C230C"/>
    <w:rsid w:val="000C240B"/>
    <w:rsid w:val="000C32E1"/>
    <w:rsid w:val="000C45B7"/>
    <w:rsid w:val="000C46FF"/>
    <w:rsid w:val="000C479D"/>
    <w:rsid w:val="000C6AB4"/>
    <w:rsid w:val="000C7F38"/>
    <w:rsid w:val="000D1ADC"/>
    <w:rsid w:val="000D71D9"/>
    <w:rsid w:val="000D7611"/>
    <w:rsid w:val="000D76E0"/>
    <w:rsid w:val="000D7B1E"/>
    <w:rsid w:val="000D7E8B"/>
    <w:rsid w:val="000E4449"/>
    <w:rsid w:val="000E486E"/>
    <w:rsid w:val="000E5768"/>
    <w:rsid w:val="000E6097"/>
    <w:rsid w:val="000F3A25"/>
    <w:rsid w:val="0010119E"/>
    <w:rsid w:val="00101801"/>
    <w:rsid w:val="00103829"/>
    <w:rsid w:val="0010603C"/>
    <w:rsid w:val="00111FCE"/>
    <w:rsid w:val="001125EB"/>
    <w:rsid w:val="00114440"/>
    <w:rsid w:val="001162F4"/>
    <w:rsid w:val="00120C50"/>
    <w:rsid w:val="00122862"/>
    <w:rsid w:val="001229A5"/>
    <w:rsid w:val="001230AD"/>
    <w:rsid w:val="001231DB"/>
    <w:rsid w:val="00123922"/>
    <w:rsid w:val="0012489B"/>
    <w:rsid w:val="001269D3"/>
    <w:rsid w:val="001273BB"/>
    <w:rsid w:val="00130017"/>
    <w:rsid w:val="00130F91"/>
    <w:rsid w:val="00131439"/>
    <w:rsid w:val="00131DAF"/>
    <w:rsid w:val="001349ED"/>
    <w:rsid w:val="00134AC7"/>
    <w:rsid w:val="00135B2F"/>
    <w:rsid w:val="00137424"/>
    <w:rsid w:val="00137766"/>
    <w:rsid w:val="00140318"/>
    <w:rsid w:val="001405F5"/>
    <w:rsid w:val="00140EF3"/>
    <w:rsid w:val="00141341"/>
    <w:rsid w:val="00141AD9"/>
    <w:rsid w:val="001449FF"/>
    <w:rsid w:val="00146CE6"/>
    <w:rsid w:val="00152903"/>
    <w:rsid w:val="001538CE"/>
    <w:rsid w:val="00153F83"/>
    <w:rsid w:val="00153FD5"/>
    <w:rsid w:val="0015614F"/>
    <w:rsid w:val="001563C7"/>
    <w:rsid w:val="001577C2"/>
    <w:rsid w:val="001608CC"/>
    <w:rsid w:val="00160BEA"/>
    <w:rsid w:val="001633C4"/>
    <w:rsid w:val="001704D5"/>
    <w:rsid w:val="00171591"/>
    <w:rsid w:val="001729AA"/>
    <w:rsid w:val="00173981"/>
    <w:rsid w:val="0017719D"/>
    <w:rsid w:val="00180127"/>
    <w:rsid w:val="001833F0"/>
    <w:rsid w:val="00183F14"/>
    <w:rsid w:val="00183FD7"/>
    <w:rsid w:val="00185B29"/>
    <w:rsid w:val="00185CAB"/>
    <w:rsid w:val="00186170"/>
    <w:rsid w:val="00186484"/>
    <w:rsid w:val="001875B7"/>
    <w:rsid w:val="00187CB3"/>
    <w:rsid w:val="0019050A"/>
    <w:rsid w:val="001910D4"/>
    <w:rsid w:val="00191D52"/>
    <w:rsid w:val="001939B8"/>
    <w:rsid w:val="00194FB3"/>
    <w:rsid w:val="001972D2"/>
    <w:rsid w:val="001976E3"/>
    <w:rsid w:val="00197B17"/>
    <w:rsid w:val="001A085E"/>
    <w:rsid w:val="001A0A97"/>
    <w:rsid w:val="001A416E"/>
    <w:rsid w:val="001A44EC"/>
    <w:rsid w:val="001A519B"/>
    <w:rsid w:val="001A7243"/>
    <w:rsid w:val="001B165F"/>
    <w:rsid w:val="001B37A0"/>
    <w:rsid w:val="001B58AA"/>
    <w:rsid w:val="001B7E48"/>
    <w:rsid w:val="001C17CE"/>
    <w:rsid w:val="001C3218"/>
    <w:rsid w:val="001C36CA"/>
    <w:rsid w:val="001C44D1"/>
    <w:rsid w:val="001C4A17"/>
    <w:rsid w:val="001C6A67"/>
    <w:rsid w:val="001C6AEE"/>
    <w:rsid w:val="001C7630"/>
    <w:rsid w:val="001D1A04"/>
    <w:rsid w:val="001D5171"/>
    <w:rsid w:val="001D6D15"/>
    <w:rsid w:val="001D6DD1"/>
    <w:rsid w:val="001E5260"/>
    <w:rsid w:val="001F3E0D"/>
    <w:rsid w:val="001F50F7"/>
    <w:rsid w:val="001F55D8"/>
    <w:rsid w:val="001F7517"/>
    <w:rsid w:val="001F7558"/>
    <w:rsid w:val="002015BA"/>
    <w:rsid w:val="00201EE2"/>
    <w:rsid w:val="0020275F"/>
    <w:rsid w:val="0020323D"/>
    <w:rsid w:val="00205B57"/>
    <w:rsid w:val="00205F92"/>
    <w:rsid w:val="0020613D"/>
    <w:rsid w:val="0021008D"/>
    <w:rsid w:val="0021061C"/>
    <w:rsid w:val="0021426C"/>
    <w:rsid w:val="002157E0"/>
    <w:rsid w:val="00215D4E"/>
    <w:rsid w:val="002168F4"/>
    <w:rsid w:val="00216A57"/>
    <w:rsid w:val="00217183"/>
    <w:rsid w:val="00217448"/>
    <w:rsid w:val="00217F3D"/>
    <w:rsid w:val="0022261E"/>
    <w:rsid w:val="0022334F"/>
    <w:rsid w:val="002260C9"/>
    <w:rsid w:val="00226819"/>
    <w:rsid w:val="002314E4"/>
    <w:rsid w:val="00231E7D"/>
    <w:rsid w:val="002329FD"/>
    <w:rsid w:val="00233101"/>
    <w:rsid w:val="00233817"/>
    <w:rsid w:val="0023496E"/>
    <w:rsid w:val="002367FF"/>
    <w:rsid w:val="00240CE9"/>
    <w:rsid w:val="00243407"/>
    <w:rsid w:val="002434BA"/>
    <w:rsid w:val="00246089"/>
    <w:rsid w:val="00246093"/>
    <w:rsid w:val="00246702"/>
    <w:rsid w:val="00247C59"/>
    <w:rsid w:val="00247F2E"/>
    <w:rsid w:val="00250ADC"/>
    <w:rsid w:val="00250B07"/>
    <w:rsid w:val="00251E0D"/>
    <w:rsid w:val="00255141"/>
    <w:rsid w:val="00257553"/>
    <w:rsid w:val="002605E4"/>
    <w:rsid w:val="00260F0D"/>
    <w:rsid w:val="00260FB2"/>
    <w:rsid w:val="002618D1"/>
    <w:rsid w:val="00261CF5"/>
    <w:rsid w:val="00262128"/>
    <w:rsid w:val="00262652"/>
    <w:rsid w:val="002636EE"/>
    <w:rsid w:val="00267DAC"/>
    <w:rsid w:val="00271239"/>
    <w:rsid w:val="0027165D"/>
    <w:rsid w:val="00273276"/>
    <w:rsid w:val="00273CEB"/>
    <w:rsid w:val="0027433E"/>
    <w:rsid w:val="00274DA8"/>
    <w:rsid w:val="00275448"/>
    <w:rsid w:val="00277E6C"/>
    <w:rsid w:val="00281C89"/>
    <w:rsid w:val="0028282F"/>
    <w:rsid w:val="00282E21"/>
    <w:rsid w:val="0028576D"/>
    <w:rsid w:val="002860A8"/>
    <w:rsid w:val="0029067A"/>
    <w:rsid w:val="00294301"/>
    <w:rsid w:val="0029593B"/>
    <w:rsid w:val="002962C7"/>
    <w:rsid w:val="00297D59"/>
    <w:rsid w:val="00297FC5"/>
    <w:rsid w:val="002A0417"/>
    <w:rsid w:val="002A071C"/>
    <w:rsid w:val="002A0738"/>
    <w:rsid w:val="002A1384"/>
    <w:rsid w:val="002A16D8"/>
    <w:rsid w:val="002A1BC8"/>
    <w:rsid w:val="002A1FDB"/>
    <w:rsid w:val="002A3EF2"/>
    <w:rsid w:val="002B07FE"/>
    <w:rsid w:val="002B0DED"/>
    <w:rsid w:val="002B19A2"/>
    <w:rsid w:val="002B381A"/>
    <w:rsid w:val="002B3C9E"/>
    <w:rsid w:val="002B4A16"/>
    <w:rsid w:val="002B4FCC"/>
    <w:rsid w:val="002B6D0A"/>
    <w:rsid w:val="002B7408"/>
    <w:rsid w:val="002B7CFD"/>
    <w:rsid w:val="002C0518"/>
    <w:rsid w:val="002C0530"/>
    <w:rsid w:val="002C143C"/>
    <w:rsid w:val="002C210F"/>
    <w:rsid w:val="002D1B5F"/>
    <w:rsid w:val="002D2B43"/>
    <w:rsid w:val="002D2BB9"/>
    <w:rsid w:val="002D2F66"/>
    <w:rsid w:val="002D3600"/>
    <w:rsid w:val="002D7E3B"/>
    <w:rsid w:val="002E03FC"/>
    <w:rsid w:val="002E09BE"/>
    <w:rsid w:val="002E23E5"/>
    <w:rsid w:val="002E2C1A"/>
    <w:rsid w:val="002E3F58"/>
    <w:rsid w:val="002E4D6B"/>
    <w:rsid w:val="002E4DDC"/>
    <w:rsid w:val="002F0E46"/>
    <w:rsid w:val="0030116F"/>
    <w:rsid w:val="00301E42"/>
    <w:rsid w:val="00302480"/>
    <w:rsid w:val="00302758"/>
    <w:rsid w:val="00303B80"/>
    <w:rsid w:val="00307538"/>
    <w:rsid w:val="00311668"/>
    <w:rsid w:val="0031184B"/>
    <w:rsid w:val="00311C06"/>
    <w:rsid w:val="00312F27"/>
    <w:rsid w:val="003160D6"/>
    <w:rsid w:val="003163CC"/>
    <w:rsid w:val="003165E6"/>
    <w:rsid w:val="003215B5"/>
    <w:rsid w:val="003220EB"/>
    <w:rsid w:val="003221CF"/>
    <w:rsid w:val="003233ED"/>
    <w:rsid w:val="003244F3"/>
    <w:rsid w:val="00324D9F"/>
    <w:rsid w:val="00325068"/>
    <w:rsid w:val="003253EE"/>
    <w:rsid w:val="003265F5"/>
    <w:rsid w:val="0032671B"/>
    <w:rsid w:val="00327200"/>
    <w:rsid w:val="00327903"/>
    <w:rsid w:val="00327948"/>
    <w:rsid w:val="00327A82"/>
    <w:rsid w:val="0033000F"/>
    <w:rsid w:val="00332011"/>
    <w:rsid w:val="00332518"/>
    <w:rsid w:val="00332925"/>
    <w:rsid w:val="00332E3F"/>
    <w:rsid w:val="003332ED"/>
    <w:rsid w:val="00335B15"/>
    <w:rsid w:val="003368DC"/>
    <w:rsid w:val="00336A88"/>
    <w:rsid w:val="0033741E"/>
    <w:rsid w:val="00343CCC"/>
    <w:rsid w:val="0034490B"/>
    <w:rsid w:val="00345927"/>
    <w:rsid w:val="00345AAB"/>
    <w:rsid w:val="00350584"/>
    <w:rsid w:val="003507BA"/>
    <w:rsid w:val="00350978"/>
    <w:rsid w:val="00350FE5"/>
    <w:rsid w:val="00351857"/>
    <w:rsid w:val="003545E8"/>
    <w:rsid w:val="00355670"/>
    <w:rsid w:val="00357DAB"/>
    <w:rsid w:val="003610E1"/>
    <w:rsid w:val="00361ECC"/>
    <w:rsid w:val="0036434F"/>
    <w:rsid w:val="003671BE"/>
    <w:rsid w:val="00370A8F"/>
    <w:rsid w:val="00371067"/>
    <w:rsid w:val="00372485"/>
    <w:rsid w:val="00372660"/>
    <w:rsid w:val="00373200"/>
    <w:rsid w:val="003734F1"/>
    <w:rsid w:val="00373897"/>
    <w:rsid w:val="00375E34"/>
    <w:rsid w:val="00375EF5"/>
    <w:rsid w:val="003767A5"/>
    <w:rsid w:val="003807E7"/>
    <w:rsid w:val="00381D15"/>
    <w:rsid w:val="00383B92"/>
    <w:rsid w:val="00385254"/>
    <w:rsid w:val="003856A9"/>
    <w:rsid w:val="00390D91"/>
    <w:rsid w:val="003929FA"/>
    <w:rsid w:val="00392FA5"/>
    <w:rsid w:val="003933E8"/>
    <w:rsid w:val="00394031"/>
    <w:rsid w:val="00396DC2"/>
    <w:rsid w:val="003A04DB"/>
    <w:rsid w:val="003A1AB0"/>
    <w:rsid w:val="003A2108"/>
    <w:rsid w:val="003A2933"/>
    <w:rsid w:val="003A3E24"/>
    <w:rsid w:val="003A5F5B"/>
    <w:rsid w:val="003A68D2"/>
    <w:rsid w:val="003A789A"/>
    <w:rsid w:val="003B12EC"/>
    <w:rsid w:val="003B30F0"/>
    <w:rsid w:val="003B404E"/>
    <w:rsid w:val="003C03B8"/>
    <w:rsid w:val="003C240C"/>
    <w:rsid w:val="003C624B"/>
    <w:rsid w:val="003C77E0"/>
    <w:rsid w:val="003D17D7"/>
    <w:rsid w:val="003D2678"/>
    <w:rsid w:val="003D3573"/>
    <w:rsid w:val="003D57A7"/>
    <w:rsid w:val="003D71A3"/>
    <w:rsid w:val="003D7380"/>
    <w:rsid w:val="003E16C9"/>
    <w:rsid w:val="003E2B8A"/>
    <w:rsid w:val="003E35CB"/>
    <w:rsid w:val="003E6C68"/>
    <w:rsid w:val="003E6ED0"/>
    <w:rsid w:val="003E7D01"/>
    <w:rsid w:val="003F10EE"/>
    <w:rsid w:val="003F16F6"/>
    <w:rsid w:val="003F1CDA"/>
    <w:rsid w:val="003F4DC7"/>
    <w:rsid w:val="003F5235"/>
    <w:rsid w:val="003F5305"/>
    <w:rsid w:val="003F6F12"/>
    <w:rsid w:val="004027E4"/>
    <w:rsid w:val="004043C2"/>
    <w:rsid w:val="004067B9"/>
    <w:rsid w:val="004106C0"/>
    <w:rsid w:val="0041071D"/>
    <w:rsid w:val="00413E7B"/>
    <w:rsid w:val="00414AFC"/>
    <w:rsid w:val="004151A7"/>
    <w:rsid w:val="00415310"/>
    <w:rsid w:val="00416DB9"/>
    <w:rsid w:val="00421709"/>
    <w:rsid w:val="00423763"/>
    <w:rsid w:val="00423991"/>
    <w:rsid w:val="0042446B"/>
    <w:rsid w:val="00425D9C"/>
    <w:rsid w:val="0042762F"/>
    <w:rsid w:val="00427716"/>
    <w:rsid w:val="00427DC7"/>
    <w:rsid w:val="0043091C"/>
    <w:rsid w:val="00431613"/>
    <w:rsid w:val="00431792"/>
    <w:rsid w:val="0043297A"/>
    <w:rsid w:val="00432EB2"/>
    <w:rsid w:val="00434BC7"/>
    <w:rsid w:val="004350AD"/>
    <w:rsid w:val="0043714F"/>
    <w:rsid w:val="0044016C"/>
    <w:rsid w:val="004438B5"/>
    <w:rsid w:val="004453B6"/>
    <w:rsid w:val="0044548E"/>
    <w:rsid w:val="00447037"/>
    <w:rsid w:val="00447852"/>
    <w:rsid w:val="0045124D"/>
    <w:rsid w:val="0045160D"/>
    <w:rsid w:val="00451803"/>
    <w:rsid w:val="00451915"/>
    <w:rsid w:val="00453791"/>
    <w:rsid w:val="00454596"/>
    <w:rsid w:val="00454D23"/>
    <w:rsid w:val="0045605D"/>
    <w:rsid w:val="004604C5"/>
    <w:rsid w:val="0046135B"/>
    <w:rsid w:val="00461D47"/>
    <w:rsid w:val="004677E0"/>
    <w:rsid w:val="00470269"/>
    <w:rsid w:val="00470CFD"/>
    <w:rsid w:val="004718CC"/>
    <w:rsid w:val="00472117"/>
    <w:rsid w:val="00473045"/>
    <w:rsid w:val="00473F5F"/>
    <w:rsid w:val="00475D31"/>
    <w:rsid w:val="00477C3A"/>
    <w:rsid w:val="00481695"/>
    <w:rsid w:val="00481887"/>
    <w:rsid w:val="0048226A"/>
    <w:rsid w:val="00482A14"/>
    <w:rsid w:val="0048488A"/>
    <w:rsid w:val="00487856"/>
    <w:rsid w:val="00487EB1"/>
    <w:rsid w:val="00493409"/>
    <w:rsid w:val="00495A96"/>
    <w:rsid w:val="00495BB3"/>
    <w:rsid w:val="00496303"/>
    <w:rsid w:val="004A271A"/>
    <w:rsid w:val="004A56BB"/>
    <w:rsid w:val="004A70D6"/>
    <w:rsid w:val="004B1751"/>
    <w:rsid w:val="004B1757"/>
    <w:rsid w:val="004B7895"/>
    <w:rsid w:val="004B7D0D"/>
    <w:rsid w:val="004C0253"/>
    <w:rsid w:val="004C098F"/>
    <w:rsid w:val="004C4110"/>
    <w:rsid w:val="004D2CEF"/>
    <w:rsid w:val="004D56FF"/>
    <w:rsid w:val="004D59B8"/>
    <w:rsid w:val="004D5B2A"/>
    <w:rsid w:val="004E39D3"/>
    <w:rsid w:val="004E3B98"/>
    <w:rsid w:val="004E508A"/>
    <w:rsid w:val="004E5A2A"/>
    <w:rsid w:val="004E616D"/>
    <w:rsid w:val="004F1BDE"/>
    <w:rsid w:val="004F2727"/>
    <w:rsid w:val="004F2CB0"/>
    <w:rsid w:val="004F2CEE"/>
    <w:rsid w:val="004F556E"/>
    <w:rsid w:val="004F591C"/>
    <w:rsid w:val="004F6711"/>
    <w:rsid w:val="004F7F44"/>
    <w:rsid w:val="00500CD1"/>
    <w:rsid w:val="005017DE"/>
    <w:rsid w:val="005024DE"/>
    <w:rsid w:val="005037B4"/>
    <w:rsid w:val="00504ACD"/>
    <w:rsid w:val="005079BF"/>
    <w:rsid w:val="0051269A"/>
    <w:rsid w:val="005207CF"/>
    <w:rsid w:val="005219E7"/>
    <w:rsid w:val="0052208B"/>
    <w:rsid w:val="0052697F"/>
    <w:rsid w:val="00531B9A"/>
    <w:rsid w:val="00531D15"/>
    <w:rsid w:val="00531E8E"/>
    <w:rsid w:val="00537604"/>
    <w:rsid w:val="00537B37"/>
    <w:rsid w:val="00542377"/>
    <w:rsid w:val="005444D9"/>
    <w:rsid w:val="0054467D"/>
    <w:rsid w:val="005455F4"/>
    <w:rsid w:val="005476EB"/>
    <w:rsid w:val="00547C9A"/>
    <w:rsid w:val="0055144B"/>
    <w:rsid w:val="00551782"/>
    <w:rsid w:val="00563EF1"/>
    <w:rsid w:val="00564E69"/>
    <w:rsid w:val="00565697"/>
    <w:rsid w:val="00566AB4"/>
    <w:rsid w:val="00566D0A"/>
    <w:rsid w:val="00566FBD"/>
    <w:rsid w:val="00567811"/>
    <w:rsid w:val="00570C71"/>
    <w:rsid w:val="00573812"/>
    <w:rsid w:val="00573FFB"/>
    <w:rsid w:val="00574F5A"/>
    <w:rsid w:val="00575AC5"/>
    <w:rsid w:val="0057605D"/>
    <w:rsid w:val="00576A2E"/>
    <w:rsid w:val="00581347"/>
    <w:rsid w:val="00581AC9"/>
    <w:rsid w:val="005849F8"/>
    <w:rsid w:val="00585CD7"/>
    <w:rsid w:val="00585EDC"/>
    <w:rsid w:val="00591412"/>
    <w:rsid w:val="005938DF"/>
    <w:rsid w:val="005939C0"/>
    <w:rsid w:val="005947DE"/>
    <w:rsid w:val="00594E9C"/>
    <w:rsid w:val="005A099B"/>
    <w:rsid w:val="005A2D9C"/>
    <w:rsid w:val="005A3A91"/>
    <w:rsid w:val="005A4DDC"/>
    <w:rsid w:val="005A55FE"/>
    <w:rsid w:val="005A6A11"/>
    <w:rsid w:val="005A743E"/>
    <w:rsid w:val="005B2F0D"/>
    <w:rsid w:val="005B46F6"/>
    <w:rsid w:val="005B4AED"/>
    <w:rsid w:val="005C1852"/>
    <w:rsid w:val="005C1D58"/>
    <w:rsid w:val="005C2C52"/>
    <w:rsid w:val="005C34EF"/>
    <w:rsid w:val="005C4EB2"/>
    <w:rsid w:val="005C6344"/>
    <w:rsid w:val="005C6612"/>
    <w:rsid w:val="005C6889"/>
    <w:rsid w:val="005D0FEB"/>
    <w:rsid w:val="005D2502"/>
    <w:rsid w:val="005D2BF4"/>
    <w:rsid w:val="005D40BB"/>
    <w:rsid w:val="005D47F3"/>
    <w:rsid w:val="005D49BF"/>
    <w:rsid w:val="005D4AA5"/>
    <w:rsid w:val="005D66AB"/>
    <w:rsid w:val="005D6F4E"/>
    <w:rsid w:val="005D7C73"/>
    <w:rsid w:val="005E0C7B"/>
    <w:rsid w:val="005E202B"/>
    <w:rsid w:val="005E250B"/>
    <w:rsid w:val="005E264E"/>
    <w:rsid w:val="005E3ACD"/>
    <w:rsid w:val="005E6661"/>
    <w:rsid w:val="005E7226"/>
    <w:rsid w:val="005E7A57"/>
    <w:rsid w:val="005F24B0"/>
    <w:rsid w:val="005F4C35"/>
    <w:rsid w:val="005F71F0"/>
    <w:rsid w:val="00604315"/>
    <w:rsid w:val="00604B4A"/>
    <w:rsid w:val="00604E26"/>
    <w:rsid w:val="006050FE"/>
    <w:rsid w:val="0060523F"/>
    <w:rsid w:val="006052CF"/>
    <w:rsid w:val="0060583B"/>
    <w:rsid w:val="006064A0"/>
    <w:rsid w:val="00607B8D"/>
    <w:rsid w:val="00610D60"/>
    <w:rsid w:val="00610F7C"/>
    <w:rsid w:val="00611F5C"/>
    <w:rsid w:val="0061258A"/>
    <w:rsid w:val="00613A41"/>
    <w:rsid w:val="006146F2"/>
    <w:rsid w:val="006163F7"/>
    <w:rsid w:val="00616E09"/>
    <w:rsid w:val="006203F5"/>
    <w:rsid w:val="006212C0"/>
    <w:rsid w:val="00622A3B"/>
    <w:rsid w:val="00622EEA"/>
    <w:rsid w:val="0062396C"/>
    <w:rsid w:val="00623FF9"/>
    <w:rsid w:val="0062437D"/>
    <w:rsid w:val="00627D4E"/>
    <w:rsid w:val="00627E04"/>
    <w:rsid w:val="0063049E"/>
    <w:rsid w:val="00631197"/>
    <w:rsid w:val="00632B89"/>
    <w:rsid w:val="00632C4A"/>
    <w:rsid w:val="0063346D"/>
    <w:rsid w:val="00634478"/>
    <w:rsid w:val="00634497"/>
    <w:rsid w:val="0063458A"/>
    <w:rsid w:val="006368B7"/>
    <w:rsid w:val="006376AB"/>
    <w:rsid w:val="00644373"/>
    <w:rsid w:val="00645915"/>
    <w:rsid w:val="00646CC4"/>
    <w:rsid w:val="00647A7C"/>
    <w:rsid w:val="006505BE"/>
    <w:rsid w:val="00650F68"/>
    <w:rsid w:val="006519C3"/>
    <w:rsid w:val="00652B30"/>
    <w:rsid w:val="00655B0A"/>
    <w:rsid w:val="00656345"/>
    <w:rsid w:val="00656DC6"/>
    <w:rsid w:val="00660A90"/>
    <w:rsid w:val="00660EC6"/>
    <w:rsid w:val="00662AF7"/>
    <w:rsid w:val="00663532"/>
    <w:rsid w:val="00664110"/>
    <w:rsid w:val="00664D17"/>
    <w:rsid w:val="0066536F"/>
    <w:rsid w:val="00666520"/>
    <w:rsid w:val="00667226"/>
    <w:rsid w:val="00667C5B"/>
    <w:rsid w:val="00680732"/>
    <w:rsid w:val="006815E9"/>
    <w:rsid w:val="00681E69"/>
    <w:rsid w:val="00683239"/>
    <w:rsid w:val="00684576"/>
    <w:rsid w:val="00691EB8"/>
    <w:rsid w:val="00692CDE"/>
    <w:rsid w:val="00693073"/>
    <w:rsid w:val="00693299"/>
    <w:rsid w:val="00693348"/>
    <w:rsid w:val="00695292"/>
    <w:rsid w:val="006977FF"/>
    <w:rsid w:val="006A01FA"/>
    <w:rsid w:val="006A0E9E"/>
    <w:rsid w:val="006A2426"/>
    <w:rsid w:val="006A25C7"/>
    <w:rsid w:val="006A3A92"/>
    <w:rsid w:val="006A3ECF"/>
    <w:rsid w:val="006A4AAD"/>
    <w:rsid w:val="006A4CCA"/>
    <w:rsid w:val="006A588E"/>
    <w:rsid w:val="006A6DA2"/>
    <w:rsid w:val="006A7AB2"/>
    <w:rsid w:val="006B03B6"/>
    <w:rsid w:val="006B0765"/>
    <w:rsid w:val="006B27E9"/>
    <w:rsid w:val="006B3E9B"/>
    <w:rsid w:val="006B52DE"/>
    <w:rsid w:val="006B5717"/>
    <w:rsid w:val="006B582F"/>
    <w:rsid w:val="006B5EB2"/>
    <w:rsid w:val="006B7CD1"/>
    <w:rsid w:val="006C0CEB"/>
    <w:rsid w:val="006C0EE0"/>
    <w:rsid w:val="006C12AE"/>
    <w:rsid w:val="006C1631"/>
    <w:rsid w:val="006C3B1E"/>
    <w:rsid w:val="006C47FD"/>
    <w:rsid w:val="006C4E80"/>
    <w:rsid w:val="006C5C19"/>
    <w:rsid w:val="006C5FD4"/>
    <w:rsid w:val="006C70A0"/>
    <w:rsid w:val="006D0E34"/>
    <w:rsid w:val="006D1938"/>
    <w:rsid w:val="006D27CB"/>
    <w:rsid w:val="006D2F08"/>
    <w:rsid w:val="006D486A"/>
    <w:rsid w:val="006D517E"/>
    <w:rsid w:val="006D576C"/>
    <w:rsid w:val="006D5865"/>
    <w:rsid w:val="006D665C"/>
    <w:rsid w:val="006E2801"/>
    <w:rsid w:val="006E4B1B"/>
    <w:rsid w:val="006E5445"/>
    <w:rsid w:val="006E7D93"/>
    <w:rsid w:val="006F1C8E"/>
    <w:rsid w:val="006F33CD"/>
    <w:rsid w:val="006F33F1"/>
    <w:rsid w:val="006F4C54"/>
    <w:rsid w:val="006F7A8B"/>
    <w:rsid w:val="00700391"/>
    <w:rsid w:val="0070133D"/>
    <w:rsid w:val="007029A3"/>
    <w:rsid w:val="00704AC4"/>
    <w:rsid w:val="00704CD4"/>
    <w:rsid w:val="00706E4E"/>
    <w:rsid w:val="0070791C"/>
    <w:rsid w:val="0071383C"/>
    <w:rsid w:val="00713A7C"/>
    <w:rsid w:val="00713EC5"/>
    <w:rsid w:val="007141A7"/>
    <w:rsid w:val="00714D96"/>
    <w:rsid w:val="00714FF4"/>
    <w:rsid w:val="00715722"/>
    <w:rsid w:val="00715756"/>
    <w:rsid w:val="00715BAF"/>
    <w:rsid w:val="00721032"/>
    <w:rsid w:val="00721B55"/>
    <w:rsid w:val="00726CE4"/>
    <w:rsid w:val="0072730F"/>
    <w:rsid w:val="00733A71"/>
    <w:rsid w:val="00734143"/>
    <w:rsid w:val="00735A0E"/>
    <w:rsid w:val="00737E47"/>
    <w:rsid w:val="0074031F"/>
    <w:rsid w:val="00740EAC"/>
    <w:rsid w:val="00740F04"/>
    <w:rsid w:val="007443FD"/>
    <w:rsid w:val="00744956"/>
    <w:rsid w:val="00744A6B"/>
    <w:rsid w:val="00744CF2"/>
    <w:rsid w:val="00745A5C"/>
    <w:rsid w:val="0074605F"/>
    <w:rsid w:val="0074735D"/>
    <w:rsid w:val="00747E94"/>
    <w:rsid w:val="007549DC"/>
    <w:rsid w:val="00754C83"/>
    <w:rsid w:val="007571D3"/>
    <w:rsid w:val="007619F9"/>
    <w:rsid w:val="00761E5C"/>
    <w:rsid w:val="00765DF8"/>
    <w:rsid w:val="00766749"/>
    <w:rsid w:val="00767776"/>
    <w:rsid w:val="00767969"/>
    <w:rsid w:val="00767BDD"/>
    <w:rsid w:val="00767C1B"/>
    <w:rsid w:val="00770B3F"/>
    <w:rsid w:val="007712CF"/>
    <w:rsid w:val="007714A9"/>
    <w:rsid w:val="00774826"/>
    <w:rsid w:val="00774F88"/>
    <w:rsid w:val="00774FDB"/>
    <w:rsid w:val="007765FE"/>
    <w:rsid w:val="00777BA2"/>
    <w:rsid w:val="00781408"/>
    <w:rsid w:val="0078157D"/>
    <w:rsid w:val="007816C1"/>
    <w:rsid w:val="00784F7F"/>
    <w:rsid w:val="007878BD"/>
    <w:rsid w:val="00791C17"/>
    <w:rsid w:val="00792BD1"/>
    <w:rsid w:val="00796F25"/>
    <w:rsid w:val="007A2E98"/>
    <w:rsid w:val="007A31FE"/>
    <w:rsid w:val="007A3BA3"/>
    <w:rsid w:val="007A4141"/>
    <w:rsid w:val="007A6137"/>
    <w:rsid w:val="007A6CC0"/>
    <w:rsid w:val="007A7FEC"/>
    <w:rsid w:val="007B1499"/>
    <w:rsid w:val="007B1BBF"/>
    <w:rsid w:val="007B2960"/>
    <w:rsid w:val="007B355D"/>
    <w:rsid w:val="007B7980"/>
    <w:rsid w:val="007C0DEF"/>
    <w:rsid w:val="007C5D5A"/>
    <w:rsid w:val="007C607F"/>
    <w:rsid w:val="007C79DD"/>
    <w:rsid w:val="007D06C0"/>
    <w:rsid w:val="007D1A97"/>
    <w:rsid w:val="007D2AC0"/>
    <w:rsid w:val="007D2CD6"/>
    <w:rsid w:val="007D3063"/>
    <w:rsid w:val="007D3CEB"/>
    <w:rsid w:val="007D5843"/>
    <w:rsid w:val="007D5BFB"/>
    <w:rsid w:val="007D5FC0"/>
    <w:rsid w:val="007E099D"/>
    <w:rsid w:val="007E470A"/>
    <w:rsid w:val="007E6A94"/>
    <w:rsid w:val="007E7683"/>
    <w:rsid w:val="007F49FA"/>
    <w:rsid w:val="007F54C4"/>
    <w:rsid w:val="007F6C3E"/>
    <w:rsid w:val="007F6E9A"/>
    <w:rsid w:val="00800CCD"/>
    <w:rsid w:val="00801FEB"/>
    <w:rsid w:val="008044D4"/>
    <w:rsid w:val="008079E6"/>
    <w:rsid w:val="00807B9F"/>
    <w:rsid w:val="00810AB4"/>
    <w:rsid w:val="00810EAE"/>
    <w:rsid w:val="00810FA7"/>
    <w:rsid w:val="00816D7E"/>
    <w:rsid w:val="00817B56"/>
    <w:rsid w:val="0082170A"/>
    <w:rsid w:val="00821A88"/>
    <w:rsid w:val="008222DE"/>
    <w:rsid w:val="0082322E"/>
    <w:rsid w:val="0082495D"/>
    <w:rsid w:val="00824E0C"/>
    <w:rsid w:val="00825145"/>
    <w:rsid w:val="00831AC3"/>
    <w:rsid w:val="008341AF"/>
    <w:rsid w:val="008366E0"/>
    <w:rsid w:val="00836FCE"/>
    <w:rsid w:val="008408FF"/>
    <w:rsid w:val="00842929"/>
    <w:rsid w:val="008430F1"/>
    <w:rsid w:val="0084472E"/>
    <w:rsid w:val="008455EB"/>
    <w:rsid w:val="00846158"/>
    <w:rsid w:val="00846441"/>
    <w:rsid w:val="00851B90"/>
    <w:rsid w:val="00851F3F"/>
    <w:rsid w:val="0085229A"/>
    <w:rsid w:val="00853DD6"/>
    <w:rsid w:val="00856EDC"/>
    <w:rsid w:val="0086005F"/>
    <w:rsid w:val="00862203"/>
    <w:rsid w:val="008623B5"/>
    <w:rsid w:val="00864D8C"/>
    <w:rsid w:val="00866A63"/>
    <w:rsid w:val="00870ABA"/>
    <w:rsid w:val="00870AE6"/>
    <w:rsid w:val="008710E1"/>
    <w:rsid w:val="008712DF"/>
    <w:rsid w:val="008716E5"/>
    <w:rsid w:val="00877F7B"/>
    <w:rsid w:val="008805EA"/>
    <w:rsid w:val="00881CA9"/>
    <w:rsid w:val="00883628"/>
    <w:rsid w:val="00884FE2"/>
    <w:rsid w:val="00885544"/>
    <w:rsid w:val="00886218"/>
    <w:rsid w:val="0088634E"/>
    <w:rsid w:val="00893AB8"/>
    <w:rsid w:val="008A04C8"/>
    <w:rsid w:val="008A2B89"/>
    <w:rsid w:val="008A4066"/>
    <w:rsid w:val="008A4898"/>
    <w:rsid w:val="008A55D9"/>
    <w:rsid w:val="008A6328"/>
    <w:rsid w:val="008A6913"/>
    <w:rsid w:val="008A6B19"/>
    <w:rsid w:val="008A7A7D"/>
    <w:rsid w:val="008B4567"/>
    <w:rsid w:val="008B6445"/>
    <w:rsid w:val="008B6DCB"/>
    <w:rsid w:val="008B70F3"/>
    <w:rsid w:val="008B71C4"/>
    <w:rsid w:val="008B76DF"/>
    <w:rsid w:val="008C0043"/>
    <w:rsid w:val="008C10F4"/>
    <w:rsid w:val="008C177E"/>
    <w:rsid w:val="008C538F"/>
    <w:rsid w:val="008C6092"/>
    <w:rsid w:val="008C65F7"/>
    <w:rsid w:val="008D30CF"/>
    <w:rsid w:val="008D796D"/>
    <w:rsid w:val="008D7C05"/>
    <w:rsid w:val="008E0428"/>
    <w:rsid w:val="008E24E4"/>
    <w:rsid w:val="008E2819"/>
    <w:rsid w:val="008E4767"/>
    <w:rsid w:val="008E5A30"/>
    <w:rsid w:val="008E6FD3"/>
    <w:rsid w:val="008E7A8C"/>
    <w:rsid w:val="008F48E0"/>
    <w:rsid w:val="008F5A4F"/>
    <w:rsid w:val="009006A2"/>
    <w:rsid w:val="0090203B"/>
    <w:rsid w:val="00902308"/>
    <w:rsid w:val="00903285"/>
    <w:rsid w:val="00906F40"/>
    <w:rsid w:val="0090731E"/>
    <w:rsid w:val="00907A8B"/>
    <w:rsid w:val="0091432E"/>
    <w:rsid w:val="00915B1C"/>
    <w:rsid w:val="009174F3"/>
    <w:rsid w:val="0091797D"/>
    <w:rsid w:val="0092095C"/>
    <w:rsid w:val="00920BAF"/>
    <w:rsid w:val="0092212A"/>
    <w:rsid w:val="00923CBA"/>
    <w:rsid w:val="009241C5"/>
    <w:rsid w:val="00925E3B"/>
    <w:rsid w:val="00926703"/>
    <w:rsid w:val="00926A4C"/>
    <w:rsid w:val="00927355"/>
    <w:rsid w:val="00927691"/>
    <w:rsid w:val="00927A5F"/>
    <w:rsid w:val="00930510"/>
    <w:rsid w:val="009310BF"/>
    <w:rsid w:val="009318AD"/>
    <w:rsid w:val="00934FEC"/>
    <w:rsid w:val="00935B63"/>
    <w:rsid w:val="00936E95"/>
    <w:rsid w:val="00937AAB"/>
    <w:rsid w:val="0094078F"/>
    <w:rsid w:val="00940FA3"/>
    <w:rsid w:val="00941C41"/>
    <w:rsid w:val="00941FB0"/>
    <w:rsid w:val="009426D4"/>
    <w:rsid w:val="009456B0"/>
    <w:rsid w:val="00946D37"/>
    <w:rsid w:val="00947CA2"/>
    <w:rsid w:val="00947E86"/>
    <w:rsid w:val="00947F25"/>
    <w:rsid w:val="00950159"/>
    <w:rsid w:val="00950713"/>
    <w:rsid w:val="00951D7B"/>
    <w:rsid w:val="00951DF3"/>
    <w:rsid w:val="00953088"/>
    <w:rsid w:val="009533AF"/>
    <w:rsid w:val="009533E6"/>
    <w:rsid w:val="0095490B"/>
    <w:rsid w:val="00955634"/>
    <w:rsid w:val="00955AE2"/>
    <w:rsid w:val="0096068F"/>
    <w:rsid w:val="009606F2"/>
    <w:rsid w:val="00960A33"/>
    <w:rsid w:val="00962156"/>
    <w:rsid w:val="0096256C"/>
    <w:rsid w:val="00964474"/>
    <w:rsid w:val="00971914"/>
    <w:rsid w:val="00971F3C"/>
    <w:rsid w:val="00974363"/>
    <w:rsid w:val="0097494F"/>
    <w:rsid w:val="0098051C"/>
    <w:rsid w:val="00981898"/>
    <w:rsid w:val="009820EB"/>
    <w:rsid w:val="00985011"/>
    <w:rsid w:val="009854BF"/>
    <w:rsid w:val="00986ACD"/>
    <w:rsid w:val="00990F4F"/>
    <w:rsid w:val="0099162E"/>
    <w:rsid w:val="00993864"/>
    <w:rsid w:val="0099577C"/>
    <w:rsid w:val="00997187"/>
    <w:rsid w:val="009976EE"/>
    <w:rsid w:val="009A021C"/>
    <w:rsid w:val="009A25CC"/>
    <w:rsid w:val="009B24A5"/>
    <w:rsid w:val="009B2601"/>
    <w:rsid w:val="009B3AA8"/>
    <w:rsid w:val="009B4E9E"/>
    <w:rsid w:val="009B75C5"/>
    <w:rsid w:val="009C1690"/>
    <w:rsid w:val="009C6881"/>
    <w:rsid w:val="009C7759"/>
    <w:rsid w:val="009D043D"/>
    <w:rsid w:val="009D07C8"/>
    <w:rsid w:val="009D261A"/>
    <w:rsid w:val="009D30C3"/>
    <w:rsid w:val="009D37BC"/>
    <w:rsid w:val="009D4C85"/>
    <w:rsid w:val="009D6C71"/>
    <w:rsid w:val="009D79EE"/>
    <w:rsid w:val="009E0631"/>
    <w:rsid w:val="009E0A84"/>
    <w:rsid w:val="009E0F7B"/>
    <w:rsid w:val="009E0FE8"/>
    <w:rsid w:val="009E16D0"/>
    <w:rsid w:val="009E2051"/>
    <w:rsid w:val="009E34A6"/>
    <w:rsid w:val="009E38FD"/>
    <w:rsid w:val="009E53C7"/>
    <w:rsid w:val="009E6526"/>
    <w:rsid w:val="009F13D6"/>
    <w:rsid w:val="009F4C6B"/>
    <w:rsid w:val="009F4E6C"/>
    <w:rsid w:val="009F54AC"/>
    <w:rsid w:val="009F78A8"/>
    <w:rsid w:val="00A017E0"/>
    <w:rsid w:val="00A02AD6"/>
    <w:rsid w:val="00A041A0"/>
    <w:rsid w:val="00A041EA"/>
    <w:rsid w:val="00A05714"/>
    <w:rsid w:val="00A07096"/>
    <w:rsid w:val="00A07318"/>
    <w:rsid w:val="00A11370"/>
    <w:rsid w:val="00A11B1E"/>
    <w:rsid w:val="00A15576"/>
    <w:rsid w:val="00A20A68"/>
    <w:rsid w:val="00A224CE"/>
    <w:rsid w:val="00A22522"/>
    <w:rsid w:val="00A24AFD"/>
    <w:rsid w:val="00A24F5C"/>
    <w:rsid w:val="00A32F96"/>
    <w:rsid w:val="00A3549F"/>
    <w:rsid w:val="00A37B27"/>
    <w:rsid w:val="00A37BFD"/>
    <w:rsid w:val="00A40871"/>
    <w:rsid w:val="00A412AB"/>
    <w:rsid w:val="00A4193E"/>
    <w:rsid w:val="00A42FDA"/>
    <w:rsid w:val="00A440E0"/>
    <w:rsid w:val="00A442EF"/>
    <w:rsid w:val="00A45162"/>
    <w:rsid w:val="00A5154A"/>
    <w:rsid w:val="00A51D1A"/>
    <w:rsid w:val="00A5418D"/>
    <w:rsid w:val="00A5474E"/>
    <w:rsid w:val="00A56717"/>
    <w:rsid w:val="00A5788D"/>
    <w:rsid w:val="00A61BCF"/>
    <w:rsid w:val="00A64234"/>
    <w:rsid w:val="00A66273"/>
    <w:rsid w:val="00A6653C"/>
    <w:rsid w:val="00A709BC"/>
    <w:rsid w:val="00A70ADF"/>
    <w:rsid w:val="00A71466"/>
    <w:rsid w:val="00A742E7"/>
    <w:rsid w:val="00A74711"/>
    <w:rsid w:val="00A74B5E"/>
    <w:rsid w:val="00A81BED"/>
    <w:rsid w:val="00A81EC4"/>
    <w:rsid w:val="00A824E8"/>
    <w:rsid w:val="00A82661"/>
    <w:rsid w:val="00A86B31"/>
    <w:rsid w:val="00A87198"/>
    <w:rsid w:val="00A92E27"/>
    <w:rsid w:val="00A93DC8"/>
    <w:rsid w:val="00A967FD"/>
    <w:rsid w:val="00A97D0E"/>
    <w:rsid w:val="00AA2DE5"/>
    <w:rsid w:val="00AA36F5"/>
    <w:rsid w:val="00AA478E"/>
    <w:rsid w:val="00AB1108"/>
    <w:rsid w:val="00AB156C"/>
    <w:rsid w:val="00AB6814"/>
    <w:rsid w:val="00AC04BA"/>
    <w:rsid w:val="00AC0BAB"/>
    <w:rsid w:val="00AC0DF8"/>
    <w:rsid w:val="00AC0E39"/>
    <w:rsid w:val="00AC33AC"/>
    <w:rsid w:val="00AC3CDE"/>
    <w:rsid w:val="00AC5037"/>
    <w:rsid w:val="00AC5A6E"/>
    <w:rsid w:val="00AD2559"/>
    <w:rsid w:val="00AD2679"/>
    <w:rsid w:val="00AD3082"/>
    <w:rsid w:val="00AD32B4"/>
    <w:rsid w:val="00AD4AD0"/>
    <w:rsid w:val="00AD4C14"/>
    <w:rsid w:val="00AD5436"/>
    <w:rsid w:val="00AD60CD"/>
    <w:rsid w:val="00AD6C8C"/>
    <w:rsid w:val="00AD7ACD"/>
    <w:rsid w:val="00AE0545"/>
    <w:rsid w:val="00AE091D"/>
    <w:rsid w:val="00AE1042"/>
    <w:rsid w:val="00AE2CBF"/>
    <w:rsid w:val="00AE384A"/>
    <w:rsid w:val="00AE3B60"/>
    <w:rsid w:val="00AE53A1"/>
    <w:rsid w:val="00AE5DF9"/>
    <w:rsid w:val="00AF04DD"/>
    <w:rsid w:val="00AF2484"/>
    <w:rsid w:val="00AF63E7"/>
    <w:rsid w:val="00AF6E17"/>
    <w:rsid w:val="00B0165D"/>
    <w:rsid w:val="00B01B60"/>
    <w:rsid w:val="00B031F3"/>
    <w:rsid w:val="00B03E91"/>
    <w:rsid w:val="00B05274"/>
    <w:rsid w:val="00B052A4"/>
    <w:rsid w:val="00B05937"/>
    <w:rsid w:val="00B05D23"/>
    <w:rsid w:val="00B1204E"/>
    <w:rsid w:val="00B125DE"/>
    <w:rsid w:val="00B13BC4"/>
    <w:rsid w:val="00B13FDD"/>
    <w:rsid w:val="00B15A26"/>
    <w:rsid w:val="00B17EF0"/>
    <w:rsid w:val="00B2084C"/>
    <w:rsid w:val="00B22EB2"/>
    <w:rsid w:val="00B240E9"/>
    <w:rsid w:val="00B24385"/>
    <w:rsid w:val="00B27442"/>
    <w:rsid w:val="00B31167"/>
    <w:rsid w:val="00B329D8"/>
    <w:rsid w:val="00B32BB9"/>
    <w:rsid w:val="00B33AE1"/>
    <w:rsid w:val="00B34A79"/>
    <w:rsid w:val="00B37C38"/>
    <w:rsid w:val="00B4288C"/>
    <w:rsid w:val="00B43262"/>
    <w:rsid w:val="00B44100"/>
    <w:rsid w:val="00B462CB"/>
    <w:rsid w:val="00B46CBA"/>
    <w:rsid w:val="00B46F94"/>
    <w:rsid w:val="00B47DE8"/>
    <w:rsid w:val="00B5065B"/>
    <w:rsid w:val="00B6003C"/>
    <w:rsid w:val="00B614ED"/>
    <w:rsid w:val="00B61524"/>
    <w:rsid w:val="00B61F03"/>
    <w:rsid w:val="00B626AD"/>
    <w:rsid w:val="00B626E4"/>
    <w:rsid w:val="00B63DB2"/>
    <w:rsid w:val="00B6487A"/>
    <w:rsid w:val="00B64E02"/>
    <w:rsid w:val="00B72433"/>
    <w:rsid w:val="00B72F4A"/>
    <w:rsid w:val="00B74C26"/>
    <w:rsid w:val="00B75B36"/>
    <w:rsid w:val="00B83C27"/>
    <w:rsid w:val="00B83D5A"/>
    <w:rsid w:val="00B84BC3"/>
    <w:rsid w:val="00B84BDD"/>
    <w:rsid w:val="00B850D5"/>
    <w:rsid w:val="00B857B9"/>
    <w:rsid w:val="00B874C2"/>
    <w:rsid w:val="00B92486"/>
    <w:rsid w:val="00B92812"/>
    <w:rsid w:val="00B952C3"/>
    <w:rsid w:val="00B95ECC"/>
    <w:rsid w:val="00BA1747"/>
    <w:rsid w:val="00BA1D7D"/>
    <w:rsid w:val="00BA3713"/>
    <w:rsid w:val="00BA6F5E"/>
    <w:rsid w:val="00BB325B"/>
    <w:rsid w:val="00BB45A1"/>
    <w:rsid w:val="00BB513C"/>
    <w:rsid w:val="00BB6335"/>
    <w:rsid w:val="00BB64A7"/>
    <w:rsid w:val="00BB7686"/>
    <w:rsid w:val="00BB7802"/>
    <w:rsid w:val="00BC084F"/>
    <w:rsid w:val="00BC1451"/>
    <w:rsid w:val="00BC23F9"/>
    <w:rsid w:val="00BC3421"/>
    <w:rsid w:val="00BC59DF"/>
    <w:rsid w:val="00BC724B"/>
    <w:rsid w:val="00BC732C"/>
    <w:rsid w:val="00BD20C2"/>
    <w:rsid w:val="00BD4421"/>
    <w:rsid w:val="00BD5E37"/>
    <w:rsid w:val="00BD68BF"/>
    <w:rsid w:val="00BD79E3"/>
    <w:rsid w:val="00BE2580"/>
    <w:rsid w:val="00BE266D"/>
    <w:rsid w:val="00BE3938"/>
    <w:rsid w:val="00BE4B5B"/>
    <w:rsid w:val="00BE4C11"/>
    <w:rsid w:val="00BE71C0"/>
    <w:rsid w:val="00BF22F7"/>
    <w:rsid w:val="00BF4CC5"/>
    <w:rsid w:val="00BF5191"/>
    <w:rsid w:val="00BF610C"/>
    <w:rsid w:val="00BF7B7E"/>
    <w:rsid w:val="00C0060B"/>
    <w:rsid w:val="00C00C2D"/>
    <w:rsid w:val="00C01A6C"/>
    <w:rsid w:val="00C0277D"/>
    <w:rsid w:val="00C02BC7"/>
    <w:rsid w:val="00C02E70"/>
    <w:rsid w:val="00C02F26"/>
    <w:rsid w:val="00C053A1"/>
    <w:rsid w:val="00C057A4"/>
    <w:rsid w:val="00C150CB"/>
    <w:rsid w:val="00C16198"/>
    <w:rsid w:val="00C2083D"/>
    <w:rsid w:val="00C23F9A"/>
    <w:rsid w:val="00C24A53"/>
    <w:rsid w:val="00C250D4"/>
    <w:rsid w:val="00C256C2"/>
    <w:rsid w:val="00C269F3"/>
    <w:rsid w:val="00C27C1E"/>
    <w:rsid w:val="00C34A05"/>
    <w:rsid w:val="00C35858"/>
    <w:rsid w:val="00C35CCE"/>
    <w:rsid w:val="00C4032F"/>
    <w:rsid w:val="00C4144C"/>
    <w:rsid w:val="00C415DC"/>
    <w:rsid w:val="00C41D55"/>
    <w:rsid w:val="00C41F21"/>
    <w:rsid w:val="00C425CE"/>
    <w:rsid w:val="00C425D8"/>
    <w:rsid w:val="00C44047"/>
    <w:rsid w:val="00C45155"/>
    <w:rsid w:val="00C465D1"/>
    <w:rsid w:val="00C470AE"/>
    <w:rsid w:val="00C51A3E"/>
    <w:rsid w:val="00C5498F"/>
    <w:rsid w:val="00C55235"/>
    <w:rsid w:val="00C64CD0"/>
    <w:rsid w:val="00C65F61"/>
    <w:rsid w:val="00C66268"/>
    <w:rsid w:val="00C6684F"/>
    <w:rsid w:val="00C67A63"/>
    <w:rsid w:val="00C70E70"/>
    <w:rsid w:val="00C71315"/>
    <w:rsid w:val="00C71CD2"/>
    <w:rsid w:val="00C72CF7"/>
    <w:rsid w:val="00C745E0"/>
    <w:rsid w:val="00C75F8D"/>
    <w:rsid w:val="00C77380"/>
    <w:rsid w:val="00C77D3C"/>
    <w:rsid w:val="00C82036"/>
    <w:rsid w:val="00C83303"/>
    <w:rsid w:val="00C833FE"/>
    <w:rsid w:val="00C85FE0"/>
    <w:rsid w:val="00C87E8A"/>
    <w:rsid w:val="00C913D6"/>
    <w:rsid w:val="00C91C45"/>
    <w:rsid w:val="00C91C8F"/>
    <w:rsid w:val="00C94FA7"/>
    <w:rsid w:val="00C96D1A"/>
    <w:rsid w:val="00C97736"/>
    <w:rsid w:val="00CA12B8"/>
    <w:rsid w:val="00CA345A"/>
    <w:rsid w:val="00CA71DD"/>
    <w:rsid w:val="00CB148D"/>
    <w:rsid w:val="00CB1E82"/>
    <w:rsid w:val="00CB3A0E"/>
    <w:rsid w:val="00CB4BA8"/>
    <w:rsid w:val="00CB5005"/>
    <w:rsid w:val="00CB52D7"/>
    <w:rsid w:val="00CC5969"/>
    <w:rsid w:val="00CC6732"/>
    <w:rsid w:val="00CD02AF"/>
    <w:rsid w:val="00CD089A"/>
    <w:rsid w:val="00CD0DF6"/>
    <w:rsid w:val="00CD575E"/>
    <w:rsid w:val="00CD5BF3"/>
    <w:rsid w:val="00CD634B"/>
    <w:rsid w:val="00CD6ACF"/>
    <w:rsid w:val="00CD7706"/>
    <w:rsid w:val="00CE10DA"/>
    <w:rsid w:val="00CE2774"/>
    <w:rsid w:val="00CE3C96"/>
    <w:rsid w:val="00CE439F"/>
    <w:rsid w:val="00CE51A8"/>
    <w:rsid w:val="00CE568B"/>
    <w:rsid w:val="00CF0BFE"/>
    <w:rsid w:val="00CF369B"/>
    <w:rsid w:val="00D00E28"/>
    <w:rsid w:val="00D0269E"/>
    <w:rsid w:val="00D05D6C"/>
    <w:rsid w:val="00D07490"/>
    <w:rsid w:val="00D15810"/>
    <w:rsid w:val="00D16D4E"/>
    <w:rsid w:val="00D16FE3"/>
    <w:rsid w:val="00D20085"/>
    <w:rsid w:val="00D245DF"/>
    <w:rsid w:val="00D266A5"/>
    <w:rsid w:val="00D26869"/>
    <w:rsid w:val="00D27F41"/>
    <w:rsid w:val="00D30318"/>
    <w:rsid w:val="00D3135A"/>
    <w:rsid w:val="00D315FC"/>
    <w:rsid w:val="00D33820"/>
    <w:rsid w:val="00D34463"/>
    <w:rsid w:val="00D35925"/>
    <w:rsid w:val="00D36441"/>
    <w:rsid w:val="00D4064E"/>
    <w:rsid w:val="00D43B47"/>
    <w:rsid w:val="00D43D74"/>
    <w:rsid w:val="00D447A5"/>
    <w:rsid w:val="00D44818"/>
    <w:rsid w:val="00D44E9B"/>
    <w:rsid w:val="00D47AEB"/>
    <w:rsid w:val="00D50ACC"/>
    <w:rsid w:val="00D50D47"/>
    <w:rsid w:val="00D50DB9"/>
    <w:rsid w:val="00D50E8D"/>
    <w:rsid w:val="00D51302"/>
    <w:rsid w:val="00D52BB1"/>
    <w:rsid w:val="00D52C43"/>
    <w:rsid w:val="00D61027"/>
    <w:rsid w:val="00D61243"/>
    <w:rsid w:val="00D64C72"/>
    <w:rsid w:val="00D6507F"/>
    <w:rsid w:val="00D72759"/>
    <w:rsid w:val="00D73037"/>
    <w:rsid w:val="00D730BC"/>
    <w:rsid w:val="00D73912"/>
    <w:rsid w:val="00D85226"/>
    <w:rsid w:val="00D87B94"/>
    <w:rsid w:val="00D90D5F"/>
    <w:rsid w:val="00D91C13"/>
    <w:rsid w:val="00D92D49"/>
    <w:rsid w:val="00D92E12"/>
    <w:rsid w:val="00D92EC1"/>
    <w:rsid w:val="00D939D7"/>
    <w:rsid w:val="00D95289"/>
    <w:rsid w:val="00D96553"/>
    <w:rsid w:val="00D96DEA"/>
    <w:rsid w:val="00D97C8D"/>
    <w:rsid w:val="00DA01D2"/>
    <w:rsid w:val="00DA086C"/>
    <w:rsid w:val="00DA41F7"/>
    <w:rsid w:val="00DA4E41"/>
    <w:rsid w:val="00DA5162"/>
    <w:rsid w:val="00DA5992"/>
    <w:rsid w:val="00DB1170"/>
    <w:rsid w:val="00DB117A"/>
    <w:rsid w:val="00DB3EA2"/>
    <w:rsid w:val="00DB5173"/>
    <w:rsid w:val="00DB6557"/>
    <w:rsid w:val="00DB6684"/>
    <w:rsid w:val="00DB7873"/>
    <w:rsid w:val="00DC11AD"/>
    <w:rsid w:val="00DC187B"/>
    <w:rsid w:val="00DC51A8"/>
    <w:rsid w:val="00DD0191"/>
    <w:rsid w:val="00DD1A43"/>
    <w:rsid w:val="00DD2C32"/>
    <w:rsid w:val="00DD5931"/>
    <w:rsid w:val="00DD73C2"/>
    <w:rsid w:val="00DE2E41"/>
    <w:rsid w:val="00DE319B"/>
    <w:rsid w:val="00DF0B9D"/>
    <w:rsid w:val="00DF2A27"/>
    <w:rsid w:val="00DF34FE"/>
    <w:rsid w:val="00DF3B7E"/>
    <w:rsid w:val="00DF3BE7"/>
    <w:rsid w:val="00DF56AA"/>
    <w:rsid w:val="00DF56AF"/>
    <w:rsid w:val="00DF78E7"/>
    <w:rsid w:val="00E02FEF"/>
    <w:rsid w:val="00E10C44"/>
    <w:rsid w:val="00E110E0"/>
    <w:rsid w:val="00E11891"/>
    <w:rsid w:val="00E11F74"/>
    <w:rsid w:val="00E12136"/>
    <w:rsid w:val="00E15371"/>
    <w:rsid w:val="00E16239"/>
    <w:rsid w:val="00E20652"/>
    <w:rsid w:val="00E21056"/>
    <w:rsid w:val="00E24104"/>
    <w:rsid w:val="00E24BEF"/>
    <w:rsid w:val="00E302D0"/>
    <w:rsid w:val="00E3144A"/>
    <w:rsid w:val="00E32CD8"/>
    <w:rsid w:val="00E3540A"/>
    <w:rsid w:val="00E35707"/>
    <w:rsid w:val="00E36AA1"/>
    <w:rsid w:val="00E40035"/>
    <w:rsid w:val="00E41335"/>
    <w:rsid w:val="00E41ECB"/>
    <w:rsid w:val="00E42676"/>
    <w:rsid w:val="00E42BFC"/>
    <w:rsid w:val="00E42DC7"/>
    <w:rsid w:val="00E43A58"/>
    <w:rsid w:val="00E460DB"/>
    <w:rsid w:val="00E462B9"/>
    <w:rsid w:val="00E53541"/>
    <w:rsid w:val="00E54FDB"/>
    <w:rsid w:val="00E5617D"/>
    <w:rsid w:val="00E562E8"/>
    <w:rsid w:val="00E563D7"/>
    <w:rsid w:val="00E60B20"/>
    <w:rsid w:val="00E617B9"/>
    <w:rsid w:val="00E61949"/>
    <w:rsid w:val="00E6202A"/>
    <w:rsid w:val="00E658E1"/>
    <w:rsid w:val="00E663F4"/>
    <w:rsid w:val="00E666F2"/>
    <w:rsid w:val="00E66DD4"/>
    <w:rsid w:val="00E6700F"/>
    <w:rsid w:val="00E71872"/>
    <w:rsid w:val="00E739B9"/>
    <w:rsid w:val="00E748CC"/>
    <w:rsid w:val="00E74F15"/>
    <w:rsid w:val="00E7508F"/>
    <w:rsid w:val="00E75415"/>
    <w:rsid w:val="00E764F8"/>
    <w:rsid w:val="00E76B30"/>
    <w:rsid w:val="00E775B1"/>
    <w:rsid w:val="00E77E30"/>
    <w:rsid w:val="00E810A7"/>
    <w:rsid w:val="00E8152A"/>
    <w:rsid w:val="00E84615"/>
    <w:rsid w:val="00E86841"/>
    <w:rsid w:val="00E917E4"/>
    <w:rsid w:val="00E93629"/>
    <w:rsid w:val="00E93B5C"/>
    <w:rsid w:val="00E93E7F"/>
    <w:rsid w:val="00E94CEC"/>
    <w:rsid w:val="00EA04EF"/>
    <w:rsid w:val="00EA0969"/>
    <w:rsid w:val="00EA1E73"/>
    <w:rsid w:val="00EA55A2"/>
    <w:rsid w:val="00EA5757"/>
    <w:rsid w:val="00EA6C79"/>
    <w:rsid w:val="00EA6F19"/>
    <w:rsid w:val="00EA7B49"/>
    <w:rsid w:val="00EB1D61"/>
    <w:rsid w:val="00EB22D9"/>
    <w:rsid w:val="00EB25DC"/>
    <w:rsid w:val="00EB3AA0"/>
    <w:rsid w:val="00EB7090"/>
    <w:rsid w:val="00EB7449"/>
    <w:rsid w:val="00EC1BBE"/>
    <w:rsid w:val="00EC2B68"/>
    <w:rsid w:val="00EC3120"/>
    <w:rsid w:val="00EC3643"/>
    <w:rsid w:val="00EC3AEF"/>
    <w:rsid w:val="00EC5CD7"/>
    <w:rsid w:val="00ED0562"/>
    <w:rsid w:val="00ED107E"/>
    <w:rsid w:val="00ED1E4B"/>
    <w:rsid w:val="00ED3EC5"/>
    <w:rsid w:val="00ED7BA6"/>
    <w:rsid w:val="00ED7D0C"/>
    <w:rsid w:val="00EE1C20"/>
    <w:rsid w:val="00EE5FB3"/>
    <w:rsid w:val="00EE7F79"/>
    <w:rsid w:val="00EF4CBF"/>
    <w:rsid w:val="00EF4ECC"/>
    <w:rsid w:val="00EF715A"/>
    <w:rsid w:val="00F03978"/>
    <w:rsid w:val="00F04D9E"/>
    <w:rsid w:val="00F057DE"/>
    <w:rsid w:val="00F06E14"/>
    <w:rsid w:val="00F113E4"/>
    <w:rsid w:val="00F11D75"/>
    <w:rsid w:val="00F159D6"/>
    <w:rsid w:val="00F179D4"/>
    <w:rsid w:val="00F22A23"/>
    <w:rsid w:val="00F23BAA"/>
    <w:rsid w:val="00F26520"/>
    <w:rsid w:val="00F322B9"/>
    <w:rsid w:val="00F33C56"/>
    <w:rsid w:val="00F347C7"/>
    <w:rsid w:val="00F34848"/>
    <w:rsid w:val="00F361D7"/>
    <w:rsid w:val="00F4253D"/>
    <w:rsid w:val="00F42D46"/>
    <w:rsid w:val="00F4311F"/>
    <w:rsid w:val="00F4496C"/>
    <w:rsid w:val="00F44B77"/>
    <w:rsid w:val="00F44F3A"/>
    <w:rsid w:val="00F50CDA"/>
    <w:rsid w:val="00F51F10"/>
    <w:rsid w:val="00F529A5"/>
    <w:rsid w:val="00F5310D"/>
    <w:rsid w:val="00F60F00"/>
    <w:rsid w:val="00F61265"/>
    <w:rsid w:val="00F614C0"/>
    <w:rsid w:val="00F62AC7"/>
    <w:rsid w:val="00F66059"/>
    <w:rsid w:val="00F7612E"/>
    <w:rsid w:val="00F80807"/>
    <w:rsid w:val="00F81466"/>
    <w:rsid w:val="00F83848"/>
    <w:rsid w:val="00F93C6F"/>
    <w:rsid w:val="00F94ED8"/>
    <w:rsid w:val="00F960E2"/>
    <w:rsid w:val="00F975E9"/>
    <w:rsid w:val="00FA1B7D"/>
    <w:rsid w:val="00FA2904"/>
    <w:rsid w:val="00FA2F29"/>
    <w:rsid w:val="00FA3EF2"/>
    <w:rsid w:val="00FA5E3B"/>
    <w:rsid w:val="00FA6EE7"/>
    <w:rsid w:val="00FA71D7"/>
    <w:rsid w:val="00FB052B"/>
    <w:rsid w:val="00FB10CE"/>
    <w:rsid w:val="00FB3C00"/>
    <w:rsid w:val="00FB5A4C"/>
    <w:rsid w:val="00FC07B9"/>
    <w:rsid w:val="00FC4E21"/>
    <w:rsid w:val="00FC5F6D"/>
    <w:rsid w:val="00FC74AD"/>
    <w:rsid w:val="00FD0107"/>
    <w:rsid w:val="00FD0F72"/>
    <w:rsid w:val="00FD2C2F"/>
    <w:rsid w:val="00FD3727"/>
    <w:rsid w:val="00FD3B31"/>
    <w:rsid w:val="00FE0CA6"/>
    <w:rsid w:val="00FE1823"/>
    <w:rsid w:val="00FE487A"/>
    <w:rsid w:val="00FE494F"/>
    <w:rsid w:val="00FE4EEE"/>
    <w:rsid w:val="00FE5603"/>
    <w:rsid w:val="00FE60F3"/>
    <w:rsid w:val="00FF0569"/>
    <w:rsid w:val="00FF1289"/>
    <w:rsid w:val="00FF206E"/>
    <w:rsid w:val="00FF3C69"/>
    <w:rsid w:val="00FF55AF"/>
    <w:rsid w:val="00FF5821"/>
    <w:rsid w:val="00FF6E0A"/>
    <w:rsid w:val="00FF7890"/>
    <w:rsid w:val="0F241F9C"/>
    <w:rsid w:val="129D0C68"/>
    <w:rsid w:val="199D70A8"/>
    <w:rsid w:val="439EBB66"/>
    <w:rsid w:val="4E2E38BD"/>
    <w:rsid w:val="6F1C541D"/>
    <w:rsid w:val="7CE035B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8E9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qFormat/>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D61027"/>
    <w:rPr>
      <w:rFonts w:ascii="Arial" w:hAnsi="Arial"/>
      <w:sz w:val="16"/>
      <w:szCs w:val="16"/>
    </w:rPr>
  </w:style>
  <w:style w:type="paragraph" w:styleId="ListParagraph">
    <w:name w:val="List Paragraph"/>
    <w:basedOn w:val="Normal"/>
    <w:uiPriority w:val="34"/>
    <w:qFormat/>
    <w:rsid w:val="006D665C"/>
    <w:pPr>
      <w:ind w:left="720"/>
      <w:contextualSpacing/>
    </w:pPr>
  </w:style>
  <w:style w:type="paragraph" w:customStyle="1" w:styleId="TableColHead">
    <w:name w:val="TableColHead"/>
    <w:basedOn w:val="Normal"/>
    <w:rsid w:val="00CB5005"/>
    <w:pPr>
      <w:keepNext/>
      <w:spacing w:before="120" w:after="60" w:line="200" w:lineRule="exact"/>
    </w:pPr>
    <w:rPr>
      <w:b/>
      <w:noProof/>
      <w:sz w:val="18"/>
      <w:lang w:eastAsia="en-US"/>
    </w:rPr>
  </w:style>
  <w:style w:type="paragraph" w:customStyle="1" w:styleId="TableText">
    <w:name w:val="TableText"/>
    <w:basedOn w:val="Normal"/>
    <w:rsid w:val="00CB5005"/>
    <w:pPr>
      <w:spacing w:before="60" w:after="60" w:line="240" w:lineRule="exact"/>
    </w:pPr>
    <w:rPr>
      <w:rFonts w:ascii="Times New Roman" w:hAnsi="Times New Roman"/>
      <w:noProof/>
      <w:sz w:val="22"/>
      <w:lang w:eastAsia="en-US"/>
    </w:rPr>
  </w:style>
  <w:style w:type="paragraph" w:customStyle="1" w:styleId="ItemHead">
    <w:name w:val="ItemHead"/>
    <w:aliases w:val="ih"/>
    <w:basedOn w:val="Normal"/>
    <w:next w:val="Normal"/>
    <w:rsid w:val="00CB5005"/>
    <w:pPr>
      <w:keepNext/>
      <w:keepLines/>
      <w:spacing w:before="220" w:after="0" w:line="240" w:lineRule="auto"/>
      <w:ind w:left="709" w:hanging="709"/>
    </w:pPr>
    <w:rPr>
      <w:b/>
      <w:kern w:val="28"/>
      <w:sz w:val="24"/>
      <w:szCs w:val="20"/>
    </w:rPr>
  </w:style>
  <w:style w:type="paragraph" w:styleId="NormalWeb">
    <w:name w:val="Normal (Web)"/>
    <w:basedOn w:val="Normal"/>
    <w:uiPriority w:val="99"/>
    <w:semiHidden/>
    <w:unhideWhenUsed/>
    <w:rsid w:val="00F81466"/>
    <w:pPr>
      <w:spacing w:before="100" w:beforeAutospacing="1" w:after="100" w:afterAutospacing="1" w:line="240" w:lineRule="auto"/>
    </w:pPr>
    <w:rPr>
      <w:rFonts w:ascii="Times New Roman" w:hAnsi="Times New Roman"/>
      <w:sz w:val="24"/>
    </w:rPr>
  </w:style>
  <w:style w:type="paragraph" w:customStyle="1" w:styleId="R2">
    <w:name w:val="R2"/>
    <w:aliases w:val="(2)"/>
    <w:basedOn w:val="Normal"/>
    <w:rsid w:val="00060CE5"/>
    <w:pPr>
      <w:tabs>
        <w:tab w:val="right" w:pos="794"/>
      </w:tabs>
      <w:spacing w:before="180" w:after="0" w:line="260" w:lineRule="exact"/>
      <w:ind w:left="964" w:hanging="964"/>
      <w:jc w:val="both"/>
    </w:pPr>
    <w:rPr>
      <w:rFonts w:ascii="Times New Roman" w:hAnsi="Times New Roman"/>
      <w:noProof/>
      <w:sz w:val="24"/>
      <w:lang w:eastAsia="en-US"/>
    </w:rPr>
  </w:style>
  <w:style w:type="paragraph" w:customStyle="1" w:styleId="ACMABulletLevel1">
    <w:name w:val="ACMA Bullet Level 1"/>
    <w:rsid w:val="00361ECC"/>
    <w:pPr>
      <w:tabs>
        <w:tab w:val="num" w:pos="-31680"/>
      </w:tabs>
      <w:spacing w:after="120"/>
      <w:ind w:left="357" w:hanging="357"/>
    </w:pPr>
    <w:rPr>
      <w:szCs w:val="20"/>
      <w:lang w:eastAsia="en-US"/>
    </w:rPr>
  </w:style>
  <w:style w:type="paragraph" w:customStyle="1" w:styleId="acthead5">
    <w:name w:val="acthead5"/>
    <w:basedOn w:val="Normal"/>
    <w:rsid w:val="00DA5992"/>
    <w:pPr>
      <w:spacing w:before="100" w:beforeAutospacing="1" w:after="100" w:afterAutospacing="1" w:line="240" w:lineRule="auto"/>
    </w:pPr>
    <w:rPr>
      <w:rFonts w:ascii="Times New Roman" w:hAnsi="Times New Roman"/>
      <w:sz w:val="24"/>
    </w:rPr>
  </w:style>
  <w:style w:type="paragraph" w:customStyle="1" w:styleId="subsection">
    <w:name w:val="subsection"/>
    <w:basedOn w:val="Normal"/>
    <w:rsid w:val="00DA5992"/>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DA5992"/>
    <w:pPr>
      <w:spacing w:before="100" w:beforeAutospacing="1" w:after="100" w:afterAutospacing="1" w:line="240" w:lineRule="auto"/>
    </w:pPr>
    <w:rPr>
      <w:rFonts w:ascii="Times New Roman" w:hAnsi="Times New Roman"/>
      <w:sz w:val="24"/>
    </w:rPr>
  </w:style>
  <w:style w:type="paragraph" w:customStyle="1" w:styleId="tableheading0">
    <w:name w:val="tableheading"/>
    <w:basedOn w:val="Normal"/>
    <w:rsid w:val="00DA5992"/>
    <w:pPr>
      <w:spacing w:before="100" w:beforeAutospacing="1" w:after="100" w:afterAutospacing="1" w:line="240" w:lineRule="auto"/>
    </w:pPr>
    <w:rPr>
      <w:rFonts w:ascii="Times New Roman" w:hAnsi="Times New Roman"/>
      <w:sz w:val="24"/>
    </w:rPr>
  </w:style>
  <w:style w:type="paragraph" w:customStyle="1" w:styleId="tabletext0">
    <w:name w:val="tabletext"/>
    <w:basedOn w:val="Normal"/>
    <w:rsid w:val="00DA5992"/>
    <w:pPr>
      <w:spacing w:before="100" w:beforeAutospacing="1" w:after="100" w:afterAutospacing="1" w:line="240" w:lineRule="auto"/>
    </w:pPr>
    <w:rPr>
      <w:rFonts w:ascii="Times New Roman" w:hAnsi="Times New Roman"/>
      <w:sz w:val="24"/>
    </w:rPr>
  </w:style>
  <w:style w:type="paragraph" w:customStyle="1" w:styleId="notetext">
    <w:name w:val="notetext"/>
    <w:basedOn w:val="Normal"/>
    <w:rsid w:val="00DA599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4088022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67557702">
      <w:bodyDiv w:val="1"/>
      <w:marLeft w:val="0"/>
      <w:marRight w:val="0"/>
      <w:marTop w:val="0"/>
      <w:marBottom w:val="0"/>
      <w:divBdr>
        <w:top w:val="none" w:sz="0" w:space="0" w:color="auto"/>
        <w:left w:val="none" w:sz="0" w:space="0" w:color="auto"/>
        <w:bottom w:val="none" w:sz="0" w:space="0" w:color="auto"/>
        <w:right w:val="none" w:sz="0" w:space="0" w:color="auto"/>
      </w:divBdr>
    </w:div>
    <w:div w:id="698166388">
      <w:bodyDiv w:val="1"/>
      <w:marLeft w:val="0"/>
      <w:marRight w:val="0"/>
      <w:marTop w:val="0"/>
      <w:marBottom w:val="0"/>
      <w:divBdr>
        <w:top w:val="none" w:sz="0" w:space="0" w:color="auto"/>
        <w:left w:val="none" w:sz="0" w:space="0" w:color="auto"/>
        <w:bottom w:val="none" w:sz="0" w:space="0" w:color="auto"/>
        <w:right w:val="none" w:sz="0" w:space="0" w:color="auto"/>
      </w:divBdr>
    </w:div>
    <w:div w:id="1059013888">
      <w:bodyDiv w:val="1"/>
      <w:marLeft w:val="0"/>
      <w:marRight w:val="0"/>
      <w:marTop w:val="0"/>
      <w:marBottom w:val="0"/>
      <w:divBdr>
        <w:top w:val="none" w:sz="0" w:space="0" w:color="auto"/>
        <w:left w:val="none" w:sz="0" w:space="0" w:color="auto"/>
        <w:bottom w:val="none" w:sz="0" w:space="0" w:color="auto"/>
        <w:right w:val="none" w:sz="0" w:space="0" w:color="auto"/>
      </w:divBdr>
    </w:div>
    <w:div w:id="1084914917">
      <w:bodyDiv w:val="1"/>
      <w:marLeft w:val="0"/>
      <w:marRight w:val="0"/>
      <w:marTop w:val="0"/>
      <w:marBottom w:val="0"/>
      <w:divBdr>
        <w:top w:val="none" w:sz="0" w:space="0" w:color="auto"/>
        <w:left w:val="none" w:sz="0" w:space="0" w:color="auto"/>
        <w:bottom w:val="none" w:sz="0" w:space="0" w:color="auto"/>
        <w:right w:val="none" w:sz="0" w:space="0" w:color="auto"/>
      </w:divBdr>
    </w:div>
    <w:div w:id="118967832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78402042">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464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0L00590"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22C01062" TargetMode="External"/><Relationship Id="rId33" Type="http://schemas.openxmlformats.org/officeDocument/2006/relationships/hyperlink" Target="https://www.acma.gov.au/spectrum-licence-tax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nsultations/2023-02/draft-allocation-and-technical-instruments-3437-ghz-bands-a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spectrum-licence-taxes" TargetMode="External"/><Relationship Id="rId24" Type="http://schemas.openxmlformats.org/officeDocument/2006/relationships/hyperlink" Target="https://www.legislation.gov.au/Details/C2013C00543" TargetMode="External"/><Relationship Id="rId32" Type="http://schemas.openxmlformats.org/officeDocument/2006/relationships/hyperlink" Target="http://i.creativecommons.org/l/by/3.0/88x31.png"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sites/default/files/2023-07/Auction%20guide_3.4%203.7%20GHz%20bands%20allocation_0.pdf"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Series/F2014L00957" TargetMode="External"/><Relationship Id="rId22" Type="http://schemas.openxmlformats.org/officeDocument/2006/relationships/footer" Target="footer5.xml"/><Relationship Id="rId27" Type="http://schemas.openxmlformats.org/officeDocument/2006/relationships/hyperlink" Target="https://www.acma.gov.au/spectrum-licence-taxes" TargetMode="External"/><Relationship Id="rId30" Type="http://schemas.openxmlformats.org/officeDocument/2006/relationships/hyperlink" Target="https://www.acma.gov.au/have-your-say"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ma.gov.au/sites/default/files/2023-02/Consultation%20paper_Draft%20allocation%20and%20technical%20instruments%20for%203.4-3.7%20GHz%20bands%20auction_0.docx" TargetMode="External"/><Relationship Id="rId1" Type="http://schemas.openxmlformats.org/officeDocument/2006/relationships/hyperlink" Target="https://www.abs.gov.au/statistics/economy/price-indexes-and-inflation/consumer-price-index-australia/jun-quarter-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1560</Words>
  <Characters>7711</Characters>
  <Application>Microsoft Office Word</Application>
  <DocSecurity>0</DocSecurity>
  <Lines>265</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2023-07-26T06:28:00Z</dcterms:created>
  <dcterms:modified xsi:type="dcterms:W3CDTF">2023-07-27T02:26:00Z</dcterms:modified>
  <cp:category/>
</cp:coreProperties>
</file>