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FE023" w14:textId="77777777" w:rsidR="00356BF1" w:rsidRPr="00A51D1A" w:rsidRDefault="00356BF1" w:rsidP="00356BF1">
      <w:pPr>
        <w:pStyle w:val="Reporttitle"/>
      </w:pPr>
      <w:bookmarkStart w:id="0" w:name="_Hlk68187380"/>
      <w:r>
        <w:t>Spectrum planning framework</w:t>
      </w:r>
    </w:p>
    <w:p w14:paraId="0D568632" w14:textId="77777777" w:rsidR="00356BF1" w:rsidRDefault="00356BF1" w:rsidP="00356BF1">
      <w:pPr>
        <w:pStyle w:val="Reportsubtitle"/>
      </w:pPr>
      <w:r>
        <w:t>Draft f</w:t>
      </w:r>
      <w:r w:rsidRPr="00673A0E">
        <w:t>requency coordination requirements review work program 20</w:t>
      </w:r>
      <w:r>
        <w:t>23</w:t>
      </w:r>
      <w:r w:rsidRPr="00673A0E">
        <w:t>–</w:t>
      </w:r>
      <w:r>
        <w:t>24</w:t>
      </w:r>
    </w:p>
    <w:bookmarkEnd w:id="0"/>
    <w:p w14:paraId="507FE8BA" w14:textId="6CDF6B10" w:rsidR="00C97736" w:rsidRPr="00356BF1" w:rsidRDefault="00356BF1" w:rsidP="00EC2B68">
      <w:pPr>
        <w:pStyle w:val="Reportdate"/>
        <w:spacing w:after="720"/>
        <w:sectPr w:rsidR="00C97736" w:rsidRPr="00356BF1" w:rsidSect="0021426C">
          <w:headerReference w:type="default" r:id="rId12"/>
          <w:footerReference w:type="default" r:id="rId13"/>
          <w:headerReference w:type="first" r:id="rId14"/>
          <w:pgSz w:w="11906" w:h="16838" w:code="9"/>
          <w:pgMar w:top="3924" w:right="992" w:bottom="1440" w:left="1134" w:header="709" w:footer="454" w:gutter="0"/>
          <w:cols w:space="708"/>
          <w:docGrid w:linePitch="360"/>
        </w:sectPr>
      </w:pPr>
      <w:r w:rsidRPr="004637FA">
        <w:t>June</w:t>
      </w:r>
      <w:r>
        <w:t xml:space="preserve"> 2023</w:t>
      </w:r>
    </w:p>
    <w:p w14:paraId="56100EBF" w14:textId="77777777" w:rsidR="0005011A" w:rsidRPr="00E162C4" w:rsidRDefault="0005011A" w:rsidP="00FC07B9">
      <w:pPr>
        <w:pStyle w:val="ACMACorporateAddressHeader"/>
      </w:pPr>
      <w:r w:rsidRPr="00E162C4">
        <w:lastRenderedPageBreak/>
        <w:t>Canberra</w:t>
      </w:r>
    </w:p>
    <w:p w14:paraId="411293CC" w14:textId="77777777" w:rsidR="0005011A" w:rsidRPr="00E162C4" w:rsidRDefault="0005011A" w:rsidP="00FC07B9">
      <w:pPr>
        <w:pStyle w:val="ACMACorporateAddresses"/>
      </w:pPr>
      <w:r w:rsidRPr="00E162C4">
        <w:t xml:space="preserve">Red Building </w:t>
      </w:r>
      <w:r w:rsidRPr="00E162C4">
        <w:br/>
        <w:t>Benjamin Offices</w:t>
      </w:r>
      <w:r w:rsidRPr="00E162C4">
        <w:br/>
        <w:t xml:space="preserve">Chan Street </w:t>
      </w:r>
      <w:r w:rsidRPr="00E162C4">
        <w:br/>
        <w:t>Belconnen ACT</w:t>
      </w:r>
    </w:p>
    <w:p w14:paraId="00BCCDDC" w14:textId="77777777" w:rsidR="0005011A" w:rsidRPr="00E162C4" w:rsidRDefault="0005011A" w:rsidP="00FC07B9">
      <w:pPr>
        <w:pStyle w:val="ACMACorporateAddresses"/>
      </w:pPr>
      <w:r w:rsidRPr="00E162C4">
        <w:t>PO Box 78</w:t>
      </w:r>
      <w:r w:rsidRPr="00E162C4">
        <w:br/>
        <w:t>Belconnen ACT 2616</w:t>
      </w:r>
    </w:p>
    <w:p w14:paraId="66320EBE" w14:textId="77777777" w:rsidR="00FE1823" w:rsidRPr="00E162C4" w:rsidRDefault="0005011A" w:rsidP="00FC07B9">
      <w:pPr>
        <w:pStyle w:val="ACMACorporateAddresses"/>
      </w:pPr>
      <w:r w:rsidRPr="00E162C4">
        <w:t>T</w:t>
      </w:r>
      <w:r w:rsidR="00537604" w:rsidRPr="00E162C4">
        <w:tab/>
      </w:r>
      <w:r w:rsidRPr="00E162C4">
        <w:t>+61 2 6219 5555</w:t>
      </w:r>
      <w:r w:rsidRPr="00E162C4">
        <w:br/>
        <w:t>F</w:t>
      </w:r>
      <w:r w:rsidR="00537604" w:rsidRPr="00E162C4">
        <w:tab/>
      </w:r>
      <w:r w:rsidRPr="00E162C4">
        <w:t>+61 2 6219 5353</w:t>
      </w:r>
    </w:p>
    <w:p w14:paraId="296C741B" w14:textId="77777777" w:rsidR="0005011A" w:rsidRPr="00E162C4" w:rsidRDefault="0005011A" w:rsidP="00FC07B9">
      <w:pPr>
        <w:pStyle w:val="ACMACorporateAddressHeader"/>
      </w:pPr>
      <w:r w:rsidRPr="00E162C4">
        <w:t>Melbourne</w:t>
      </w:r>
    </w:p>
    <w:p w14:paraId="40AEF006" w14:textId="77777777" w:rsidR="0005011A" w:rsidRPr="00E162C4" w:rsidRDefault="0005011A" w:rsidP="00FC07B9">
      <w:pPr>
        <w:pStyle w:val="ACMACorporateAddresses"/>
      </w:pPr>
      <w:r w:rsidRPr="00E162C4">
        <w:t xml:space="preserve">Level 32 </w:t>
      </w:r>
      <w:r w:rsidRPr="00E162C4">
        <w:br/>
        <w:t>Melbourne Central Tower</w:t>
      </w:r>
      <w:r w:rsidRPr="00E162C4">
        <w:br/>
        <w:t xml:space="preserve">360 Elizabeth Street </w:t>
      </w:r>
      <w:r w:rsidR="008C10F4" w:rsidRPr="00E162C4">
        <w:br/>
      </w:r>
      <w:r w:rsidRPr="00E162C4">
        <w:t>Melbourne VIC</w:t>
      </w:r>
    </w:p>
    <w:p w14:paraId="123AE336" w14:textId="77777777" w:rsidR="0005011A" w:rsidRPr="00E162C4" w:rsidRDefault="0005011A" w:rsidP="00FC07B9">
      <w:pPr>
        <w:pStyle w:val="ACMACorporateAddresses"/>
      </w:pPr>
      <w:r w:rsidRPr="00E162C4">
        <w:t>PO Box 13112</w:t>
      </w:r>
      <w:r w:rsidRPr="00E162C4">
        <w:br/>
        <w:t xml:space="preserve">Law Courts </w:t>
      </w:r>
      <w:r w:rsidRPr="00E162C4">
        <w:br/>
        <w:t>Melbourne VIC 8010</w:t>
      </w:r>
    </w:p>
    <w:p w14:paraId="782B379A" w14:textId="77777777" w:rsidR="0005011A" w:rsidRPr="00E162C4" w:rsidRDefault="0005011A" w:rsidP="00FC07B9">
      <w:pPr>
        <w:pStyle w:val="ACMACorporateAddresses"/>
      </w:pPr>
      <w:r w:rsidRPr="00E162C4">
        <w:t>T</w:t>
      </w:r>
      <w:r w:rsidR="00140318" w:rsidRPr="00E162C4">
        <w:tab/>
      </w:r>
      <w:r w:rsidRPr="00E162C4">
        <w:t>+61 3 9963 6800</w:t>
      </w:r>
      <w:r w:rsidRPr="00E162C4">
        <w:br/>
        <w:t>F</w:t>
      </w:r>
      <w:r w:rsidR="00140318" w:rsidRPr="00E162C4">
        <w:tab/>
      </w:r>
      <w:r w:rsidRPr="00E162C4">
        <w:t>+61 3 9963 6899</w:t>
      </w:r>
    </w:p>
    <w:p w14:paraId="2D00F67F" w14:textId="77777777" w:rsidR="0005011A" w:rsidRPr="00E162C4" w:rsidRDefault="0005011A" w:rsidP="00FC07B9">
      <w:pPr>
        <w:pStyle w:val="ACMACorporateAddressHeader"/>
      </w:pPr>
      <w:r w:rsidRPr="00E162C4">
        <w:t>Sydney</w:t>
      </w:r>
    </w:p>
    <w:p w14:paraId="18FD412D" w14:textId="77777777" w:rsidR="0005011A" w:rsidRPr="00E162C4" w:rsidRDefault="0005011A" w:rsidP="00FC07B9">
      <w:pPr>
        <w:pStyle w:val="ACMACorporateAddresses"/>
      </w:pPr>
      <w:r w:rsidRPr="00E162C4">
        <w:t xml:space="preserve">Level 5 </w:t>
      </w:r>
      <w:r w:rsidRPr="00E162C4">
        <w:br/>
        <w:t>The Bay Centre</w:t>
      </w:r>
      <w:r w:rsidRPr="00E162C4">
        <w:br/>
        <w:t xml:space="preserve">65 Pirrama Road </w:t>
      </w:r>
      <w:r w:rsidRPr="00E162C4">
        <w:br/>
        <w:t>Pyrmont NSW</w:t>
      </w:r>
    </w:p>
    <w:p w14:paraId="46BA296C" w14:textId="77777777" w:rsidR="0005011A" w:rsidRPr="00E162C4" w:rsidRDefault="0005011A" w:rsidP="00FC07B9">
      <w:pPr>
        <w:pStyle w:val="ACMACorporateAddresses"/>
      </w:pPr>
      <w:r w:rsidRPr="00E162C4">
        <w:t>PO Box Q500</w:t>
      </w:r>
      <w:r w:rsidRPr="00E162C4">
        <w:br/>
        <w:t xml:space="preserve">Queen Victoria Building </w:t>
      </w:r>
      <w:r w:rsidRPr="00E162C4">
        <w:br/>
        <w:t>NSW 1230</w:t>
      </w:r>
    </w:p>
    <w:p w14:paraId="6ED3F869" w14:textId="77777777" w:rsidR="0005011A" w:rsidRPr="00E162C4" w:rsidRDefault="0005011A" w:rsidP="00FC07B9">
      <w:pPr>
        <w:pStyle w:val="ACMACorporateAddresses"/>
      </w:pPr>
      <w:r w:rsidRPr="00E162C4">
        <w:t>T</w:t>
      </w:r>
      <w:r w:rsidR="00140318" w:rsidRPr="00E162C4">
        <w:tab/>
      </w:r>
      <w:r w:rsidRPr="00E162C4">
        <w:t>+61 2 9334 7700</w:t>
      </w:r>
      <w:r w:rsidR="00140318" w:rsidRPr="00E162C4">
        <w:t xml:space="preserve"> or</w:t>
      </w:r>
      <w:r w:rsidRPr="00E162C4">
        <w:t xml:space="preserve"> 1800 226 667</w:t>
      </w:r>
      <w:r w:rsidRPr="00E162C4">
        <w:br/>
        <w:t>F</w:t>
      </w:r>
      <w:r w:rsidR="00140318" w:rsidRPr="00E162C4">
        <w:tab/>
      </w:r>
      <w:r w:rsidRPr="00E162C4">
        <w:t>+61 2 9334 7799</w:t>
      </w:r>
    </w:p>
    <w:p w14:paraId="54EDCEBA" w14:textId="77777777" w:rsidR="00140318" w:rsidRPr="00E162C4" w:rsidRDefault="00140318" w:rsidP="00FC07B9">
      <w:pPr>
        <w:pStyle w:val="ACMACopyrightHeader"/>
      </w:pPr>
      <w:r w:rsidRPr="00E162C4">
        <w:t>Copyright notice</w:t>
      </w:r>
    </w:p>
    <w:p w14:paraId="422095B4" w14:textId="77777777" w:rsidR="00140318" w:rsidRPr="00E162C4" w:rsidRDefault="00623FF9" w:rsidP="00623FF9">
      <w:pPr>
        <w:pStyle w:val="ACMACClogo"/>
      </w:pPr>
      <w:r w:rsidRPr="00E162C4">
        <w:rPr>
          <w:noProof/>
        </w:rPr>
        <w:drawing>
          <wp:inline distT="0" distB="0" distL="0" distR="0" wp14:anchorId="203047D6" wp14:editId="77408E1E">
            <wp:extent cx="838200" cy="295275"/>
            <wp:effectExtent l="0" t="0" r="0" b="0"/>
            <wp:docPr id="1" name="Picture 1" title="Creative Commons 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5"/>
                    </pic:cNvPr>
                    <pic:cNvPicPr>
                      <a:picLocks noChangeAspect="1" noChangeArrowheads="1"/>
                    </pic:cNvPicPr>
                  </pic:nvPicPr>
                  <pic:blipFill>
                    <a:blip r:embed="rId16" cstate="print"/>
                    <a:srcRect/>
                    <a:stretch>
                      <a:fillRect/>
                    </a:stretch>
                  </pic:blipFill>
                  <pic:spPr bwMode="auto">
                    <a:xfrm>
                      <a:off x="0" y="0"/>
                      <a:ext cx="838200" cy="295275"/>
                    </a:xfrm>
                    <a:prstGeom prst="rect">
                      <a:avLst/>
                    </a:prstGeom>
                    <a:noFill/>
                  </pic:spPr>
                </pic:pic>
              </a:graphicData>
            </a:graphic>
          </wp:inline>
        </w:drawing>
      </w:r>
    </w:p>
    <w:p w14:paraId="771BF5F3" w14:textId="77777777" w:rsidR="00AA2DE5" w:rsidRPr="00E162C4" w:rsidRDefault="00E455A6" w:rsidP="00AA2DE5">
      <w:pPr>
        <w:pStyle w:val="ACMACorporateAddresses"/>
        <w:rPr>
          <w:rStyle w:val="Hyperlink"/>
        </w:rPr>
      </w:pPr>
      <w:hyperlink r:id="rId17" w:history="1">
        <w:r w:rsidR="00AA2DE5" w:rsidRPr="00E162C4">
          <w:rPr>
            <w:rStyle w:val="Hyperlink"/>
          </w:rPr>
          <w:t>https://creativecommons.org/licenses/by/4.0/</w:t>
        </w:r>
      </w:hyperlink>
    </w:p>
    <w:p w14:paraId="06B76A23" w14:textId="77777777" w:rsidR="00AA2DE5" w:rsidRPr="00E162C4" w:rsidRDefault="00AA2DE5" w:rsidP="00AA2DE5">
      <w:pPr>
        <w:pStyle w:val="ACMACorporateAddresses"/>
      </w:pPr>
      <w:r w:rsidRPr="00E162C4">
        <w:t xml:space="preserve">With the exception of coats of arms, logos, emblems, images, other third-party material or devices protected by a trademark, this content is made available under the terms of the Creative Commons Attribution 4.0 International (CC BY 4.0) licence. </w:t>
      </w:r>
    </w:p>
    <w:p w14:paraId="456F61C2" w14:textId="77777777" w:rsidR="00AA2DE5" w:rsidRPr="00E162C4" w:rsidRDefault="00AA2DE5" w:rsidP="00AA2DE5">
      <w:pPr>
        <w:pStyle w:val="ACMACorporateAddresses"/>
      </w:pPr>
      <w:r w:rsidRPr="00E162C4">
        <w:t>We request attribution as © Commonwealth of Australia (Australian Communications and Media Authority) 20</w:t>
      </w:r>
      <w:r w:rsidR="00C41F21" w:rsidRPr="00E162C4">
        <w:t>2</w:t>
      </w:r>
      <w:r w:rsidR="008500E5">
        <w:t>3</w:t>
      </w:r>
      <w:r w:rsidRPr="00E162C4">
        <w:t>.</w:t>
      </w:r>
    </w:p>
    <w:p w14:paraId="5D062D49" w14:textId="77777777" w:rsidR="00AA2DE5" w:rsidRPr="00E162C4" w:rsidRDefault="00AA2DE5" w:rsidP="00AA2DE5">
      <w:pPr>
        <w:pStyle w:val="ACMACorporateAddresses"/>
      </w:pPr>
      <w:r w:rsidRPr="00E162C4">
        <w:t>All other rights are reserved.</w:t>
      </w:r>
    </w:p>
    <w:p w14:paraId="5104333E" w14:textId="77777777" w:rsidR="00AA2DE5" w:rsidRPr="00E162C4" w:rsidRDefault="00AA2DE5" w:rsidP="00AA2DE5">
      <w:pPr>
        <w:pStyle w:val="ACMACorporateAddresses"/>
      </w:pPr>
      <w:r w:rsidRPr="00E162C4">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292EB6AE" w14:textId="77777777" w:rsidR="00AA2DE5" w:rsidRPr="00E162C4" w:rsidRDefault="00AA2DE5" w:rsidP="00AA2DE5">
      <w:pPr>
        <w:pStyle w:val="ACMACorporateAddresses"/>
      </w:pPr>
      <w:r w:rsidRPr="00E162C4">
        <w:t>Written enquiries may be sent to:</w:t>
      </w:r>
    </w:p>
    <w:p w14:paraId="0022ECEF" w14:textId="77777777" w:rsidR="00AA2DE5" w:rsidRPr="00E162C4" w:rsidRDefault="00AA2DE5" w:rsidP="00AA2DE5">
      <w:pPr>
        <w:pStyle w:val="ACMACorporateAddresses"/>
        <w:rPr>
          <w:rStyle w:val="Hyperlink"/>
        </w:rPr>
      </w:pPr>
      <w:r w:rsidRPr="00E162C4">
        <w:t xml:space="preserve">Manager, Editorial </w:t>
      </w:r>
      <w:r w:rsidR="000245E5" w:rsidRPr="00E162C4">
        <w:t>Services</w:t>
      </w:r>
      <w:r w:rsidRPr="00E162C4">
        <w:br/>
        <w:t>PO Box 13112</w:t>
      </w:r>
      <w:r w:rsidRPr="00E162C4">
        <w:br/>
        <w:t>Law Courts</w:t>
      </w:r>
      <w:r w:rsidRPr="00E162C4">
        <w:br/>
        <w:t>Melbourne VIC 8010</w:t>
      </w:r>
      <w:r w:rsidRPr="00E162C4">
        <w:br/>
        <w:t xml:space="preserve">Email: </w:t>
      </w:r>
      <w:hyperlink r:id="rId18" w:history="1">
        <w:r w:rsidRPr="00E162C4">
          <w:rPr>
            <w:rStyle w:val="Hyperlink"/>
          </w:rPr>
          <w:t>info@acma.gov.au</w:t>
        </w:r>
      </w:hyperlink>
    </w:p>
    <w:p w14:paraId="56E83762" w14:textId="77777777" w:rsidR="00D16FE3" w:rsidRPr="00E162C4" w:rsidRDefault="00D16FE3" w:rsidP="00D16FE3">
      <w:pPr>
        <w:pStyle w:val="ACMACorporateAddresses"/>
        <w:rPr>
          <w:rStyle w:val="Hyperlink"/>
        </w:rPr>
      </w:pPr>
    </w:p>
    <w:p w14:paraId="25A18B0A" w14:textId="77777777" w:rsidR="00D16FE3" w:rsidRPr="00E162C4" w:rsidRDefault="00D16FE3" w:rsidP="00D16FE3">
      <w:pPr>
        <w:pStyle w:val="ACMACorporateAddresses"/>
        <w:sectPr w:rsidR="00D16FE3" w:rsidRPr="00E162C4">
          <w:headerReference w:type="even" r:id="rId19"/>
          <w:headerReference w:type="default" r:id="rId20"/>
          <w:footerReference w:type="even" r:id="rId21"/>
          <w:footerReference w:type="default" r:id="rId22"/>
          <w:pgSz w:w="11906" w:h="16838" w:code="9"/>
          <w:pgMar w:top="3924" w:right="1797" w:bottom="697" w:left="1134" w:header="709" w:footer="119" w:gutter="0"/>
          <w:cols w:space="708"/>
          <w:docGrid w:linePitch="360"/>
        </w:sectPr>
      </w:pPr>
    </w:p>
    <w:p w14:paraId="3148E96B" w14:textId="5CC5707D" w:rsidR="006B59EF" w:rsidRDefault="006A3ECF">
      <w:pPr>
        <w:pStyle w:val="TOC1"/>
        <w:rPr>
          <w:rFonts w:asciiTheme="minorHAnsi" w:eastAsiaTheme="minorEastAsia" w:hAnsiTheme="minorHAnsi" w:cstheme="minorBidi"/>
          <w:b w:val="0"/>
          <w:spacing w:val="0"/>
          <w:sz w:val="22"/>
          <w:szCs w:val="22"/>
        </w:rPr>
      </w:pPr>
      <w:r w:rsidRPr="00E162C4">
        <w:rPr>
          <w:rFonts w:cs="Arial"/>
        </w:rPr>
        <w:lastRenderedPageBreak/>
        <w:fldChar w:fldCharType="begin"/>
      </w:r>
      <w:r w:rsidRPr="00E162C4">
        <w:rPr>
          <w:rFonts w:cs="Arial"/>
        </w:rPr>
        <w:instrText xml:space="preserve"> TOC \o "1-2" \h \z \t "Exec summary heading,1" </w:instrText>
      </w:r>
      <w:r w:rsidRPr="00E162C4">
        <w:rPr>
          <w:rFonts w:cs="Arial"/>
        </w:rPr>
        <w:fldChar w:fldCharType="separate"/>
      </w:r>
      <w:hyperlink w:anchor="_Toc138153889" w:history="1">
        <w:r w:rsidR="006B59EF" w:rsidRPr="00BE3B4A">
          <w:rPr>
            <w:rStyle w:val="Hyperlink"/>
          </w:rPr>
          <w:t>Introduction</w:t>
        </w:r>
        <w:r w:rsidR="006B59EF">
          <w:rPr>
            <w:webHidden/>
          </w:rPr>
          <w:tab/>
        </w:r>
        <w:r w:rsidR="006B59EF">
          <w:rPr>
            <w:webHidden/>
          </w:rPr>
          <w:fldChar w:fldCharType="begin"/>
        </w:r>
        <w:r w:rsidR="006B59EF">
          <w:rPr>
            <w:webHidden/>
          </w:rPr>
          <w:instrText xml:space="preserve"> PAGEREF _Toc138153889 \h </w:instrText>
        </w:r>
        <w:r w:rsidR="006B59EF">
          <w:rPr>
            <w:webHidden/>
          </w:rPr>
        </w:r>
        <w:r w:rsidR="006B59EF">
          <w:rPr>
            <w:webHidden/>
          </w:rPr>
          <w:fldChar w:fldCharType="separate"/>
        </w:r>
        <w:r w:rsidR="006B59EF">
          <w:rPr>
            <w:webHidden/>
          </w:rPr>
          <w:t>1</w:t>
        </w:r>
        <w:r w:rsidR="006B59EF">
          <w:rPr>
            <w:webHidden/>
          </w:rPr>
          <w:fldChar w:fldCharType="end"/>
        </w:r>
      </w:hyperlink>
    </w:p>
    <w:p w14:paraId="552F8610" w14:textId="3614DE3B" w:rsidR="006B59EF" w:rsidRDefault="00E455A6">
      <w:pPr>
        <w:pStyle w:val="TOC1"/>
        <w:rPr>
          <w:rFonts w:asciiTheme="minorHAnsi" w:eastAsiaTheme="minorEastAsia" w:hAnsiTheme="minorHAnsi" w:cstheme="minorBidi"/>
          <w:b w:val="0"/>
          <w:spacing w:val="0"/>
          <w:sz w:val="22"/>
          <w:szCs w:val="22"/>
        </w:rPr>
      </w:pPr>
      <w:hyperlink w:anchor="_Toc138153890" w:history="1">
        <w:r w:rsidR="006B59EF" w:rsidRPr="00BE3B4A">
          <w:rPr>
            <w:rStyle w:val="Hyperlink"/>
          </w:rPr>
          <w:t>Program of review for 2023–24</w:t>
        </w:r>
        <w:r w:rsidR="006B59EF">
          <w:rPr>
            <w:webHidden/>
          </w:rPr>
          <w:tab/>
        </w:r>
        <w:r w:rsidR="006B59EF">
          <w:rPr>
            <w:webHidden/>
          </w:rPr>
          <w:fldChar w:fldCharType="begin"/>
        </w:r>
        <w:r w:rsidR="006B59EF">
          <w:rPr>
            <w:webHidden/>
          </w:rPr>
          <w:instrText xml:space="preserve"> PAGEREF _Toc138153890 \h </w:instrText>
        </w:r>
        <w:r w:rsidR="006B59EF">
          <w:rPr>
            <w:webHidden/>
          </w:rPr>
        </w:r>
        <w:r w:rsidR="006B59EF">
          <w:rPr>
            <w:webHidden/>
          </w:rPr>
          <w:fldChar w:fldCharType="separate"/>
        </w:r>
        <w:r w:rsidR="006B59EF">
          <w:rPr>
            <w:webHidden/>
          </w:rPr>
          <w:t>2</w:t>
        </w:r>
        <w:r w:rsidR="006B59EF">
          <w:rPr>
            <w:webHidden/>
          </w:rPr>
          <w:fldChar w:fldCharType="end"/>
        </w:r>
      </w:hyperlink>
    </w:p>
    <w:p w14:paraId="1B36E5A3" w14:textId="3DC95AE1" w:rsidR="006B59EF" w:rsidRDefault="00E455A6">
      <w:pPr>
        <w:pStyle w:val="TOC2"/>
        <w:rPr>
          <w:rFonts w:asciiTheme="minorHAnsi" w:eastAsiaTheme="minorEastAsia" w:hAnsiTheme="minorHAnsi" w:cstheme="minorBidi"/>
          <w:spacing w:val="0"/>
          <w:sz w:val="22"/>
          <w:szCs w:val="22"/>
        </w:rPr>
      </w:pPr>
      <w:hyperlink w:anchor="_Toc138153891" w:history="1">
        <w:r w:rsidR="006B59EF" w:rsidRPr="00BE3B4A">
          <w:rPr>
            <w:rStyle w:val="Hyperlink"/>
          </w:rPr>
          <w:t>Call for feedback</w:t>
        </w:r>
        <w:r w:rsidR="006B59EF">
          <w:rPr>
            <w:webHidden/>
          </w:rPr>
          <w:tab/>
        </w:r>
        <w:r w:rsidR="006B59EF">
          <w:rPr>
            <w:webHidden/>
          </w:rPr>
          <w:fldChar w:fldCharType="begin"/>
        </w:r>
        <w:r w:rsidR="006B59EF">
          <w:rPr>
            <w:webHidden/>
          </w:rPr>
          <w:instrText xml:space="preserve"> PAGEREF _Toc138153891 \h </w:instrText>
        </w:r>
        <w:r w:rsidR="006B59EF">
          <w:rPr>
            <w:webHidden/>
          </w:rPr>
        </w:r>
        <w:r w:rsidR="006B59EF">
          <w:rPr>
            <w:webHidden/>
          </w:rPr>
          <w:fldChar w:fldCharType="separate"/>
        </w:r>
        <w:r w:rsidR="006B59EF">
          <w:rPr>
            <w:webHidden/>
          </w:rPr>
          <w:t>2</w:t>
        </w:r>
        <w:r w:rsidR="006B59EF">
          <w:rPr>
            <w:webHidden/>
          </w:rPr>
          <w:fldChar w:fldCharType="end"/>
        </w:r>
      </w:hyperlink>
    </w:p>
    <w:p w14:paraId="24145F2E" w14:textId="776B15F1" w:rsidR="006B59EF" w:rsidRDefault="00E455A6">
      <w:pPr>
        <w:pStyle w:val="TOC2"/>
        <w:rPr>
          <w:rFonts w:asciiTheme="minorHAnsi" w:eastAsiaTheme="minorEastAsia" w:hAnsiTheme="minorHAnsi" w:cstheme="minorBidi"/>
          <w:spacing w:val="0"/>
          <w:sz w:val="22"/>
          <w:szCs w:val="22"/>
        </w:rPr>
      </w:pPr>
      <w:hyperlink w:anchor="_Toc138153892" w:history="1">
        <w:r w:rsidR="006B59EF" w:rsidRPr="00BE3B4A">
          <w:rPr>
            <w:rStyle w:val="Hyperlink"/>
          </w:rPr>
          <w:t>Regulator Performance Guide</w:t>
        </w:r>
        <w:r w:rsidR="006B59EF">
          <w:rPr>
            <w:webHidden/>
          </w:rPr>
          <w:tab/>
        </w:r>
        <w:r w:rsidR="006B59EF">
          <w:rPr>
            <w:webHidden/>
          </w:rPr>
          <w:fldChar w:fldCharType="begin"/>
        </w:r>
        <w:r w:rsidR="006B59EF">
          <w:rPr>
            <w:webHidden/>
          </w:rPr>
          <w:instrText xml:space="preserve"> PAGEREF _Toc138153892 \h </w:instrText>
        </w:r>
        <w:r w:rsidR="006B59EF">
          <w:rPr>
            <w:webHidden/>
          </w:rPr>
        </w:r>
        <w:r w:rsidR="006B59EF">
          <w:rPr>
            <w:webHidden/>
          </w:rPr>
          <w:fldChar w:fldCharType="separate"/>
        </w:r>
        <w:r w:rsidR="006B59EF">
          <w:rPr>
            <w:webHidden/>
          </w:rPr>
          <w:t>2</w:t>
        </w:r>
        <w:r w:rsidR="006B59EF">
          <w:rPr>
            <w:webHidden/>
          </w:rPr>
          <w:fldChar w:fldCharType="end"/>
        </w:r>
      </w:hyperlink>
    </w:p>
    <w:p w14:paraId="3C942DB2" w14:textId="2C9E3A21" w:rsidR="006B59EF" w:rsidRDefault="00E455A6">
      <w:pPr>
        <w:pStyle w:val="TOC2"/>
        <w:rPr>
          <w:rFonts w:asciiTheme="minorHAnsi" w:eastAsiaTheme="minorEastAsia" w:hAnsiTheme="minorHAnsi" w:cstheme="minorBidi"/>
          <w:spacing w:val="0"/>
          <w:sz w:val="22"/>
          <w:szCs w:val="22"/>
        </w:rPr>
      </w:pPr>
      <w:hyperlink w:anchor="_Toc138153893" w:history="1">
        <w:r w:rsidR="006B59EF" w:rsidRPr="00BE3B4A">
          <w:rPr>
            <w:rStyle w:val="Hyperlink"/>
          </w:rPr>
          <w:t>Frequency coordination requirements (RALIs)</w:t>
        </w:r>
        <w:r w:rsidR="006B59EF">
          <w:rPr>
            <w:webHidden/>
          </w:rPr>
          <w:tab/>
        </w:r>
        <w:r w:rsidR="006B59EF">
          <w:rPr>
            <w:webHidden/>
          </w:rPr>
          <w:fldChar w:fldCharType="begin"/>
        </w:r>
        <w:r w:rsidR="006B59EF">
          <w:rPr>
            <w:webHidden/>
          </w:rPr>
          <w:instrText xml:space="preserve"> PAGEREF _Toc138153893 \h </w:instrText>
        </w:r>
        <w:r w:rsidR="006B59EF">
          <w:rPr>
            <w:webHidden/>
          </w:rPr>
        </w:r>
        <w:r w:rsidR="006B59EF">
          <w:rPr>
            <w:webHidden/>
          </w:rPr>
          <w:fldChar w:fldCharType="separate"/>
        </w:r>
        <w:r w:rsidR="006B59EF">
          <w:rPr>
            <w:webHidden/>
          </w:rPr>
          <w:t>5</w:t>
        </w:r>
        <w:r w:rsidR="006B59EF">
          <w:rPr>
            <w:webHidden/>
          </w:rPr>
          <w:fldChar w:fldCharType="end"/>
        </w:r>
      </w:hyperlink>
    </w:p>
    <w:p w14:paraId="1BA9D22B" w14:textId="6A78AF8D" w:rsidR="006B59EF" w:rsidRDefault="00E455A6">
      <w:pPr>
        <w:pStyle w:val="TOC1"/>
        <w:rPr>
          <w:rFonts w:asciiTheme="minorHAnsi" w:eastAsiaTheme="minorEastAsia" w:hAnsiTheme="minorHAnsi" w:cstheme="minorBidi"/>
          <w:b w:val="0"/>
          <w:spacing w:val="0"/>
          <w:sz w:val="22"/>
          <w:szCs w:val="22"/>
        </w:rPr>
      </w:pPr>
      <w:hyperlink w:anchor="_Toc138153894" w:history="1">
        <w:r w:rsidR="006B59EF" w:rsidRPr="00BE3B4A">
          <w:rPr>
            <w:rStyle w:val="Hyperlink"/>
          </w:rPr>
          <w:t>Completed RALI updates from the 2021–22 review work program</w:t>
        </w:r>
        <w:r w:rsidR="006B59EF">
          <w:rPr>
            <w:webHidden/>
          </w:rPr>
          <w:tab/>
        </w:r>
        <w:r w:rsidR="006B59EF">
          <w:rPr>
            <w:webHidden/>
          </w:rPr>
          <w:fldChar w:fldCharType="begin"/>
        </w:r>
        <w:r w:rsidR="006B59EF">
          <w:rPr>
            <w:webHidden/>
          </w:rPr>
          <w:instrText xml:space="preserve"> PAGEREF _Toc138153894 \h </w:instrText>
        </w:r>
        <w:r w:rsidR="006B59EF">
          <w:rPr>
            <w:webHidden/>
          </w:rPr>
        </w:r>
        <w:r w:rsidR="006B59EF">
          <w:rPr>
            <w:webHidden/>
          </w:rPr>
          <w:fldChar w:fldCharType="separate"/>
        </w:r>
        <w:r w:rsidR="006B59EF">
          <w:rPr>
            <w:webHidden/>
          </w:rPr>
          <w:t>10</w:t>
        </w:r>
        <w:r w:rsidR="006B59EF">
          <w:rPr>
            <w:webHidden/>
          </w:rPr>
          <w:fldChar w:fldCharType="end"/>
        </w:r>
      </w:hyperlink>
    </w:p>
    <w:p w14:paraId="5CF0808E" w14:textId="43C01878" w:rsidR="006B59EF" w:rsidRDefault="00E455A6">
      <w:pPr>
        <w:pStyle w:val="TOC1"/>
        <w:rPr>
          <w:rFonts w:asciiTheme="minorHAnsi" w:eastAsiaTheme="minorEastAsia" w:hAnsiTheme="minorHAnsi" w:cstheme="minorBidi"/>
          <w:b w:val="0"/>
          <w:spacing w:val="0"/>
          <w:sz w:val="22"/>
          <w:szCs w:val="22"/>
        </w:rPr>
      </w:pPr>
      <w:hyperlink w:anchor="_Toc138153895" w:history="1">
        <w:r w:rsidR="006B59EF" w:rsidRPr="00BE3B4A">
          <w:rPr>
            <w:rStyle w:val="Hyperlink"/>
          </w:rPr>
          <w:t>Invitation to comment</w:t>
        </w:r>
        <w:r w:rsidR="006B59EF">
          <w:rPr>
            <w:webHidden/>
          </w:rPr>
          <w:tab/>
        </w:r>
        <w:r w:rsidR="006B59EF">
          <w:rPr>
            <w:webHidden/>
          </w:rPr>
          <w:fldChar w:fldCharType="begin"/>
        </w:r>
        <w:r w:rsidR="006B59EF">
          <w:rPr>
            <w:webHidden/>
          </w:rPr>
          <w:instrText xml:space="preserve"> PAGEREF _Toc138153895 \h </w:instrText>
        </w:r>
        <w:r w:rsidR="006B59EF">
          <w:rPr>
            <w:webHidden/>
          </w:rPr>
        </w:r>
        <w:r w:rsidR="006B59EF">
          <w:rPr>
            <w:webHidden/>
          </w:rPr>
          <w:fldChar w:fldCharType="separate"/>
        </w:r>
        <w:r w:rsidR="006B59EF">
          <w:rPr>
            <w:webHidden/>
          </w:rPr>
          <w:t>12</w:t>
        </w:r>
        <w:r w:rsidR="006B59EF">
          <w:rPr>
            <w:webHidden/>
          </w:rPr>
          <w:fldChar w:fldCharType="end"/>
        </w:r>
      </w:hyperlink>
    </w:p>
    <w:p w14:paraId="1180A5A0" w14:textId="10FADE05" w:rsidR="006B59EF" w:rsidRDefault="00E455A6">
      <w:pPr>
        <w:pStyle w:val="TOC2"/>
        <w:rPr>
          <w:rFonts w:asciiTheme="minorHAnsi" w:eastAsiaTheme="minorEastAsia" w:hAnsiTheme="minorHAnsi" w:cstheme="minorBidi"/>
          <w:spacing w:val="0"/>
          <w:sz w:val="22"/>
          <w:szCs w:val="22"/>
        </w:rPr>
      </w:pPr>
      <w:hyperlink w:anchor="_Toc138153896" w:history="1">
        <w:r w:rsidR="006B59EF" w:rsidRPr="00BE3B4A">
          <w:rPr>
            <w:rStyle w:val="Hyperlink"/>
          </w:rPr>
          <w:t>Making a submission</w:t>
        </w:r>
        <w:r w:rsidR="006B59EF">
          <w:rPr>
            <w:webHidden/>
          </w:rPr>
          <w:tab/>
        </w:r>
        <w:r w:rsidR="006B59EF">
          <w:rPr>
            <w:webHidden/>
          </w:rPr>
          <w:fldChar w:fldCharType="begin"/>
        </w:r>
        <w:r w:rsidR="006B59EF">
          <w:rPr>
            <w:webHidden/>
          </w:rPr>
          <w:instrText xml:space="preserve"> PAGEREF _Toc138153896 \h </w:instrText>
        </w:r>
        <w:r w:rsidR="006B59EF">
          <w:rPr>
            <w:webHidden/>
          </w:rPr>
        </w:r>
        <w:r w:rsidR="006B59EF">
          <w:rPr>
            <w:webHidden/>
          </w:rPr>
          <w:fldChar w:fldCharType="separate"/>
        </w:r>
        <w:r w:rsidR="006B59EF">
          <w:rPr>
            <w:webHidden/>
          </w:rPr>
          <w:t>12</w:t>
        </w:r>
        <w:r w:rsidR="006B59EF">
          <w:rPr>
            <w:webHidden/>
          </w:rPr>
          <w:fldChar w:fldCharType="end"/>
        </w:r>
      </w:hyperlink>
    </w:p>
    <w:p w14:paraId="2B2D5A54" w14:textId="0F5E9D08" w:rsidR="004D56FF" w:rsidRPr="00E162C4" w:rsidRDefault="006A3ECF">
      <w:pPr>
        <w:rPr>
          <w:rFonts w:cs="Arial"/>
        </w:rPr>
        <w:sectPr w:rsidR="004D56FF" w:rsidRPr="00E162C4" w:rsidSect="00C77380">
          <w:headerReference w:type="even" r:id="rId23"/>
          <w:headerReference w:type="default" r:id="rId24"/>
          <w:footerReference w:type="even" r:id="rId25"/>
          <w:footerReference w:type="default" r:id="rId26"/>
          <w:footerReference w:type="first" r:id="rId27"/>
          <w:pgSz w:w="11906" w:h="16838" w:code="9"/>
          <w:pgMar w:top="3646" w:right="3101" w:bottom="1134" w:left="1134" w:header="709" w:footer="119" w:gutter="0"/>
          <w:cols w:space="708"/>
          <w:titlePg/>
          <w:docGrid w:linePitch="360"/>
        </w:sectPr>
      </w:pPr>
      <w:r w:rsidRPr="00E162C4">
        <w:rPr>
          <w:rFonts w:cs="Arial"/>
          <w:noProof/>
          <w:spacing w:val="-14"/>
          <w:sz w:val="28"/>
        </w:rPr>
        <w:fldChar w:fldCharType="end"/>
      </w:r>
    </w:p>
    <w:p w14:paraId="48DF23CD" w14:textId="77777777" w:rsidR="00356BF1" w:rsidRPr="000D76E0" w:rsidRDefault="00356BF1" w:rsidP="00356BF1">
      <w:pPr>
        <w:pStyle w:val="Heading1"/>
      </w:pPr>
      <w:bookmarkStart w:id="1" w:name="_Toc137814958"/>
      <w:bookmarkStart w:id="2" w:name="_Toc138153889"/>
      <w:bookmarkStart w:id="3" w:name="_Hlk138068364"/>
      <w:r>
        <w:lastRenderedPageBreak/>
        <w:t>Introduction</w:t>
      </w:r>
      <w:bookmarkEnd w:id="1"/>
      <w:bookmarkEnd w:id="2"/>
    </w:p>
    <w:p w14:paraId="336D4E09" w14:textId="77777777" w:rsidR="00356BF1" w:rsidRDefault="00356BF1" w:rsidP="00356BF1">
      <w:pPr>
        <w:pStyle w:val="Paragraphbeforelist"/>
      </w:pPr>
      <w:bookmarkStart w:id="4" w:name="_Hlk26868779"/>
      <w:r>
        <w:t>The Australian Communications and Media Authority (ACMA) is committed to reviewing spectrum planning technical frameworks to ensure they remain current and consistent with current technologies and operational practices. Broadly, this comprises 2 workstreams:</w:t>
      </w:r>
    </w:p>
    <w:p w14:paraId="03576B97" w14:textId="2655EB70" w:rsidR="00356BF1" w:rsidRDefault="00356BF1" w:rsidP="00356BF1">
      <w:pPr>
        <w:pStyle w:val="Bulletlevel1"/>
      </w:pPr>
      <w:r>
        <w:t>Ensuring frequency coordination requirements for apparatus-licensed services</w:t>
      </w:r>
      <w:r w:rsidR="00FE5E50">
        <w:t xml:space="preserve"> are current</w:t>
      </w:r>
      <w:r>
        <w:t xml:space="preserve">. This material is recorded in administrative policy documents referred to as RALIs – Radiocommunications Assignment and Licensing Instructions. </w:t>
      </w:r>
    </w:p>
    <w:p w14:paraId="4BC73BCC" w14:textId="77777777" w:rsidR="00356BF1" w:rsidRDefault="00356BF1" w:rsidP="00356BF1">
      <w:pPr>
        <w:pStyle w:val="Bulletlevel1last"/>
      </w:pPr>
      <w:r>
        <w:t xml:space="preserve">Consideration of spectrum licence technical frameworks and ensuring the continuing appropriateness of spectrum embargoes. </w:t>
      </w:r>
    </w:p>
    <w:p w14:paraId="354DE6F0" w14:textId="38384F31" w:rsidR="00356BF1" w:rsidRDefault="00356BF1" w:rsidP="00356BF1">
      <w:pPr>
        <w:pStyle w:val="Paragraph"/>
      </w:pPr>
      <w:r>
        <w:t xml:space="preserve">The role of the ACMA’s spectrum planning framework is discussed in further detail in the </w:t>
      </w:r>
      <w:hyperlink r:id="rId28" w:history="1">
        <w:r w:rsidRPr="004637FA">
          <w:rPr>
            <w:rStyle w:val="Hyperlink"/>
            <w:i/>
            <w:iCs/>
          </w:rPr>
          <w:t xml:space="preserve">Spectrum </w:t>
        </w:r>
        <w:r w:rsidR="00FE5E50">
          <w:rPr>
            <w:rStyle w:val="Hyperlink"/>
            <w:i/>
            <w:iCs/>
          </w:rPr>
          <w:t>p</w:t>
        </w:r>
        <w:r w:rsidRPr="004637FA">
          <w:rPr>
            <w:rStyle w:val="Hyperlink"/>
            <w:i/>
            <w:iCs/>
          </w:rPr>
          <w:t xml:space="preserve">lanning </w:t>
        </w:r>
        <w:r w:rsidR="00FE5E50">
          <w:rPr>
            <w:rStyle w:val="Hyperlink"/>
            <w:i/>
            <w:iCs/>
          </w:rPr>
          <w:t>f</w:t>
        </w:r>
        <w:r w:rsidRPr="004637FA">
          <w:rPr>
            <w:rStyle w:val="Hyperlink"/>
            <w:i/>
            <w:iCs/>
          </w:rPr>
          <w:t>ramework</w:t>
        </w:r>
        <w:r w:rsidR="00FE5E50">
          <w:rPr>
            <w:rStyle w:val="Hyperlink"/>
            <w:i/>
            <w:iCs/>
          </w:rPr>
          <w:t>:</w:t>
        </w:r>
        <w:r w:rsidRPr="004637FA">
          <w:rPr>
            <w:rStyle w:val="Hyperlink"/>
            <w:i/>
            <w:iCs/>
          </w:rPr>
          <w:t xml:space="preserve"> </w:t>
        </w:r>
        <w:r w:rsidR="00FE5E50">
          <w:rPr>
            <w:rStyle w:val="Hyperlink"/>
            <w:i/>
            <w:iCs/>
          </w:rPr>
          <w:t>I</w:t>
        </w:r>
        <w:r w:rsidRPr="004637FA">
          <w:rPr>
            <w:rStyle w:val="Hyperlink"/>
            <w:i/>
            <w:iCs/>
          </w:rPr>
          <w:t>nformation paper</w:t>
        </w:r>
      </w:hyperlink>
      <w:r>
        <w:t>.</w:t>
      </w:r>
    </w:p>
    <w:p w14:paraId="08A15943" w14:textId="536A9EDF" w:rsidR="00356BF1" w:rsidRDefault="00356BF1" w:rsidP="00356BF1">
      <w:pPr>
        <w:pStyle w:val="Paragraph"/>
      </w:pPr>
      <w:r>
        <w:t xml:space="preserve">This document sets out the next set of planned RALI reviews </w:t>
      </w:r>
      <w:r w:rsidR="00FE5E50">
        <w:t xml:space="preserve">we will </w:t>
      </w:r>
      <w:r>
        <w:t>undertake</w:t>
      </w:r>
      <w:r w:rsidR="00FE5E50">
        <w:t>,</w:t>
      </w:r>
      <w:r>
        <w:t xml:space="preserve"> and follows on from our previous </w:t>
      </w:r>
      <w:hyperlink r:id="rId29" w:history="1">
        <w:r w:rsidRPr="007758CF">
          <w:rPr>
            <w:rStyle w:val="Hyperlink"/>
          </w:rPr>
          <w:t>RALI review work program for 2021</w:t>
        </w:r>
        <w:r w:rsidR="00FE5E50">
          <w:rPr>
            <w:rStyle w:val="Hyperlink"/>
          </w:rPr>
          <w:t>–</w:t>
        </w:r>
        <w:r w:rsidRPr="007758CF">
          <w:rPr>
            <w:rStyle w:val="Hyperlink"/>
          </w:rPr>
          <w:t>22</w:t>
        </w:r>
      </w:hyperlink>
      <w:r w:rsidR="00FE5E50">
        <w:rPr>
          <w:rStyle w:val="Hyperlink"/>
        </w:rPr>
        <w:t>.</w:t>
      </w:r>
      <w:r w:rsidR="00FE5E50">
        <w:t xml:space="preserve"> I</w:t>
      </w:r>
      <w:r>
        <w:t xml:space="preserve">t outlines our proposed work program for reviewing frequency coordination requirements over the coming </w:t>
      </w:r>
      <w:r w:rsidRPr="00D62CD7">
        <w:t>12 to 18</w:t>
      </w:r>
      <w:r>
        <w:t xml:space="preserve"> months.</w:t>
      </w:r>
      <w:r w:rsidRPr="007D76AA">
        <w:rPr>
          <w:u w:color="0000FF"/>
        </w:rPr>
        <w:t xml:space="preserve"> </w:t>
      </w:r>
      <w:r>
        <w:t xml:space="preserve">This document also provides an update on progress against the previous work program. </w:t>
      </w:r>
      <w:r w:rsidR="00FE5E50">
        <w:t xml:space="preserve">We </w:t>
      </w:r>
      <w:r>
        <w:t>will aim to update this review work program regularly, ideally on an annual basis, to provide ongoing transparency for interested stakeholders.</w:t>
      </w:r>
    </w:p>
    <w:p w14:paraId="30EA0B2D" w14:textId="77777777" w:rsidR="00356BF1" w:rsidRDefault="00356BF1" w:rsidP="00356BF1">
      <w:pPr>
        <w:pStyle w:val="Paragraph"/>
      </w:pPr>
      <w:r>
        <w:t xml:space="preserve">In 2020, we consulted on a program for reviewing spectrum licence technical frameworks. The updated work program is available on the </w:t>
      </w:r>
      <w:hyperlink r:id="rId30" w:history="1">
        <w:r w:rsidRPr="00910C23">
          <w:rPr>
            <w:rStyle w:val="Hyperlink"/>
          </w:rPr>
          <w:t>ACMA website</w:t>
        </w:r>
      </w:hyperlink>
      <w:r>
        <w:t xml:space="preserve">. Spectrum licence technical frameworks are outside the scope of this work program. </w:t>
      </w:r>
    </w:p>
    <w:p w14:paraId="1DBB7ACB" w14:textId="77777777" w:rsidR="00356BF1" w:rsidRDefault="00356BF1" w:rsidP="00356BF1">
      <w:pPr>
        <w:pStyle w:val="Paragraph"/>
      </w:pPr>
      <w:r>
        <w:t xml:space="preserve">The review work program included in this document will guide the ACMA in undertaking this work. Importantly, in all cases, any proposed changes will be subject to further consultation. The timeframes provided give an indication of when we intend to undertake this work, however, exact timings will be influenced by broader priorities and any issues identified during the consultation and review process. </w:t>
      </w:r>
    </w:p>
    <w:p w14:paraId="3C626F20" w14:textId="77777777" w:rsidR="00356BF1" w:rsidRPr="00E162C4" w:rsidRDefault="00356BF1" w:rsidP="00356BF1">
      <w:pPr>
        <w:pStyle w:val="Paragraph"/>
      </w:pPr>
    </w:p>
    <w:p w14:paraId="274DED00" w14:textId="4A544EA0" w:rsidR="00356BF1" w:rsidRPr="00C35CCE" w:rsidRDefault="00356BF1" w:rsidP="00356BF1">
      <w:pPr>
        <w:pStyle w:val="Heading1"/>
      </w:pPr>
      <w:bookmarkStart w:id="5" w:name="_Toc137814959"/>
      <w:bookmarkStart w:id="6" w:name="_Toc138153890"/>
      <w:bookmarkEnd w:id="4"/>
      <w:r>
        <w:lastRenderedPageBreak/>
        <w:t>Program of review for 2023</w:t>
      </w:r>
      <w:r w:rsidR="004D1A1F">
        <w:t>–</w:t>
      </w:r>
      <w:r>
        <w:t>24</w:t>
      </w:r>
      <w:bookmarkEnd w:id="5"/>
      <w:bookmarkEnd w:id="6"/>
    </w:p>
    <w:p w14:paraId="7389F2B0" w14:textId="19B2DFE4" w:rsidR="00356BF1" w:rsidRDefault="00356BF1" w:rsidP="00356BF1">
      <w:pPr>
        <w:pStyle w:val="Paragraph"/>
      </w:pPr>
      <w:bookmarkStart w:id="7" w:name="_Hlk68187456"/>
      <w:r>
        <w:t>In Table 1 below, we outline the program of work that the ACMA intends to undertake to update our suite of frequency assignment and coordination rules</w:t>
      </w:r>
      <w:bookmarkEnd w:id="7"/>
      <w:r>
        <w:t xml:space="preserve">. For completeness, it includes activities already identified in the </w:t>
      </w:r>
      <w:hyperlink r:id="rId31" w:history="1">
        <w:r w:rsidR="004D1A1F">
          <w:rPr>
            <w:rStyle w:val="Hyperlink"/>
          </w:rPr>
          <w:t>F</w:t>
        </w:r>
        <w:r w:rsidR="00BC48CF" w:rsidRPr="004D1A1F">
          <w:rPr>
            <w:rStyle w:val="Hyperlink"/>
          </w:rPr>
          <w:t xml:space="preserve">ive-year </w:t>
        </w:r>
        <w:r w:rsidR="004D1A1F" w:rsidRPr="004D1A1F">
          <w:rPr>
            <w:rStyle w:val="Hyperlink"/>
          </w:rPr>
          <w:t>s</w:t>
        </w:r>
        <w:r w:rsidR="00BC48CF" w:rsidRPr="004D1A1F">
          <w:rPr>
            <w:rStyle w:val="Hyperlink"/>
          </w:rPr>
          <w:t xml:space="preserve">pectrum </w:t>
        </w:r>
        <w:r w:rsidR="004D1A1F" w:rsidRPr="004D1A1F">
          <w:rPr>
            <w:rStyle w:val="Hyperlink"/>
          </w:rPr>
          <w:t>o</w:t>
        </w:r>
        <w:r w:rsidR="00BC48CF" w:rsidRPr="004D1A1F">
          <w:rPr>
            <w:rStyle w:val="Hyperlink"/>
          </w:rPr>
          <w:t>utlook</w:t>
        </w:r>
      </w:hyperlink>
      <w:r w:rsidR="004D1A1F">
        <w:t xml:space="preserve"> (FYSO)</w:t>
      </w:r>
      <w:r>
        <w:t xml:space="preserve">. </w:t>
      </w:r>
    </w:p>
    <w:p w14:paraId="0E30340A" w14:textId="1D83182F" w:rsidR="00356BF1" w:rsidRDefault="00356BF1" w:rsidP="00356BF1">
      <w:pPr>
        <w:pStyle w:val="Paragraph"/>
      </w:pPr>
      <w:r>
        <w:t>There are currently 26 documents, primarily RALIs, that contain frequency assignment and coordination instructions (other RALIs that do not contain assignment and coordination instructions</w:t>
      </w:r>
      <w:r w:rsidR="004D1A1F">
        <w:t xml:space="preserve">, </w:t>
      </w:r>
      <w:r>
        <w:t>for example, band plan RALIs, are outside the scope of this review). The proposed review timetable is listed in Table 1 below, including whether items are currently flagged for revision (noting this may change because of stakeholder feedback). The proposed revisions are discussed in further detail below.</w:t>
      </w:r>
    </w:p>
    <w:p w14:paraId="3739E970" w14:textId="434A7B3E" w:rsidR="007C72C4" w:rsidRDefault="007C72C4" w:rsidP="006B59EF">
      <w:pPr>
        <w:pStyle w:val="Heading2"/>
      </w:pPr>
      <w:bookmarkStart w:id="8" w:name="_Toc138153891"/>
      <w:bookmarkStart w:id="9" w:name="_Hlk68187510"/>
      <w:r>
        <w:t>Call for feedback</w:t>
      </w:r>
      <w:bookmarkEnd w:id="8"/>
    </w:p>
    <w:p w14:paraId="6A491EE6" w14:textId="3BE2E769" w:rsidR="00356BF1" w:rsidRPr="00AF402B" w:rsidRDefault="004D1A1F" w:rsidP="00356BF1">
      <w:pPr>
        <w:pStyle w:val="Paragraph"/>
      </w:pPr>
      <w:r>
        <w:t>We invite s</w:t>
      </w:r>
      <w:r w:rsidR="00356BF1">
        <w:t xml:space="preserve">uggestions for additional changes and improvements to our suite of frequency assignment and coordination documents in response to this draft work program. Any suggestions that might assist in the application, readability and clarity of </w:t>
      </w:r>
      <w:r w:rsidR="00356BF1" w:rsidRPr="00AF402B">
        <w:t xml:space="preserve">RALIs are welcome. </w:t>
      </w:r>
      <w:r w:rsidR="00356BF1">
        <w:t>S</w:t>
      </w:r>
      <w:r w:rsidR="00356BF1" w:rsidRPr="00AF402B">
        <w:t xml:space="preserve">uggestions that would constitute a planning change, such as a change to the uses supported in a band, should be raised separately </w:t>
      </w:r>
      <w:r w:rsidR="00EF5BBC">
        <w:t>by</w:t>
      </w:r>
      <w:r w:rsidR="00776763">
        <w:t xml:space="preserve"> providing feedback when we </w:t>
      </w:r>
      <w:r w:rsidR="001F4CB9">
        <w:t>consult on the next</w:t>
      </w:r>
      <w:r w:rsidR="00356BF1" w:rsidRPr="00AF402B">
        <w:t xml:space="preserve"> FYSO. </w:t>
      </w:r>
      <w:r w:rsidR="00356BF1">
        <w:t>RALIs themselves are implementation</w:t>
      </w:r>
      <w:r w:rsidR="00292A8D">
        <w:t>s</w:t>
      </w:r>
      <w:r w:rsidR="00356BF1">
        <w:t xml:space="preserve"> of planning decisions – the planning itself is a separate set of processes.</w:t>
      </w:r>
    </w:p>
    <w:p w14:paraId="12335166" w14:textId="3C732019" w:rsidR="00356BF1" w:rsidRDefault="00356BF1" w:rsidP="00356BF1">
      <w:pPr>
        <w:pStyle w:val="Paragraph"/>
      </w:pPr>
      <w:r w:rsidRPr="00AF402B">
        <w:t xml:space="preserve">While </w:t>
      </w:r>
      <w:r w:rsidRPr="00FA5FA2">
        <w:t xml:space="preserve">RALI MS03 </w:t>
      </w:r>
      <w:r>
        <w:t>–</w:t>
      </w:r>
      <w:r w:rsidRPr="00FA5FA2">
        <w:t xml:space="preserve"> Spectrum Embargoes</w:t>
      </w:r>
      <w:r w:rsidRPr="00AF402B">
        <w:t xml:space="preserve"> is not included in Table 1, </w:t>
      </w:r>
      <w:r>
        <w:t xml:space="preserve">as part of our normal work </w:t>
      </w:r>
      <w:r w:rsidRPr="00AF402B">
        <w:t xml:space="preserve">we </w:t>
      </w:r>
      <w:r>
        <w:t>will</w:t>
      </w:r>
      <w:r w:rsidRPr="00AF402B">
        <w:t xml:space="preserve"> review this document across the next </w:t>
      </w:r>
      <w:r w:rsidRPr="00D62CD7">
        <w:t>12</w:t>
      </w:r>
      <w:r w:rsidR="00292A8D">
        <w:t xml:space="preserve"> to </w:t>
      </w:r>
      <w:r w:rsidRPr="00D62CD7">
        <w:t>18</w:t>
      </w:r>
      <w:r w:rsidRPr="00AF402B">
        <w:t xml:space="preserve"> months to ensure embargoes are still required and fit</w:t>
      </w:r>
      <w:r>
        <w:t>-</w:t>
      </w:r>
      <w:r w:rsidRPr="00AF402B">
        <w:t>for</w:t>
      </w:r>
      <w:r>
        <w:t>-</w:t>
      </w:r>
      <w:r w:rsidRPr="00AF402B">
        <w:t>purpose. Suggestions for improvement or changes to RALI MS03 are welcome in response to this consultation.</w:t>
      </w:r>
    </w:p>
    <w:bookmarkEnd w:id="9"/>
    <w:p w14:paraId="55C6627C" w14:textId="1783E9ED" w:rsidR="00356BF1" w:rsidRDefault="00356BF1" w:rsidP="00356BF1">
      <w:pPr>
        <w:pStyle w:val="Paragraph"/>
      </w:pPr>
      <w:r>
        <w:t xml:space="preserve">We have provided an indicative timing for the review periods of relevant RALIs. Exact timing will be informed by any issues identified during the consultation and review process. </w:t>
      </w:r>
    </w:p>
    <w:p w14:paraId="3AB1E677" w14:textId="12887B80" w:rsidR="007C72C4" w:rsidRDefault="007C72C4" w:rsidP="006B59EF">
      <w:pPr>
        <w:pStyle w:val="Heading2"/>
      </w:pPr>
      <w:bookmarkStart w:id="10" w:name="_Toc138153892"/>
      <w:r>
        <w:t>Regulator Performance Guide</w:t>
      </w:r>
      <w:bookmarkEnd w:id="10"/>
    </w:p>
    <w:p w14:paraId="36BD243C" w14:textId="678993C4" w:rsidR="00356BF1" w:rsidRDefault="00356BF1" w:rsidP="00356BF1">
      <w:pPr>
        <w:pStyle w:val="Paragraphbeforelist"/>
      </w:pPr>
      <w:r>
        <w:t xml:space="preserve">The </w:t>
      </w:r>
      <w:hyperlink r:id="rId32" w:history="1">
        <w:r w:rsidRPr="00292A8D">
          <w:rPr>
            <w:rStyle w:val="Hyperlink"/>
          </w:rPr>
          <w:t>Regulator Performance Guide</w:t>
        </w:r>
      </w:hyperlink>
      <w:r>
        <w:t xml:space="preserve"> outlines the principles of best practice that underpin the government’s expectations of regulators and their performance. The principles are:</w:t>
      </w:r>
    </w:p>
    <w:p w14:paraId="1123EEF0" w14:textId="629AD4D3" w:rsidR="00356BF1" w:rsidRDefault="00356BF1" w:rsidP="00356BF1">
      <w:pPr>
        <w:pStyle w:val="Bulletlevel1"/>
      </w:pPr>
      <w:r w:rsidRPr="00FA5FA2">
        <w:rPr>
          <w:b/>
          <w:bCs/>
        </w:rPr>
        <w:t>Continuous improvement and building trust</w:t>
      </w:r>
      <w:r w:rsidR="00292A8D">
        <w:t xml:space="preserve"> – </w:t>
      </w:r>
      <w:r>
        <w:t>regulators adopt a whole-of-system perspective, continuously improving their performance, capability and culture to build trust and confidence in Australia’s regulatory settings.</w:t>
      </w:r>
    </w:p>
    <w:p w14:paraId="2A921833" w14:textId="2A5D80E3" w:rsidR="00356BF1" w:rsidRDefault="00356BF1" w:rsidP="00356BF1">
      <w:pPr>
        <w:pStyle w:val="Bulletlevel1"/>
      </w:pPr>
      <w:r w:rsidRPr="00FA5FA2">
        <w:rPr>
          <w:b/>
          <w:bCs/>
        </w:rPr>
        <w:t>Risk</w:t>
      </w:r>
      <w:r>
        <w:rPr>
          <w:b/>
          <w:bCs/>
        </w:rPr>
        <w:t>-</w:t>
      </w:r>
      <w:r w:rsidRPr="00FA5FA2">
        <w:rPr>
          <w:b/>
          <w:bCs/>
        </w:rPr>
        <w:t>based and data</w:t>
      </w:r>
      <w:r>
        <w:rPr>
          <w:b/>
          <w:bCs/>
        </w:rPr>
        <w:t>-</w:t>
      </w:r>
      <w:r w:rsidRPr="00FA5FA2">
        <w:rPr>
          <w:b/>
          <w:bCs/>
        </w:rPr>
        <w:t>driven</w:t>
      </w:r>
      <w:r w:rsidR="00292A8D">
        <w:t xml:space="preserve"> – </w:t>
      </w:r>
      <w:r>
        <w:t>regulators manage risks proportionately and maintain essential safeguards while minimising regulatory burden and leveraging data and digital technology to support those they regulate to comply and grow.</w:t>
      </w:r>
    </w:p>
    <w:p w14:paraId="41B71A0B" w14:textId="06215A6B" w:rsidR="00356BF1" w:rsidRDefault="00356BF1" w:rsidP="00356BF1">
      <w:pPr>
        <w:pStyle w:val="Bulletlevel1last"/>
      </w:pPr>
      <w:r w:rsidRPr="00FA5FA2">
        <w:rPr>
          <w:b/>
          <w:bCs/>
        </w:rPr>
        <w:t>Collaboration and engagement</w:t>
      </w:r>
      <w:r w:rsidR="00292A8D">
        <w:t xml:space="preserve"> – </w:t>
      </w:r>
      <w:r>
        <w:t>regulators are transparent and responsive communicators, implementing regulations in a modern and collaborative way.</w:t>
      </w:r>
    </w:p>
    <w:p w14:paraId="286EF6B5" w14:textId="77777777" w:rsidR="00356BF1" w:rsidRDefault="00356BF1" w:rsidP="00356BF1">
      <w:pPr>
        <w:pStyle w:val="Paragraph"/>
      </w:pPr>
      <w:r>
        <w:t>We will look to identify opportunities to improve our suite of frequency assignment and coordination documents as part of this review, in collaboration with stakeholders. The improved frameworks will support ongoing industry innovation, including by facilitating the adoption of the latest technologies.</w:t>
      </w:r>
    </w:p>
    <w:p w14:paraId="43FB4802" w14:textId="77777777" w:rsidR="00356BF1" w:rsidRDefault="00356BF1" w:rsidP="00356BF1">
      <w:pPr>
        <w:pStyle w:val="Tableheading"/>
      </w:pPr>
      <w:r>
        <w:lastRenderedPageBreak/>
        <w:t>Current status of frequency assignment and coordination documents</w:t>
      </w:r>
    </w:p>
    <w:tbl>
      <w:tblPr>
        <w:tblStyle w:val="ACMAtablestyle"/>
        <w:tblW w:w="8075" w:type="dxa"/>
        <w:tblLayout w:type="fixed"/>
        <w:tblLook w:val="01E0" w:firstRow="1" w:lastRow="1" w:firstColumn="1" w:lastColumn="1" w:noHBand="0" w:noVBand="0"/>
        <w:tblCaption w:val="Table title to go here"/>
        <w:tblDescription w:val="Table description to go here"/>
      </w:tblPr>
      <w:tblGrid>
        <w:gridCol w:w="988"/>
        <w:gridCol w:w="3827"/>
        <w:gridCol w:w="1559"/>
        <w:gridCol w:w="1701"/>
      </w:tblGrid>
      <w:tr w:rsidR="00356BF1" w:rsidRPr="006D46E5" w14:paraId="2F99502F" w14:textId="77777777" w:rsidTr="00C34B84">
        <w:trPr>
          <w:cnfStyle w:val="100000000000" w:firstRow="1" w:lastRow="0" w:firstColumn="0" w:lastColumn="0" w:oddVBand="0" w:evenVBand="0" w:oddHBand="0" w:evenHBand="0" w:firstRowFirstColumn="0" w:firstRowLastColumn="0" w:lastRowFirstColumn="0" w:lastRowLastColumn="0"/>
          <w:cantSplit/>
        </w:trPr>
        <w:tc>
          <w:tcPr>
            <w:tcW w:w="988" w:type="dxa"/>
          </w:tcPr>
          <w:p w14:paraId="1A064ECB" w14:textId="77777777" w:rsidR="00356BF1" w:rsidRPr="00930510" w:rsidRDefault="00356BF1" w:rsidP="00C34B84">
            <w:pPr>
              <w:pStyle w:val="Tableheaderrow"/>
            </w:pPr>
            <w:bookmarkStart w:id="11" w:name="_Hlk137107400"/>
            <w:r>
              <w:t>Identifier</w:t>
            </w:r>
          </w:p>
        </w:tc>
        <w:tc>
          <w:tcPr>
            <w:tcW w:w="3827" w:type="dxa"/>
          </w:tcPr>
          <w:p w14:paraId="7F0981F5" w14:textId="77777777" w:rsidR="00356BF1" w:rsidRPr="00930510" w:rsidRDefault="00356BF1" w:rsidP="00C34B84">
            <w:pPr>
              <w:pStyle w:val="Tableheaderrow"/>
            </w:pPr>
            <w:r>
              <w:t>Title</w:t>
            </w:r>
          </w:p>
        </w:tc>
        <w:tc>
          <w:tcPr>
            <w:tcW w:w="1559" w:type="dxa"/>
          </w:tcPr>
          <w:p w14:paraId="2ACB8765" w14:textId="77777777" w:rsidR="00356BF1" w:rsidRDefault="00356BF1" w:rsidP="00C34B84">
            <w:pPr>
              <w:pStyle w:val="Tableheaderrow"/>
            </w:pPr>
            <w:r>
              <w:t>Review required?</w:t>
            </w:r>
          </w:p>
        </w:tc>
        <w:tc>
          <w:tcPr>
            <w:tcW w:w="1701" w:type="dxa"/>
          </w:tcPr>
          <w:p w14:paraId="5D15FD0A" w14:textId="77777777" w:rsidR="00356BF1" w:rsidRPr="00930510" w:rsidRDefault="00356BF1" w:rsidP="00C34B84">
            <w:pPr>
              <w:pStyle w:val="Tableheaderrow"/>
            </w:pPr>
            <w:r>
              <w:t>Expected timeframe for undertaking revision</w:t>
            </w:r>
          </w:p>
        </w:tc>
      </w:tr>
      <w:tr w:rsidR="00356BF1" w:rsidRPr="006D46E5" w14:paraId="23672EE8" w14:textId="77777777" w:rsidTr="00C34B84">
        <w:trPr>
          <w:cnfStyle w:val="000000100000" w:firstRow="0" w:lastRow="0" w:firstColumn="0" w:lastColumn="0" w:oddVBand="0" w:evenVBand="0" w:oddHBand="1" w:evenHBand="0" w:firstRowFirstColumn="0" w:firstRowLastColumn="0" w:lastRowFirstColumn="0" w:lastRowLastColumn="0"/>
          <w:cantSplit/>
        </w:trPr>
        <w:tc>
          <w:tcPr>
            <w:tcW w:w="988" w:type="dxa"/>
          </w:tcPr>
          <w:p w14:paraId="27A5F5F7" w14:textId="77777777" w:rsidR="00356BF1" w:rsidRPr="00930510" w:rsidRDefault="00356BF1" w:rsidP="00C34B84">
            <w:pPr>
              <w:pStyle w:val="TableBody"/>
            </w:pPr>
            <w:r w:rsidRPr="00600DC3">
              <w:t>FX01</w:t>
            </w:r>
          </w:p>
        </w:tc>
        <w:tc>
          <w:tcPr>
            <w:tcW w:w="3827" w:type="dxa"/>
          </w:tcPr>
          <w:p w14:paraId="24D9C4DF" w14:textId="77777777" w:rsidR="00356BF1" w:rsidRPr="00930510" w:rsidRDefault="00356BF1" w:rsidP="00C34B84">
            <w:pPr>
              <w:pStyle w:val="TableBody"/>
            </w:pPr>
            <w:r w:rsidRPr="00600DC3">
              <w:t>Frequency assignment requirements for narrowband fixed and mobile services with wideband fixed services in the 403–420 MHz band</w:t>
            </w:r>
          </w:p>
        </w:tc>
        <w:tc>
          <w:tcPr>
            <w:tcW w:w="1559" w:type="dxa"/>
          </w:tcPr>
          <w:p w14:paraId="51626512" w14:textId="77777777" w:rsidR="00356BF1" w:rsidRDefault="00356BF1" w:rsidP="00C34B84">
            <w:pPr>
              <w:pStyle w:val="TableBody"/>
            </w:pPr>
            <w:r>
              <w:t>No</w:t>
            </w:r>
          </w:p>
        </w:tc>
        <w:tc>
          <w:tcPr>
            <w:tcW w:w="1701" w:type="dxa"/>
          </w:tcPr>
          <w:p w14:paraId="46CC3702" w14:textId="77777777" w:rsidR="00356BF1" w:rsidRPr="00930510" w:rsidRDefault="00356BF1" w:rsidP="00C34B84">
            <w:pPr>
              <w:pStyle w:val="TableBody"/>
            </w:pPr>
            <w:r>
              <w:t>-</w:t>
            </w:r>
          </w:p>
        </w:tc>
      </w:tr>
      <w:tr w:rsidR="00356BF1" w:rsidRPr="006D46E5" w14:paraId="59250997" w14:textId="77777777" w:rsidTr="00C34B84">
        <w:trPr>
          <w:cnfStyle w:val="000000010000" w:firstRow="0" w:lastRow="0" w:firstColumn="0" w:lastColumn="0" w:oddVBand="0" w:evenVBand="0" w:oddHBand="0" w:evenHBand="1" w:firstRowFirstColumn="0" w:firstRowLastColumn="0" w:lastRowFirstColumn="0" w:lastRowLastColumn="0"/>
          <w:cantSplit/>
        </w:trPr>
        <w:tc>
          <w:tcPr>
            <w:tcW w:w="988" w:type="dxa"/>
          </w:tcPr>
          <w:p w14:paraId="487F3254" w14:textId="77777777" w:rsidR="00356BF1" w:rsidRPr="00930510" w:rsidRDefault="00356BF1" w:rsidP="00C34B84">
            <w:pPr>
              <w:pStyle w:val="TableBody"/>
            </w:pPr>
            <w:r w:rsidRPr="00600DC3">
              <w:t>FX03</w:t>
            </w:r>
          </w:p>
        </w:tc>
        <w:tc>
          <w:tcPr>
            <w:tcW w:w="3827" w:type="dxa"/>
          </w:tcPr>
          <w:p w14:paraId="52BA9542" w14:textId="77777777" w:rsidR="00356BF1" w:rsidRPr="00930510" w:rsidRDefault="00356BF1" w:rsidP="00C34B84">
            <w:pPr>
              <w:pStyle w:val="TableBody"/>
            </w:pPr>
            <w:r w:rsidRPr="00600DC3">
              <w:t>Microwave fixed services frequency coordination including information on RPE data</w:t>
            </w:r>
            <w:r>
              <w:t> </w:t>
            </w:r>
            <w:r w:rsidRPr="00600DC3">
              <w:t>files</w:t>
            </w:r>
          </w:p>
        </w:tc>
        <w:tc>
          <w:tcPr>
            <w:tcW w:w="1559" w:type="dxa"/>
          </w:tcPr>
          <w:p w14:paraId="5AFCEF86" w14:textId="77777777" w:rsidR="00356BF1" w:rsidRDefault="00356BF1" w:rsidP="00C34B84">
            <w:pPr>
              <w:pStyle w:val="TableBody"/>
            </w:pPr>
            <w:r w:rsidRPr="00E20E74">
              <w:t>Yes</w:t>
            </w:r>
          </w:p>
        </w:tc>
        <w:tc>
          <w:tcPr>
            <w:tcW w:w="1701" w:type="dxa"/>
          </w:tcPr>
          <w:p w14:paraId="347DCCC2" w14:textId="32EB67F4" w:rsidR="00356BF1" w:rsidRPr="00930510" w:rsidRDefault="00356BF1" w:rsidP="00C34B84">
            <w:pPr>
              <w:pStyle w:val="TableBody"/>
            </w:pPr>
            <w:r>
              <w:t>Q3 2023–Q2 2024</w:t>
            </w:r>
          </w:p>
        </w:tc>
      </w:tr>
      <w:tr w:rsidR="00356BF1" w:rsidRPr="006D46E5" w14:paraId="7A25692E" w14:textId="77777777" w:rsidTr="00C34B84">
        <w:trPr>
          <w:cnfStyle w:val="000000100000" w:firstRow="0" w:lastRow="0" w:firstColumn="0" w:lastColumn="0" w:oddVBand="0" w:evenVBand="0" w:oddHBand="1" w:evenHBand="0" w:firstRowFirstColumn="0" w:firstRowLastColumn="0" w:lastRowFirstColumn="0" w:lastRowLastColumn="0"/>
          <w:cantSplit/>
        </w:trPr>
        <w:tc>
          <w:tcPr>
            <w:tcW w:w="988" w:type="dxa"/>
          </w:tcPr>
          <w:p w14:paraId="7CEDBAE5" w14:textId="77777777" w:rsidR="00356BF1" w:rsidRPr="00930510" w:rsidRDefault="00356BF1" w:rsidP="00C34B84">
            <w:pPr>
              <w:pStyle w:val="TableBody"/>
            </w:pPr>
            <w:r w:rsidRPr="00600DC3">
              <w:t>FX16</w:t>
            </w:r>
          </w:p>
        </w:tc>
        <w:tc>
          <w:tcPr>
            <w:tcW w:w="3827" w:type="dxa"/>
          </w:tcPr>
          <w:p w14:paraId="4727E99D" w14:textId="77777777" w:rsidR="00356BF1" w:rsidRPr="00930510" w:rsidRDefault="00356BF1" w:rsidP="00C34B84">
            <w:pPr>
              <w:pStyle w:val="TableBody"/>
            </w:pPr>
            <w:r w:rsidRPr="00600DC3">
              <w:t>Point</w:t>
            </w:r>
            <w:r>
              <w:t>-</w:t>
            </w:r>
            <w:r w:rsidRPr="00600DC3">
              <w:t>to</w:t>
            </w:r>
            <w:r>
              <w:t>-</w:t>
            </w:r>
            <w:r w:rsidRPr="00600DC3">
              <w:t>multipoint fixed services in the VHF high, 400 MHz and 800 MHz bands</w:t>
            </w:r>
          </w:p>
        </w:tc>
        <w:tc>
          <w:tcPr>
            <w:tcW w:w="1559" w:type="dxa"/>
          </w:tcPr>
          <w:p w14:paraId="613A00C7" w14:textId="77777777" w:rsidR="00356BF1" w:rsidRDefault="00356BF1" w:rsidP="00C34B84">
            <w:pPr>
              <w:pStyle w:val="TableBody"/>
            </w:pPr>
            <w:r>
              <w:t>Yes</w:t>
            </w:r>
          </w:p>
        </w:tc>
        <w:tc>
          <w:tcPr>
            <w:tcW w:w="1701" w:type="dxa"/>
          </w:tcPr>
          <w:p w14:paraId="093CBCD8" w14:textId="332F452C" w:rsidR="00356BF1" w:rsidRDefault="00356BF1" w:rsidP="00C34B84">
            <w:pPr>
              <w:pStyle w:val="TableBody"/>
            </w:pPr>
            <w:r>
              <w:t>Q3</w:t>
            </w:r>
            <w:r w:rsidR="00F903CB">
              <w:t>–</w:t>
            </w:r>
            <w:r>
              <w:t>Q4 2023</w:t>
            </w:r>
          </w:p>
        </w:tc>
      </w:tr>
      <w:tr w:rsidR="00356BF1" w:rsidRPr="006D46E5" w14:paraId="1B58DA03" w14:textId="77777777" w:rsidTr="00C34B84">
        <w:trPr>
          <w:cnfStyle w:val="000000010000" w:firstRow="0" w:lastRow="0" w:firstColumn="0" w:lastColumn="0" w:oddVBand="0" w:evenVBand="0" w:oddHBand="0" w:evenHBand="1" w:firstRowFirstColumn="0" w:firstRowLastColumn="0" w:lastRowFirstColumn="0" w:lastRowLastColumn="0"/>
          <w:cantSplit/>
        </w:trPr>
        <w:tc>
          <w:tcPr>
            <w:tcW w:w="988" w:type="dxa"/>
          </w:tcPr>
          <w:p w14:paraId="08410B31" w14:textId="77777777" w:rsidR="00356BF1" w:rsidRPr="00930510" w:rsidRDefault="00356BF1" w:rsidP="00C34B84">
            <w:pPr>
              <w:pStyle w:val="TableBody"/>
            </w:pPr>
            <w:r w:rsidRPr="00600DC3">
              <w:t>FX17</w:t>
            </w:r>
          </w:p>
        </w:tc>
        <w:tc>
          <w:tcPr>
            <w:tcW w:w="3827" w:type="dxa"/>
          </w:tcPr>
          <w:p w14:paraId="4257057B" w14:textId="05E248AD" w:rsidR="00356BF1" w:rsidRPr="00930510" w:rsidRDefault="00356BF1" w:rsidP="00C34B84">
            <w:pPr>
              <w:pStyle w:val="TableBody"/>
            </w:pPr>
            <w:r w:rsidRPr="00600DC3">
              <w:t xml:space="preserve">Frequency assignment requirements for narrowband single channel </w:t>
            </w:r>
            <w:r>
              <w:t>2</w:t>
            </w:r>
            <w:r w:rsidRPr="00600DC3">
              <w:t xml:space="preserve"> frequency </w:t>
            </w:r>
            <w:r>
              <w:br/>
            </w:r>
            <w:r w:rsidRPr="00600DC3">
              <w:t>point</w:t>
            </w:r>
            <w:r>
              <w:t>-</w:t>
            </w:r>
            <w:r w:rsidRPr="00600DC3">
              <w:t>to</w:t>
            </w:r>
            <w:r>
              <w:t>-</w:t>
            </w:r>
            <w:r w:rsidRPr="00600DC3">
              <w:t>point services in the VHF high and 400 MHz bands</w:t>
            </w:r>
          </w:p>
        </w:tc>
        <w:tc>
          <w:tcPr>
            <w:tcW w:w="1559" w:type="dxa"/>
          </w:tcPr>
          <w:p w14:paraId="1F7A1FBE" w14:textId="77777777" w:rsidR="00356BF1" w:rsidRDefault="00356BF1" w:rsidP="00C34B84">
            <w:pPr>
              <w:pStyle w:val="TableBody"/>
            </w:pPr>
            <w:r w:rsidRPr="00E20E74">
              <w:t>No</w:t>
            </w:r>
          </w:p>
        </w:tc>
        <w:tc>
          <w:tcPr>
            <w:tcW w:w="1701" w:type="dxa"/>
          </w:tcPr>
          <w:p w14:paraId="2B20909E" w14:textId="77777777" w:rsidR="00356BF1" w:rsidRDefault="00356BF1" w:rsidP="00C34B84">
            <w:pPr>
              <w:pStyle w:val="TableBody"/>
            </w:pPr>
            <w:r>
              <w:t>-</w:t>
            </w:r>
          </w:p>
        </w:tc>
      </w:tr>
      <w:tr w:rsidR="00356BF1" w:rsidRPr="006D46E5" w14:paraId="2BE9B004" w14:textId="77777777" w:rsidTr="00C34B84">
        <w:trPr>
          <w:cnfStyle w:val="000000100000" w:firstRow="0" w:lastRow="0" w:firstColumn="0" w:lastColumn="0" w:oddVBand="0" w:evenVBand="0" w:oddHBand="1" w:evenHBand="0" w:firstRowFirstColumn="0" w:firstRowLastColumn="0" w:lastRowFirstColumn="0" w:lastRowLastColumn="0"/>
          <w:cantSplit/>
        </w:trPr>
        <w:tc>
          <w:tcPr>
            <w:tcW w:w="988" w:type="dxa"/>
          </w:tcPr>
          <w:p w14:paraId="3AB06C0C" w14:textId="77777777" w:rsidR="00356BF1" w:rsidRPr="00930510" w:rsidRDefault="00356BF1" w:rsidP="00C34B84">
            <w:pPr>
              <w:pStyle w:val="TableBody"/>
            </w:pPr>
            <w:r w:rsidRPr="00600DC3">
              <w:t>FX19</w:t>
            </w:r>
          </w:p>
        </w:tc>
        <w:tc>
          <w:tcPr>
            <w:tcW w:w="3827" w:type="dxa"/>
          </w:tcPr>
          <w:p w14:paraId="1D2DE2BA" w14:textId="0D2C051C" w:rsidR="00356BF1" w:rsidRPr="00930510" w:rsidRDefault="00356BF1" w:rsidP="00C34B84">
            <w:pPr>
              <w:pStyle w:val="TableBody"/>
            </w:pPr>
            <w:r w:rsidRPr="00600DC3">
              <w:t>Frequency coordination and licensing procedures for apparatus licensed broadband wireless access services in the 1900–1920</w:t>
            </w:r>
            <w:r w:rsidR="00F903CB">
              <w:t xml:space="preserve"> MHz</w:t>
            </w:r>
            <w:r w:rsidRPr="00600DC3">
              <w:t xml:space="preserve"> and 3575–3700 MHz bands</w:t>
            </w:r>
          </w:p>
        </w:tc>
        <w:tc>
          <w:tcPr>
            <w:tcW w:w="1559" w:type="dxa"/>
          </w:tcPr>
          <w:p w14:paraId="045FAF4C" w14:textId="2824B432" w:rsidR="00356BF1" w:rsidRDefault="00356BF1" w:rsidP="00C34B84">
            <w:pPr>
              <w:pStyle w:val="TableBody"/>
            </w:pPr>
            <w:r>
              <w:t>Possible consequential updates due to 1880</w:t>
            </w:r>
            <w:r w:rsidR="00F903CB">
              <w:t>–</w:t>
            </w:r>
            <w:r>
              <w:t>1920 MHz band review</w:t>
            </w:r>
          </w:p>
        </w:tc>
        <w:tc>
          <w:tcPr>
            <w:tcW w:w="1701" w:type="dxa"/>
          </w:tcPr>
          <w:p w14:paraId="65D4B326" w14:textId="77777777" w:rsidR="00356BF1" w:rsidRDefault="00356BF1" w:rsidP="00C34B84">
            <w:pPr>
              <w:pStyle w:val="TableBody"/>
            </w:pPr>
            <w:r>
              <w:t>Not until Q1 2024 at the earliest</w:t>
            </w:r>
            <w:r w:rsidDel="00865387">
              <w:t xml:space="preserve"> </w:t>
            </w:r>
          </w:p>
        </w:tc>
      </w:tr>
      <w:bookmarkEnd w:id="11"/>
      <w:tr w:rsidR="00356BF1" w:rsidRPr="006D46E5" w14:paraId="7A065715" w14:textId="77777777" w:rsidTr="00C34B84">
        <w:trPr>
          <w:cnfStyle w:val="000000010000" w:firstRow="0" w:lastRow="0" w:firstColumn="0" w:lastColumn="0" w:oddVBand="0" w:evenVBand="0" w:oddHBand="0" w:evenHBand="1" w:firstRowFirstColumn="0" w:firstRowLastColumn="0" w:lastRowFirstColumn="0" w:lastRowLastColumn="0"/>
          <w:cantSplit/>
        </w:trPr>
        <w:tc>
          <w:tcPr>
            <w:tcW w:w="988" w:type="dxa"/>
          </w:tcPr>
          <w:p w14:paraId="3F1262EB" w14:textId="77777777" w:rsidR="00356BF1" w:rsidRPr="00930510" w:rsidRDefault="00356BF1" w:rsidP="00C34B84">
            <w:pPr>
              <w:pStyle w:val="TableBody"/>
            </w:pPr>
            <w:r w:rsidRPr="00600DC3">
              <w:t>FX20</w:t>
            </w:r>
          </w:p>
        </w:tc>
        <w:tc>
          <w:tcPr>
            <w:tcW w:w="3827" w:type="dxa"/>
          </w:tcPr>
          <w:p w14:paraId="3F69A691" w14:textId="0A0BA73F" w:rsidR="00356BF1" w:rsidRPr="00930510" w:rsidRDefault="00356BF1" w:rsidP="00C34B84">
            <w:pPr>
              <w:pStyle w:val="TableBody"/>
            </w:pPr>
            <w:r w:rsidRPr="00600DC3">
              <w:t>Millimetre wave point</w:t>
            </w:r>
            <w:r>
              <w:t>-</w:t>
            </w:r>
            <w:r w:rsidRPr="00600DC3">
              <w:t>to</w:t>
            </w:r>
            <w:r>
              <w:t>-</w:t>
            </w:r>
            <w:r w:rsidRPr="00600DC3">
              <w:t xml:space="preserve">point (self-coordinated) stations operating in the </w:t>
            </w:r>
            <w:r w:rsidR="00F903CB" w:rsidRPr="00600DC3">
              <w:t>58</w:t>
            </w:r>
            <w:r w:rsidR="00F903CB">
              <w:t> </w:t>
            </w:r>
            <w:r w:rsidRPr="00600DC3">
              <w:t>GHz, 75 GHz and 85 GHz bands</w:t>
            </w:r>
          </w:p>
        </w:tc>
        <w:tc>
          <w:tcPr>
            <w:tcW w:w="1559" w:type="dxa"/>
          </w:tcPr>
          <w:p w14:paraId="5327D04E" w14:textId="77777777" w:rsidR="00356BF1" w:rsidRDefault="00356BF1" w:rsidP="00C34B84">
            <w:pPr>
              <w:pStyle w:val="TableBody"/>
            </w:pPr>
            <w:r>
              <w:t>Yes</w:t>
            </w:r>
          </w:p>
        </w:tc>
        <w:tc>
          <w:tcPr>
            <w:tcW w:w="1701" w:type="dxa"/>
          </w:tcPr>
          <w:p w14:paraId="396F330D" w14:textId="77777777" w:rsidR="00356BF1" w:rsidRDefault="00356BF1" w:rsidP="00C34B84">
            <w:pPr>
              <w:pStyle w:val="TableBody"/>
            </w:pPr>
            <w:r>
              <w:t>Q3-Q4 2023</w:t>
            </w:r>
          </w:p>
        </w:tc>
      </w:tr>
      <w:tr w:rsidR="00356BF1" w:rsidRPr="006D46E5" w14:paraId="2487AA20" w14:textId="77777777" w:rsidTr="00C34B84">
        <w:trPr>
          <w:cnfStyle w:val="000000100000" w:firstRow="0" w:lastRow="0" w:firstColumn="0" w:lastColumn="0" w:oddVBand="0" w:evenVBand="0" w:oddHBand="1" w:evenHBand="0" w:firstRowFirstColumn="0" w:firstRowLastColumn="0" w:lastRowFirstColumn="0" w:lastRowLastColumn="0"/>
          <w:cantSplit/>
        </w:trPr>
        <w:tc>
          <w:tcPr>
            <w:tcW w:w="988" w:type="dxa"/>
          </w:tcPr>
          <w:p w14:paraId="6047A6E8" w14:textId="77777777" w:rsidR="00356BF1" w:rsidRPr="00930510" w:rsidRDefault="00356BF1" w:rsidP="00C34B84">
            <w:pPr>
              <w:pStyle w:val="TableBody"/>
            </w:pPr>
            <w:r w:rsidRPr="00600DC3">
              <w:t>FX21</w:t>
            </w:r>
          </w:p>
        </w:tc>
        <w:tc>
          <w:tcPr>
            <w:tcW w:w="3827" w:type="dxa"/>
          </w:tcPr>
          <w:p w14:paraId="37DAE9E0" w14:textId="77777777" w:rsidR="00356BF1" w:rsidRPr="00930510" w:rsidRDefault="00356BF1" w:rsidP="00C34B84">
            <w:pPr>
              <w:pStyle w:val="TableBody"/>
            </w:pPr>
            <w:bookmarkStart w:id="12" w:name="_Hlk67655165"/>
            <w:r w:rsidRPr="00600DC3">
              <w:t>Television outside broadcasting services in the bands 1980–2110 MHz and 2170–2300 MHz</w:t>
            </w:r>
            <w:bookmarkEnd w:id="12"/>
          </w:p>
        </w:tc>
        <w:tc>
          <w:tcPr>
            <w:tcW w:w="1559" w:type="dxa"/>
          </w:tcPr>
          <w:p w14:paraId="644AF6D0" w14:textId="77777777" w:rsidR="00356BF1" w:rsidRDefault="00356BF1" w:rsidP="00C34B84">
            <w:pPr>
              <w:pStyle w:val="TableBody"/>
            </w:pPr>
            <w:r>
              <w:t>Possible consequential updates due to the introduction of 2 GHz MSS services</w:t>
            </w:r>
          </w:p>
        </w:tc>
        <w:tc>
          <w:tcPr>
            <w:tcW w:w="1701" w:type="dxa"/>
          </w:tcPr>
          <w:p w14:paraId="2AEB6B7F" w14:textId="6A94D547" w:rsidR="00356BF1" w:rsidRDefault="00356BF1" w:rsidP="00C34B84">
            <w:pPr>
              <w:pStyle w:val="TableBody"/>
            </w:pPr>
            <w:r>
              <w:t>Not until Q2 2024 at the earliest</w:t>
            </w:r>
          </w:p>
        </w:tc>
      </w:tr>
      <w:tr w:rsidR="00356BF1" w:rsidRPr="006D46E5" w14:paraId="42D77E23" w14:textId="77777777" w:rsidTr="00C34B84">
        <w:trPr>
          <w:cnfStyle w:val="000000010000" w:firstRow="0" w:lastRow="0" w:firstColumn="0" w:lastColumn="0" w:oddVBand="0" w:evenVBand="0" w:oddHBand="0" w:evenHBand="1" w:firstRowFirstColumn="0" w:firstRowLastColumn="0" w:lastRowFirstColumn="0" w:lastRowLastColumn="0"/>
          <w:cantSplit/>
        </w:trPr>
        <w:tc>
          <w:tcPr>
            <w:tcW w:w="988" w:type="dxa"/>
          </w:tcPr>
          <w:p w14:paraId="03964FF1" w14:textId="77777777" w:rsidR="00356BF1" w:rsidRPr="00930510" w:rsidRDefault="00356BF1" w:rsidP="00C34B84">
            <w:pPr>
              <w:pStyle w:val="TableBody"/>
            </w:pPr>
            <w:r w:rsidRPr="00600DC3">
              <w:t>FX22</w:t>
            </w:r>
          </w:p>
        </w:tc>
        <w:tc>
          <w:tcPr>
            <w:tcW w:w="3827" w:type="dxa"/>
          </w:tcPr>
          <w:p w14:paraId="38857A83" w14:textId="77777777" w:rsidR="00356BF1" w:rsidRPr="00930510" w:rsidRDefault="00356BF1" w:rsidP="00C34B84">
            <w:pPr>
              <w:pStyle w:val="TableBody"/>
            </w:pPr>
            <w:bookmarkStart w:id="13" w:name="_Hlk68000890"/>
            <w:r w:rsidRPr="00600DC3">
              <w:t>Frequency assignment requirements for the fixed service in the 800 MHz band</w:t>
            </w:r>
            <w:bookmarkEnd w:id="13"/>
          </w:p>
        </w:tc>
        <w:tc>
          <w:tcPr>
            <w:tcW w:w="1559" w:type="dxa"/>
          </w:tcPr>
          <w:p w14:paraId="73B9C2A3" w14:textId="77777777" w:rsidR="00356BF1" w:rsidRDefault="00356BF1" w:rsidP="00C34B84">
            <w:pPr>
              <w:pStyle w:val="TableBody"/>
            </w:pPr>
            <w:r>
              <w:t>Yes</w:t>
            </w:r>
          </w:p>
        </w:tc>
        <w:tc>
          <w:tcPr>
            <w:tcW w:w="1701" w:type="dxa"/>
          </w:tcPr>
          <w:p w14:paraId="386CD942" w14:textId="37FB445D" w:rsidR="00356BF1" w:rsidRDefault="00356BF1" w:rsidP="00C34B84">
            <w:pPr>
              <w:pStyle w:val="TableBody"/>
            </w:pPr>
            <w:r>
              <w:t>Q3</w:t>
            </w:r>
            <w:r w:rsidR="00F903CB">
              <w:t>–</w:t>
            </w:r>
            <w:r>
              <w:t>Q4 2023</w:t>
            </w:r>
          </w:p>
        </w:tc>
      </w:tr>
      <w:tr w:rsidR="00356BF1" w:rsidRPr="006D46E5" w14:paraId="5B8E3A50" w14:textId="77777777" w:rsidTr="00C34B84">
        <w:trPr>
          <w:cnfStyle w:val="000000100000" w:firstRow="0" w:lastRow="0" w:firstColumn="0" w:lastColumn="0" w:oddVBand="0" w:evenVBand="0" w:oddHBand="1" w:evenHBand="0" w:firstRowFirstColumn="0" w:firstRowLastColumn="0" w:lastRowFirstColumn="0" w:lastRowLastColumn="0"/>
          <w:cantSplit/>
        </w:trPr>
        <w:tc>
          <w:tcPr>
            <w:tcW w:w="988" w:type="dxa"/>
          </w:tcPr>
          <w:p w14:paraId="600ED14A" w14:textId="77777777" w:rsidR="00356BF1" w:rsidRPr="00930510" w:rsidRDefault="00356BF1" w:rsidP="00C34B84">
            <w:pPr>
              <w:pStyle w:val="TableBody"/>
            </w:pPr>
            <w:r w:rsidRPr="00600DC3">
              <w:t>FX23</w:t>
            </w:r>
          </w:p>
        </w:tc>
        <w:tc>
          <w:tcPr>
            <w:tcW w:w="3827" w:type="dxa"/>
          </w:tcPr>
          <w:p w14:paraId="337FF626" w14:textId="77777777" w:rsidR="00356BF1" w:rsidRPr="00930510" w:rsidRDefault="00356BF1" w:rsidP="00C34B84">
            <w:pPr>
              <w:pStyle w:val="TableBody"/>
            </w:pPr>
            <w:r w:rsidRPr="00600DC3">
              <w:t>Frequency coordination and licensing procedures for point</w:t>
            </w:r>
            <w:r>
              <w:t>-</w:t>
            </w:r>
            <w:r w:rsidRPr="00600DC3">
              <w:t>to</w:t>
            </w:r>
            <w:r>
              <w:t>-</w:t>
            </w:r>
            <w:r w:rsidRPr="00600DC3">
              <w:t>multipoint services in the 5.6 GHz band</w:t>
            </w:r>
          </w:p>
        </w:tc>
        <w:tc>
          <w:tcPr>
            <w:tcW w:w="1559" w:type="dxa"/>
          </w:tcPr>
          <w:p w14:paraId="4F12E9B8" w14:textId="77777777" w:rsidR="00356BF1" w:rsidRDefault="00356BF1" w:rsidP="00C34B84">
            <w:pPr>
              <w:pStyle w:val="TableBody"/>
            </w:pPr>
            <w:r>
              <w:t>Yes</w:t>
            </w:r>
          </w:p>
        </w:tc>
        <w:tc>
          <w:tcPr>
            <w:tcW w:w="1701" w:type="dxa"/>
          </w:tcPr>
          <w:p w14:paraId="239D107C" w14:textId="508BE7A9" w:rsidR="00356BF1" w:rsidRDefault="00356BF1" w:rsidP="00C34B84">
            <w:pPr>
              <w:pStyle w:val="TableBody"/>
            </w:pPr>
            <w:r>
              <w:t>Q3</w:t>
            </w:r>
            <w:r w:rsidR="00F903CB">
              <w:t>–</w:t>
            </w:r>
            <w:r>
              <w:t>Q4</w:t>
            </w:r>
            <w:r w:rsidRPr="00E20E74">
              <w:t xml:space="preserve"> 202</w:t>
            </w:r>
            <w:r>
              <w:t>3</w:t>
            </w:r>
          </w:p>
        </w:tc>
      </w:tr>
      <w:tr w:rsidR="00356BF1" w:rsidRPr="006D46E5" w14:paraId="3726F004" w14:textId="77777777" w:rsidTr="00C34B84">
        <w:trPr>
          <w:cnfStyle w:val="000000010000" w:firstRow="0" w:lastRow="0" w:firstColumn="0" w:lastColumn="0" w:oddVBand="0" w:evenVBand="0" w:oddHBand="0" w:evenHBand="1" w:firstRowFirstColumn="0" w:firstRowLastColumn="0" w:lastRowFirstColumn="0" w:lastRowLastColumn="0"/>
          <w:cantSplit/>
        </w:trPr>
        <w:tc>
          <w:tcPr>
            <w:tcW w:w="988" w:type="dxa"/>
          </w:tcPr>
          <w:p w14:paraId="7A600406" w14:textId="77777777" w:rsidR="00356BF1" w:rsidRPr="00930510" w:rsidRDefault="00356BF1" w:rsidP="00C34B84">
            <w:pPr>
              <w:pStyle w:val="TableBody"/>
            </w:pPr>
            <w:r w:rsidRPr="00600DC3">
              <w:t>LM02</w:t>
            </w:r>
          </w:p>
        </w:tc>
        <w:tc>
          <w:tcPr>
            <w:tcW w:w="3827" w:type="dxa"/>
          </w:tcPr>
          <w:p w14:paraId="508748C6" w14:textId="77777777" w:rsidR="00356BF1" w:rsidRPr="00930510" w:rsidRDefault="00356BF1" w:rsidP="00C34B84">
            <w:pPr>
              <w:pStyle w:val="TableBody"/>
            </w:pPr>
            <w:r w:rsidRPr="00600DC3">
              <w:t>Paging services</w:t>
            </w:r>
          </w:p>
        </w:tc>
        <w:tc>
          <w:tcPr>
            <w:tcW w:w="1559" w:type="dxa"/>
          </w:tcPr>
          <w:p w14:paraId="70FFB1AA" w14:textId="77777777" w:rsidR="00356BF1" w:rsidRDefault="00356BF1" w:rsidP="00C34B84">
            <w:pPr>
              <w:pStyle w:val="TableBody"/>
            </w:pPr>
            <w:r w:rsidRPr="00E20E74">
              <w:t>No</w:t>
            </w:r>
          </w:p>
        </w:tc>
        <w:tc>
          <w:tcPr>
            <w:tcW w:w="1701" w:type="dxa"/>
          </w:tcPr>
          <w:p w14:paraId="1C4FA984" w14:textId="77777777" w:rsidR="00356BF1" w:rsidRDefault="00356BF1" w:rsidP="00C34B84">
            <w:pPr>
              <w:pStyle w:val="TableBody"/>
            </w:pPr>
            <w:r>
              <w:t>-</w:t>
            </w:r>
          </w:p>
        </w:tc>
      </w:tr>
      <w:tr w:rsidR="00356BF1" w:rsidRPr="006D46E5" w14:paraId="334B4946" w14:textId="77777777" w:rsidTr="00C34B84">
        <w:trPr>
          <w:cnfStyle w:val="000000100000" w:firstRow="0" w:lastRow="0" w:firstColumn="0" w:lastColumn="0" w:oddVBand="0" w:evenVBand="0" w:oddHBand="1" w:evenHBand="0" w:firstRowFirstColumn="0" w:firstRowLastColumn="0" w:lastRowFirstColumn="0" w:lastRowLastColumn="0"/>
          <w:cantSplit/>
        </w:trPr>
        <w:tc>
          <w:tcPr>
            <w:tcW w:w="988" w:type="dxa"/>
          </w:tcPr>
          <w:p w14:paraId="6BD292BB" w14:textId="77777777" w:rsidR="00356BF1" w:rsidRPr="00930510" w:rsidRDefault="00356BF1" w:rsidP="00C34B84">
            <w:pPr>
              <w:pStyle w:val="TableBody"/>
            </w:pPr>
            <w:r w:rsidRPr="00600DC3">
              <w:t>LM05</w:t>
            </w:r>
          </w:p>
        </w:tc>
        <w:tc>
          <w:tcPr>
            <w:tcW w:w="3827" w:type="dxa"/>
          </w:tcPr>
          <w:p w14:paraId="08540281" w14:textId="77777777" w:rsidR="00356BF1" w:rsidRPr="00930510" w:rsidRDefault="00356BF1" w:rsidP="00C34B84">
            <w:pPr>
              <w:pStyle w:val="TableBody"/>
            </w:pPr>
            <w:r w:rsidRPr="00600DC3">
              <w:t>Frequency assignment procedures for land mobile services adjacent to TV channels 2, 3 and 6</w:t>
            </w:r>
          </w:p>
        </w:tc>
        <w:tc>
          <w:tcPr>
            <w:tcW w:w="1559" w:type="dxa"/>
          </w:tcPr>
          <w:p w14:paraId="19F0B800" w14:textId="77777777" w:rsidR="00356BF1" w:rsidRDefault="00356BF1" w:rsidP="00C34B84">
            <w:pPr>
              <w:pStyle w:val="TableBody"/>
            </w:pPr>
            <w:r w:rsidRPr="00E20E74">
              <w:t>No</w:t>
            </w:r>
          </w:p>
        </w:tc>
        <w:tc>
          <w:tcPr>
            <w:tcW w:w="1701" w:type="dxa"/>
          </w:tcPr>
          <w:p w14:paraId="42CFA720" w14:textId="77777777" w:rsidR="00356BF1" w:rsidRDefault="00356BF1" w:rsidP="00C34B84">
            <w:pPr>
              <w:pStyle w:val="TableBody"/>
            </w:pPr>
            <w:r>
              <w:t>-</w:t>
            </w:r>
          </w:p>
        </w:tc>
      </w:tr>
      <w:tr w:rsidR="00356BF1" w:rsidRPr="006D46E5" w14:paraId="5999850A" w14:textId="77777777" w:rsidTr="00C34B84">
        <w:trPr>
          <w:cnfStyle w:val="000000010000" w:firstRow="0" w:lastRow="0" w:firstColumn="0" w:lastColumn="0" w:oddVBand="0" w:evenVBand="0" w:oddHBand="0" w:evenHBand="1" w:firstRowFirstColumn="0" w:firstRowLastColumn="0" w:lastRowFirstColumn="0" w:lastRowLastColumn="0"/>
          <w:cantSplit/>
        </w:trPr>
        <w:tc>
          <w:tcPr>
            <w:tcW w:w="988" w:type="dxa"/>
          </w:tcPr>
          <w:p w14:paraId="6A46C351" w14:textId="77777777" w:rsidR="00356BF1" w:rsidRPr="00930510" w:rsidRDefault="00356BF1" w:rsidP="00C34B84">
            <w:pPr>
              <w:pStyle w:val="TableBody"/>
            </w:pPr>
            <w:r w:rsidRPr="00600DC3">
              <w:t>LM08</w:t>
            </w:r>
          </w:p>
        </w:tc>
        <w:tc>
          <w:tcPr>
            <w:tcW w:w="3827" w:type="dxa"/>
          </w:tcPr>
          <w:p w14:paraId="37BFDFCE" w14:textId="77777777" w:rsidR="00356BF1" w:rsidRPr="00930510" w:rsidRDefault="00356BF1" w:rsidP="00C34B84">
            <w:pPr>
              <w:pStyle w:val="TableBody"/>
            </w:pPr>
            <w:r w:rsidRPr="00600DC3">
              <w:t>Frequency assignment requirements for the land mobile service</w:t>
            </w:r>
          </w:p>
        </w:tc>
        <w:tc>
          <w:tcPr>
            <w:tcW w:w="1559" w:type="dxa"/>
          </w:tcPr>
          <w:p w14:paraId="56F9B275" w14:textId="77777777" w:rsidR="00356BF1" w:rsidRDefault="00356BF1" w:rsidP="00C34B84">
            <w:pPr>
              <w:pStyle w:val="TableBody"/>
            </w:pPr>
            <w:r>
              <w:t>Yes</w:t>
            </w:r>
          </w:p>
        </w:tc>
        <w:tc>
          <w:tcPr>
            <w:tcW w:w="1701" w:type="dxa"/>
          </w:tcPr>
          <w:p w14:paraId="44401D6D" w14:textId="4164D117" w:rsidR="00356BF1" w:rsidRDefault="00356BF1" w:rsidP="00C34B84">
            <w:pPr>
              <w:pStyle w:val="TableBody"/>
            </w:pPr>
            <w:r>
              <w:t>Q3</w:t>
            </w:r>
            <w:r w:rsidR="00F903CB">
              <w:t>–</w:t>
            </w:r>
            <w:r>
              <w:t>Q4 2023</w:t>
            </w:r>
          </w:p>
          <w:p w14:paraId="6AB5C027" w14:textId="77777777" w:rsidR="00356BF1" w:rsidRDefault="00356BF1" w:rsidP="00C34B84">
            <w:pPr>
              <w:pStyle w:val="TableBody"/>
            </w:pPr>
          </w:p>
        </w:tc>
      </w:tr>
      <w:tr w:rsidR="00356BF1" w:rsidRPr="006D46E5" w14:paraId="433FA4DB" w14:textId="77777777" w:rsidTr="00C34B84">
        <w:trPr>
          <w:cnfStyle w:val="000000100000" w:firstRow="0" w:lastRow="0" w:firstColumn="0" w:lastColumn="0" w:oddVBand="0" w:evenVBand="0" w:oddHBand="1" w:evenHBand="0" w:firstRowFirstColumn="0" w:firstRowLastColumn="0" w:lastRowFirstColumn="0" w:lastRowLastColumn="0"/>
          <w:cantSplit/>
        </w:trPr>
        <w:tc>
          <w:tcPr>
            <w:tcW w:w="988" w:type="dxa"/>
          </w:tcPr>
          <w:p w14:paraId="7191A78C" w14:textId="77777777" w:rsidR="00356BF1" w:rsidRPr="00930510" w:rsidRDefault="00356BF1" w:rsidP="00C34B84">
            <w:pPr>
              <w:pStyle w:val="TableBody"/>
            </w:pPr>
            <w:r w:rsidRPr="00600DC3">
              <w:lastRenderedPageBreak/>
              <w:t>LM09</w:t>
            </w:r>
          </w:p>
        </w:tc>
        <w:tc>
          <w:tcPr>
            <w:tcW w:w="3827" w:type="dxa"/>
          </w:tcPr>
          <w:p w14:paraId="7BD59AAB" w14:textId="77777777" w:rsidR="00356BF1" w:rsidRPr="00930510" w:rsidRDefault="00356BF1" w:rsidP="00C34B84">
            <w:pPr>
              <w:pStyle w:val="TableBody"/>
            </w:pPr>
            <w:r w:rsidRPr="00600DC3">
              <w:t>Frequency assignment procedures for apparatus licensed wireless audio devices</w:t>
            </w:r>
          </w:p>
        </w:tc>
        <w:tc>
          <w:tcPr>
            <w:tcW w:w="1559" w:type="dxa"/>
          </w:tcPr>
          <w:p w14:paraId="4C9B9937" w14:textId="77777777" w:rsidR="00356BF1" w:rsidRDefault="00356BF1" w:rsidP="00C34B84">
            <w:pPr>
              <w:pStyle w:val="TableBody"/>
            </w:pPr>
            <w:r w:rsidRPr="008A4BD8">
              <w:t>No</w:t>
            </w:r>
          </w:p>
        </w:tc>
        <w:tc>
          <w:tcPr>
            <w:tcW w:w="1701" w:type="dxa"/>
          </w:tcPr>
          <w:p w14:paraId="0851C001" w14:textId="77777777" w:rsidR="00356BF1" w:rsidRDefault="00356BF1" w:rsidP="00C34B84">
            <w:pPr>
              <w:pStyle w:val="TableBody"/>
            </w:pPr>
            <w:r w:rsidRPr="008A4BD8">
              <w:t> -</w:t>
            </w:r>
          </w:p>
        </w:tc>
      </w:tr>
      <w:tr w:rsidR="00356BF1" w:rsidRPr="006D46E5" w14:paraId="0E11B04C" w14:textId="77777777" w:rsidTr="00C34B84">
        <w:trPr>
          <w:cnfStyle w:val="000000010000" w:firstRow="0" w:lastRow="0" w:firstColumn="0" w:lastColumn="0" w:oddVBand="0" w:evenVBand="0" w:oddHBand="0" w:evenHBand="1" w:firstRowFirstColumn="0" w:firstRowLastColumn="0" w:lastRowFirstColumn="0" w:lastRowLastColumn="0"/>
          <w:cantSplit/>
        </w:trPr>
        <w:tc>
          <w:tcPr>
            <w:tcW w:w="988" w:type="dxa"/>
          </w:tcPr>
          <w:p w14:paraId="7BA42BC3" w14:textId="77777777" w:rsidR="00356BF1" w:rsidRPr="00930510" w:rsidRDefault="00356BF1" w:rsidP="00C34B84">
            <w:pPr>
              <w:pStyle w:val="TableBody"/>
            </w:pPr>
            <w:r w:rsidRPr="00600DC3">
              <w:t>MS31</w:t>
            </w:r>
          </w:p>
        </w:tc>
        <w:tc>
          <w:tcPr>
            <w:tcW w:w="3827" w:type="dxa"/>
          </w:tcPr>
          <w:p w14:paraId="642FDF9C" w14:textId="77777777" w:rsidR="00356BF1" w:rsidRPr="00930510" w:rsidRDefault="00356BF1" w:rsidP="00C34B84">
            <w:pPr>
              <w:pStyle w:val="TableBody"/>
            </w:pPr>
            <w:r w:rsidRPr="00600DC3">
              <w:t>Notification zones for apparatus licensed services around radio astronomy facilities</w:t>
            </w:r>
          </w:p>
        </w:tc>
        <w:tc>
          <w:tcPr>
            <w:tcW w:w="1559" w:type="dxa"/>
          </w:tcPr>
          <w:p w14:paraId="1BA2429C" w14:textId="77777777" w:rsidR="00356BF1" w:rsidRDefault="00356BF1" w:rsidP="00C34B84">
            <w:pPr>
              <w:pStyle w:val="TableBody"/>
            </w:pPr>
            <w:r w:rsidRPr="008A4BD8">
              <w:t>No</w:t>
            </w:r>
          </w:p>
        </w:tc>
        <w:tc>
          <w:tcPr>
            <w:tcW w:w="1701" w:type="dxa"/>
          </w:tcPr>
          <w:p w14:paraId="3AE21378" w14:textId="77777777" w:rsidR="00356BF1" w:rsidRDefault="00356BF1" w:rsidP="00C34B84">
            <w:pPr>
              <w:pStyle w:val="TableBody"/>
            </w:pPr>
            <w:r w:rsidRPr="008A4BD8">
              <w:t> -</w:t>
            </w:r>
          </w:p>
        </w:tc>
      </w:tr>
      <w:tr w:rsidR="00356BF1" w:rsidRPr="006D46E5" w14:paraId="5BEA54AA" w14:textId="77777777" w:rsidTr="00C34B84">
        <w:trPr>
          <w:cnfStyle w:val="000000100000" w:firstRow="0" w:lastRow="0" w:firstColumn="0" w:lastColumn="0" w:oddVBand="0" w:evenVBand="0" w:oddHBand="1" w:evenHBand="0" w:firstRowFirstColumn="0" w:firstRowLastColumn="0" w:lastRowFirstColumn="0" w:lastRowLastColumn="0"/>
          <w:cantSplit/>
        </w:trPr>
        <w:tc>
          <w:tcPr>
            <w:tcW w:w="988" w:type="dxa"/>
          </w:tcPr>
          <w:p w14:paraId="57A514F2" w14:textId="77777777" w:rsidR="00356BF1" w:rsidRPr="00930510" w:rsidRDefault="00356BF1" w:rsidP="00C34B84">
            <w:pPr>
              <w:pStyle w:val="TableBody"/>
            </w:pPr>
            <w:r w:rsidRPr="00600DC3">
              <w:t>MS32</w:t>
            </w:r>
          </w:p>
        </w:tc>
        <w:tc>
          <w:tcPr>
            <w:tcW w:w="3827" w:type="dxa"/>
          </w:tcPr>
          <w:p w14:paraId="732170BC" w14:textId="77777777" w:rsidR="00356BF1" w:rsidRPr="00930510" w:rsidRDefault="00356BF1" w:rsidP="00C34B84">
            <w:pPr>
              <w:pStyle w:val="TableBody"/>
            </w:pPr>
            <w:r w:rsidRPr="00600DC3">
              <w:t>Coordination of apparatus licensed services within the ARQZWA</w:t>
            </w:r>
          </w:p>
        </w:tc>
        <w:tc>
          <w:tcPr>
            <w:tcW w:w="1559" w:type="dxa"/>
          </w:tcPr>
          <w:p w14:paraId="64EEE0EB" w14:textId="77777777" w:rsidR="00356BF1" w:rsidRDefault="00356BF1" w:rsidP="00C34B84">
            <w:pPr>
              <w:pStyle w:val="TableBody"/>
            </w:pPr>
            <w:r w:rsidRPr="008A4BD8">
              <w:t>No</w:t>
            </w:r>
          </w:p>
        </w:tc>
        <w:tc>
          <w:tcPr>
            <w:tcW w:w="1701" w:type="dxa"/>
          </w:tcPr>
          <w:p w14:paraId="3B3784B1" w14:textId="77777777" w:rsidR="00356BF1" w:rsidRDefault="00356BF1" w:rsidP="00C34B84">
            <w:pPr>
              <w:pStyle w:val="TableBody"/>
            </w:pPr>
            <w:r w:rsidRPr="008A4BD8">
              <w:t> -</w:t>
            </w:r>
          </w:p>
        </w:tc>
      </w:tr>
      <w:tr w:rsidR="00356BF1" w:rsidRPr="006D46E5" w14:paraId="5A5CFE8C" w14:textId="77777777" w:rsidTr="00C34B84">
        <w:trPr>
          <w:cnfStyle w:val="000000010000" w:firstRow="0" w:lastRow="0" w:firstColumn="0" w:lastColumn="0" w:oddVBand="0" w:evenVBand="0" w:oddHBand="0" w:evenHBand="1" w:firstRowFirstColumn="0" w:firstRowLastColumn="0" w:lastRowFirstColumn="0" w:lastRowLastColumn="0"/>
          <w:cantSplit/>
        </w:trPr>
        <w:tc>
          <w:tcPr>
            <w:tcW w:w="988" w:type="dxa"/>
          </w:tcPr>
          <w:p w14:paraId="47BED9D8" w14:textId="77777777" w:rsidR="00356BF1" w:rsidRPr="00930510" w:rsidRDefault="00356BF1" w:rsidP="00C34B84">
            <w:pPr>
              <w:pStyle w:val="TableBody"/>
            </w:pPr>
            <w:r w:rsidRPr="00600DC3">
              <w:t>MS33</w:t>
            </w:r>
          </w:p>
        </w:tc>
        <w:tc>
          <w:tcPr>
            <w:tcW w:w="3827" w:type="dxa"/>
          </w:tcPr>
          <w:p w14:paraId="7FB8165F" w14:textId="77777777" w:rsidR="00356BF1" w:rsidRPr="00930510" w:rsidRDefault="00356BF1" w:rsidP="00C34B84">
            <w:pPr>
              <w:pStyle w:val="TableBody"/>
            </w:pPr>
            <w:bookmarkStart w:id="14" w:name="_Hlk67656680"/>
            <w:r w:rsidRPr="00600DC3">
              <w:t>Frequency coordination and licensing procedures for apparatus licensed PTS in the</w:t>
            </w:r>
            <w:r>
              <w:t xml:space="preserve"> </w:t>
            </w:r>
            <w:r w:rsidRPr="00600DC3">
              <w:t>2</w:t>
            </w:r>
            <w:r>
              <w:t xml:space="preserve"> </w:t>
            </w:r>
            <w:r w:rsidRPr="00600DC3">
              <w:t>GHz band</w:t>
            </w:r>
            <w:bookmarkEnd w:id="14"/>
          </w:p>
        </w:tc>
        <w:tc>
          <w:tcPr>
            <w:tcW w:w="1559" w:type="dxa"/>
          </w:tcPr>
          <w:p w14:paraId="543F31B9" w14:textId="77777777" w:rsidR="00356BF1" w:rsidRDefault="00356BF1" w:rsidP="00C34B84">
            <w:pPr>
              <w:pStyle w:val="TableBody"/>
            </w:pPr>
            <w:r w:rsidRPr="008A4BD8">
              <w:t>Yes</w:t>
            </w:r>
          </w:p>
        </w:tc>
        <w:tc>
          <w:tcPr>
            <w:tcW w:w="1701" w:type="dxa"/>
          </w:tcPr>
          <w:p w14:paraId="17635FC0" w14:textId="77777777" w:rsidR="00356BF1" w:rsidRDefault="00356BF1" w:rsidP="00C34B84">
            <w:pPr>
              <w:pStyle w:val="TableBody"/>
            </w:pPr>
            <w:r>
              <w:t>Q3 2023–Q1 2024</w:t>
            </w:r>
          </w:p>
        </w:tc>
      </w:tr>
      <w:tr w:rsidR="00356BF1" w:rsidRPr="006D46E5" w14:paraId="3C7A28CD" w14:textId="77777777" w:rsidTr="00C34B84">
        <w:trPr>
          <w:cnfStyle w:val="000000100000" w:firstRow="0" w:lastRow="0" w:firstColumn="0" w:lastColumn="0" w:oddVBand="0" w:evenVBand="0" w:oddHBand="1" w:evenHBand="0" w:firstRowFirstColumn="0" w:firstRowLastColumn="0" w:lastRowFirstColumn="0" w:lastRowLastColumn="0"/>
          <w:cantSplit/>
        </w:trPr>
        <w:tc>
          <w:tcPr>
            <w:tcW w:w="988" w:type="dxa"/>
          </w:tcPr>
          <w:p w14:paraId="3C9E2ABC" w14:textId="77777777" w:rsidR="00356BF1" w:rsidRPr="00930510" w:rsidRDefault="00356BF1" w:rsidP="00C34B84">
            <w:pPr>
              <w:pStyle w:val="TableBody"/>
            </w:pPr>
            <w:r w:rsidRPr="00600DC3">
              <w:t>MS34</w:t>
            </w:r>
          </w:p>
        </w:tc>
        <w:tc>
          <w:tcPr>
            <w:tcW w:w="3827" w:type="dxa"/>
          </w:tcPr>
          <w:p w14:paraId="1ADA3B07" w14:textId="77777777" w:rsidR="00356BF1" w:rsidRPr="00930510" w:rsidRDefault="00356BF1" w:rsidP="00C34B84">
            <w:pPr>
              <w:pStyle w:val="TableBody"/>
            </w:pPr>
            <w:r w:rsidRPr="00600DC3">
              <w:t>Frequency coordination and licensing procedures for apparatus licensed PTS in the 1800 MHz band</w:t>
            </w:r>
          </w:p>
        </w:tc>
        <w:tc>
          <w:tcPr>
            <w:tcW w:w="1559" w:type="dxa"/>
          </w:tcPr>
          <w:p w14:paraId="41172F05" w14:textId="77777777" w:rsidR="00356BF1" w:rsidRDefault="00356BF1" w:rsidP="00C34B84">
            <w:pPr>
              <w:pStyle w:val="TableBody"/>
            </w:pPr>
            <w:r w:rsidRPr="008A4BD8">
              <w:t>Yes</w:t>
            </w:r>
          </w:p>
        </w:tc>
        <w:tc>
          <w:tcPr>
            <w:tcW w:w="1701" w:type="dxa"/>
          </w:tcPr>
          <w:p w14:paraId="3173A47D" w14:textId="77777777" w:rsidR="00356BF1" w:rsidRDefault="00356BF1" w:rsidP="00C34B84">
            <w:pPr>
              <w:pStyle w:val="TableBody"/>
            </w:pPr>
            <w:r>
              <w:t xml:space="preserve">Q3 2023–Q1 2024 </w:t>
            </w:r>
          </w:p>
        </w:tc>
      </w:tr>
      <w:tr w:rsidR="00356BF1" w:rsidRPr="006D46E5" w14:paraId="27DF538F" w14:textId="77777777" w:rsidTr="00C34B84">
        <w:trPr>
          <w:cnfStyle w:val="000000010000" w:firstRow="0" w:lastRow="0" w:firstColumn="0" w:lastColumn="0" w:oddVBand="0" w:evenVBand="0" w:oddHBand="0" w:evenHBand="1" w:firstRowFirstColumn="0" w:firstRowLastColumn="0" w:lastRowFirstColumn="0" w:lastRowLastColumn="0"/>
          <w:cantSplit/>
        </w:trPr>
        <w:tc>
          <w:tcPr>
            <w:tcW w:w="988" w:type="dxa"/>
          </w:tcPr>
          <w:p w14:paraId="357C0EB3" w14:textId="77777777" w:rsidR="00356BF1" w:rsidRPr="00930510" w:rsidRDefault="00356BF1" w:rsidP="00C34B84">
            <w:pPr>
              <w:pStyle w:val="TableBody"/>
            </w:pPr>
            <w:r w:rsidRPr="00600DC3">
              <w:t>MS35</w:t>
            </w:r>
          </w:p>
        </w:tc>
        <w:tc>
          <w:tcPr>
            <w:tcW w:w="3827" w:type="dxa"/>
          </w:tcPr>
          <w:p w14:paraId="734CB4C7" w14:textId="77777777" w:rsidR="00356BF1" w:rsidRPr="00930510" w:rsidRDefault="00356BF1" w:rsidP="00C34B84">
            <w:pPr>
              <w:pStyle w:val="TableBody"/>
            </w:pPr>
            <w:r w:rsidRPr="00600DC3">
              <w:t>Coordination of 2.5 GHz band spectrum licensed transmitters with radiodetermination stations operated by the Department of Defence in the 2700–2900 MHz band</w:t>
            </w:r>
          </w:p>
        </w:tc>
        <w:tc>
          <w:tcPr>
            <w:tcW w:w="1559" w:type="dxa"/>
          </w:tcPr>
          <w:p w14:paraId="60C028A2" w14:textId="77777777" w:rsidR="00356BF1" w:rsidRDefault="00356BF1" w:rsidP="00C34B84">
            <w:pPr>
              <w:pStyle w:val="TableBody"/>
            </w:pPr>
            <w:r w:rsidRPr="008A4BD8">
              <w:t>No</w:t>
            </w:r>
          </w:p>
        </w:tc>
        <w:tc>
          <w:tcPr>
            <w:tcW w:w="1701" w:type="dxa"/>
          </w:tcPr>
          <w:p w14:paraId="46E3AFE2" w14:textId="77777777" w:rsidR="00356BF1" w:rsidRDefault="00356BF1" w:rsidP="00C34B84">
            <w:pPr>
              <w:pStyle w:val="TableBody"/>
            </w:pPr>
            <w:r w:rsidRPr="008A4BD8">
              <w:t> -</w:t>
            </w:r>
          </w:p>
        </w:tc>
      </w:tr>
      <w:tr w:rsidR="00356BF1" w:rsidRPr="006D46E5" w14:paraId="68DB605B" w14:textId="77777777" w:rsidTr="00C34B84">
        <w:trPr>
          <w:cnfStyle w:val="000000100000" w:firstRow="0" w:lastRow="0" w:firstColumn="0" w:lastColumn="0" w:oddVBand="0" w:evenVBand="0" w:oddHBand="1" w:evenHBand="0" w:firstRowFirstColumn="0" w:firstRowLastColumn="0" w:lastRowFirstColumn="0" w:lastRowLastColumn="0"/>
          <w:cantSplit/>
        </w:trPr>
        <w:tc>
          <w:tcPr>
            <w:tcW w:w="988" w:type="dxa"/>
          </w:tcPr>
          <w:p w14:paraId="3D95625A" w14:textId="77777777" w:rsidR="00356BF1" w:rsidRPr="00930510" w:rsidRDefault="00356BF1" w:rsidP="00C34B84">
            <w:pPr>
              <w:pStyle w:val="TableBody"/>
            </w:pPr>
            <w:r w:rsidRPr="00600DC3">
              <w:t>MS37</w:t>
            </w:r>
          </w:p>
        </w:tc>
        <w:tc>
          <w:tcPr>
            <w:tcW w:w="3827" w:type="dxa"/>
          </w:tcPr>
          <w:p w14:paraId="26EAE286" w14:textId="77777777" w:rsidR="00356BF1" w:rsidRPr="00930510" w:rsidRDefault="00356BF1" w:rsidP="00C34B84">
            <w:pPr>
              <w:pStyle w:val="TableBody"/>
            </w:pPr>
            <w:r w:rsidRPr="00600DC3">
              <w:t>Coordination of spectrum licensed devices operating in the 2.3 GHz band with SRS earth stations in the 2290–2300 MHz band</w:t>
            </w:r>
          </w:p>
        </w:tc>
        <w:tc>
          <w:tcPr>
            <w:tcW w:w="1559" w:type="dxa"/>
          </w:tcPr>
          <w:p w14:paraId="1C0101A1" w14:textId="77777777" w:rsidR="00356BF1" w:rsidRDefault="00356BF1" w:rsidP="00C34B84">
            <w:pPr>
              <w:pStyle w:val="TableBody"/>
            </w:pPr>
            <w:r w:rsidRPr="008A4BD8">
              <w:t>No</w:t>
            </w:r>
          </w:p>
        </w:tc>
        <w:tc>
          <w:tcPr>
            <w:tcW w:w="1701" w:type="dxa"/>
          </w:tcPr>
          <w:p w14:paraId="6DA833E2" w14:textId="77777777" w:rsidR="00356BF1" w:rsidRDefault="00356BF1" w:rsidP="00C34B84">
            <w:pPr>
              <w:pStyle w:val="TableBody"/>
            </w:pPr>
            <w:r w:rsidRPr="008A4BD8">
              <w:t> -</w:t>
            </w:r>
          </w:p>
        </w:tc>
      </w:tr>
      <w:tr w:rsidR="00356BF1" w:rsidRPr="006D46E5" w14:paraId="14259DC3" w14:textId="77777777" w:rsidTr="00C34B84">
        <w:trPr>
          <w:cnfStyle w:val="000000010000" w:firstRow="0" w:lastRow="0" w:firstColumn="0" w:lastColumn="0" w:oddVBand="0" w:evenVBand="0" w:oddHBand="0" w:evenHBand="1" w:firstRowFirstColumn="0" w:firstRowLastColumn="0" w:lastRowFirstColumn="0" w:lastRowLastColumn="0"/>
          <w:cantSplit/>
        </w:trPr>
        <w:tc>
          <w:tcPr>
            <w:tcW w:w="988" w:type="dxa"/>
          </w:tcPr>
          <w:p w14:paraId="430C7B9E" w14:textId="77777777" w:rsidR="00356BF1" w:rsidRPr="00930510" w:rsidRDefault="00356BF1" w:rsidP="00C34B84">
            <w:pPr>
              <w:pStyle w:val="TableBody"/>
            </w:pPr>
            <w:r w:rsidRPr="00600DC3">
              <w:t>MS43</w:t>
            </w:r>
          </w:p>
        </w:tc>
        <w:tc>
          <w:tcPr>
            <w:tcW w:w="3827" w:type="dxa"/>
          </w:tcPr>
          <w:p w14:paraId="50EF4034" w14:textId="066ECB75" w:rsidR="00356BF1" w:rsidRPr="00930510" w:rsidRDefault="00356BF1" w:rsidP="00C34B84">
            <w:pPr>
              <w:pStyle w:val="TableBody"/>
            </w:pPr>
            <w:r w:rsidRPr="00600DC3">
              <w:t>Coordination procedures between New Norcia</w:t>
            </w:r>
            <w:r>
              <w:t xml:space="preserve"> and Tidbinbilla</w:t>
            </w:r>
            <w:r w:rsidRPr="00600DC3">
              <w:t xml:space="preserve"> earth station</w:t>
            </w:r>
            <w:r>
              <w:t>s</w:t>
            </w:r>
            <w:r w:rsidRPr="00600DC3">
              <w:t xml:space="preserve"> and other services</w:t>
            </w:r>
            <w:r>
              <w:t xml:space="preserve"> in the bands: 7145–7235 MHz, 8400–8500 MHz, 22.55–23.15 GHz, 31.8–32.3 GHz, and </w:t>
            </w:r>
            <w:r>
              <w:br/>
              <w:t>34.2–34.7 GHz</w:t>
            </w:r>
          </w:p>
        </w:tc>
        <w:tc>
          <w:tcPr>
            <w:tcW w:w="1559" w:type="dxa"/>
          </w:tcPr>
          <w:p w14:paraId="057EE2A3" w14:textId="77777777" w:rsidR="00356BF1" w:rsidRDefault="00356BF1" w:rsidP="00C34B84">
            <w:pPr>
              <w:pStyle w:val="TableBody"/>
            </w:pPr>
            <w:r>
              <w:t>No</w:t>
            </w:r>
          </w:p>
        </w:tc>
        <w:tc>
          <w:tcPr>
            <w:tcW w:w="1701" w:type="dxa"/>
          </w:tcPr>
          <w:p w14:paraId="6FC92F39" w14:textId="77777777" w:rsidR="00356BF1" w:rsidRDefault="00356BF1" w:rsidP="00C34B84">
            <w:pPr>
              <w:pStyle w:val="TableBody"/>
            </w:pPr>
            <w:r>
              <w:t>-</w:t>
            </w:r>
          </w:p>
        </w:tc>
      </w:tr>
      <w:tr w:rsidR="00356BF1" w:rsidRPr="006D46E5" w14:paraId="1ACB0B91" w14:textId="77777777" w:rsidTr="00C34B84">
        <w:trPr>
          <w:cnfStyle w:val="000000100000" w:firstRow="0" w:lastRow="0" w:firstColumn="0" w:lastColumn="0" w:oddVBand="0" w:evenVBand="0" w:oddHBand="1" w:evenHBand="0" w:firstRowFirstColumn="0" w:firstRowLastColumn="0" w:lastRowFirstColumn="0" w:lastRowLastColumn="0"/>
          <w:cantSplit/>
        </w:trPr>
        <w:tc>
          <w:tcPr>
            <w:tcW w:w="988" w:type="dxa"/>
          </w:tcPr>
          <w:p w14:paraId="022205A7" w14:textId="77777777" w:rsidR="00356BF1" w:rsidRPr="00930510" w:rsidRDefault="00356BF1" w:rsidP="00C34B84">
            <w:pPr>
              <w:pStyle w:val="TableBody"/>
            </w:pPr>
            <w:r w:rsidRPr="00600DC3">
              <w:t>MS44</w:t>
            </w:r>
          </w:p>
        </w:tc>
        <w:tc>
          <w:tcPr>
            <w:tcW w:w="3827" w:type="dxa"/>
          </w:tcPr>
          <w:p w14:paraId="6E3F99E7" w14:textId="77777777" w:rsidR="00356BF1" w:rsidRPr="00930510" w:rsidRDefault="00356BF1" w:rsidP="00C34B84">
            <w:pPr>
              <w:pStyle w:val="TableBody"/>
            </w:pPr>
            <w:bookmarkStart w:id="15" w:name="_Hlk67657370"/>
            <w:r w:rsidRPr="00600DC3">
              <w:t>Frequency coordination procedures for the earth station protection zones</w:t>
            </w:r>
            <w:bookmarkEnd w:id="15"/>
          </w:p>
        </w:tc>
        <w:tc>
          <w:tcPr>
            <w:tcW w:w="1559" w:type="dxa"/>
          </w:tcPr>
          <w:p w14:paraId="190022A4" w14:textId="77777777" w:rsidR="00356BF1" w:rsidRDefault="00356BF1" w:rsidP="00C34B84">
            <w:pPr>
              <w:pStyle w:val="TableBody"/>
            </w:pPr>
            <w:r>
              <w:t>No</w:t>
            </w:r>
          </w:p>
        </w:tc>
        <w:tc>
          <w:tcPr>
            <w:tcW w:w="1701" w:type="dxa"/>
          </w:tcPr>
          <w:p w14:paraId="353DB164" w14:textId="77777777" w:rsidR="00356BF1" w:rsidRDefault="00356BF1" w:rsidP="00C34B84">
            <w:pPr>
              <w:pStyle w:val="TableBody"/>
            </w:pPr>
            <w:r>
              <w:t>-</w:t>
            </w:r>
          </w:p>
        </w:tc>
      </w:tr>
      <w:tr w:rsidR="00356BF1" w:rsidRPr="006D46E5" w14:paraId="72319810" w14:textId="77777777" w:rsidTr="00C34B84">
        <w:trPr>
          <w:cnfStyle w:val="000000010000" w:firstRow="0" w:lastRow="0" w:firstColumn="0" w:lastColumn="0" w:oddVBand="0" w:evenVBand="0" w:oddHBand="0" w:evenHBand="1" w:firstRowFirstColumn="0" w:firstRowLastColumn="0" w:lastRowFirstColumn="0" w:lastRowLastColumn="0"/>
          <w:cantSplit/>
        </w:trPr>
        <w:tc>
          <w:tcPr>
            <w:tcW w:w="988" w:type="dxa"/>
          </w:tcPr>
          <w:p w14:paraId="7A878307" w14:textId="77777777" w:rsidR="00356BF1" w:rsidRPr="00930510" w:rsidRDefault="00356BF1" w:rsidP="00C34B84">
            <w:pPr>
              <w:pStyle w:val="TableBody"/>
            </w:pPr>
            <w:r w:rsidRPr="00600DC3">
              <w:t>MS45</w:t>
            </w:r>
          </w:p>
        </w:tc>
        <w:tc>
          <w:tcPr>
            <w:tcW w:w="3827" w:type="dxa"/>
          </w:tcPr>
          <w:p w14:paraId="3BBA9D14" w14:textId="061D2B56" w:rsidR="00356BF1" w:rsidRPr="00930510" w:rsidRDefault="00356BF1" w:rsidP="00C34B84">
            <w:pPr>
              <w:pStyle w:val="TableBody"/>
            </w:pPr>
            <w:r w:rsidRPr="00600DC3">
              <w:t>Frequency coordination requirements between microwave fixed point</w:t>
            </w:r>
            <w:r w:rsidR="00F903CB">
              <w:t>-</w:t>
            </w:r>
            <w:r w:rsidRPr="00600DC3">
              <w:t>to</w:t>
            </w:r>
            <w:r w:rsidR="00F903CB">
              <w:t>-</w:t>
            </w:r>
            <w:r w:rsidRPr="00600DC3">
              <w:t>point links and FSS earth stations </w:t>
            </w:r>
          </w:p>
        </w:tc>
        <w:tc>
          <w:tcPr>
            <w:tcW w:w="1559" w:type="dxa"/>
          </w:tcPr>
          <w:p w14:paraId="0128D3B9" w14:textId="77777777" w:rsidR="00356BF1" w:rsidRDefault="00356BF1" w:rsidP="00C34B84">
            <w:pPr>
              <w:pStyle w:val="TableBody"/>
            </w:pPr>
            <w:r>
              <w:t>No</w:t>
            </w:r>
          </w:p>
        </w:tc>
        <w:tc>
          <w:tcPr>
            <w:tcW w:w="1701" w:type="dxa"/>
          </w:tcPr>
          <w:p w14:paraId="164F1050" w14:textId="77777777" w:rsidR="00356BF1" w:rsidRDefault="00356BF1" w:rsidP="00C34B84">
            <w:pPr>
              <w:pStyle w:val="TableBody"/>
            </w:pPr>
            <w:r>
              <w:t>-</w:t>
            </w:r>
          </w:p>
        </w:tc>
      </w:tr>
      <w:tr w:rsidR="00356BF1" w:rsidRPr="006D46E5" w14:paraId="4E2D1284" w14:textId="77777777" w:rsidTr="00C34B84">
        <w:trPr>
          <w:cnfStyle w:val="000000100000" w:firstRow="0" w:lastRow="0" w:firstColumn="0" w:lastColumn="0" w:oddVBand="0" w:evenVBand="0" w:oddHBand="1" w:evenHBand="0" w:firstRowFirstColumn="0" w:firstRowLastColumn="0" w:lastRowFirstColumn="0" w:lastRowLastColumn="0"/>
          <w:cantSplit/>
        </w:trPr>
        <w:tc>
          <w:tcPr>
            <w:tcW w:w="988" w:type="dxa"/>
          </w:tcPr>
          <w:p w14:paraId="73A3A2B2" w14:textId="77777777" w:rsidR="00356BF1" w:rsidRPr="00930510" w:rsidRDefault="00356BF1" w:rsidP="00C34B84">
            <w:pPr>
              <w:pStyle w:val="TableBody"/>
            </w:pPr>
            <w:r w:rsidRPr="00600DC3">
              <w:t>MS46</w:t>
            </w:r>
          </w:p>
        </w:tc>
        <w:tc>
          <w:tcPr>
            <w:tcW w:w="3827" w:type="dxa"/>
          </w:tcPr>
          <w:p w14:paraId="67A57914" w14:textId="3057B2E9" w:rsidR="00356BF1" w:rsidRPr="00930510" w:rsidRDefault="00356BF1" w:rsidP="00C34B84">
            <w:pPr>
              <w:pStyle w:val="TableBody"/>
            </w:pPr>
            <w:r w:rsidRPr="00600DC3">
              <w:t>Licensing and coordination procedures for area-wide apparatus licensed services in the 26/28</w:t>
            </w:r>
            <w:r>
              <w:t xml:space="preserve"> </w:t>
            </w:r>
            <w:r w:rsidRPr="00600DC3">
              <w:t>GHz bands</w:t>
            </w:r>
          </w:p>
        </w:tc>
        <w:tc>
          <w:tcPr>
            <w:tcW w:w="1559" w:type="dxa"/>
          </w:tcPr>
          <w:p w14:paraId="5222DC31" w14:textId="77777777" w:rsidR="00356BF1" w:rsidRDefault="00356BF1" w:rsidP="00C34B84">
            <w:pPr>
              <w:pStyle w:val="TableBody"/>
            </w:pPr>
            <w:r>
              <w:t>No</w:t>
            </w:r>
          </w:p>
        </w:tc>
        <w:tc>
          <w:tcPr>
            <w:tcW w:w="1701" w:type="dxa"/>
          </w:tcPr>
          <w:p w14:paraId="1E661B2B" w14:textId="77777777" w:rsidR="00356BF1" w:rsidRDefault="00356BF1" w:rsidP="00C34B84">
            <w:pPr>
              <w:pStyle w:val="TableBody"/>
            </w:pPr>
            <w:r>
              <w:t>-</w:t>
            </w:r>
          </w:p>
        </w:tc>
      </w:tr>
      <w:tr w:rsidR="00356BF1" w:rsidRPr="006D46E5" w14:paraId="5468682A" w14:textId="77777777" w:rsidTr="00C34B84">
        <w:trPr>
          <w:cnfStyle w:val="000000010000" w:firstRow="0" w:lastRow="0" w:firstColumn="0" w:lastColumn="0" w:oddVBand="0" w:evenVBand="0" w:oddHBand="0" w:evenHBand="1" w:firstRowFirstColumn="0" w:firstRowLastColumn="0" w:lastRowFirstColumn="0" w:lastRowLastColumn="0"/>
          <w:cantSplit/>
        </w:trPr>
        <w:tc>
          <w:tcPr>
            <w:tcW w:w="988" w:type="dxa"/>
          </w:tcPr>
          <w:p w14:paraId="322C4040" w14:textId="77777777" w:rsidR="00356BF1" w:rsidRPr="00600DC3" w:rsidRDefault="00356BF1" w:rsidP="00C34B84">
            <w:pPr>
              <w:pStyle w:val="TableBody"/>
            </w:pPr>
            <w:r>
              <w:t>MS47</w:t>
            </w:r>
          </w:p>
        </w:tc>
        <w:tc>
          <w:tcPr>
            <w:tcW w:w="3827" w:type="dxa"/>
          </w:tcPr>
          <w:p w14:paraId="66A9991C" w14:textId="45BE95FD" w:rsidR="00356BF1" w:rsidRPr="00600DC3" w:rsidRDefault="00356BF1" w:rsidP="00C34B84">
            <w:pPr>
              <w:pStyle w:val="TableBody"/>
            </w:pPr>
            <w:r>
              <w:t>Licensing and coordination procedures for area-wide apparatus licensed services in the 3400</w:t>
            </w:r>
            <w:r w:rsidR="00F903CB">
              <w:t>–</w:t>
            </w:r>
            <w:r>
              <w:t>4000 MHz band</w:t>
            </w:r>
          </w:p>
        </w:tc>
        <w:tc>
          <w:tcPr>
            <w:tcW w:w="1559" w:type="dxa"/>
          </w:tcPr>
          <w:p w14:paraId="1363BA6A" w14:textId="77777777" w:rsidR="00356BF1" w:rsidRDefault="00356BF1" w:rsidP="00C34B84">
            <w:pPr>
              <w:pStyle w:val="TableBody"/>
            </w:pPr>
            <w:r>
              <w:t>Yes</w:t>
            </w:r>
          </w:p>
        </w:tc>
        <w:tc>
          <w:tcPr>
            <w:tcW w:w="1701" w:type="dxa"/>
          </w:tcPr>
          <w:p w14:paraId="73F335EB" w14:textId="339D0E07" w:rsidR="00356BF1" w:rsidRDefault="00356BF1" w:rsidP="00C34B84">
            <w:pPr>
              <w:pStyle w:val="TableBody"/>
            </w:pPr>
            <w:r>
              <w:t>Q3</w:t>
            </w:r>
            <w:r w:rsidR="00F903CB">
              <w:t>–</w:t>
            </w:r>
            <w:r>
              <w:t>Q4 2023</w:t>
            </w:r>
          </w:p>
        </w:tc>
      </w:tr>
      <w:tr w:rsidR="00356BF1" w:rsidRPr="006D46E5" w14:paraId="120E4C96" w14:textId="77777777" w:rsidTr="00C34B84">
        <w:trPr>
          <w:cnfStyle w:val="000000100000" w:firstRow="0" w:lastRow="0" w:firstColumn="0" w:lastColumn="0" w:oddVBand="0" w:evenVBand="0" w:oddHBand="1" w:evenHBand="0" w:firstRowFirstColumn="0" w:firstRowLastColumn="0" w:lastRowFirstColumn="0" w:lastRowLastColumn="0"/>
          <w:cantSplit/>
        </w:trPr>
        <w:tc>
          <w:tcPr>
            <w:tcW w:w="988" w:type="dxa"/>
          </w:tcPr>
          <w:p w14:paraId="4470ED66" w14:textId="77777777" w:rsidR="00356BF1" w:rsidRPr="00600DC3" w:rsidRDefault="00356BF1" w:rsidP="00C34B84">
            <w:pPr>
              <w:pStyle w:val="TableBody"/>
            </w:pPr>
            <w:r>
              <w:t>SM26</w:t>
            </w:r>
          </w:p>
        </w:tc>
        <w:tc>
          <w:tcPr>
            <w:tcW w:w="3827" w:type="dxa"/>
          </w:tcPr>
          <w:p w14:paraId="3B50293D" w14:textId="5D5AF3B7" w:rsidR="00356BF1" w:rsidRPr="00600DC3" w:rsidRDefault="00356BF1" w:rsidP="00C34B84">
            <w:pPr>
              <w:pStyle w:val="TableBody"/>
            </w:pPr>
            <w:r w:rsidRPr="00D10CCF">
              <w:t xml:space="preserve">Restrictions on </w:t>
            </w:r>
            <w:r w:rsidR="00F903CB">
              <w:t>a</w:t>
            </w:r>
            <w:r w:rsidRPr="00D10CCF">
              <w:t xml:space="preserve">pparatus </w:t>
            </w:r>
            <w:r w:rsidR="00F903CB">
              <w:t>l</w:t>
            </w:r>
            <w:r w:rsidRPr="00D10CCF">
              <w:t xml:space="preserve">icensing in </w:t>
            </w:r>
            <w:r w:rsidR="00F903CB">
              <w:t>s</w:t>
            </w:r>
            <w:r w:rsidRPr="00D10CCF">
              <w:t xml:space="preserve">pectrum </w:t>
            </w:r>
            <w:r w:rsidR="00F903CB">
              <w:t>l</w:t>
            </w:r>
            <w:r w:rsidRPr="00D10CCF">
              <w:t xml:space="preserve">icensed </w:t>
            </w:r>
            <w:r w:rsidR="00F903CB">
              <w:t>s</w:t>
            </w:r>
            <w:r w:rsidRPr="00D10CCF">
              <w:t>paces</w:t>
            </w:r>
          </w:p>
        </w:tc>
        <w:tc>
          <w:tcPr>
            <w:tcW w:w="1559" w:type="dxa"/>
          </w:tcPr>
          <w:p w14:paraId="0D4AD212" w14:textId="77777777" w:rsidR="00356BF1" w:rsidRDefault="00356BF1" w:rsidP="00C34B84">
            <w:pPr>
              <w:pStyle w:val="TableBody"/>
            </w:pPr>
            <w:r>
              <w:t>No</w:t>
            </w:r>
          </w:p>
        </w:tc>
        <w:tc>
          <w:tcPr>
            <w:tcW w:w="1701" w:type="dxa"/>
          </w:tcPr>
          <w:p w14:paraId="0A69A5E7" w14:textId="77777777" w:rsidR="00356BF1" w:rsidRDefault="00356BF1" w:rsidP="00C34B84">
            <w:pPr>
              <w:pStyle w:val="TableBody"/>
            </w:pPr>
            <w:r>
              <w:t>-</w:t>
            </w:r>
          </w:p>
        </w:tc>
      </w:tr>
      <w:tr w:rsidR="00356BF1" w:rsidRPr="006D46E5" w14:paraId="494B23C9" w14:textId="77777777" w:rsidTr="00C34B84">
        <w:trPr>
          <w:cnfStyle w:val="000000010000" w:firstRow="0" w:lastRow="0" w:firstColumn="0" w:lastColumn="0" w:oddVBand="0" w:evenVBand="0" w:oddHBand="0" w:evenHBand="1" w:firstRowFirstColumn="0" w:firstRowLastColumn="0" w:lastRowFirstColumn="0" w:lastRowLastColumn="0"/>
          <w:cantSplit/>
        </w:trPr>
        <w:tc>
          <w:tcPr>
            <w:tcW w:w="988" w:type="dxa"/>
          </w:tcPr>
          <w:p w14:paraId="499CDCC6" w14:textId="77777777" w:rsidR="00356BF1" w:rsidRPr="00930510" w:rsidRDefault="00356BF1" w:rsidP="00C34B84">
            <w:pPr>
              <w:pStyle w:val="TableBody"/>
            </w:pPr>
            <w:r w:rsidRPr="00600DC3">
              <w:lastRenderedPageBreak/>
              <w:t>SP 4/93</w:t>
            </w:r>
          </w:p>
        </w:tc>
        <w:tc>
          <w:tcPr>
            <w:tcW w:w="3827" w:type="dxa"/>
          </w:tcPr>
          <w:p w14:paraId="21CE804F" w14:textId="77777777" w:rsidR="00356BF1" w:rsidRPr="00930510" w:rsidRDefault="00356BF1" w:rsidP="00C34B84">
            <w:pPr>
              <w:pStyle w:val="TableBody"/>
            </w:pPr>
            <w:r w:rsidRPr="00600DC3">
              <w:t>Coordination procedures for the licensing of services sharing the 857–861 MHz band</w:t>
            </w:r>
          </w:p>
        </w:tc>
        <w:tc>
          <w:tcPr>
            <w:tcW w:w="1559" w:type="dxa"/>
          </w:tcPr>
          <w:p w14:paraId="0A1D0B27" w14:textId="77777777" w:rsidR="00356BF1" w:rsidRDefault="00356BF1" w:rsidP="00C34B84">
            <w:pPr>
              <w:pStyle w:val="TableBody"/>
            </w:pPr>
            <w:r>
              <w:t>Planned for suppression</w:t>
            </w:r>
            <w:r w:rsidRPr="00E20E74" w:rsidDel="00666AF5">
              <w:t xml:space="preserve"> </w:t>
            </w:r>
          </w:p>
        </w:tc>
        <w:tc>
          <w:tcPr>
            <w:tcW w:w="1701" w:type="dxa"/>
          </w:tcPr>
          <w:p w14:paraId="17419057" w14:textId="44D05710" w:rsidR="00356BF1" w:rsidRDefault="00356BF1" w:rsidP="00C34B84">
            <w:pPr>
              <w:pStyle w:val="TableBody"/>
            </w:pPr>
            <w:r>
              <w:t>Q3</w:t>
            </w:r>
            <w:r w:rsidR="00F903CB">
              <w:t>–</w:t>
            </w:r>
            <w:r>
              <w:t>Q4 2023</w:t>
            </w:r>
          </w:p>
        </w:tc>
      </w:tr>
    </w:tbl>
    <w:p w14:paraId="62A8A91D" w14:textId="77777777" w:rsidR="00356BF1" w:rsidRDefault="00356BF1" w:rsidP="00356BF1">
      <w:pPr>
        <w:pStyle w:val="Heading2"/>
      </w:pPr>
      <w:bookmarkStart w:id="16" w:name="_Toc137814960"/>
      <w:bookmarkStart w:id="17" w:name="_Toc138153893"/>
      <w:r>
        <w:t>Frequency coordination requirements (RALIs)</w:t>
      </w:r>
      <w:bookmarkEnd w:id="16"/>
      <w:bookmarkEnd w:id="17"/>
    </w:p>
    <w:p w14:paraId="7B6CA83B" w14:textId="77777777" w:rsidR="00356BF1" w:rsidRDefault="00356BF1" w:rsidP="00356BF1">
      <w:pPr>
        <w:pStyle w:val="Heading3"/>
      </w:pPr>
      <w:r>
        <w:t>FX03</w:t>
      </w:r>
    </w:p>
    <w:p w14:paraId="127ED274" w14:textId="7F8BDC56" w:rsidR="00356BF1" w:rsidRDefault="00356BF1" w:rsidP="00776763">
      <w:pPr>
        <w:pStyle w:val="Paragraphbeforelist"/>
      </w:pPr>
      <w:r>
        <w:t xml:space="preserve">RALI FX03 details </w:t>
      </w:r>
      <w:r w:rsidRPr="00177405">
        <w:t>frequency coordination</w:t>
      </w:r>
      <w:r>
        <w:t xml:space="preserve"> arrangements for m</w:t>
      </w:r>
      <w:r w:rsidRPr="00177405">
        <w:t>icrowave fixed services</w:t>
      </w:r>
      <w:r>
        <w:t>.</w:t>
      </w:r>
      <w:r w:rsidRPr="00177405">
        <w:t xml:space="preserve"> </w:t>
      </w:r>
      <w:r w:rsidR="00F903CB">
        <w:t xml:space="preserve">We </w:t>
      </w:r>
      <w:r>
        <w:t>intend to undertake a significant review of RALI FX03 arrangements, expected to be conducted between Q3 2023 and Q2 2024. A consultation process will be conducted to consider a range of updates. The updates to be considered will include:</w:t>
      </w:r>
    </w:p>
    <w:p w14:paraId="265C58BA" w14:textId="2F2B1DAE" w:rsidR="00356BF1" w:rsidRDefault="00C245C1" w:rsidP="00356BF1">
      <w:pPr>
        <w:pStyle w:val="Bulletlevel1"/>
      </w:pPr>
      <w:r>
        <w:t>c</w:t>
      </w:r>
      <w:r w:rsidR="00356BF1">
        <w:t xml:space="preserve">onsideration of new channel arrangements of 56 MHz and 112 MHz in the </w:t>
      </w:r>
      <w:r w:rsidR="00356BF1">
        <w:br/>
        <w:t>14.5–15.35 GHz band (the 15 GHz band) and consideration of arrangements for channel aggregation more broadly across point-to-point bands</w:t>
      </w:r>
    </w:p>
    <w:p w14:paraId="3FC48DF8" w14:textId="7790E143" w:rsidR="00356BF1" w:rsidRDefault="00C245C1" w:rsidP="00356BF1">
      <w:pPr>
        <w:pStyle w:val="Bulletlevel1"/>
      </w:pPr>
      <w:r>
        <w:t>r</w:t>
      </w:r>
      <w:r w:rsidR="00356BF1">
        <w:t xml:space="preserve">eview of the </w:t>
      </w:r>
      <w:r w:rsidR="00356BF1" w:rsidRPr="00B23079">
        <w:t xml:space="preserve">minimum </w:t>
      </w:r>
      <w:r w:rsidR="00356BF1">
        <w:t>front-to-back (</w:t>
      </w:r>
      <w:r w:rsidR="00356BF1" w:rsidRPr="00B23079">
        <w:t>F/B</w:t>
      </w:r>
      <w:r w:rsidR="00356BF1">
        <w:t>)</w:t>
      </w:r>
      <w:r w:rsidR="00356BF1" w:rsidRPr="00B23079">
        <w:t xml:space="preserve"> ratio requirement</w:t>
      </w:r>
      <w:r w:rsidR="00356BF1">
        <w:t>s and consideration of potential changes to the minimum antenna requirement framework</w:t>
      </w:r>
    </w:p>
    <w:p w14:paraId="728737FC" w14:textId="0A8DD5D6" w:rsidR="00356BF1" w:rsidRDefault="00C245C1" w:rsidP="00356BF1">
      <w:pPr>
        <w:pStyle w:val="Bulletlevel1"/>
      </w:pPr>
      <w:r>
        <w:t>c</w:t>
      </w:r>
      <w:r w:rsidR="00356BF1">
        <w:t xml:space="preserve">onsideration of additional information regarding transmitter/antenna/polarisation diversity </w:t>
      </w:r>
    </w:p>
    <w:p w14:paraId="487BB708" w14:textId="3A821F0D" w:rsidR="00356BF1" w:rsidRDefault="00C245C1" w:rsidP="00356BF1">
      <w:pPr>
        <w:pStyle w:val="Bulletlevel1"/>
      </w:pPr>
      <w:r>
        <w:t>c</w:t>
      </w:r>
      <w:r w:rsidR="00356BF1">
        <w:t xml:space="preserve">onsideration of non-binding reference (for purposes of guidance only) to </w:t>
      </w:r>
      <w:r w:rsidR="00356BF1" w:rsidRPr="00AD7A5A">
        <w:t xml:space="preserve">relevant European Telecommunication Standards Institute (ETSI) </w:t>
      </w:r>
      <w:r>
        <w:t>s</w:t>
      </w:r>
      <w:r w:rsidR="00356BF1" w:rsidRPr="00AD7A5A">
        <w:t xml:space="preserve">tandards and Federal Communication Commission (FCC) </w:t>
      </w:r>
      <w:r>
        <w:t>r</w:t>
      </w:r>
      <w:r w:rsidR="00356BF1" w:rsidRPr="00AD7A5A">
        <w:t>ules under Section 2.1.4 of RALI FX3</w:t>
      </w:r>
    </w:p>
    <w:p w14:paraId="4D298ABE" w14:textId="663393D7" w:rsidR="00356BF1" w:rsidRDefault="00C245C1" w:rsidP="00356BF1">
      <w:pPr>
        <w:pStyle w:val="Bulletlevel1"/>
      </w:pPr>
      <w:r>
        <w:t>c</w:t>
      </w:r>
      <w:r w:rsidR="00356BF1">
        <w:t>onsideration of the existing approach to protection ratios and potential improvements to this coordination mechanism</w:t>
      </w:r>
    </w:p>
    <w:p w14:paraId="4DBC76E3" w14:textId="4C74A2CA" w:rsidR="00356BF1" w:rsidRDefault="00C245C1" w:rsidP="00776763">
      <w:pPr>
        <w:pStyle w:val="Bulletlevel1last"/>
      </w:pPr>
      <w:r>
        <w:t>c</w:t>
      </w:r>
      <w:r w:rsidR="00356BF1">
        <w:t>onsideration of the current approach to minimum path lengths and potential changes to that approach.</w:t>
      </w:r>
    </w:p>
    <w:p w14:paraId="5229B077" w14:textId="77777777" w:rsidR="00356BF1" w:rsidRDefault="00356BF1" w:rsidP="00356BF1">
      <w:pPr>
        <w:pStyle w:val="Paragraph"/>
      </w:pPr>
      <w:r>
        <w:t xml:space="preserve">As part of the review, the entire RALI will be considered to ensure it remains up to date, including references to external documents such as International Telecommunications Union Radiocommunication Sector (ITU-R) recommendations and reports. </w:t>
      </w:r>
    </w:p>
    <w:p w14:paraId="2463A271" w14:textId="0B4D9945" w:rsidR="00356BF1" w:rsidRPr="00C068E2" w:rsidRDefault="00356BF1" w:rsidP="00356BF1">
      <w:pPr>
        <w:rPr>
          <w:rFonts w:cs="Arial"/>
        </w:rPr>
      </w:pPr>
      <w:r>
        <w:t xml:space="preserve">In addition to the above, the ACMA is currently </w:t>
      </w:r>
      <w:r w:rsidRPr="000269ED">
        <w:t>review</w:t>
      </w:r>
      <w:r>
        <w:t>ing</w:t>
      </w:r>
      <w:r w:rsidRPr="000269ED">
        <w:t xml:space="preserve"> the 1880–1920 MHz band </w:t>
      </w:r>
      <w:r>
        <w:t xml:space="preserve">(see </w:t>
      </w:r>
      <w:hyperlink r:id="rId33" w:history="1">
        <w:r w:rsidRPr="000A37BE">
          <w:rPr>
            <w:rStyle w:val="Hyperlink"/>
          </w:rPr>
          <w:t>IFC 40/2021</w:t>
        </w:r>
      </w:hyperlink>
      <w:r>
        <w:t xml:space="preserve">). </w:t>
      </w:r>
      <w:r w:rsidRPr="000269ED">
        <w:t>The 1880–1920 MHz band may be a candidate for changes to support new technologies including DECT-2020</w:t>
      </w:r>
      <w:r w:rsidR="001F4CB9">
        <w:rPr>
          <w:rStyle w:val="FootnoteReference"/>
        </w:rPr>
        <w:footnoteReference w:id="1"/>
      </w:r>
      <w:r w:rsidRPr="000269ED">
        <w:t xml:space="preserve"> and </w:t>
      </w:r>
      <w:r w:rsidR="00C245C1">
        <w:t>f</w:t>
      </w:r>
      <w:r w:rsidRPr="000269ED">
        <w:t xml:space="preserve">uture </w:t>
      </w:r>
      <w:r w:rsidR="00C245C1">
        <w:t>r</w:t>
      </w:r>
      <w:r w:rsidRPr="000269ED">
        <w:t xml:space="preserve">ail </w:t>
      </w:r>
      <w:r w:rsidR="00C245C1">
        <w:t>m</w:t>
      </w:r>
      <w:r w:rsidRPr="000269ED">
        <w:t xml:space="preserve">obile </w:t>
      </w:r>
      <w:r w:rsidR="00C245C1">
        <w:t>c</w:t>
      </w:r>
      <w:r w:rsidRPr="000269ED">
        <w:t xml:space="preserve">ommunications </w:t>
      </w:r>
      <w:r w:rsidR="00C245C1">
        <w:t>s</w:t>
      </w:r>
      <w:r w:rsidRPr="000269ED">
        <w:t>ystems. This may result in future changes to RALI FX</w:t>
      </w:r>
      <w:r>
        <w:t>03.</w:t>
      </w:r>
    </w:p>
    <w:tbl>
      <w:tblPr>
        <w:tblStyle w:val="TableGrid"/>
        <w:tblW w:w="0" w:type="auto"/>
        <w:tblLook w:val="04A0" w:firstRow="1" w:lastRow="0" w:firstColumn="1" w:lastColumn="0" w:noHBand="0" w:noVBand="1"/>
      </w:tblPr>
      <w:tblGrid>
        <w:gridCol w:w="7661"/>
      </w:tblGrid>
      <w:tr w:rsidR="00356BF1" w14:paraId="302F4600" w14:textId="77777777" w:rsidTr="00C34B84">
        <w:tc>
          <w:tcPr>
            <w:tcW w:w="7661" w:type="dxa"/>
            <w:shd w:val="clear" w:color="auto" w:fill="F2F2F2" w:themeFill="background1" w:themeFillShade="F2"/>
          </w:tcPr>
          <w:p w14:paraId="1D5BA165" w14:textId="5B77BC9C" w:rsidR="00356BF1" w:rsidRPr="008A55C9" w:rsidRDefault="00356BF1" w:rsidP="00C34B84">
            <w:pPr>
              <w:pStyle w:val="Paragraph"/>
              <w:rPr>
                <w:b/>
                <w:bCs/>
              </w:rPr>
            </w:pPr>
            <w:r w:rsidRPr="008A55C9">
              <w:rPr>
                <w:b/>
                <w:bCs/>
              </w:rPr>
              <w:t>Completed work from 2021</w:t>
            </w:r>
            <w:r w:rsidR="00C245C1">
              <w:rPr>
                <w:b/>
                <w:bCs/>
              </w:rPr>
              <w:t>–</w:t>
            </w:r>
            <w:r w:rsidRPr="008A55C9">
              <w:rPr>
                <w:b/>
                <w:bCs/>
              </w:rPr>
              <w:t>22 review work program</w:t>
            </w:r>
          </w:p>
          <w:p w14:paraId="5F4B5916" w14:textId="77777777" w:rsidR="00356BF1" w:rsidRDefault="00356BF1" w:rsidP="00C34B84">
            <w:pPr>
              <w:pStyle w:val="Bulletlevel1"/>
            </w:pPr>
            <w:r>
              <w:t xml:space="preserve">Changes to arrangements in the 3.8 GHz band in June 2023 as an outcome of the 3700–4200 MHz review (see </w:t>
            </w:r>
            <w:hyperlink r:id="rId34" w:history="1">
              <w:r w:rsidRPr="001F2F8B">
                <w:rPr>
                  <w:rStyle w:val="Hyperlink"/>
                </w:rPr>
                <w:t>IFC 11/2022</w:t>
              </w:r>
            </w:hyperlink>
            <w:r>
              <w:t>).</w:t>
            </w:r>
          </w:p>
          <w:p w14:paraId="68A58013" w14:textId="77777777" w:rsidR="00356BF1" w:rsidRDefault="00356BF1" w:rsidP="00C34B84">
            <w:pPr>
              <w:pStyle w:val="Bulletlevel1"/>
            </w:pPr>
            <w:r>
              <w:t xml:space="preserve">Changes to the 7.2 GHz television outside broadcast (TOB) arrangements in FX03 were finalised on 28 October 2022 (See </w:t>
            </w:r>
            <w:hyperlink r:id="rId35" w:history="1">
              <w:r w:rsidRPr="001F2F8B">
                <w:rPr>
                  <w:rStyle w:val="Hyperlink"/>
                </w:rPr>
                <w:t>IFC 19/2022</w:t>
              </w:r>
            </w:hyperlink>
            <w:r>
              <w:t>).</w:t>
            </w:r>
          </w:p>
        </w:tc>
      </w:tr>
    </w:tbl>
    <w:p w14:paraId="209D3376" w14:textId="77777777" w:rsidR="00356BF1" w:rsidRPr="00E162C4" w:rsidRDefault="00356BF1" w:rsidP="00356BF1">
      <w:pPr>
        <w:pStyle w:val="Paragraph"/>
      </w:pPr>
    </w:p>
    <w:p w14:paraId="49CBF7F4" w14:textId="77777777" w:rsidR="00356BF1" w:rsidRDefault="00356BF1" w:rsidP="00776763">
      <w:pPr>
        <w:pStyle w:val="Heading3"/>
        <w:keepLines/>
      </w:pPr>
      <w:r>
        <w:lastRenderedPageBreak/>
        <w:t>FX16</w:t>
      </w:r>
    </w:p>
    <w:p w14:paraId="30F42D6C" w14:textId="753BA86D" w:rsidR="00356BF1" w:rsidRDefault="00356BF1" w:rsidP="00776763">
      <w:pPr>
        <w:keepNext/>
        <w:keepLines/>
      </w:pPr>
      <w:r>
        <w:t>RALI FX16 provides frequency assignment and coordination procedures for point-to-multipoint services in the VHF high, 400 MHz and 800 MHz bands. The spectrum licence technical framework for the 700 MHz and 850 MHz band</w:t>
      </w:r>
      <w:r w:rsidR="00C245C1">
        <w:t>s</w:t>
      </w:r>
      <w:r>
        <w:rPr>
          <w:rStyle w:val="FootnoteReference"/>
        </w:rPr>
        <w:footnoteReference w:id="2"/>
      </w:r>
      <w:r>
        <w:t xml:space="preserve"> were recently updated to include coexistence arrangements with services operating in the new spectrum allocation for two-frequency fixed services.</w:t>
      </w:r>
      <w:r>
        <w:rPr>
          <w:rStyle w:val="FootnoteReference"/>
        </w:rPr>
        <w:footnoteReference w:id="3"/>
      </w:r>
      <w:r>
        <w:t xml:space="preserve"> </w:t>
      </w:r>
    </w:p>
    <w:p w14:paraId="227F63A6" w14:textId="40F2F86E" w:rsidR="00356BF1" w:rsidRPr="00AB11AB" w:rsidRDefault="00356BF1" w:rsidP="00356BF1">
      <w:r>
        <w:t>The ACMA proposes to make to minor, factual updates to RALI FX16 to reflect the new coexistence arrangements</w:t>
      </w:r>
      <w:r w:rsidR="00C245C1">
        <w:t>,</w:t>
      </w:r>
      <w:r w:rsidRPr="0065143E">
        <w:t xml:space="preserve"> </w:t>
      </w:r>
      <w:r>
        <w:t>as well as considering additional criteria and/or guidance to aid coordination between point-to-multipoint and 700 MHz spectrum licensed services. These proposals will be considered by the 700 MHz Technical Liaison Group (TLG) in June/July 2023 and updates to RALI FX16 are expected to occur in Q3</w:t>
      </w:r>
      <w:r w:rsidR="00C245C1">
        <w:t>–</w:t>
      </w:r>
      <w:r>
        <w:t xml:space="preserve">Q4 2023. </w:t>
      </w:r>
    </w:p>
    <w:p w14:paraId="0C1EA1DD" w14:textId="77777777" w:rsidR="00356BF1" w:rsidRDefault="00356BF1" w:rsidP="00356BF1">
      <w:pPr>
        <w:pStyle w:val="Heading3"/>
      </w:pPr>
      <w:r>
        <w:t>FX19</w:t>
      </w:r>
    </w:p>
    <w:p w14:paraId="0E344480" w14:textId="77777777" w:rsidR="00356BF1" w:rsidRPr="004608FE" w:rsidRDefault="00356BF1" w:rsidP="00356BF1">
      <w:pPr>
        <w:pStyle w:val="Paragraph"/>
      </w:pPr>
      <w:r w:rsidRPr="00177405">
        <w:t xml:space="preserve">Frequency coordination and licensing procedures for apparatus licensed broadband wireless access services in the 1900–1920 and 3575–3700 MHz bands </w:t>
      </w:r>
      <w:r>
        <w:t xml:space="preserve">are outlined in RALI FX19. </w:t>
      </w:r>
    </w:p>
    <w:p w14:paraId="0634923C" w14:textId="68018C62" w:rsidR="00356BF1" w:rsidRPr="000269ED" w:rsidRDefault="00356BF1" w:rsidP="00356BF1">
      <w:r>
        <w:t xml:space="preserve">The ACMA is currently </w:t>
      </w:r>
      <w:r w:rsidRPr="000269ED">
        <w:t>review</w:t>
      </w:r>
      <w:r>
        <w:t>ing</w:t>
      </w:r>
      <w:r w:rsidRPr="000269ED">
        <w:t xml:space="preserve"> the 1880–1920 MHz band </w:t>
      </w:r>
      <w:r>
        <w:t xml:space="preserve">(see </w:t>
      </w:r>
      <w:hyperlink r:id="rId36" w:history="1">
        <w:r w:rsidRPr="000A37BE">
          <w:rPr>
            <w:rStyle w:val="Hyperlink"/>
          </w:rPr>
          <w:t>IFC 40/2021</w:t>
        </w:r>
      </w:hyperlink>
      <w:r>
        <w:t xml:space="preserve">). </w:t>
      </w:r>
      <w:r w:rsidRPr="000269ED">
        <w:t xml:space="preserve">The 1880–1920 MHz band may be a candidate for changes to support new technologies including DECT-2020 and </w:t>
      </w:r>
      <w:r w:rsidR="00C245C1">
        <w:t>f</w:t>
      </w:r>
      <w:r w:rsidRPr="000269ED">
        <w:t xml:space="preserve">uture </w:t>
      </w:r>
      <w:r w:rsidR="00C245C1">
        <w:t>r</w:t>
      </w:r>
      <w:r w:rsidRPr="000269ED">
        <w:t xml:space="preserve">ail </w:t>
      </w:r>
      <w:r w:rsidR="00C245C1">
        <w:t>m</w:t>
      </w:r>
      <w:r w:rsidRPr="000269ED">
        <w:t xml:space="preserve">obile </w:t>
      </w:r>
      <w:r w:rsidR="00C245C1">
        <w:t>c</w:t>
      </w:r>
      <w:r w:rsidRPr="000269ED">
        <w:t xml:space="preserve">ommunications </w:t>
      </w:r>
      <w:r w:rsidR="00C245C1">
        <w:t>s</w:t>
      </w:r>
      <w:r w:rsidRPr="000269ED">
        <w:t>ystems. This may result in future changes to RALI FX19</w:t>
      </w:r>
      <w:r>
        <w:t xml:space="preserve">, </w:t>
      </w:r>
      <w:r w:rsidRPr="00876FB4">
        <w:rPr>
          <w:rFonts w:cs="Arial"/>
        </w:rPr>
        <w:t>which at this stage will not occur until Q1 2024 at the earliest.</w:t>
      </w:r>
      <w:r w:rsidRPr="000269ED" w:rsidDel="00876FB4">
        <w:t xml:space="preserve"> </w:t>
      </w:r>
    </w:p>
    <w:tbl>
      <w:tblPr>
        <w:tblStyle w:val="TableGrid"/>
        <w:tblW w:w="0" w:type="auto"/>
        <w:tblLook w:val="04A0" w:firstRow="1" w:lastRow="0" w:firstColumn="1" w:lastColumn="0" w:noHBand="0" w:noVBand="1"/>
      </w:tblPr>
      <w:tblGrid>
        <w:gridCol w:w="7661"/>
      </w:tblGrid>
      <w:tr w:rsidR="00356BF1" w14:paraId="3A70455A" w14:textId="77777777" w:rsidTr="00C34B84">
        <w:tc>
          <w:tcPr>
            <w:tcW w:w="7661" w:type="dxa"/>
            <w:shd w:val="clear" w:color="auto" w:fill="F2F2F2" w:themeFill="background1" w:themeFillShade="F2"/>
          </w:tcPr>
          <w:p w14:paraId="29DAAFF6" w14:textId="32D5A698" w:rsidR="00356BF1" w:rsidRDefault="00356BF1" w:rsidP="00C34B84">
            <w:pPr>
              <w:pStyle w:val="Paragraph"/>
              <w:rPr>
                <w:b/>
                <w:bCs/>
              </w:rPr>
            </w:pPr>
            <w:r w:rsidRPr="008A55C9">
              <w:rPr>
                <w:b/>
                <w:bCs/>
              </w:rPr>
              <w:t>Completed work from 2021</w:t>
            </w:r>
            <w:r w:rsidR="00C245C1">
              <w:rPr>
                <w:b/>
                <w:bCs/>
              </w:rPr>
              <w:t>–</w:t>
            </w:r>
            <w:r w:rsidRPr="008A55C9">
              <w:rPr>
                <w:b/>
                <w:bCs/>
              </w:rPr>
              <w:t>22 review work program</w:t>
            </w:r>
          </w:p>
          <w:p w14:paraId="459D31A1" w14:textId="6C4851FA" w:rsidR="00356BF1" w:rsidRDefault="00356BF1" w:rsidP="00C34B84">
            <w:pPr>
              <w:pStyle w:val="Paragraph"/>
            </w:pPr>
            <w:r>
              <w:t xml:space="preserve">In June 2023, material regarding the 3575–3700 MHz band was removed from RALI FX19 and relevant content absorbed into the recently created RALI MS47 </w:t>
            </w:r>
            <w:r w:rsidRPr="004608FE">
              <w:t>(</w:t>
            </w:r>
            <w:r w:rsidR="00C245C1">
              <w:t>s</w:t>
            </w:r>
            <w:r w:rsidRPr="004608FE">
              <w:t xml:space="preserve">ee </w:t>
            </w:r>
            <w:hyperlink r:id="rId37" w:history="1">
              <w:r w:rsidRPr="004608FE">
                <w:rPr>
                  <w:rStyle w:val="Hyperlink"/>
                </w:rPr>
                <w:t>IFC 11/2022</w:t>
              </w:r>
            </w:hyperlink>
            <w:r w:rsidRPr="004608FE">
              <w:t>)</w:t>
            </w:r>
            <w:r>
              <w:t xml:space="preserve">, which contains assignment and licensing arrangements for wireless broadband services across the 3400–4000 MHz band. Consolidating arrangements for apparatus licensed wireless broadband use into a single RALI will help simplify access to this band by interested parties. </w:t>
            </w:r>
          </w:p>
          <w:p w14:paraId="3A85CF58" w14:textId="77777777" w:rsidR="00356BF1" w:rsidRDefault="00356BF1" w:rsidP="00C34B84">
            <w:pPr>
              <w:pStyle w:val="Paragraph"/>
            </w:pPr>
            <w:r>
              <w:t>At the same time, minor updates were also made to arrangements in the 1900–1920 MHz band to account for the removal of spectrum licences in metropolitan areas in this </w:t>
            </w:r>
            <w:r w:rsidRPr="000269ED">
              <w:t>band.</w:t>
            </w:r>
          </w:p>
        </w:tc>
      </w:tr>
    </w:tbl>
    <w:p w14:paraId="00215422" w14:textId="77777777" w:rsidR="00356BF1" w:rsidRDefault="00356BF1" w:rsidP="00356BF1">
      <w:pPr>
        <w:pStyle w:val="Paragraph"/>
      </w:pPr>
    </w:p>
    <w:p w14:paraId="19A545F0" w14:textId="77777777" w:rsidR="00356BF1" w:rsidRDefault="00356BF1" w:rsidP="00356BF1">
      <w:pPr>
        <w:pStyle w:val="Heading3"/>
      </w:pPr>
      <w:r>
        <w:t>FX20</w:t>
      </w:r>
    </w:p>
    <w:p w14:paraId="7478DAC2" w14:textId="5336EA2D" w:rsidR="00356BF1" w:rsidRDefault="00356BF1" w:rsidP="00356BF1">
      <w:r>
        <w:t xml:space="preserve">RALI FX20 details the frequency coordination and licensing procedures for self-coordinated point-to-point stations in the 58, 75 and 85 GHz bands. In feedback to the </w:t>
      </w:r>
      <w:hyperlink r:id="rId38" w:history="1">
        <w:r w:rsidRPr="0032692A">
          <w:rPr>
            <w:rStyle w:val="Hyperlink"/>
          </w:rPr>
          <w:t>2022</w:t>
        </w:r>
        <w:r w:rsidR="00C245C1">
          <w:rPr>
            <w:rStyle w:val="Hyperlink"/>
          </w:rPr>
          <w:t>–</w:t>
        </w:r>
        <w:r w:rsidRPr="0032692A">
          <w:rPr>
            <w:rStyle w:val="Hyperlink"/>
          </w:rPr>
          <w:t>27 FYSO</w:t>
        </w:r>
      </w:hyperlink>
      <w:r>
        <w:t>, industry indicated that the 71</w:t>
      </w:r>
      <w:r w:rsidR="00C245C1">
        <w:t>–</w:t>
      </w:r>
      <w:r>
        <w:t>76 GHz and 81</w:t>
      </w:r>
      <w:r w:rsidR="00C245C1">
        <w:t>–</w:t>
      </w:r>
      <w:r>
        <w:t xml:space="preserve">86 GHz frequency ranges are becoming important to support the increasing demand for high-speed satellite services and that the ACMA should support the introduction of satellite communications services in these bands. </w:t>
      </w:r>
    </w:p>
    <w:p w14:paraId="5B6D3320" w14:textId="68A7543C" w:rsidR="00356BF1" w:rsidRDefault="00356BF1" w:rsidP="00776763">
      <w:pPr>
        <w:keepNext/>
        <w:keepLines/>
      </w:pPr>
      <w:r>
        <w:lastRenderedPageBreak/>
        <w:t xml:space="preserve">As detailed in our </w:t>
      </w:r>
      <w:hyperlink r:id="rId39" w:history="1">
        <w:r>
          <w:rPr>
            <w:rStyle w:val="Hyperlink"/>
          </w:rPr>
          <w:t xml:space="preserve">response to </w:t>
        </w:r>
        <w:r w:rsidRPr="001F2710">
          <w:rPr>
            <w:rStyle w:val="Hyperlink"/>
          </w:rPr>
          <w:t>2022</w:t>
        </w:r>
        <w:r w:rsidR="00C245C1">
          <w:rPr>
            <w:rStyle w:val="Hyperlink"/>
          </w:rPr>
          <w:t>–</w:t>
        </w:r>
        <w:r w:rsidRPr="001F2710">
          <w:rPr>
            <w:rStyle w:val="Hyperlink"/>
          </w:rPr>
          <w:t>2</w:t>
        </w:r>
        <w:r>
          <w:rPr>
            <w:rStyle w:val="Hyperlink"/>
          </w:rPr>
          <w:t>7 FYSO submissions</w:t>
        </w:r>
      </w:hyperlink>
      <w:r>
        <w:t>, the ACMA will consider arrangements to support satellite services on a coordinated basis with point-to-point links operating under RALI FX20 (potentially requiring updates to this RALI).</w:t>
      </w:r>
      <w:r w:rsidRPr="0033315C">
        <w:t xml:space="preserve"> </w:t>
      </w:r>
      <w:r>
        <w:t>This work is expected to occur across Q3 and Q4 2023.</w:t>
      </w:r>
    </w:p>
    <w:p w14:paraId="074F3F33" w14:textId="77777777" w:rsidR="00356BF1" w:rsidRPr="00637875" w:rsidRDefault="00356BF1" w:rsidP="00356BF1">
      <w:pPr>
        <w:pStyle w:val="Heading3"/>
      </w:pPr>
      <w:r w:rsidRPr="00637875">
        <w:t>FX21</w:t>
      </w:r>
    </w:p>
    <w:p w14:paraId="06384293" w14:textId="66C933C9" w:rsidR="00356BF1" w:rsidRDefault="00356BF1" w:rsidP="00356BF1">
      <w:r w:rsidRPr="00F320AA">
        <w:t>RALI F</w:t>
      </w:r>
      <w:r>
        <w:t>X</w:t>
      </w:r>
      <w:r w:rsidRPr="00F320AA">
        <w:t>21 contains f</w:t>
      </w:r>
      <w:r w:rsidRPr="000815E4">
        <w:t>requency</w:t>
      </w:r>
      <w:r w:rsidRPr="003454E8">
        <w:t xml:space="preserve"> coordination and licensing </w:t>
      </w:r>
      <w:r w:rsidRPr="000815E4">
        <w:t>arrangements</w:t>
      </w:r>
      <w:r w:rsidRPr="003454E8">
        <w:t xml:space="preserve"> for TOB services in the bands 1980</w:t>
      </w:r>
      <w:r w:rsidR="00C245C1">
        <w:t>–</w:t>
      </w:r>
      <w:r w:rsidRPr="003454E8">
        <w:t>2110 MHz and 2170</w:t>
      </w:r>
      <w:r w:rsidR="00C245C1">
        <w:t>–</w:t>
      </w:r>
      <w:r w:rsidRPr="003454E8">
        <w:t xml:space="preserve">2300 </w:t>
      </w:r>
      <w:proofErr w:type="spellStart"/>
      <w:r w:rsidRPr="003454E8">
        <w:t>MHz.</w:t>
      </w:r>
      <w:proofErr w:type="spellEnd"/>
      <w:r>
        <w:t xml:space="preserve"> This RALI was updated in August 2022 to reflect new arrangements for TOB services and the introduction of mobile satellite services (MSS) in 1980</w:t>
      </w:r>
      <w:r w:rsidR="00C245C1">
        <w:t>–</w:t>
      </w:r>
      <w:r>
        <w:t>2010 MHz and 2170</w:t>
      </w:r>
      <w:r w:rsidR="00C245C1">
        <w:t>–</w:t>
      </w:r>
      <w:r>
        <w:t xml:space="preserve">2200 MHz (see IFC </w:t>
      </w:r>
      <w:hyperlink r:id="rId40" w:history="1">
        <w:r w:rsidRPr="00C23FAF">
          <w:rPr>
            <w:rStyle w:val="Hyperlink"/>
          </w:rPr>
          <w:t>45/2021</w:t>
        </w:r>
      </w:hyperlink>
      <w:r>
        <w:t xml:space="preserve"> and IFC </w:t>
      </w:r>
      <w:hyperlink r:id="rId41" w:history="1">
        <w:r w:rsidRPr="00C23FAF">
          <w:rPr>
            <w:rStyle w:val="Hyperlink"/>
          </w:rPr>
          <w:t>46/2021</w:t>
        </w:r>
      </w:hyperlink>
      <w:r>
        <w:t xml:space="preserve">). </w:t>
      </w:r>
    </w:p>
    <w:p w14:paraId="375EB9F9" w14:textId="77777777" w:rsidR="00356BF1" w:rsidRDefault="00356BF1" w:rsidP="00356BF1">
      <w:r>
        <w:t>As work to support the introduction of MSS continues, there is likely to be future consequential updates to FX 21. At this stage no changes are envisaged until Q2 2024 or later (</w:t>
      </w:r>
      <w:bookmarkStart w:id="18" w:name="_Hlk137128975"/>
      <w:r>
        <w:t>which is when consultation on</w:t>
      </w:r>
      <w:r w:rsidRPr="4F20F49D">
        <w:rPr>
          <w:rFonts w:eastAsia="Arial" w:cs="Arial"/>
        </w:rPr>
        <w:t xml:space="preserve"> </w:t>
      </w:r>
      <w:r>
        <w:rPr>
          <w:rFonts w:eastAsia="Arial" w:cs="Arial"/>
        </w:rPr>
        <w:t xml:space="preserve">the </w:t>
      </w:r>
      <w:r w:rsidRPr="4F20F49D">
        <w:rPr>
          <w:rFonts w:eastAsia="Arial" w:cs="Arial"/>
        </w:rPr>
        <w:t xml:space="preserve">draft technical framework </w:t>
      </w:r>
      <w:r>
        <w:rPr>
          <w:rFonts w:eastAsia="Arial" w:cs="Arial"/>
        </w:rPr>
        <w:t xml:space="preserve">instruments </w:t>
      </w:r>
      <w:r w:rsidRPr="4F20F49D">
        <w:rPr>
          <w:rFonts w:eastAsia="Arial" w:cs="Arial"/>
        </w:rPr>
        <w:t xml:space="preserve">supporting the allocation of licences </w:t>
      </w:r>
      <w:r>
        <w:rPr>
          <w:rFonts w:eastAsia="Arial" w:cs="Arial"/>
        </w:rPr>
        <w:t>for MSS</w:t>
      </w:r>
      <w:r w:rsidRPr="4F20F49D">
        <w:rPr>
          <w:rFonts w:eastAsia="Arial" w:cs="Arial"/>
        </w:rPr>
        <w:t xml:space="preserve"> is envisaged to commence</w:t>
      </w:r>
      <w:r>
        <w:rPr>
          <w:rFonts w:eastAsia="Arial" w:cs="Arial"/>
        </w:rPr>
        <w:t>)</w:t>
      </w:r>
      <w:r>
        <w:t>.</w:t>
      </w:r>
      <w:bookmarkEnd w:id="18"/>
    </w:p>
    <w:p w14:paraId="4811649E" w14:textId="77777777" w:rsidR="00356BF1" w:rsidRDefault="00356BF1" w:rsidP="00356BF1">
      <w:pPr>
        <w:pStyle w:val="Heading3"/>
      </w:pPr>
      <w:r>
        <w:t>FX22</w:t>
      </w:r>
    </w:p>
    <w:p w14:paraId="5E4DCF19" w14:textId="77777777" w:rsidR="00356BF1" w:rsidRDefault="00356BF1" w:rsidP="00356BF1">
      <w:pPr>
        <w:pStyle w:val="Paragraph"/>
      </w:pPr>
      <w:r>
        <w:t>RALI FX22 contains f</w:t>
      </w:r>
      <w:r w:rsidRPr="00CD6364">
        <w:t xml:space="preserve">requency assignment requirements </w:t>
      </w:r>
      <w:r w:rsidRPr="00E0599A">
        <w:t>for the fixed service in the 800 MHz band</w:t>
      </w:r>
      <w:r>
        <w:t xml:space="preserve">. </w:t>
      </w:r>
    </w:p>
    <w:p w14:paraId="6A0ED9C8" w14:textId="77777777" w:rsidR="00356BF1" w:rsidRDefault="00356BF1" w:rsidP="00356BF1">
      <w:r>
        <w:t>The spectrum licence technical framework for the 700 MHz</w:t>
      </w:r>
      <w:r>
        <w:rPr>
          <w:rStyle w:val="FootnoteReference"/>
        </w:rPr>
        <w:footnoteReference w:id="4"/>
      </w:r>
      <w:r>
        <w:t xml:space="preserve">  was recently updated to include coexistence arrangements with services operating in the new spectrum allocation for two-frequency fixed services.</w:t>
      </w:r>
      <w:r>
        <w:rPr>
          <w:rStyle w:val="FootnoteReference"/>
        </w:rPr>
        <w:footnoteReference w:id="5"/>
      </w:r>
      <w:r>
        <w:t xml:space="preserve"> </w:t>
      </w:r>
    </w:p>
    <w:p w14:paraId="56C5B67B" w14:textId="7502A66C" w:rsidR="00356BF1" w:rsidRPr="00AB11AB" w:rsidRDefault="00356BF1" w:rsidP="00356BF1">
      <w:r>
        <w:t>The ACMA proposes to make minor, factual updates to RALI FX22 to reflect the new coexistence arrangements</w:t>
      </w:r>
      <w:r w:rsidR="00C245C1">
        <w:t>,</w:t>
      </w:r>
      <w:r w:rsidRPr="0065143E">
        <w:t xml:space="preserve"> </w:t>
      </w:r>
      <w:r>
        <w:t>as well as considering additional criteria and/or guidance to aid coordination between point-to-point and 700 MHz spectrum licensed services. These proposals will be considered by the 700 MHz TLG in June/July 2023 and updates to RALI FX22 are expected to occur in Q3</w:t>
      </w:r>
      <w:r w:rsidR="00C245C1">
        <w:t>–</w:t>
      </w:r>
      <w:r>
        <w:t xml:space="preserve">Q4 2023. </w:t>
      </w:r>
    </w:p>
    <w:p w14:paraId="79F66AF1" w14:textId="50DF253E" w:rsidR="00356BF1" w:rsidRPr="00E162C4" w:rsidRDefault="00356BF1" w:rsidP="00356BF1">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r>
        <w:t>Completed work from 2021</w:t>
      </w:r>
      <w:r w:rsidR="00C245C1">
        <w:t>–</w:t>
      </w:r>
      <w:r>
        <w:t>22 review work program</w:t>
      </w:r>
    </w:p>
    <w:p w14:paraId="7D718CB8" w14:textId="6D36408A" w:rsidR="00356BF1" w:rsidRDefault="00356BF1" w:rsidP="00356BF1">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RALI FX22 was updated in July 2022 </w:t>
      </w:r>
      <w:r w:rsidR="00C245C1">
        <w:t xml:space="preserve">to </w:t>
      </w:r>
      <w:r>
        <w:t>incorporate</w:t>
      </w:r>
      <w:r w:rsidRPr="004608FE">
        <w:t xml:space="preserve"> </w:t>
      </w:r>
      <w:r w:rsidRPr="006B4A95">
        <w:t>changes made to the 850 MHz and 900 MHz spectrum licence technical frameworks</w:t>
      </w:r>
      <w:r>
        <w:t xml:space="preserve">  (See </w:t>
      </w:r>
      <w:hyperlink r:id="rId42" w:history="1">
        <w:r w:rsidRPr="00AD3A91">
          <w:rPr>
            <w:rStyle w:val="Hyperlink"/>
          </w:rPr>
          <w:t>IFC 05/2022</w:t>
        </w:r>
      </w:hyperlink>
      <w:r>
        <w:t>).</w:t>
      </w:r>
    </w:p>
    <w:p w14:paraId="083061B6" w14:textId="77777777" w:rsidR="00356BF1" w:rsidRDefault="00356BF1" w:rsidP="00356BF1">
      <w:pPr>
        <w:pStyle w:val="Heading3"/>
      </w:pPr>
      <w:r>
        <w:t>FX23</w:t>
      </w:r>
    </w:p>
    <w:p w14:paraId="43214820" w14:textId="34BF9B7E" w:rsidR="00356BF1" w:rsidRPr="00E162C4" w:rsidRDefault="00356BF1" w:rsidP="00356BF1">
      <w:pPr>
        <w:pStyle w:val="Paragraph"/>
      </w:pPr>
      <w:r w:rsidRPr="00177405">
        <w:t>Frequency coordination and licensing procedures for point</w:t>
      </w:r>
      <w:r>
        <w:t>-</w:t>
      </w:r>
      <w:r w:rsidRPr="00177405">
        <w:t>to</w:t>
      </w:r>
      <w:r>
        <w:t>-</w:t>
      </w:r>
      <w:r w:rsidRPr="00177405">
        <w:t xml:space="preserve">multipoint services in the 5.6 GHz band </w:t>
      </w:r>
      <w:r>
        <w:t xml:space="preserve">are detailed in RALI FX23. We intend to make editorial updates as well as updating Annex D, which contains the locations and parameter values for potential sites for future weather radars. This will ensure the 5.6 GHz band is available for utilisation to its full potential by ensuring coordination with incumbent services is based on the most up-to-date technical characteristics. </w:t>
      </w:r>
      <w:r w:rsidRPr="006B4A95">
        <w:t xml:space="preserve">This work </w:t>
      </w:r>
      <w:r>
        <w:t>has been delayed from the timings in the 2021</w:t>
      </w:r>
      <w:r w:rsidR="00C245C1">
        <w:t>–</w:t>
      </w:r>
      <w:r>
        <w:t xml:space="preserve">22 review work program and </w:t>
      </w:r>
      <w:r w:rsidRPr="006B4A95">
        <w:t>is</w:t>
      </w:r>
      <w:r>
        <w:t xml:space="preserve"> now</w:t>
      </w:r>
      <w:r w:rsidRPr="006B4A95">
        <w:t xml:space="preserve"> expected to occur </w:t>
      </w:r>
      <w:r>
        <w:t>in</w:t>
      </w:r>
      <w:r w:rsidRPr="006B4A95">
        <w:t xml:space="preserve"> Q</w:t>
      </w:r>
      <w:r>
        <w:t>3</w:t>
      </w:r>
      <w:r w:rsidR="00C245C1">
        <w:t>–</w:t>
      </w:r>
      <w:r>
        <w:t>Q4</w:t>
      </w:r>
      <w:r w:rsidRPr="006B4A95">
        <w:t xml:space="preserve"> 202</w:t>
      </w:r>
      <w:r>
        <w:t>3</w:t>
      </w:r>
      <w:r w:rsidRPr="006B4A95">
        <w:t>.</w:t>
      </w:r>
      <w:r>
        <w:t xml:space="preserve"> </w:t>
      </w:r>
    </w:p>
    <w:p w14:paraId="6ED8D8A0" w14:textId="77777777" w:rsidR="00356BF1" w:rsidRDefault="00356BF1" w:rsidP="00776763">
      <w:pPr>
        <w:pStyle w:val="Heading3"/>
        <w:keepLines/>
      </w:pPr>
      <w:r>
        <w:lastRenderedPageBreak/>
        <w:t>LM08</w:t>
      </w:r>
    </w:p>
    <w:p w14:paraId="0FFB6CA3" w14:textId="77777777" w:rsidR="00356BF1" w:rsidRDefault="00356BF1" w:rsidP="00776763">
      <w:pPr>
        <w:pStyle w:val="Paragraph"/>
        <w:keepNext/>
        <w:keepLines/>
      </w:pPr>
      <w:r>
        <w:t>RALI LM08 contains f</w:t>
      </w:r>
      <w:r w:rsidRPr="00CD6364">
        <w:t>requency assignment requirements for the land mobile service</w:t>
      </w:r>
      <w:r>
        <w:t xml:space="preserve">. </w:t>
      </w:r>
    </w:p>
    <w:p w14:paraId="3B835C17" w14:textId="77777777" w:rsidR="00356BF1" w:rsidRDefault="00356BF1" w:rsidP="00776763">
      <w:pPr>
        <w:pStyle w:val="Bulletlevel1"/>
        <w:keepNext/>
        <w:keepLines/>
        <w:numPr>
          <w:ilvl w:val="0"/>
          <w:numId w:val="0"/>
        </w:numPr>
        <w:tabs>
          <w:tab w:val="left" w:pos="720"/>
        </w:tabs>
      </w:pPr>
      <w:r>
        <w:t xml:space="preserve">The ACMA is intending to amend arrangements in RALI LM08 to implement the final milestones arising from the 803–960 MHz band review, as set out in the </w:t>
      </w:r>
      <w:hyperlink r:id="rId43" w:history="1">
        <w:r>
          <w:rPr>
            <w:rStyle w:val="Hyperlink"/>
          </w:rPr>
          <w:t>decision paper</w:t>
        </w:r>
      </w:hyperlink>
      <w:r>
        <w:t xml:space="preserve"> published in 2015. As described in the decision paper, the planned LM08 update will include:</w:t>
      </w:r>
    </w:p>
    <w:p w14:paraId="3970C502" w14:textId="4D38322E" w:rsidR="00356BF1" w:rsidRDefault="00C245C1" w:rsidP="00776763">
      <w:pPr>
        <w:pStyle w:val="Bulletlevel1"/>
        <w:keepNext/>
        <w:keepLines/>
      </w:pPr>
      <w:r>
        <w:t>a</w:t>
      </w:r>
      <w:r w:rsidR="00356BF1">
        <w:t>mending frequency limits for the 800 MHz trunked land mobile band in Annex A (Table A1) from 806–870 MHz to 806–854 MHz</w:t>
      </w:r>
    </w:p>
    <w:p w14:paraId="3642B1B9" w14:textId="52C79BA1" w:rsidR="00356BF1" w:rsidRDefault="00C245C1" w:rsidP="00776763">
      <w:pPr>
        <w:pStyle w:val="Bulletlevel1"/>
        <w:keepNext/>
        <w:keepLines/>
      </w:pPr>
      <w:r>
        <w:t>r</w:t>
      </w:r>
      <w:r w:rsidR="00356BF1">
        <w:t>emoving Table B4.2, renaming Table B4.2a as Table B4.2 (which will put into effect the removal of the allocation at 820–825/865–870 MHz) and changing channel numbers from 201–440 to 1–240</w:t>
      </w:r>
    </w:p>
    <w:p w14:paraId="37A8D170" w14:textId="6A3A0D80" w:rsidR="00356BF1" w:rsidRDefault="00C245C1" w:rsidP="00776763">
      <w:pPr>
        <w:pStyle w:val="Bulletlevel1"/>
        <w:keepNext/>
        <w:keepLines/>
      </w:pPr>
      <w:r>
        <w:t>r</w:t>
      </w:r>
      <w:r w:rsidR="00356BF1">
        <w:t>emoving Table B4.1, renaming Table B4.1a as Table B4.1 and changing channel numbers from 201–440 to 1–240</w:t>
      </w:r>
    </w:p>
    <w:p w14:paraId="6277773F" w14:textId="564EA2E1" w:rsidR="00356BF1" w:rsidRDefault="00C245C1" w:rsidP="00776763">
      <w:pPr>
        <w:pStyle w:val="Bulletlevel1"/>
        <w:keepNext/>
        <w:keepLines/>
      </w:pPr>
      <w:r>
        <w:t>r</w:t>
      </w:r>
      <w:r w:rsidR="00356BF1">
        <w:t>enumbering channels from 201</w:t>
      </w:r>
      <w:r>
        <w:t>–</w:t>
      </w:r>
      <w:r w:rsidR="00356BF1">
        <w:t>320 to 1</w:t>
      </w:r>
      <w:r>
        <w:t>–</w:t>
      </w:r>
      <w:r w:rsidR="00356BF1">
        <w:t>120 in Tables B5.1 and B5.2</w:t>
      </w:r>
    </w:p>
    <w:p w14:paraId="1C26A99E" w14:textId="64DC4A08" w:rsidR="00356BF1" w:rsidRDefault="00C245C1" w:rsidP="00776763">
      <w:pPr>
        <w:pStyle w:val="Bulletlevel1last"/>
        <w:keepNext/>
        <w:keepLines/>
      </w:pPr>
      <w:r>
        <w:t>r</w:t>
      </w:r>
      <w:r w:rsidR="00356BF1">
        <w:t>etaining existing frequency-distance constraints and technical parameters for intermodulation checking purposes.</w:t>
      </w:r>
    </w:p>
    <w:p w14:paraId="1245E44C" w14:textId="3E957732" w:rsidR="00356BF1" w:rsidRDefault="00356BF1" w:rsidP="00356BF1">
      <w:pPr>
        <w:pStyle w:val="Bulletlevel1last"/>
        <w:numPr>
          <w:ilvl w:val="0"/>
          <w:numId w:val="0"/>
        </w:numPr>
      </w:pPr>
      <w:r>
        <w:t xml:space="preserve">In addition to the above, </w:t>
      </w:r>
      <w:r w:rsidR="00C245C1">
        <w:t xml:space="preserve">we </w:t>
      </w:r>
      <w:r>
        <w:t>propose to make to minor, factual updates to RALI LM08 to reflect the new coexistence arrangements</w:t>
      </w:r>
      <w:r w:rsidRPr="0065143E">
        <w:t xml:space="preserve"> </w:t>
      </w:r>
      <w:r>
        <w:t>as well as considering additional criteria and/or guidance to aid coordination between point-to-point and 700 MHz spectrum licensed services. These proposals will be considered by the 700 MHz TLG in June/July 2023 and updates to RALI LM08 are expected to occur in Q3</w:t>
      </w:r>
      <w:r w:rsidR="00284EED">
        <w:t>–</w:t>
      </w:r>
      <w:r>
        <w:t>Q4 2023</w:t>
      </w:r>
      <w:r w:rsidR="00284EED">
        <w:t>.</w:t>
      </w:r>
    </w:p>
    <w:p w14:paraId="1E53FF8B" w14:textId="7E1B060F" w:rsidR="00356BF1" w:rsidRPr="00E162C4" w:rsidRDefault="00356BF1" w:rsidP="00356BF1">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r>
        <w:t>Completed work from 2021</w:t>
      </w:r>
      <w:r w:rsidR="00284EED">
        <w:t>–</w:t>
      </w:r>
      <w:r>
        <w:t>22 review work program</w:t>
      </w:r>
      <w:r w:rsidDel="001A0E87">
        <w:t xml:space="preserve"> </w:t>
      </w:r>
    </w:p>
    <w:p w14:paraId="177F395C" w14:textId="73126539" w:rsidR="00356BF1" w:rsidRDefault="00356BF1" w:rsidP="00356BF1">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We completed an initial internal study of </w:t>
      </w:r>
      <w:bookmarkStart w:id="19" w:name="_Hlk117764256"/>
      <w:r>
        <w:t xml:space="preserve">the frequency distance reuse constraints </w:t>
      </w:r>
      <w:bookmarkEnd w:id="19"/>
      <w:r>
        <w:t xml:space="preserve">for 400 MHz services. Preliminary results indicated some opportunities to reduce the </w:t>
      </w:r>
      <w:r w:rsidR="00284EED">
        <w:t>f</w:t>
      </w:r>
      <w:r>
        <w:t>requency/</w:t>
      </w:r>
      <w:r w:rsidR="00284EED">
        <w:t>d</w:t>
      </w:r>
      <w:r>
        <w:t xml:space="preserve">istance </w:t>
      </w:r>
      <w:r w:rsidR="00284EED">
        <w:t>c</w:t>
      </w:r>
      <w:r>
        <w:t xml:space="preserve">onstraints distance and, as a result, allow scope for more efficient allocation of services in congested areas. However, these opportunities are mostly limited to the assignment of simplex services, which are both low in number (with respect to duplex services) and declining in number.  </w:t>
      </w:r>
    </w:p>
    <w:p w14:paraId="06C84B4D" w14:textId="2ABFDB7E" w:rsidR="00356BF1" w:rsidRDefault="00356BF1" w:rsidP="00356BF1">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Given that these reforms would be substantial, while not materially assisting in improving utility in congested segments/areas now or into the future, it was decided that no changes will be made to </w:t>
      </w:r>
      <w:r w:rsidRPr="00E064B8">
        <w:t xml:space="preserve">frequency distance reuse constraints </w:t>
      </w:r>
      <w:r>
        <w:t>for 400 MHz services at this stage</w:t>
      </w:r>
      <w:r w:rsidR="007D467E">
        <w:t xml:space="preserve"> (also see the </w:t>
      </w:r>
      <w:hyperlink r:id="rId44" w:history="1">
        <w:r w:rsidR="007D467E" w:rsidRPr="007D467E">
          <w:rPr>
            <w:rStyle w:val="Hyperlink"/>
          </w:rPr>
          <w:t>RALI LM08 page</w:t>
        </w:r>
      </w:hyperlink>
      <w:r w:rsidR="007D467E">
        <w:t xml:space="preserve"> on our website)</w:t>
      </w:r>
      <w:r>
        <w:t xml:space="preserve">. </w:t>
      </w:r>
    </w:p>
    <w:p w14:paraId="4CFD8A62" w14:textId="77777777" w:rsidR="00356BF1" w:rsidRDefault="00356BF1" w:rsidP="00356BF1">
      <w:pPr>
        <w:pStyle w:val="Heading3"/>
      </w:pPr>
      <w:r>
        <w:t>MS33</w:t>
      </w:r>
    </w:p>
    <w:p w14:paraId="35B2C165" w14:textId="438A5D68" w:rsidR="00356BF1" w:rsidRDefault="00356BF1" w:rsidP="00356BF1">
      <w:pPr>
        <w:pStyle w:val="Paragraph"/>
      </w:pPr>
      <w:r w:rsidRPr="00B64ACB">
        <w:t xml:space="preserve">Frequency coordination and licensing procedures for apparatus licensed </w:t>
      </w:r>
      <w:r w:rsidR="00284EED">
        <w:t>p</w:t>
      </w:r>
      <w:r w:rsidRPr="006F583A">
        <w:t xml:space="preserve">ublic </w:t>
      </w:r>
      <w:r w:rsidR="00284EED">
        <w:t>t</w:t>
      </w:r>
      <w:r w:rsidRPr="006F583A">
        <w:t xml:space="preserve">elecommunications </w:t>
      </w:r>
      <w:r w:rsidR="00284EED">
        <w:t>s</w:t>
      </w:r>
      <w:r w:rsidRPr="006F583A">
        <w:t xml:space="preserve">ervices </w:t>
      </w:r>
      <w:r>
        <w:t>(</w:t>
      </w:r>
      <w:r w:rsidRPr="00B64ACB">
        <w:t>PTS</w:t>
      </w:r>
      <w:r>
        <w:t>)</w:t>
      </w:r>
      <w:r w:rsidRPr="00B64ACB">
        <w:t xml:space="preserve"> in the 2</w:t>
      </w:r>
      <w:r>
        <w:t> </w:t>
      </w:r>
      <w:r w:rsidRPr="00B64ACB">
        <w:t>GHz band</w:t>
      </w:r>
      <w:r>
        <w:t xml:space="preserve"> are detailed in RALI MS33. A review of arrangements will commence with an options paper in Q3 2023 that will cover MS33 and MS34.</w:t>
      </w:r>
      <w:bookmarkStart w:id="20" w:name="_Hlk84947040"/>
    </w:p>
    <w:bookmarkEnd w:id="20"/>
    <w:p w14:paraId="25B219D5" w14:textId="77777777" w:rsidR="00356BF1" w:rsidRDefault="00356BF1" w:rsidP="00356BF1">
      <w:pPr>
        <w:pStyle w:val="Heading3"/>
      </w:pPr>
      <w:r>
        <w:t>MS34</w:t>
      </w:r>
    </w:p>
    <w:p w14:paraId="3C95C790" w14:textId="77777777" w:rsidR="00356BF1" w:rsidRDefault="00356BF1" w:rsidP="00356BF1">
      <w:pPr>
        <w:pStyle w:val="Paragraph"/>
      </w:pPr>
      <w:r w:rsidRPr="00B64ACB">
        <w:t xml:space="preserve">Frequency coordination and licensing procedures for apparatus licensed PTS in the </w:t>
      </w:r>
      <w:r>
        <w:t>1800 M</w:t>
      </w:r>
      <w:r w:rsidRPr="00B64ACB">
        <w:t>Hz band</w:t>
      </w:r>
      <w:r>
        <w:t xml:space="preserve"> are detailed in RALI MS34. A review of arrangements will commence with an options paper in Q3 2023 that will cover MS33 and MS34.</w:t>
      </w:r>
    </w:p>
    <w:p w14:paraId="5915A837" w14:textId="77777777" w:rsidR="00356BF1" w:rsidRDefault="00356BF1" w:rsidP="00776763">
      <w:pPr>
        <w:pStyle w:val="Heading3"/>
        <w:keepLines/>
      </w:pPr>
      <w:r>
        <w:lastRenderedPageBreak/>
        <w:t>MS47</w:t>
      </w:r>
    </w:p>
    <w:p w14:paraId="2EE33C12" w14:textId="73D9CDE6" w:rsidR="00356BF1" w:rsidRDefault="00356BF1" w:rsidP="00776763">
      <w:pPr>
        <w:pStyle w:val="Paragraph"/>
        <w:keepNext/>
        <w:keepLines/>
      </w:pPr>
      <w:r>
        <w:t>RALI MS47 was created in June 2023 and details the l</w:t>
      </w:r>
      <w:r w:rsidRPr="00FA48BA">
        <w:t xml:space="preserve">icensing and coordination procedures for area-wide apparatus licensed services in the </w:t>
      </w:r>
      <w:r>
        <w:t>3400</w:t>
      </w:r>
      <w:r w:rsidR="00284EED">
        <w:t>–</w:t>
      </w:r>
      <w:r>
        <w:t>4000 MHz</w:t>
      </w:r>
      <w:r w:rsidRPr="00FA48BA">
        <w:t xml:space="preserve"> bands</w:t>
      </w:r>
      <w:r>
        <w:t xml:space="preserve"> in remote areas only.</w:t>
      </w:r>
      <w:r>
        <w:rPr>
          <w:rStyle w:val="FootnoteReference"/>
        </w:rPr>
        <w:footnoteReference w:id="6"/>
      </w:r>
      <w:r>
        <w:t xml:space="preserve"> As technical frameworks are developed for the four </w:t>
      </w:r>
      <w:hyperlink r:id="rId45" w:history="1">
        <w:r w:rsidRPr="00EB7D33">
          <w:rPr>
            <w:rStyle w:val="Hyperlink"/>
          </w:rPr>
          <w:t>projects</w:t>
        </w:r>
      </w:hyperlink>
      <w:r>
        <w:t xml:space="preserve"> in this band, consequential revisions to RALI MS47 will need to be made to reflect decisions on the technical frameworks and allocations. This work is expected to occur across</w:t>
      </w:r>
      <w:r w:rsidRPr="005C00D6">
        <w:t xml:space="preserve"> </w:t>
      </w:r>
      <w:r>
        <w:t>Q3 and Q4 2023.</w:t>
      </w:r>
    </w:p>
    <w:p w14:paraId="5E843C34" w14:textId="77777777" w:rsidR="00356BF1" w:rsidRDefault="00356BF1" w:rsidP="00356BF1">
      <w:pPr>
        <w:pStyle w:val="Heading3"/>
        <w:keepLines/>
      </w:pPr>
      <w:r>
        <w:t>SP 4/93</w:t>
      </w:r>
    </w:p>
    <w:p w14:paraId="1206838A" w14:textId="26079EFB" w:rsidR="00356BF1" w:rsidRPr="00E162C4" w:rsidRDefault="00356BF1" w:rsidP="00356BF1">
      <w:pPr>
        <w:pStyle w:val="Paragraph"/>
      </w:pPr>
      <w:r>
        <w:t>SP 4/93 contains c</w:t>
      </w:r>
      <w:r w:rsidRPr="00563E46">
        <w:t>oordination procedures for the licensing of services sharing the 857–861 MHz band</w:t>
      </w:r>
      <w:r>
        <w:t>. This document will be suppressed in Q3</w:t>
      </w:r>
      <w:r w:rsidR="00284EED">
        <w:t>–</w:t>
      </w:r>
      <w:r>
        <w:t>Q4 2023 as part of the implementation of the review of the 803–960 MHz band</w:t>
      </w:r>
      <w:r w:rsidR="00284EED">
        <w:t>.</w:t>
      </w:r>
      <w:r>
        <w:t xml:space="preserve"> </w:t>
      </w:r>
      <w:r w:rsidR="00284EED">
        <w:t>T</w:t>
      </w:r>
      <w:r>
        <w:t>he frequencies covered by this document have been reallocated for spectrum licensing, and assignment instructions for the relocated services are now contained in RALI FX 22.</w:t>
      </w:r>
    </w:p>
    <w:p w14:paraId="1EF10726" w14:textId="77777777" w:rsidR="00356BF1" w:rsidRPr="00E162C4" w:rsidRDefault="00356BF1" w:rsidP="00356BF1">
      <w:pPr>
        <w:pStyle w:val="Paragraph"/>
      </w:pPr>
    </w:p>
    <w:p w14:paraId="1FABF142" w14:textId="166C3487" w:rsidR="00356BF1" w:rsidRPr="00743C8B" w:rsidRDefault="00356BF1" w:rsidP="00356BF1">
      <w:pPr>
        <w:pStyle w:val="Heading1"/>
      </w:pPr>
      <w:bookmarkStart w:id="21" w:name="_Toc137814961"/>
      <w:bookmarkStart w:id="22" w:name="_Toc138153894"/>
      <w:r>
        <w:lastRenderedPageBreak/>
        <w:t>Completed RALI updates from the 2021</w:t>
      </w:r>
      <w:r w:rsidR="00A5182F">
        <w:t>–</w:t>
      </w:r>
      <w:r>
        <w:t>22 review work program</w:t>
      </w:r>
      <w:bookmarkEnd w:id="21"/>
      <w:bookmarkEnd w:id="22"/>
    </w:p>
    <w:p w14:paraId="22532A26" w14:textId="77777777" w:rsidR="00356BF1" w:rsidRDefault="00356BF1" w:rsidP="00356BF1">
      <w:pPr>
        <w:pStyle w:val="Heading3"/>
      </w:pPr>
      <w:r>
        <w:t>FX14</w:t>
      </w:r>
    </w:p>
    <w:p w14:paraId="6B84BDFB" w14:textId="20B3772E" w:rsidR="00356BF1" w:rsidRPr="001C19DF" w:rsidRDefault="00356BF1" w:rsidP="00356BF1">
      <w:pPr>
        <w:pStyle w:val="Paragraph"/>
      </w:pPr>
      <w:r>
        <w:t>RALI FX14 previously contained arrangements for p</w:t>
      </w:r>
      <w:r w:rsidRPr="00177405">
        <w:t>oint</w:t>
      </w:r>
      <w:r>
        <w:t>-</w:t>
      </w:r>
      <w:r w:rsidRPr="00177405">
        <w:t>to</w:t>
      </w:r>
      <w:r>
        <w:t>-</w:t>
      </w:r>
      <w:r w:rsidRPr="00177405">
        <w:t>multi</w:t>
      </w:r>
      <w:r>
        <w:t>-</w:t>
      </w:r>
      <w:r w:rsidRPr="00177405">
        <w:t>point fixed services in specified parts of the 3.4–3.5 GHz band</w:t>
      </w:r>
      <w:r>
        <w:t>.</w:t>
      </w:r>
      <w:r w:rsidRPr="00177405">
        <w:t xml:space="preserve"> </w:t>
      </w:r>
      <w:r w:rsidRPr="00B23079">
        <w:t>Th</w:t>
      </w:r>
      <w:r>
        <w:t xml:space="preserve">is RALI was suppressed in June 2023 </w:t>
      </w:r>
      <w:r w:rsidRPr="004608FE">
        <w:t>(</w:t>
      </w:r>
      <w:r w:rsidR="00A5182F">
        <w:t>s</w:t>
      </w:r>
      <w:r w:rsidRPr="004608FE">
        <w:t xml:space="preserve">ee </w:t>
      </w:r>
      <w:hyperlink r:id="rId46" w:history="1">
        <w:r w:rsidRPr="004608FE">
          <w:rPr>
            <w:rStyle w:val="Hyperlink"/>
          </w:rPr>
          <w:t>IFC 11/2022</w:t>
        </w:r>
      </w:hyperlink>
      <w:r>
        <w:rPr>
          <w:rStyle w:val="Hyperlink"/>
        </w:rPr>
        <w:t>)</w:t>
      </w:r>
      <w:r w:rsidR="00A5182F">
        <w:t xml:space="preserve">, </w:t>
      </w:r>
      <w:r>
        <w:t>with relevant content absorbed into RALI MS47</w:t>
      </w:r>
      <w:r w:rsidR="00A5182F">
        <w:t>,</w:t>
      </w:r>
      <w:r>
        <w:t xml:space="preserve"> which includes apparatus assignment and licensing arrangements for wireless broadband services across the entire 3400–4000 MHz band. Consolidating arrangements for apparatus licensed wireless broadband use into a single RALI will help simplify access to this band by interested parties. </w:t>
      </w:r>
    </w:p>
    <w:p w14:paraId="5E793FA4" w14:textId="77777777" w:rsidR="00356BF1" w:rsidRDefault="00356BF1" w:rsidP="00356BF1">
      <w:pPr>
        <w:pStyle w:val="Heading3"/>
      </w:pPr>
      <w:r>
        <w:t>MS38</w:t>
      </w:r>
    </w:p>
    <w:p w14:paraId="6C8B6159" w14:textId="77777777" w:rsidR="00356BF1" w:rsidRPr="00E162C4" w:rsidRDefault="00356BF1" w:rsidP="00356BF1">
      <w:pPr>
        <w:pStyle w:val="Paragraph"/>
      </w:pPr>
      <w:r>
        <w:t>Arrangements for c</w:t>
      </w:r>
      <w:r w:rsidRPr="00FA48BA">
        <w:t>oordination between earth station transmitters in the fixed-satellite service and other services in the 2</w:t>
      </w:r>
      <w:r>
        <w:t>7</w:t>
      </w:r>
      <w:r w:rsidRPr="00FA48BA">
        <w:t>.5</w:t>
      </w:r>
      <w:r>
        <w:t>–</w:t>
      </w:r>
      <w:r w:rsidRPr="00FA48BA">
        <w:t xml:space="preserve">30 GHz </w:t>
      </w:r>
      <w:r>
        <w:t xml:space="preserve">band were previously outlined in RALI MS38. This RALI was suppressed in July 2022 (see </w:t>
      </w:r>
      <w:hyperlink r:id="rId47" w:history="1">
        <w:r w:rsidRPr="00B85369">
          <w:rPr>
            <w:rStyle w:val="Hyperlink"/>
          </w:rPr>
          <w:t>IFC 04/2022</w:t>
        </w:r>
      </w:hyperlink>
      <w:r>
        <w:t xml:space="preserve">) with relevant coordination arrangements now included in RALI MS46. </w:t>
      </w:r>
    </w:p>
    <w:p w14:paraId="3A228D51" w14:textId="77777777" w:rsidR="00356BF1" w:rsidRDefault="00356BF1" w:rsidP="00356BF1">
      <w:pPr>
        <w:pStyle w:val="Heading3"/>
      </w:pPr>
      <w:r>
        <w:t>MS39</w:t>
      </w:r>
    </w:p>
    <w:p w14:paraId="5A942B2D" w14:textId="77777777" w:rsidR="00356BF1" w:rsidRPr="00702EA1" w:rsidRDefault="00356BF1" w:rsidP="00356BF1">
      <w:pPr>
        <w:pStyle w:val="Paragraph"/>
      </w:pPr>
      <w:r>
        <w:t>RALI MS39 previously contained f</w:t>
      </w:r>
      <w:r w:rsidRPr="007E48CA">
        <w:t>requency coordination and licensing procedures for apparatus licensed public telecommunications services in the 3.5 GHz band</w:t>
      </w:r>
      <w:r>
        <w:t>.</w:t>
      </w:r>
      <w:r w:rsidRPr="007E48CA">
        <w:t xml:space="preserve"> </w:t>
      </w:r>
      <w:r w:rsidRPr="00B23079">
        <w:t>RALI</w:t>
      </w:r>
      <w:r>
        <w:t xml:space="preserve"> MS39</w:t>
      </w:r>
      <w:r w:rsidRPr="00585A8C">
        <w:t xml:space="preserve"> </w:t>
      </w:r>
      <w:r>
        <w:t xml:space="preserve">was supressed in July 2022 (see </w:t>
      </w:r>
      <w:hyperlink r:id="rId48" w:history="1">
        <w:r w:rsidRPr="00B84AD4">
          <w:rPr>
            <w:rStyle w:val="Hyperlink"/>
          </w:rPr>
          <w:t xml:space="preserve">IFC </w:t>
        </w:r>
        <w:r>
          <w:rPr>
            <w:rStyle w:val="Hyperlink"/>
          </w:rPr>
          <w:t>11</w:t>
        </w:r>
        <w:r w:rsidRPr="00B84AD4">
          <w:rPr>
            <w:rStyle w:val="Hyperlink"/>
          </w:rPr>
          <w:t>/2022</w:t>
        </w:r>
      </w:hyperlink>
      <w:r>
        <w:t xml:space="preserve">) and relevant content is now absorbed into RALI MS47. Consolidating arrangements for apparatus licensed wireless broadband use into a single RALI will help simplify access to this band and allow for a combination of uses and users, including both wide-area and local-area wireless broadband services. </w:t>
      </w:r>
    </w:p>
    <w:p w14:paraId="01493385" w14:textId="77777777" w:rsidR="00356BF1" w:rsidRDefault="00356BF1" w:rsidP="00356BF1">
      <w:pPr>
        <w:pStyle w:val="Heading3"/>
      </w:pPr>
      <w:r>
        <w:t xml:space="preserve">MS43 </w:t>
      </w:r>
    </w:p>
    <w:p w14:paraId="704A2472" w14:textId="7DD821FD" w:rsidR="00356BF1" w:rsidRDefault="00356BF1" w:rsidP="00356BF1">
      <w:pPr>
        <w:pStyle w:val="Paragraph"/>
      </w:pPr>
      <w:r>
        <w:t>RALI MS43 outlines c</w:t>
      </w:r>
      <w:r w:rsidRPr="00B36698">
        <w:t xml:space="preserve">oordination procedures between </w:t>
      </w:r>
      <w:r>
        <w:t xml:space="preserve">the </w:t>
      </w:r>
      <w:r w:rsidRPr="00B36698">
        <w:t xml:space="preserve">New Norcia </w:t>
      </w:r>
      <w:r>
        <w:t xml:space="preserve">and Tidbinbilla </w:t>
      </w:r>
      <w:r w:rsidRPr="00B36698">
        <w:t>earth station</w:t>
      </w:r>
      <w:r>
        <w:t>s</w:t>
      </w:r>
      <w:r w:rsidRPr="00B36698">
        <w:t xml:space="preserve"> and other services in the bands: 7145</w:t>
      </w:r>
      <w:r>
        <w:t>–</w:t>
      </w:r>
      <w:r w:rsidRPr="00B36698">
        <w:t>7235 MHz, 8400</w:t>
      </w:r>
      <w:r>
        <w:t>–</w:t>
      </w:r>
      <w:r w:rsidRPr="00B36698">
        <w:t xml:space="preserve">8500 MHz, </w:t>
      </w:r>
      <w:r>
        <w:t xml:space="preserve">22.55–23.15 GHz, </w:t>
      </w:r>
      <w:r w:rsidRPr="00B36698">
        <w:t>31.8</w:t>
      </w:r>
      <w:r>
        <w:t>–</w:t>
      </w:r>
      <w:r w:rsidRPr="00B36698">
        <w:t>32.3 GHz and 34.2</w:t>
      </w:r>
      <w:r>
        <w:t>–</w:t>
      </w:r>
      <w:r w:rsidRPr="00B36698">
        <w:t>34.7 GHz</w:t>
      </w:r>
      <w:r>
        <w:t xml:space="preserve">. Several updates were made to </w:t>
      </w:r>
      <w:r w:rsidRPr="00585A8C">
        <w:t xml:space="preserve">RALI MS43 in </w:t>
      </w:r>
      <w:r>
        <w:t>September</w:t>
      </w:r>
      <w:r w:rsidRPr="00585A8C">
        <w:t xml:space="preserve"> 2022 (</w:t>
      </w:r>
      <w:r>
        <w:t>s</w:t>
      </w:r>
      <w:r w:rsidRPr="00585A8C">
        <w:t xml:space="preserve">ee </w:t>
      </w:r>
      <w:hyperlink r:id="rId49" w:history="1">
        <w:r>
          <w:rPr>
            <w:rStyle w:val="Hyperlink"/>
          </w:rPr>
          <w:t>IFC 2</w:t>
        </w:r>
        <w:r w:rsidRPr="00697816">
          <w:rPr>
            <w:rStyle w:val="Hyperlink"/>
          </w:rPr>
          <w:t>6/2022</w:t>
        </w:r>
      </w:hyperlink>
      <w:r w:rsidRPr="00585A8C">
        <w:t>)</w:t>
      </w:r>
      <w:r>
        <w:t xml:space="preserve">, including updating </w:t>
      </w:r>
      <w:r w:rsidDel="00667CD7">
        <w:t xml:space="preserve">technical </w:t>
      </w:r>
      <w:r>
        <w:t>characteristics of some transmitters and receivers listed in the RALI and expanding the RALI to include</w:t>
      </w:r>
      <w:r w:rsidRPr="00667CD7">
        <w:t xml:space="preserve"> </w:t>
      </w:r>
      <w:r>
        <w:t xml:space="preserve">the </w:t>
      </w:r>
      <w:r w:rsidRPr="00667CD7">
        <w:t xml:space="preserve">Tidbinbilla </w:t>
      </w:r>
      <w:r>
        <w:t>earth stations and the 22.55–23.15 GHz band. Frequency coordination requirements for the</w:t>
      </w:r>
      <w:r w:rsidRPr="00B36698">
        <w:t xml:space="preserve"> </w:t>
      </w:r>
      <w:r>
        <w:t>25.5–27 GHz band were also</w:t>
      </w:r>
      <w:r w:rsidRPr="00B36698">
        <w:t xml:space="preserve"> removed from RALI MS43</w:t>
      </w:r>
      <w:r>
        <w:t xml:space="preserve"> as these are now contained in RALI MS46.</w:t>
      </w:r>
    </w:p>
    <w:p w14:paraId="67650CEB" w14:textId="679CE46A" w:rsidR="00356BF1" w:rsidRDefault="00356BF1" w:rsidP="00356BF1">
      <w:pPr>
        <w:pStyle w:val="Paragraph"/>
      </w:pPr>
      <w:r>
        <w:t>RALI MS43 was also updated in December 2022 to reflect changed TOB channel arrangements in the 7145</w:t>
      </w:r>
      <w:r w:rsidR="00A5182F">
        <w:t>–</w:t>
      </w:r>
      <w:r>
        <w:t xml:space="preserve">7235 MHz bands (see </w:t>
      </w:r>
      <w:hyperlink r:id="rId50" w:history="1">
        <w:r w:rsidRPr="00697816">
          <w:rPr>
            <w:rStyle w:val="Hyperlink"/>
          </w:rPr>
          <w:t>IFC 19/2022</w:t>
        </w:r>
      </w:hyperlink>
      <w:r>
        <w:t>).</w:t>
      </w:r>
    </w:p>
    <w:p w14:paraId="2AAD8125" w14:textId="77777777" w:rsidR="00356BF1" w:rsidRDefault="00356BF1" w:rsidP="00356BF1">
      <w:pPr>
        <w:pStyle w:val="Heading3"/>
      </w:pPr>
      <w:r>
        <w:t>MS44</w:t>
      </w:r>
    </w:p>
    <w:p w14:paraId="5D401FE3" w14:textId="77777777" w:rsidR="00356BF1" w:rsidRDefault="00356BF1" w:rsidP="00356BF1">
      <w:pPr>
        <w:pStyle w:val="Paragraph"/>
      </w:pPr>
      <w:r>
        <w:t>RALI MS 44, which outlines f</w:t>
      </w:r>
      <w:r w:rsidRPr="00CE0415">
        <w:t>requency coordination procedures for the earth station protection zones</w:t>
      </w:r>
      <w:r>
        <w:t xml:space="preserve"> (ESPZs), was updated in December 2021 to </w:t>
      </w:r>
      <w:r w:rsidRPr="00D576C4">
        <w:t>extend eastern ESPZs to cover parts of the 3400</w:t>
      </w:r>
      <w:r>
        <w:t>–</w:t>
      </w:r>
      <w:r w:rsidRPr="00D576C4">
        <w:t>3575 MHz band</w:t>
      </w:r>
      <w:r>
        <w:t xml:space="preserve"> that are not subject to spectrum licensing (see </w:t>
      </w:r>
      <w:hyperlink r:id="rId51" w:history="1">
        <w:r w:rsidRPr="004F5F07">
          <w:rPr>
            <w:rStyle w:val="Hyperlink"/>
          </w:rPr>
          <w:t>IFC 31/2021</w:t>
        </w:r>
      </w:hyperlink>
      <w:r>
        <w:t>)</w:t>
      </w:r>
      <w:r w:rsidRPr="00D576C4">
        <w:t>.</w:t>
      </w:r>
      <w:r>
        <w:t xml:space="preserve"> </w:t>
      </w:r>
    </w:p>
    <w:p w14:paraId="00143131" w14:textId="04656774" w:rsidR="00356BF1" w:rsidRDefault="00356BF1" w:rsidP="00356BF1">
      <w:pPr>
        <w:pStyle w:val="Paragraph"/>
      </w:pPr>
      <w:r>
        <w:t>RALI MS44 was also updated in July 2022 to include new arrangements for the 24.65</w:t>
      </w:r>
      <w:r w:rsidR="00A5182F">
        <w:t>–</w:t>
      </w:r>
      <w:r>
        <w:t>25.25 GHz and 27</w:t>
      </w:r>
      <w:r w:rsidR="00A5182F">
        <w:t>–</w:t>
      </w:r>
      <w:r>
        <w:t xml:space="preserve">29.5 GHz frequency ranges (see </w:t>
      </w:r>
      <w:hyperlink r:id="rId52" w:history="1">
        <w:r w:rsidRPr="00B85369">
          <w:rPr>
            <w:rStyle w:val="Hyperlink"/>
          </w:rPr>
          <w:t>IFC 04/2022</w:t>
        </w:r>
      </w:hyperlink>
      <w:r>
        <w:t>).</w:t>
      </w:r>
    </w:p>
    <w:p w14:paraId="21AFE398" w14:textId="77777777" w:rsidR="00356BF1" w:rsidRDefault="00356BF1" w:rsidP="00356BF1">
      <w:pPr>
        <w:pStyle w:val="Heading3"/>
      </w:pPr>
      <w:r>
        <w:lastRenderedPageBreak/>
        <w:t>MS45</w:t>
      </w:r>
    </w:p>
    <w:p w14:paraId="73BAF9EF" w14:textId="77777777" w:rsidR="00356BF1" w:rsidRDefault="00356BF1" w:rsidP="00356BF1">
      <w:pPr>
        <w:pStyle w:val="Paragraph"/>
      </w:pPr>
      <w:r w:rsidRPr="00CE0415">
        <w:t>Frequency coordination requirements between microwave fixed point</w:t>
      </w:r>
      <w:r>
        <w:t>-</w:t>
      </w:r>
      <w:r w:rsidRPr="00CE0415">
        <w:t>to</w:t>
      </w:r>
      <w:r>
        <w:t>-</w:t>
      </w:r>
      <w:r w:rsidRPr="00CE0415">
        <w:t xml:space="preserve">point links and </w:t>
      </w:r>
      <w:r>
        <w:t>fixed-satellite service (</w:t>
      </w:r>
      <w:r w:rsidRPr="00CE0415">
        <w:t>FSS</w:t>
      </w:r>
      <w:r>
        <w:t>)</w:t>
      </w:r>
      <w:r w:rsidRPr="00CE0415">
        <w:t xml:space="preserve"> earth stations </w:t>
      </w:r>
      <w:r>
        <w:t xml:space="preserve">are detailed in RALI MS45. Several updates were made to this RALI in July 2022 (see IFC </w:t>
      </w:r>
      <w:hyperlink r:id="rId53" w:history="1">
        <w:r w:rsidRPr="00B85369">
          <w:rPr>
            <w:rStyle w:val="Hyperlink"/>
          </w:rPr>
          <w:t>26/2022</w:t>
        </w:r>
      </w:hyperlink>
      <w:r>
        <w:t xml:space="preserve">), including the introductions of coordination requirements between earth station transmitters and point-to-point fixed link receivers in the 8, 13, 15 and 18 GHz bands. </w:t>
      </w:r>
    </w:p>
    <w:p w14:paraId="67134ABF" w14:textId="77777777" w:rsidR="00356BF1" w:rsidRDefault="00356BF1" w:rsidP="00356BF1">
      <w:pPr>
        <w:pStyle w:val="Heading3"/>
      </w:pPr>
      <w:r>
        <w:t>MS46</w:t>
      </w:r>
    </w:p>
    <w:p w14:paraId="6A276437" w14:textId="2BDEBB6D" w:rsidR="00356BF1" w:rsidRDefault="00356BF1" w:rsidP="00356BF1">
      <w:pPr>
        <w:pStyle w:val="Paragraph"/>
      </w:pPr>
      <w:r>
        <w:t>RALI MS46 details l</w:t>
      </w:r>
      <w:r w:rsidRPr="00FA48BA">
        <w:t>icensing and coordination procedures for area-wide apparatus licensed services in the 26/28 GHz bands</w:t>
      </w:r>
      <w:r>
        <w:t>. Several updates to this RALI were made in July 2022, including the introduction of coordination requirements around Mingenew</w:t>
      </w:r>
      <w:r w:rsidR="00A5182F">
        <w:t xml:space="preserve"> in</w:t>
      </w:r>
      <w:r>
        <w:t xml:space="preserve"> W</w:t>
      </w:r>
      <w:r w:rsidR="00A5182F">
        <w:t xml:space="preserve">estern </w:t>
      </w:r>
      <w:r>
        <w:t>A</w:t>
      </w:r>
      <w:r w:rsidR="00A5182F">
        <w:t>ustralia</w:t>
      </w:r>
      <w:r>
        <w:t xml:space="preserve">, the consolidation of arrangements previously in RALI MS38 and Embargo 79 and making some minor changes to improve the RALIs clarity and operation (see </w:t>
      </w:r>
      <w:hyperlink r:id="rId54" w:history="1">
        <w:r w:rsidRPr="00B85369">
          <w:rPr>
            <w:rStyle w:val="Hyperlink"/>
          </w:rPr>
          <w:t>IFC 04/2022</w:t>
        </w:r>
      </w:hyperlink>
      <w:r>
        <w:t>).</w:t>
      </w:r>
    </w:p>
    <w:p w14:paraId="043C823A" w14:textId="77777777" w:rsidR="00356BF1" w:rsidRDefault="00356BF1" w:rsidP="00356BF1">
      <w:pPr>
        <w:pStyle w:val="Paragraph"/>
      </w:pPr>
    </w:p>
    <w:p w14:paraId="205CA24B" w14:textId="77777777" w:rsidR="00356BF1" w:rsidRDefault="00356BF1" w:rsidP="00356BF1">
      <w:pPr>
        <w:pStyle w:val="Heading1"/>
      </w:pPr>
      <w:bookmarkStart w:id="23" w:name="_Toc76472234"/>
      <w:bookmarkStart w:id="24" w:name="_Toc137814962"/>
      <w:bookmarkStart w:id="25" w:name="_Toc138153895"/>
      <w:r>
        <w:lastRenderedPageBreak/>
        <w:t>Invitation to comment</w:t>
      </w:r>
      <w:bookmarkEnd w:id="23"/>
      <w:bookmarkEnd w:id="24"/>
      <w:bookmarkEnd w:id="25"/>
    </w:p>
    <w:p w14:paraId="1CCAEC11" w14:textId="77777777" w:rsidR="00356BF1" w:rsidRDefault="00356BF1" w:rsidP="00356BF1">
      <w:pPr>
        <w:pStyle w:val="Heading2"/>
      </w:pPr>
      <w:bookmarkStart w:id="26" w:name="_Toc433122131"/>
      <w:bookmarkStart w:id="27" w:name="_Toc348105637"/>
      <w:bookmarkStart w:id="28" w:name="_Toc300909556"/>
      <w:bookmarkStart w:id="29" w:name="_Toc298924673"/>
      <w:bookmarkStart w:id="30" w:name="_Toc76472235"/>
      <w:bookmarkStart w:id="31" w:name="_Toc137814963"/>
      <w:bookmarkStart w:id="32" w:name="_Toc138153896"/>
      <w:r>
        <w:t>Making a submission</w:t>
      </w:r>
      <w:bookmarkEnd w:id="26"/>
      <w:bookmarkEnd w:id="27"/>
      <w:bookmarkEnd w:id="28"/>
      <w:bookmarkEnd w:id="29"/>
      <w:bookmarkEnd w:id="30"/>
      <w:bookmarkEnd w:id="31"/>
      <w:bookmarkEnd w:id="32"/>
    </w:p>
    <w:p w14:paraId="2FCF1355" w14:textId="77777777" w:rsidR="00356BF1" w:rsidRDefault="00356BF1" w:rsidP="00356BF1">
      <w:r>
        <w:t xml:space="preserve">We invite comments on the issues set out in this discussion paper. </w:t>
      </w:r>
    </w:p>
    <w:p w14:paraId="36255E79" w14:textId="77777777" w:rsidR="00356BF1" w:rsidRDefault="00E455A6" w:rsidP="00356BF1">
      <w:pPr>
        <w:pStyle w:val="Bulletlevel1"/>
      </w:pPr>
      <w:hyperlink r:id="rId55" w:history="1">
        <w:r w:rsidR="00356BF1">
          <w:rPr>
            <w:rStyle w:val="Hyperlink"/>
          </w:rPr>
          <w:t>Online submissions</w:t>
        </w:r>
      </w:hyperlink>
      <w:r w:rsidR="00356BF1">
        <w:t xml:space="preserve"> can be made by </w:t>
      </w:r>
      <w:r w:rsidR="00356BF1" w:rsidRPr="0070133D">
        <w:t>uploading</w:t>
      </w:r>
      <w:r w:rsidR="00356BF1">
        <w:t xml:space="preserve"> a document. Submissions in PDF, Microsoft Word or Rich Text Format are preferred.</w:t>
      </w:r>
    </w:p>
    <w:p w14:paraId="52A62372" w14:textId="77777777" w:rsidR="00356BF1" w:rsidRDefault="00356BF1" w:rsidP="00356BF1">
      <w:pPr>
        <w:pStyle w:val="Bulletlevel1"/>
      </w:pPr>
      <w:r>
        <w:t xml:space="preserve">Submissions by post can be sent to: </w:t>
      </w:r>
    </w:p>
    <w:p w14:paraId="4AAA9DF0" w14:textId="77777777" w:rsidR="00356BF1" w:rsidRPr="00D92B9A" w:rsidRDefault="00356BF1" w:rsidP="00356BF1">
      <w:pPr>
        <w:tabs>
          <w:tab w:val="num" w:pos="295"/>
        </w:tabs>
        <w:spacing w:after="0"/>
        <w:ind w:left="295"/>
        <w:rPr>
          <w:szCs w:val="20"/>
        </w:rPr>
      </w:pPr>
      <w:r w:rsidRPr="00D92B9A">
        <w:rPr>
          <w:szCs w:val="20"/>
        </w:rPr>
        <w:t>The Manager</w:t>
      </w:r>
    </w:p>
    <w:p w14:paraId="0E79CBA5" w14:textId="77777777" w:rsidR="00356BF1" w:rsidRPr="00D92B9A" w:rsidRDefault="00356BF1" w:rsidP="00356BF1">
      <w:pPr>
        <w:spacing w:after="0"/>
        <w:ind w:left="295"/>
        <w:rPr>
          <w:szCs w:val="20"/>
        </w:rPr>
      </w:pPr>
      <w:r w:rsidRPr="00D92B9A">
        <w:rPr>
          <w:szCs w:val="20"/>
        </w:rPr>
        <w:t xml:space="preserve">Spectrum Planning Section </w:t>
      </w:r>
    </w:p>
    <w:p w14:paraId="7186290B" w14:textId="77777777" w:rsidR="00356BF1" w:rsidRPr="00D92B9A" w:rsidRDefault="00356BF1" w:rsidP="00356BF1">
      <w:pPr>
        <w:spacing w:after="0"/>
        <w:ind w:left="295"/>
        <w:rPr>
          <w:szCs w:val="20"/>
        </w:rPr>
      </w:pPr>
      <w:r w:rsidRPr="00D92B9A">
        <w:rPr>
          <w:szCs w:val="20"/>
        </w:rPr>
        <w:t>Australian Communications and Media Authority</w:t>
      </w:r>
    </w:p>
    <w:p w14:paraId="42E17C5D" w14:textId="77777777" w:rsidR="00356BF1" w:rsidRPr="00D92B9A" w:rsidRDefault="00356BF1" w:rsidP="00356BF1">
      <w:pPr>
        <w:spacing w:after="0"/>
        <w:ind w:left="295"/>
        <w:rPr>
          <w:szCs w:val="20"/>
        </w:rPr>
      </w:pPr>
      <w:r w:rsidRPr="00D92B9A">
        <w:rPr>
          <w:szCs w:val="20"/>
        </w:rPr>
        <w:t>PO Box 78</w:t>
      </w:r>
    </w:p>
    <w:p w14:paraId="5F6CCEE1" w14:textId="77777777" w:rsidR="00356BF1" w:rsidRDefault="00356BF1" w:rsidP="00356BF1">
      <w:pPr>
        <w:ind w:left="295"/>
        <w:rPr>
          <w:szCs w:val="20"/>
        </w:rPr>
      </w:pPr>
      <w:r w:rsidRPr="00D92B9A">
        <w:rPr>
          <w:szCs w:val="20"/>
        </w:rPr>
        <w:t>Belconnen ACT 2616</w:t>
      </w:r>
    </w:p>
    <w:p w14:paraId="6C49786F" w14:textId="77777777" w:rsidR="00356BF1" w:rsidRDefault="00356BF1" w:rsidP="00356BF1">
      <w:r>
        <w:t xml:space="preserve">The closing date for submissions is COB, </w:t>
      </w:r>
      <w:r w:rsidRPr="006B59EF">
        <w:rPr>
          <w:b/>
          <w:bCs/>
        </w:rPr>
        <w:t>21 July</w:t>
      </w:r>
      <w:r w:rsidRPr="007502C0">
        <w:rPr>
          <w:b/>
          <w:bCs/>
        </w:rPr>
        <w:t xml:space="preserve"> 202</w:t>
      </w:r>
      <w:r>
        <w:rPr>
          <w:b/>
          <w:bCs/>
        </w:rPr>
        <w:t>3</w:t>
      </w:r>
      <w:r>
        <w:t>.</w:t>
      </w:r>
    </w:p>
    <w:p w14:paraId="599E2D57" w14:textId="77777777" w:rsidR="00356BF1" w:rsidRDefault="00356BF1" w:rsidP="00356BF1">
      <w:pPr>
        <w:rPr>
          <w:szCs w:val="20"/>
        </w:rPr>
      </w:pPr>
      <w:r>
        <w:t xml:space="preserve">Consultation enquiries can be emailed </w:t>
      </w:r>
      <w:r>
        <w:rPr>
          <w:szCs w:val="20"/>
        </w:rPr>
        <w:t xml:space="preserve">to </w:t>
      </w:r>
      <w:hyperlink r:id="rId56" w:history="1">
        <w:r w:rsidRPr="00A11DB8">
          <w:rPr>
            <w:rStyle w:val="Hyperlink"/>
            <w:szCs w:val="20"/>
          </w:rPr>
          <w:t>freqplan@acma.gov.au</w:t>
        </w:r>
      </w:hyperlink>
      <w:r>
        <w:rPr>
          <w:szCs w:val="20"/>
        </w:rPr>
        <w:t>.</w:t>
      </w:r>
    </w:p>
    <w:p w14:paraId="243E358E" w14:textId="77777777" w:rsidR="00356BF1" w:rsidRDefault="00356BF1" w:rsidP="00356BF1">
      <w:pPr>
        <w:pStyle w:val="Heading4"/>
      </w:pPr>
      <w:bookmarkStart w:id="33" w:name="_Toc348105639"/>
      <w:bookmarkStart w:id="34" w:name="_Toc300909558"/>
      <w:r>
        <w:t xml:space="preserve">Publication of </w:t>
      </w:r>
      <w:r w:rsidRPr="005B2F0D">
        <w:t>submissions</w:t>
      </w:r>
      <w:bookmarkEnd w:id="33"/>
      <w:bookmarkEnd w:id="34"/>
    </w:p>
    <w:p w14:paraId="01993EFD" w14:textId="77777777" w:rsidR="00356BF1" w:rsidRDefault="00356BF1" w:rsidP="00356BF1">
      <w:bookmarkStart w:id="35" w:name="_Toc348105640"/>
      <w:bookmarkStart w:id="36" w:name="_Toc300909559"/>
      <w:bookmarkStart w:id="37" w:name="_Toc265246234"/>
      <w:r>
        <w:t>We publish submissions on our website</w:t>
      </w:r>
      <w:r>
        <w:rPr>
          <w:rFonts w:cs="Arial"/>
        </w:rPr>
        <w:t>, including personal information (such as names and contact details)</w:t>
      </w:r>
      <w:r>
        <w:t xml:space="preserve">, except for information that you have claimed (and we have accepted) is confidential. </w:t>
      </w:r>
    </w:p>
    <w:p w14:paraId="6F121E70" w14:textId="77777777" w:rsidR="00356BF1" w:rsidRDefault="00356BF1" w:rsidP="00356BF1">
      <w:r>
        <w:t>Confidential information will not be published or otherwise released unless required or authorised by law.</w:t>
      </w:r>
    </w:p>
    <w:p w14:paraId="2526A72D" w14:textId="77777777" w:rsidR="00356BF1" w:rsidRDefault="00356BF1" w:rsidP="00356BF1">
      <w:pPr>
        <w:pStyle w:val="Heading4"/>
      </w:pPr>
      <w:r>
        <w:t>Privacy</w:t>
      </w:r>
    </w:p>
    <w:p w14:paraId="56E82B5C" w14:textId="77777777" w:rsidR="00356BF1" w:rsidRDefault="00356BF1" w:rsidP="00356BF1">
      <w:pPr>
        <w:pStyle w:val="Paragraph"/>
      </w:pPr>
      <w:r>
        <w:t xml:space="preserve">View information about our policy on the </w:t>
      </w:r>
      <w:hyperlink r:id="rId57" w:history="1">
        <w:r>
          <w:rPr>
            <w:rStyle w:val="Hyperlink"/>
          </w:rPr>
          <w:t>p</w:t>
        </w:r>
        <w:r w:rsidRPr="00E21056">
          <w:rPr>
            <w:rStyle w:val="Hyperlink"/>
          </w:rPr>
          <w:t>ublication of submissions</w:t>
        </w:r>
      </w:hyperlink>
      <w:r>
        <w:t>, including collection of personal information during consultation and how we handle that information.</w:t>
      </w:r>
    </w:p>
    <w:bookmarkEnd w:id="35"/>
    <w:bookmarkEnd w:id="36"/>
    <w:bookmarkEnd w:id="37"/>
    <w:p w14:paraId="275FC5B4" w14:textId="4D9E1799" w:rsidR="00FF3C69" w:rsidRPr="00E162C4" w:rsidRDefault="00356BF1" w:rsidP="00776763">
      <w:pPr>
        <w:pStyle w:val="Paragraph"/>
      </w:pPr>
      <w:r>
        <w:t xml:space="preserve">Information on the </w:t>
      </w:r>
      <w:r>
        <w:rPr>
          <w:i/>
        </w:rPr>
        <w:t xml:space="preserve">Privacy Act 1988, </w:t>
      </w:r>
      <w:r>
        <w:t xml:space="preserve">how to access or correct personal information, how to make a privacy complaint and how we will deal with any complaints, is available in our </w:t>
      </w:r>
      <w:hyperlink r:id="rId58" w:history="1">
        <w:r w:rsidRPr="00E21056">
          <w:rPr>
            <w:rStyle w:val="Hyperlink"/>
          </w:rPr>
          <w:t>privacy policy</w:t>
        </w:r>
      </w:hyperlink>
      <w:r>
        <w:t xml:space="preserve">. </w:t>
      </w:r>
      <w:bookmarkStart w:id="38" w:name="_Appendix_A-_List"/>
      <w:bookmarkStart w:id="39" w:name="_Appendix_B-_Summary"/>
      <w:bookmarkEnd w:id="3"/>
      <w:bookmarkEnd w:id="38"/>
      <w:bookmarkEnd w:id="39"/>
    </w:p>
    <w:sectPr w:rsidR="00FF3C69" w:rsidRPr="00E162C4" w:rsidSect="00C75900">
      <w:headerReference w:type="even" r:id="rId59"/>
      <w:headerReference w:type="default" r:id="rId60"/>
      <w:footerReference w:type="even" r:id="rId61"/>
      <w:footerReference w:type="default" r:id="rId62"/>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9F415" w14:textId="77777777" w:rsidR="00356BF1" w:rsidRDefault="00356BF1">
      <w:r>
        <w:separator/>
      </w:r>
    </w:p>
  </w:endnote>
  <w:endnote w:type="continuationSeparator" w:id="0">
    <w:p w14:paraId="12B1891D" w14:textId="77777777" w:rsidR="00356BF1" w:rsidRDefault="00356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45E5" w14:textId="77777777" w:rsidR="005E250B" w:rsidRDefault="005E250B" w:rsidP="005E250B">
    <w:pPr>
      <w:pStyle w:val="Footer"/>
      <w:jc w:val="right"/>
    </w:pPr>
    <w:r w:rsidRPr="005E250B">
      <w:rPr>
        <w:noProof/>
        <w:vertAlign w:val="subscript"/>
      </w:rPr>
      <w:drawing>
        <wp:inline distT="0" distB="0" distL="0" distR="0" wp14:anchorId="0ED45DBF" wp14:editId="041D0FBA">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E74F"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3A94"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85A8"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1DCF752B"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CE937"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523BAA3D"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42E0"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6404496A"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E7C9" w14:textId="77777777" w:rsidR="003A7308" w:rsidRPr="00622A3B" w:rsidRDefault="00A5182F"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6573CEBA" w14:textId="77777777" w:rsidR="003A7308" w:rsidRPr="00A5474E" w:rsidRDefault="00E455A6"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3B71" w14:textId="77777777" w:rsidR="003A7308" w:rsidRPr="00622A3B" w:rsidRDefault="00A5182F"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1</w:t>
    </w:r>
    <w:r w:rsidRPr="00575AC5">
      <w:rPr>
        <w:color w:val="505050"/>
      </w:rPr>
      <w:fldChar w:fldCharType="end"/>
    </w:r>
  </w:p>
  <w:p w14:paraId="57B835B7" w14:textId="77777777" w:rsidR="003A7308" w:rsidRPr="00A5474E" w:rsidRDefault="00E455A6"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0C6C3" w14:textId="77777777" w:rsidR="00356BF1" w:rsidRDefault="00356BF1" w:rsidP="00EA0969">
      <w:pPr>
        <w:spacing w:after="0"/>
      </w:pPr>
      <w:r>
        <w:separator/>
      </w:r>
    </w:p>
  </w:footnote>
  <w:footnote w:type="continuationSeparator" w:id="0">
    <w:p w14:paraId="0AF6602D" w14:textId="77777777" w:rsidR="00356BF1" w:rsidRDefault="00356BF1">
      <w:r>
        <w:continuationSeparator/>
      </w:r>
    </w:p>
  </w:footnote>
  <w:footnote w:id="1">
    <w:p w14:paraId="3AFD95A7" w14:textId="1DA21E55" w:rsidR="001F4CB9" w:rsidRDefault="001F4CB9">
      <w:pPr>
        <w:pStyle w:val="FootnoteText"/>
      </w:pPr>
      <w:r>
        <w:rPr>
          <w:rStyle w:val="FootnoteReference"/>
        </w:rPr>
        <w:footnoteRef/>
      </w:r>
      <w:r>
        <w:t xml:space="preserve"> DECT-2020 is the </w:t>
      </w:r>
      <w:r w:rsidR="009D037E">
        <w:t>new</w:t>
      </w:r>
      <w:r>
        <w:t xml:space="preserve"> development </w:t>
      </w:r>
      <w:r w:rsidR="009D037E">
        <w:t xml:space="preserve">in the </w:t>
      </w:r>
      <w:r>
        <w:t>digital enhanced cordless telecommunications (DECT) technology standard.</w:t>
      </w:r>
    </w:p>
  </w:footnote>
  <w:footnote w:id="2">
    <w:p w14:paraId="492FF18B" w14:textId="77777777" w:rsidR="00356BF1" w:rsidRDefault="00356BF1" w:rsidP="00356BF1">
      <w:pPr>
        <w:pStyle w:val="FootnoteText"/>
      </w:pPr>
      <w:r>
        <w:rPr>
          <w:rStyle w:val="FootnoteReference"/>
        </w:rPr>
        <w:footnoteRef/>
      </w:r>
      <w:r>
        <w:t xml:space="preserve"> Specifically, these arrangements are contained in the </w:t>
      </w:r>
      <w:hyperlink r:id="rId1" w:history="1">
        <w:r w:rsidRPr="009C2855">
          <w:rPr>
            <w:rStyle w:val="Hyperlink"/>
          </w:rPr>
          <w:t>Radiocommunications Advisory Guidelines (Managing Interference from Transmitters – 700 MHz band) 2023</w:t>
        </w:r>
      </w:hyperlink>
      <w:r>
        <w:t xml:space="preserve">, and </w:t>
      </w:r>
      <w:hyperlink r:id="rId2" w:history="1">
        <w:r w:rsidRPr="00AB11AB">
          <w:rPr>
            <w:rStyle w:val="Hyperlink"/>
          </w:rPr>
          <w:t>Radiocommunications Advisory Guidelines (Managing Interference from Spectrum Licensed Transmitters – 850/900 MHz Band) 2021</w:t>
        </w:r>
      </w:hyperlink>
    </w:p>
  </w:footnote>
  <w:footnote w:id="3">
    <w:p w14:paraId="4F524C32" w14:textId="77777777" w:rsidR="00356BF1" w:rsidRDefault="00356BF1" w:rsidP="00356BF1">
      <w:pPr>
        <w:pStyle w:val="FootnoteText"/>
      </w:pPr>
      <w:r>
        <w:rPr>
          <w:rStyle w:val="FootnoteReference"/>
        </w:rPr>
        <w:footnoteRef/>
      </w:r>
      <w:r>
        <w:t xml:space="preserve"> An outcome of the 803-960 MHz review was a change in spectrum allocation for two-frequency fixed services from 852-857/928-933 MHz to 804-809/849-851 </w:t>
      </w:r>
      <w:proofErr w:type="spellStart"/>
      <w:r>
        <w:t>MHz.</w:t>
      </w:r>
      <w:proofErr w:type="spellEnd"/>
    </w:p>
  </w:footnote>
  <w:footnote w:id="4">
    <w:p w14:paraId="2341E6D1" w14:textId="77777777" w:rsidR="00356BF1" w:rsidRDefault="00356BF1" w:rsidP="00356BF1">
      <w:pPr>
        <w:pStyle w:val="FootnoteText"/>
      </w:pPr>
      <w:r>
        <w:rPr>
          <w:rStyle w:val="FootnoteReference"/>
        </w:rPr>
        <w:footnoteRef/>
      </w:r>
      <w:r>
        <w:t xml:space="preserve"> Specifically, these arrangements are contained in the </w:t>
      </w:r>
      <w:hyperlink r:id="rId3" w:history="1">
        <w:r w:rsidRPr="009C2855">
          <w:rPr>
            <w:rStyle w:val="Hyperlink"/>
          </w:rPr>
          <w:t>Radiocommunications Advisory Guidelines (Managing Interference from Transmitters – 700 MHz band) 2023</w:t>
        </w:r>
      </w:hyperlink>
      <w:r>
        <w:t>.</w:t>
      </w:r>
    </w:p>
  </w:footnote>
  <w:footnote w:id="5">
    <w:p w14:paraId="3240B2CC" w14:textId="048F1678" w:rsidR="00356BF1" w:rsidRDefault="00356BF1" w:rsidP="00356BF1">
      <w:pPr>
        <w:pStyle w:val="FootnoteText"/>
      </w:pPr>
      <w:r>
        <w:rPr>
          <w:rStyle w:val="FootnoteReference"/>
        </w:rPr>
        <w:footnoteRef/>
      </w:r>
      <w:r>
        <w:t xml:space="preserve"> An outcome of the 803</w:t>
      </w:r>
      <w:r w:rsidR="00C245C1">
        <w:t>–</w:t>
      </w:r>
      <w:r>
        <w:t>960 MHz review was a change in spectrum allocation for two-frequency fixed services from 852</w:t>
      </w:r>
      <w:r w:rsidR="00C245C1">
        <w:t>–</w:t>
      </w:r>
      <w:r>
        <w:t>857/928</w:t>
      </w:r>
      <w:r w:rsidR="00C245C1">
        <w:t>–</w:t>
      </w:r>
      <w:r>
        <w:t>933 MHz to 804</w:t>
      </w:r>
      <w:r w:rsidR="00C245C1">
        <w:t>–</w:t>
      </w:r>
      <w:r>
        <w:t>809/849</w:t>
      </w:r>
      <w:r w:rsidR="00C245C1">
        <w:t>–</w:t>
      </w:r>
      <w:r>
        <w:t xml:space="preserve">851 </w:t>
      </w:r>
      <w:proofErr w:type="spellStart"/>
      <w:r>
        <w:t>MHz</w:t>
      </w:r>
      <w:r w:rsidR="00C245C1">
        <w:t>.</w:t>
      </w:r>
      <w:proofErr w:type="spellEnd"/>
    </w:p>
  </w:footnote>
  <w:footnote w:id="6">
    <w:p w14:paraId="771811E6" w14:textId="77777777" w:rsidR="00356BF1" w:rsidRDefault="00356BF1" w:rsidP="00356BF1">
      <w:pPr>
        <w:pStyle w:val="FootnoteText"/>
      </w:pPr>
      <w:r>
        <w:rPr>
          <w:rStyle w:val="FootnoteReference"/>
        </w:rPr>
        <w:footnoteRef/>
      </w:r>
      <w:r>
        <w:t xml:space="preserve"> MS47 is expected to be made Q2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7F392" w14:textId="77777777" w:rsidR="00C053A1" w:rsidRPr="00A5474E" w:rsidRDefault="0021426C" w:rsidP="00A5474E">
    <w:pPr>
      <w:pStyle w:val="Header"/>
    </w:pPr>
    <w:r>
      <w:rPr>
        <w:noProof/>
      </w:rPr>
      <w:drawing>
        <wp:inline distT="0" distB="0" distL="0" distR="0" wp14:anchorId="4AE5F53C" wp14:editId="72FDD4A9">
          <wp:extent cx="6210300"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69FC"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FA218"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FBCCA"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779F41DB" w14:textId="77777777" w:rsidTr="003B0421">
      <w:trPr>
        <w:trHeight w:hRule="exact" w:val="988"/>
      </w:trPr>
      <w:tc>
        <w:tcPr>
          <w:tcW w:w="7678" w:type="dxa"/>
          <w:shd w:val="clear" w:color="auto" w:fill="auto"/>
        </w:tcPr>
        <w:p w14:paraId="35C592D8" w14:textId="77777777" w:rsidR="00971914" w:rsidRDefault="00971914" w:rsidP="00971914">
          <w:pPr>
            <w:pStyle w:val="Header"/>
          </w:pPr>
        </w:p>
      </w:tc>
    </w:tr>
    <w:tr w:rsidR="00971914" w14:paraId="441E748F" w14:textId="77777777" w:rsidTr="003B0421">
      <w:tc>
        <w:tcPr>
          <w:tcW w:w="7678" w:type="dxa"/>
          <w:shd w:val="clear" w:color="auto" w:fill="auto"/>
        </w:tcPr>
        <w:p w14:paraId="33AE6326" w14:textId="77777777" w:rsidR="00971914" w:rsidRDefault="00971914" w:rsidP="00971914">
          <w:pPr>
            <w:pStyle w:val="GridTable31"/>
          </w:pPr>
          <w:r>
            <w:t xml:space="preserve">Contents </w:t>
          </w:r>
          <w:r w:rsidRPr="00915B1C">
            <w:rPr>
              <w:b w:val="0"/>
              <w:spacing w:val="0"/>
              <w:sz w:val="28"/>
              <w:szCs w:val="28"/>
            </w:rPr>
            <w:t>(Continued)</w:t>
          </w:r>
        </w:p>
      </w:tc>
    </w:tr>
    <w:tr w:rsidR="00971914" w14:paraId="0EA22DFC" w14:textId="77777777" w:rsidTr="003B0421">
      <w:trPr>
        <w:trHeight w:val="1220"/>
      </w:trPr>
      <w:tc>
        <w:tcPr>
          <w:tcW w:w="7678" w:type="dxa"/>
          <w:shd w:val="clear" w:color="auto" w:fill="auto"/>
        </w:tcPr>
        <w:p w14:paraId="5F6A5DED" w14:textId="77777777" w:rsidR="00971914" w:rsidRDefault="00971914" w:rsidP="00971914"/>
      </w:tc>
    </w:tr>
  </w:tbl>
  <w:p w14:paraId="7ECACAB3"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15729D32" w14:textId="77777777" w:rsidTr="003B0421">
      <w:trPr>
        <w:trHeight w:hRule="exact" w:val="988"/>
      </w:trPr>
      <w:tc>
        <w:tcPr>
          <w:tcW w:w="7678" w:type="dxa"/>
          <w:shd w:val="clear" w:color="auto" w:fill="auto"/>
        </w:tcPr>
        <w:p w14:paraId="5B98F16C" w14:textId="77777777" w:rsidR="00971914" w:rsidRDefault="00971914" w:rsidP="00971914">
          <w:pPr>
            <w:pStyle w:val="Header"/>
          </w:pPr>
        </w:p>
      </w:tc>
    </w:tr>
    <w:tr w:rsidR="00971914" w14:paraId="08E6B469" w14:textId="77777777" w:rsidTr="003B0421">
      <w:tc>
        <w:tcPr>
          <w:tcW w:w="7678" w:type="dxa"/>
          <w:shd w:val="clear" w:color="auto" w:fill="auto"/>
        </w:tcPr>
        <w:p w14:paraId="69053C49" w14:textId="77777777" w:rsidR="00971914" w:rsidRDefault="00971914" w:rsidP="00971914">
          <w:pPr>
            <w:pStyle w:val="GridTable31"/>
          </w:pPr>
          <w:r>
            <w:t xml:space="preserve">Contents </w:t>
          </w:r>
          <w:r w:rsidRPr="00915B1C">
            <w:rPr>
              <w:b w:val="0"/>
              <w:spacing w:val="0"/>
              <w:sz w:val="28"/>
              <w:szCs w:val="28"/>
            </w:rPr>
            <w:t>(Continued)</w:t>
          </w:r>
        </w:p>
      </w:tc>
    </w:tr>
    <w:tr w:rsidR="00971914" w14:paraId="46D26544" w14:textId="77777777" w:rsidTr="003B0421">
      <w:trPr>
        <w:trHeight w:val="1220"/>
      </w:trPr>
      <w:tc>
        <w:tcPr>
          <w:tcW w:w="7678" w:type="dxa"/>
          <w:shd w:val="clear" w:color="auto" w:fill="auto"/>
        </w:tcPr>
        <w:p w14:paraId="15A3C53D" w14:textId="77777777" w:rsidR="00971914" w:rsidRDefault="00971914" w:rsidP="00971914"/>
      </w:tc>
    </w:tr>
  </w:tbl>
  <w:p w14:paraId="1083ACB6"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A3EE" w14:textId="77777777" w:rsidR="003A7308" w:rsidRDefault="00E455A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9679" w14:textId="77777777" w:rsidR="003A7308" w:rsidRDefault="00E45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15:restartNumberingAfterBreak="0">
    <w:nsid w:val="2F5A5080"/>
    <w:multiLevelType w:val="hybridMultilevel"/>
    <w:tmpl w:val="BE2AF6CE"/>
    <w:lvl w:ilvl="0" w:tplc="D05E2434">
      <w:start w:val="1"/>
      <w:numFmt w:val="bullet"/>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0794340">
    <w:abstractNumId w:val="3"/>
  </w:num>
  <w:num w:numId="2" w16cid:durableId="961808067">
    <w:abstractNumId w:val="1"/>
  </w:num>
  <w:num w:numId="3" w16cid:durableId="823132573">
    <w:abstractNumId w:val="2"/>
  </w:num>
  <w:num w:numId="4" w16cid:durableId="1435860948">
    <w:abstractNumId w:val="0"/>
  </w:num>
  <w:num w:numId="5" w16cid:durableId="1458793115">
    <w:abstractNumId w:val="6"/>
  </w:num>
  <w:num w:numId="6" w16cid:durableId="1170756036">
    <w:abstractNumId w:val="10"/>
  </w:num>
  <w:num w:numId="7" w16cid:durableId="1179462982">
    <w:abstractNumId w:val="8"/>
  </w:num>
  <w:num w:numId="8" w16cid:durableId="2010865431">
    <w:abstractNumId w:val="9"/>
  </w:num>
  <w:num w:numId="9" w16cid:durableId="153958827">
    <w:abstractNumId w:val="11"/>
  </w:num>
  <w:num w:numId="10" w16cid:durableId="770122694">
    <w:abstractNumId w:val="5"/>
  </w:num>
  <w:num w:numId="11" w16cid:durableId="1981958685">
    <w:abstractNumId w:val="4"/>
  </w:num>
  <w:num w:numId="12" w16cid:durableId="454564071">
    <w:abstractNumId w:val="3"/>
  </w:num>
  <w:num w:numId="13" w16cid:durableId="1550874486">
    <w:abstractNumId w:val="2"/>
    <w:lvlOverride w:ilvl="0">
      <w:startOverride w:val="1"/>
    </w:lvlOverride>
  </w:num>
  <w:num w:numId="14" w16cid:durableId="825971527">
    <w:abstractNumId w:val="2"/>
    <w:lvlOverride w:ilvl="0">
      <w:startOverride w:val="1"/>
    </w:lvlOverride>
  </w:num>
  <w:num w:numId="15" w16cid:durableId="889999444">
    <w:abstractNumId w:val="2"/>
    <w:lvlOverride w:ilvl="0">
      <w:startOverride w:val="1"/>
    </w:lvlOverride>
  </w:num>
  <w:num w:numId="16" w16cid:durableId="271406163">
    <w:abstractNumId w:val="7"/>
  </w:num>
  <w:num w:numId="17" w16cid:durableId="1271475918">
    <w:abstractNumId w:val="2"/>
    <w:lvlOverride w:ilvl="0">
      <w:startOverride w:val="1"/>
    </w:lvlOverride>
  </w:num>
  <w:num w:numId="18" w16cid:durableId="2118475825">
    <w:abstractNumId w:val="3"/>
  </w:num>
  <w:num w:numId="19" w16cid:durableId="120660566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BF1"/>
    <w:rsid w:val="00010667"/>
    <w:rsid w:val="000129D5"/>
    <w:rsid w:val="00015AE7"/>
    <w:rsid w:val="00016E21"/>
    <w:rsid w:val="0001719C"/>
    <w:rsid w:val="0002224E"/>
    <w:rsid w:val="00023A36"/>
    <w:rsid w:val="000245E5"/>
    <w:rsid w:val="00026F91"/>
    <w:rsid w:val="00032621"/>
    <w:rsid w:val="0004764C"/>
    <w:rsid w:val="0005011A"/>
    <w:rsid w:val="0005045A"/>
    <w:rsid w:val="00051C1E"/>
    <w:rsid w:val="000539F9"/>
    <w:rsid w:val="00054C27"/>
    <w:rsid w:val="00055EC3"/>
    <w:rsid w:val="000563CE"/>
    <w:rsid w:val="000659B6"/>
    <w:rsid w:val="0006686F"/>
    <w:rsid w:val="0006722A"/>
    <w:rsid w:val="000732CF"/>
    <w:rsid w:val="00075B96"/>
    <w:rsid w:val="0008196A"/>
    <w:rsid w:val="000915ED"/>
    <w:rsid w:val="0009209D"/>
    <w:rsid w:val="0009463C"/>
    <w:rsid w:val="000969BD"/>
    <w:rsid w:val="000969BF"/>
    <w:rsid w:val="000A0C22"/>
    <w:rsid w:val="000A1400"/>
    <w:rsid w:val="000A3C43"/>
    <w:rsid w:val="000A4A51"/>
    <w:rsid w:val="000A5D2B"/>
    <w:rsid w:val="000B4664"/>
    <w:rsid w:val="000B5DE3"/>
    <w:rsid w:val="000C0A57"/>
    <w:rsid w:val="000C230C"/>
    <w:rsid w:val="000C6AB4"/>
    <w:rsid w:val="000D71D9"/>
    <w:rsid w:val="000D76E0"/>
    <w:rsid w:val="000D7E8B"/>
    <w:rsid w:val="000E4449"/>
    <w:rsid w:val="000E6097"/>
    <w:rsid w:val="00103829"/>
    <w:rsid w:val="00111FCE"/>
    <w:rsid w:val="001229A5"/>
    <w:rsid w:val="0012489B"/>
    <w:rsid w:val="00130017"/>
    <w:rsid w:val="00130F91"/>
    <w:rsid w:val="001349ED"/>
    <w:rsid w:val="001362D4"/>
    <w:rsid w:val="00137424"/>
    <w:rsid w:val="00140318"/>
    <w:rsid w:val="00141AD9"/>
    <w:rsid w:val="00146CE6"/>
    <w:rsid w:val="00152903"/>
    <w:rsid w:val="00153FD5"/>
    <w:rsid w:val="0015614F"/>
    <w:rsid w:val="001577C2"/>
    <w:rsid w:val="001633C4"/>
    <w:rsid w:val="001704D5"/>
    <w:rsid w:val="00171591"/>
    <w:rsid w:val="00173981"/>
    <w:rsid w:val="0017719D"/>
    <w:rsid w:val="00183FD7"/>
    <w:rsid w:val="00185CAB"/>
    <w:rsid w:val="001875B7"/>
    <w:rsid w:val="00187CB3"/>
    <w:rsid w:val="0019050A"/>
    <w:rsid w:val="001910D4"/>
    <w:rsid w:val="001976E3"/>
    <w:rsid w:val="001A44EC"/>
    <w:rsid w:val="001B58AA"/>
    <w:rsid w:val="001B7E48"/>
    <w:rsid w:val="001C17CE"/>
    <w:rsid w:val="001C36CA"/>
    <w:rsid w:val="001C44D1"/>
    <w:rsid w:val="001C6AEE"/>
    <w:rsid w:val="001C7630"/>
    <w:rsid w:val="001D6D15"/>
    <w:rsid w:val="001F4CB9"/>
    <w:rsid w:val="001F50F7"/>
    <w:rsid w:val="001F7558"/>
    <w:rsid w:val="00201EE2"/>
    <w:rsid w:val="00205B57"/>
    <w:rsid w:val="0021426C"/>
    <w:rsid w:val="002157E0"/>
    <w:rsid w:val="00216047"/>
    <w:rsid w:val="00216A57"/>
    <w:rsid w:val="00217448"/>
    <w:rsid w:val="0022334F"/>
    <w:rsid w:val="00226819"/>
    <w:rsid w:val="00233101"/>
    <w:rsid w:val="00233817"/>
    <w:rsid w:val="0023539A"/>
    <w:rsid w:val="002367FF"/>
    <w:rsid w:val="00240CE9"/>
    <w:rsid w:val="002434BA"/>
    <w:rsid w:val="00246089"/>
    <w:rsid w:val="00246093"/>
    <w:rsid w:val="00246702"/>
    <w:rsid w:val="00247C59"/>
    <w:rsid w:val="00247F2E"/>
    <w:rsid w:val="00250ADC"/>
    <w:rsid w:val="00250B07"/>
    <w:rsid w:val="00257553"/>
    <w:rsid w:val="00260FB2"/>
    <w:rsid w:val="00262128"/>
    <w:rsid w:val="0027165D"/>
    <w:rsid w:val="00273CEB"/>
    <w:rsid w:val="00281C89"/>
    <w:rsid w:val="0028282F"/>
    <w:rsid w:val="00284EED"/>
    <w:rsid w:val="00292A8D"/>
    <w:rsid w:val="0029593B"/>
    <w:rsid w:val="00297FC5"/>
    <w:rsid w:val="002A0417"/>
    <w:rsid w:val="002A16D8"/>
    <w:rsid w:val="002A1BC8"/>
    <w:rsid w:val="002A3EF2"/>
    <w:rsid w:val="002B0DED"/>
    <w:rsid w:val="002B19A2"/>
    <w:rsid w:val="002B381A"/>
    <w:rsid w:val="002B4FCC"/>
    <w:rsid w:val="002B7408"/>
    <w:rsid w:val="002B7CFD"/>
    <w:rsid w:val="002C0530"/>
    <w:rsid w:val="002C210F"/>
    <w:rsid w:val="002D3600"/>
    <w:rsid w:val="002E4DDC"/>
    <w:rsid w:val="002E4EC0"/>
    <w:rsid w:val="00302480"/>
    <w:rsid w:val="00302758"/>
    <w:rsid w:val="00303A73"/>
    <w:rsid w:val="003165E6"/>
    <w:rsid w:val="00321347"/>
    <w:rsid w:val="003215B5"/>
    <w:rsid w:val="003221CF"/>
    <w:rsid w:val="003233ED"/>
    <w:rsid w:val="00324D9F"/>
    <w:rsid w:val="003253EE"/>
    <w:rsid w:val="00327948"/>
    <w:rsid w:val="0033000F"/>
    <w:rsid w:val="00332011"/>
    <w:rsid w:val="00332518"/>
    <w:rsid w:val="00332925"/>
    <w:rsid w:val="00332E3F"/>
    <w:rsid w:val="003332ED"/>
    <w:rsid w:val="003368DC"/>
    <w:rsid w:val="0034490B"/>
    <w:rsid w:val="00345927"/>
    <w:rsid w:val="00350584"/>
    <w:rsid w:val="00351857"/>
    <w:rsid w:val="003545E8"/>
    <w:rsid w:val="00356BF1"/>
    <w:rsid w:val="003610E1"/>
    <w:rsid w:val="003671BE"/>
    <w:rsid w:val="00372485"/>
    <w:rsid w:val="00373200"/>
    <w:rsid w:val="00375EF5"/>
    <w:rsid w:val="003767A5"/>
    <w:rsid w:val="003803BD"/>
    <w:rsid w:val="00381D15"/>
    <w:rsid w:val="00385254"/>
    <w:rsid w:val="00390D91"/>
    <w:rsid w:val="003933E8"/>
    <w:rsid w:val="00394031"/>
    <w:rsid w:val="00396DC2"/>
    <w:rsid w:val="003A04DB"/>
    <w:rsid w:val="003A5F5B"/>
    <w:rsid w:val="003A789A"/>
    <w:rsid w:val="003B060A"/>
    <w:rsid w:val="003B12EC"/>
    <w:rsid w:val="003C03B8"/>
    <w:rsid w:val="003C77E0"/>
    <w:rsid w:val="003D17D7"/>
    <w:rsid w:val="003D2678"/>
    <w:rsid w:val="003D71A3"/>
    <w:rsid w:val="003E2B8A"/>
    <w:rsid w:val="003F10EE"/>
    <w:rsid w:val="003F16F6"/>
    <w:rsid w:val="003F4DC7"/>
    <w:rsid w:val="003F5235"/>
    <w:rsid w:val="004027E4"/>
    <w:rsid w:val="0041071D"/>
    <w:rsid w:val="00414AFC"/>
    <w:rsid w:val="004151A7"/>
    <w:rsid w:val="00415310"/>
    <w:rsid w:val="00420E42"/>
    <w:rsid w:val="00421709"/>
    <w:rsid w:val="00423763"/>
    <w:rsid w:val="0042762F"/>
    <w:rsid w:val="00427DC7"/>
    <w:rsid w:val="00431613"/>
    <w:rsid w:val="00431792"/>
    <w:rsid w:val="0043297A"/>
    <w:rsid w:val="00432EB2"/>
    <w:rsid w:val="00432FB5"/>
    <w:rsid w:val="0043714F"/>
    <w:rsid w:val="004438B5"/>
    <w:rsid w:val="00447037"/>
    <w:rsid w:val="0045124D"/>
    <w:rsid w:val="00454596"/>
    <w:rsid w:val="0045605D"/>
    <w:rsid w:val="0046135B"/>
    <w:rsid w:val="00461D47"/>
    <w:rsid w:val="004637FA"/>
    <w:rsid w:val="004718CC"/>
    <w:rsid w:val="00481695"/>
    <w:rsid w:val="00486FF6"/>
    <w:rsid w:val="00495A96"/>
    <w:rsid w:val="00495BB3"/>
    <w:rsid w:val="004A56BB"/>
    <w:rsid w:val="004A70D6"/>
    <w:rsid w:val="004B1751"/>
    <w:rsid w:val="004C0253"/>
    <w:rsid w:val="004D1A1F"/>
    <w:rsid w:val="004D56FF"/>
    <w:rsid w:val="004E39D3"/>
    <w:rsid w:val="004E508A"/>
    <w:rsid w:val="004E616D"/>
    <w:rsid w:val="004F1BDE"/>
    <w:rsid w:val="004F2CEE"/>
    <w:rsid w:val="004F556E"/>
    <w:rsid w:val="004F591C"/>
    <w:rsid w:val="004F7F44"/>
    <w:rsid w:val="005037B4"/>
    <w:rsid w:val="005079BF"/>
    <w:rsid w:val="0051269A"/>
    <w:rsid w:val="005219E7"/>
    <w:rsid w:val="00531B9A"/>
    <w:rsid w:val="00531D15"/>
    <w:rsid w:val="00537604"/>
    <w:rsid w:val="00542377"/>
    <w:rsid w:val="005476EB"/>
    <w:rsid w:val="00551782"/>
    <w:rsid w:val="00563EF1"/>
    <w:rsid w:val="00566AB4"/>
    <w:rsid w:val="00573812"/>
    <w:rsid w:val="00575AC5"/>
    <w:rsid w:val="0057605D"/>
    <w:rsid w:val="00581347"/>
    <w:rsid w:val="00581AC9"/>
    <w:rsid w:val="005849F8"/>
    <w:rsid w:val="00584B51"/>
    <w:rsid w:val="005938DF"/>
    <w:rsid w:val="00594E9C"/>
    <w:rsid w:val="005A099B"/>
    <w:rsid w:val="005A2D9C"/>
    <w:rsid w:val="005A55FE"/>
    <w:rsid w:val="005A6A11"/>
    <w:rsid w:val="005B2F0D"/>
    <w:rsid w:val="005B4AED"/>
    <w:rsid w:val="005C34EF"/>
    <w:rsid w:val="005D2502"/>
    <w:rsid w:val="005D40BB"/>
    <w:rsid w:val="005D47F3"/>
    <w:rsid w:val="005D49BF"/>
    <w:rsid w:val="005D4AA5"/>
    <w:rsid w:val="005D6F4E"/>
    <w:rsid w:val="005D7C73"/>
    <w:rsid w:val="005E250B"/>
    <w:rsid w:val="005E3ACD"/>
    <w:rsid w:val="005E7226"/>
    <w:rsid w:val="005E7A57"/>
    <w:rsid w:val="005F24B0"/>
    <w:rsid w:val="00604315"/>
    <w:rsid w:val="00604E26"/>
    <w:rsid w:val="0060523F"/>
    <w:rsid w:val="006052CF"/>
    <w:rsid w:val="00607B8D"/>
    <w:rsid w:val="00611F5C"/>
    <w:rsid w:val="00616E09"/>
    <w:rsid w:val="00622A3B"/>
    <w:rsid w:val="00622EEA"/>
    <w:rsid w:val="0062396C"/>
    <w:rsid w:val="00623FF9"/>
    <w:rsid w:val="0062437D"/>
    <w:rsid w:val="00627D4E"/>
    <w:rsid w:val="00632B89"/>
    <w:rsid w:val="0063346D"/>
    <w:rsid w:val="00634478"/>
    <w:rsid w:val="00644373"/>
    <w:rsid w:val="00645915"/>
    <w:rsid w:val="00646CC4"/>
    <w:rsid w:val="006519C3"/>
    <w:rsid w:val="00652B30"/>
    <w:rsid w:val="00656345"/>
    <w:rsid w:val="00656DC6"/>
    <w:rsid w:val="00660EC6"/>
    <w:rsid w:val="00664110"/>
    <w:rsid w:val="00664D17"/>
    <w:rsid w:val="00666520"/>
    <w:rsid w:val="00667C5B"/>
    <w:rsid w:val="00691EB8"/>
    <w:rsid w:val="00692CDE"/>
    <w:rsid w:val="00693073"/>
    <w:rsid w:val="006977FF"/>
    <w:rsid w:val="006A01FA"/>
    <w:rsid w:val="006A0E9E"/>
    <w:rsid w:val="006A25C7"/>
    <w:rsid w:val="006A3ECF"/>
    <w:rsid w:val="006A4AAD"/>
    <w:rsid w:val="006A4CCA"/>
    <w:rsid w:val="006A6DA2"/>
    <w:rsid w:val="006A7AB2"/>
    <w:rsid w:val="006B0765"/>
    <w:rsid w:val="006B0912"/>
    <w:rsid w:val="006B52DE"/>
    <w:rsid w:val="006B5717"/>
    <w:rsid w:val="006B582F"/>
    <w:rsid w:val="006B59EF"/>
    <w:rsid w:val="006B5EB2"/>
    <w:rsid w:val="006C0CEB"/>
    <w:rsid w:val="006C1631"/>
    <w:rsid w:val="006C3B1E"/>
    <w:rsid w:val="006C47FD"/>
    <w:rsid w:val="006C5C19"/>
    <w:rsid w:val="006C5FD4"/>
    <w:rsid w:val="006C70A0"/>
    <w:rsid w:val="006D27CB"/>
    <w:rsid w:val="006D2F08"/>
    <w:rsid w:val="006D576C"/>
    <w:rsid w:val="006D5865"/>
    <w:rsid w:val="006E4B1B"/>
    <w:rsid w:val="006E5445"/>
    <w:rsid w:val="006E7D93"/>
    <w:rsid w:val="0070133D"/>
    <w:rsid w:val="007029A3"/>
    <w:rsid w:val="00706E4E"/>
    <w:rsid w:val="0070791C"/>
    <w:rsid w:val="0071383C"/>
    <w:rsid w:val="007141A7"/>
    <w:rsid w:val="00715722"/>
    <w:rsid w:val="00715BAF"/>
    <w:rsid w:val="00721032"/>
    <w:rsid w:val="00721B55"/>
    <w:rsid w:val="00726CE4"/>
    <w:rsid w:val="00734143"/>
    <w:rsid w:val="00737E47"/>
    <w:rsid w:val="00740EAC"/>
    <w:rsid w:val="00744956"/>
    <w:rsid w:val="00745A5C"/>
    <w:rsid w:val="0074605F"/>
    <w:rsid w:val="00747E94"/>
    <w:rsid w:val="00754C83"/>
    <w:rsid w:val="00761E5C"/>
    <w:rsid w:val="00765DF8"/>
    <w:rsid w:val="00766749"/>
    <w:rsid w:val="00767C1B"/>
    <w:rsid w:val="00770B3F"/>
    <w:rsid w:val="007714A9"/>
    <w:rsid w:val="00774F88"/>
    <w:rsid w:val="00774FDB"/>
    <w:rsid w:val="00776763"/>
    <w:rsid w:val="00777BA2"/>
    <w:rsid w:val="00781408"/>
    <w:rsid w:val="00784F7F"/>
    <w:rsid w:val="007878BD"/>
    <w:rsid w:val="00796F25"/>
    <w:rsid w:val="007A2E98"/>
    <w:rsid w:val="007A3BA3"/>
    <w:rsid w:val="007A6CC0"/>
    <w:rsid w:val="007A7FEC"/>
    <w:rsid w:val="007B1499"/>
    <w:rsid w:val="007B1BBF"/>
    <w:rsid w:val="007B2960"/>
    <w:rsid w:val="007B355D"/>
    <w:rsid w:val="007B7980"/>
    <w:rsid w:val="007C0DEF"/>
    <w:rsid w:val="007C1AF4"/>
    <w:rsid w:val="007C5D5A"/>
    <w:rsid w:val="007C607F"/>
    <w:rsid w:val="007C72C4"/>
    <w:rsid w:val="007C79DD"/>
    <w:rsid w:val="007D1A97"/>
    <w:rsid w:val="007D2CD6"/>
    <w:rsid w:val="007D3063"/>
    <w:rsid w:val="007D3CEB"/>
    <w:rsid w:val="007D467E"/>
    <w:rsid w:val="007E7683"/>
    <w:rsid w:val="007F49FA"/>
    <w:rsid w:val="007F54C4"/>
    <w:rsid w:val="007F6E9A"/>
    <w:rsid w:val="00800CCD"/>
    <w:rsid w:val="00801FEB"/>
    <w:rsid w:val="008044D4"/>
    <w:rsid w:val="00810AB4"/>
    <w:rsid w:val="00817B56"/>
    <w:rsid w:val="00821A88"/>
    <w:rsid w:val="0082322E"/>
    <w:rsid w:val="0082495D"/>
    <w:rsid w:val="00831AC3"/>
    <w:rsid w:val="00836FCE"/>
    <w:rsid w:val="008408FF"/>
    <w:rsid w:val="008500E5"/>
    <w:rsid w:val="00851F3F"/>
    <w:rsid w:val="00856EDC"/>
    <w:rsid w:val="008623B5"/>
    <w:rsid w:val="00870ABA"/>
    <w:rsid w:val="008710E1"/>
    <w:rsid w:val="008716E5"/>
    <w:rsid w:val="00881CA9"/>
    <w:rsid w:val="00883628"/>
    <w:rsid w:val="00885544"/>
    <w:rsid w:val="0088634E"/>
    <w:rsid w:val="00893AB8"/>
    <w:rsid w:val="008A04C8"/>
    <w:rsid w:val="008A4066"/>
    <w:rsid w:val="008A6913"/>
    <w:rsid w:val="008B70F3"/>
    <w:rsid w:val="008B71C4"/>
    <w:rsid w:val="008B76DF"/>
    <w:rsid w:val="008C10F4"/>
    <w:rsid w:val="008C65F7"/>
    <w:rsid w:val="008E0428"/>
    <w:rsid w:val="008E4767"/>
    <w:rsid w:val="008E7A8C"/>
    <w:rsid w:val="0090203B"/>
    <w:rsid w:val="00903285"/>
    <w:rsid w:val="00906F40"/>
    <w:rsid w:val="0090731E"/>
    <w:rsid w:val="00915B1C"/>
    <w:rsid w:val="009174F3"/>
    <w:rsid w:val="0091797D"/>
    <w:rsid w:val="00923CBA"/>
    <w:rsid w:val="00926703"/>
    <w:rsid w:val="00927691"/>
    <w:rsid w:val="00927A5F"/>
    <w:rsid w:val="00930510"/>
    <w:rsid w:val="00935B63"/>
    <w:rsid w:val="00936E95"/>
    <w:rsid w:val="0094078F"/>
    <w:rsid w:val="00940FA3"/>
    <w:rsid w:val="00941FB0"/>
    <w:rsid w:val="009426D4"/>
    <w:rsid w:val="00947F25"/>
    <w:rsid w:val="00950159"/>
    <w:rsid w:val="0095490B"/>
    <w:rsid w:val="00960A33"/>
    <w:rsid w:val="00971914"/>
    <w:rsid w:val="00974363"/>
    <w:rsid w:val="00981898"/>
    <w:rsid w:val="0099577C"/>
    <w:rsid w:val="009A021C"/>
    <w:rsid w:val="009A25CC"/>
    <w:rsid w:val="009B24A5"/>
    <w:rsid w:val="009B2601"/>
    <w:rsid w:val="009B4E9E"/>
    <w:rsid w:val="009C1690"/>
    <w:rsid w:val="009C2480"/>
    <w:rsid w:val="009C6881"/>
    <w:rsid w:val="009C7759"/>
    <w:rsid w:val="009D037E"/>
    <w:rsid w:val="009D043D"/>
    <w:rsid w:val="009D07C8"/>
    <w:rsid w:val="009D4C85"/>
    <w:rsid w:val="009D6C71"/>
    <w:rsid w:val="009E0631"/>
    <w:rsid w:val="009E16D0"/>
    <w:rsid w:val="009E2051"/>
    <w:rsid w:val="009E38FD"/>
    <w:rsid w:val="009F13D6"/>
    <w:rsid w:val="009F4C6B"/>
    <w:rsid w:val="009F78A8"/>
    <w:rsid w:val="00A017E0"/>
    <w:rsid w:val="00A02AD6"/>
    <w:rsid w:val="00A07096"/>
    <w:rsid w:val="00A07318"/>
    <w:rsid w:val="00A11370"/>
    <w:rsid w:val="00A224CE"/>
    <w:rsid w:val="00A22522"/>
    <w:rsid w:val="00A24AFD"/>
    <w:rsid w:val="00A24F5C"/>
    <w:rsid w:val="00A32F96"/>
    <w:rsid w:val="00A40871"/>
    <w:rsid w:val="00A412AB"/>
    <w:rsid w:val="00A4193E"/>
    <w:rsid w:val="00A440E0"/>
    <w:rsid w:val="00A442EF"/>
    <w:rsid w:val="00A5182F"/>
    <w:rsid w:val="00A51D1A"/>
    <w:rsid w:val="00A5418D"/>
    <w:rsid w:val="00A5474E"/>
    <w:rsid w:val="00A64234"/>
    <w:rsid w:val="00A70ADF"/>
    <w:rsid w:val="00A71466"/>
    <w:rsid w:val="00A74B5E"/>
    <w:rsid w:val="00A81BED"/>
    <w:rsid w:val="00A81EC4"/>
    <w:rsid w:val="00A824E8"/>
    <w:rsid w:val="00A82661"/>
    <w:rsid w:val="00A85C35"/>
    <w:rsid w:val="00A967FD"/>
    <w:rsid w:val="00AA2DE5"/>
    <w:rsid w:val="00AB156C"/>
    <w:rsid w:val="00AB6814"/>
    <w:rsid w:val="00AC04BA"/>
    <w:rsid w:val="00AC0E39"/>
    <w:rsid w:val="00AD3082"/>
    <w:rsid w:val="00AD32B4"/>
    <w:rsid w:val="00AD4AD0"/>
    <w:rsid w:val="00AD5436"/>
    <w:rsid w:val="00AD60CD"/>
    <w:rsid w:val="00AD6C8C"/>
    <w:rsid w:val="00AE091D"/>
    <w:rsid w:val="00AE3B60"/>
    <w:rsid w:val="00AE53A1"/>
    <w:rsid w:val="00AF2484"/>
    <w:rsid w:val="00AF63E7"/>
    <w:rsid w:val="00AF6E17"/>
    <w:rsid w:val="00B0165D"/>
    <w:rsid w:val="00B01B60"/>
    <w:rsid w:val="00B031F3"/>
    <w:rsid w:val="00B052A4"/>
    <w:rsid w:val="00B125DE"/>
    <w:rsid w:val="00B13FDD"/>
    <w:rsid w:val="00B22EB2"/>
    <w:rsid w:val="00B27442"/>
    <w:rsid w:val="00B31167"/>
    <w:rsid w:val="00B329D8"/>
    <w:rsid w:val="00B32BB9"/>
    <w:rsid w:val="00B33AE1"/>
    <w:rsid w:val="00B37C38"/>
    <w:rsid w:val="00B4288C"/>
    <w:rsid w:val="00B43262"/>
    <w:rsid w:val="00B44100"/>
    <w:rsid w:val="00B46CBA"/>
    <w:rsid w:val="00B46F94"/>
    <w:rsid w:val="00B6003C"/>
    <w:rsid w:val="00B61F03"/>
    <w:rsid w:val="00B626E4"/>
    <w:rsid w:val="00B72F4A"/>
    <w:rsid w:val="00B83C27"/>
    <w:rsid w:val="00B84BC3"/>
    <w:rsid w:val="00B84BDD"/>
    <w:rsid w:val="00B92812"/>
    <w:rsid w:val="00BA66BC"/>
    <w:rsid w:val="00BB45A1"/>
    <w:rsid w:val="00BB6335"/>
    <w:rsid w:val="00BB7686"/>
    <w:rsid w:val="00BB7802"/>
    <w:rsid w:val="00BC23F9"/>
    <w:rsid w:val="00BC3421"/>
    <w:rsid w:val="00BC48CF"/>
    <w:rsid w:val="00BC732C"/>
    <w:rsid w:val="00BD12D2"/>
    <w:rsid w:val="00BD4421"/>
    <w:rsid w:val="00BE2580"/>
    <w:rsid w:val="00BE266D"/>
    <w:rsid w:val="00BE3938"/>
    <w:rsid w:val="00BE4C11"/>
    <w:rsid w:val="00BE71C0"/>
    <w:rsid w:val="00BF610C"/>
    <w:rsid w:val="00C0060B"/>
    <w:rsid w:val="00C01A6C"/>
    <w:rsid w:val="00C0277D"/>
    <w:rsid w:val="00C02F26"/>
    <w:rsid w:val="00C053A1"/>
    <w:rsid w:val="00C13CA7"/>
    <w:rsid w:val="00C16198"/>
    <w:rsid w:val="00C2083D"/>
    <w:rsid w:val="00C24466"/>
    <w:rsid w:val="00C245C1"/>
    <w:rsid w:val="00C24A53"/>
    <w:rsid w:val="00C34A05"/>
    <w:rsid w:val="00C35CCE"/>
    <w:rsid w:val="00C4032F"/>
    <w:rsid w:val="00C41F21"/>
    <w:rsid w:val="00C44047"/>
    <w:rsid w:val="00C45155"/>
    <w:rsid w:val="00C50D6A"/>
    <w:rsid w:val="00C5498F"/>
    <w:rsid w:val="00C55235"/>
    <w:rsid w:val="00C64CD0"/>
    <w:rsid w:val="00C65F61"/>
    <w:rsid w:val="00C6684F"/>
    <w:rsid w:val="00C70E70"/>
    <w:rsid w:val="00C75F8D"/>
    <w:rsid w:val="00C77380"/>
    <w:rsid w:val="00C87E8A"/>
    <w:rsid w:val="00C913D6"/>
    <w:rsid w:val="00C922B8"/>
    <w:rsid w:val="00C97736"/>
    <w:rsid w:val="00CA345A"/>
    <w:rsid w:val="00CB1E82"/>
    <w:rsid w:val="00CB4BA8"/>
    <w:rsid w:val="00CB52D7"/>
    <w:rsid w:val="00CC6732"/>
    <w:rsid w:val="00CD6ACF"/>
    <w:rsid w:val="00CE3C96"/>
    <w:rsid w:val="00CE51A8"/>
    <w:rsid w:val="00CF0BFE"/>
    <w:rsid w:val="00CF369B"/>
    <w:rsid w:val="00D00E28"/>
    <w:rsid w:val="00D0269E"/>
    <w:rsid w:val="00D03276"/>
    <w:rsid w:val="00D05D6C"/>
    <w:rsid w:val="00D15810"/>
    <w:rsid w:val="00D16D4E"/>
    <w:rsid w:val="00D16FE3"/>
    <w:rsid w:val="00D27F41"/>
    <w:rsid w:val="00D36441"/>
    <w:rsid w:val="00D4064E"/>
    <w:rsid w:val="00D43B47"/>
    <w:rsid w:val="00D44E9B"/>
    <w:rsid w:val="00D47AEB"/>
    <w:rsid w:val="00D50DB9"/>
    <w:rsid w:val="00D51302"/>
    <w:rsid w:val="00D52C43"/>
    <w:rsid w:val="00D61243"/>
    <w:rsid w:val="00D6507F"/>
    <w:rsid w:val="00D730BC"/>
    <w:rsid w:val="00D73912"/>
    <w:rsid w:val="00D85226"/>
    <w:rsid w:val="00D87B94"/>
    <w:rsid w:val="00D92D49"/>
    <w:rsid w:val="00D92EC1"/>
    <w:rsid w:val="00D96DEA"/>
    <w:rsid w:val="00DA4E41"/>
    <w:rsid w:val="00DB117A"/>
    <w:rsid w:val="00DB5173"/>
    <w:rsid w:val="00DB6290"/>
    <w:rsid w:val="00DB7873"/>
    <w:rsid w:val="00DC187B"/>
    <w:rsid w:val="00DD1A43"/>
    <w:rsid w:val="00DD73C2"/>
    <w:rsid w:val="00DE319B"/>
    <w:rsid w:val="00DF34FE"/>
    <w:rsid w:val="00DF56AA"/>
    <w:rsid w:val="00DF56AF"/>
    <w:rsid w:val="00DF78E7"/>
    <w:rsid w:val="00E110E0"/>
    <w:rsid w:val="00E15371"/>
    <w:rsid w:val="00E162C4"/>
    <w:rsid w:val="00E21056"/>
    <w:rsid w:val="00E24104"/>
    <w:rsid w:val="00E302D0"/>
    <w:rsid w:val="00E35707"/>
    <w:rsid w:val="00E36AA1"/>
    <w:rsid w:val="00E41ECB"/>
    <w:rsid w:val="00E42676"/>
    <w:rsid w:val="00E455A6"/>
    <w:rsid w:val="00E5426D"/>
    <w:rsid w:val="00E54FDB"/>
    <w:rsid w:val="00E5617D"/>
    <w:rsid w:val="00E563D7"/>
    <w:rsid w:val="00E663F4"/>
    <w:rsid w:val="00E666F2"/>
    <w:rsid w:val="00E66DD4"/>
    <w:rsid w:val="00E70221"/>
    <w:rsid w:val="00E71872"/>
    <w:rsid w:val="00E748CC"/>
    <w:rsid w:val="00E74F15"/>
    <w:rsid w:val="00E75415"/>
    <w:rsid w:val="00E775B1"/>
    <w:rsid w:val="00E77682"/>
    <w:rsid w:val="00E810A7"/>
    <w:rsid w:val="00E8152A"/>
    <w:rsid w:val="00E93629"/>
    <w:rsid w:val="00E93B5C"/>
    <w:rsid w:val="00E94CEC"/>
    <w:rsid w:val="00EA04EF"/>
    <w:rsid w:val="00EA0969"/>
    <w:rsid w:val="00EA53C3"/>
    <w:rsid w:val="00EA6C79"/>
    <w:rsid w:val="00EA6F19"/>
    <w:rsid w:val="00EB7090"/>
    <w:rsid w:val="00EC1BBE"/>
    <w:rsid w:val="00EC2B68"/>
    <w:rsid w:val="00EC3AEF"/>
    <w:rsid w:val="00EC5CD7"/>
    <w:rsid w:val="00EE5FB3"/>
    <w:rsid w:val="00EE7F79"/>
    <w:rsid w:val="00EF5BBC"/>
    <w:rsid w:val="00EF715A"/>
    <w:rsid w:val="00F06E14"/>
    <w:rsid w:val="00F179D4"/>
    <w:rsid w:val="00F22A23"/>
    <w:rsid w:val="00F2406F"/>
    <w:rsid w:val="00F33C56"/>
    <w:rsid w:val="00F347C7"/>
    <w:rsid w:val="00F34848"/>
    <w:rsid w:val="00F361D7"/>
    <w:rsid w:val="00F42D46"/>
    <w:rsid w:val="00F4496C"/>
    <w:rsid w:val="00F44F3A"/>
    <w:rsid w:val="00F51F10"/>
    <w:rsid w:val="00F529A5"/>
    <w:rsid w:val="00F5310D"/>
    <w:rsid w:val="00F60F00"/>
    <w:rsid w:val="00F614C0"/>
    <w:rsid w:val="00F83848"/>
    <w:rsid w:val="00F903CB"/>
    <w:rsid w:val="00F975E9"/>
    <w:rsid w:val="00FA1B7D"/>
    <w:rsid w:val="00FC07B9"/>
    <w:rsid w:val="00FC4E21"/>
    <w:rsid w:val="00FC5F6D"/>
    <w:rsid w:val="00FD0107"/>
    <w:rsid w:val="00FD2C2F"/>
    <w:rsid w:val="00FD3B31"/>
    <w:rsid w:val="00FE1823"/>
    <w:rsid w:val="00FE487A"/>
    <w:rsid w:val="00FE5E50"/>
    <w:rsid w:val="00FF0569"/>
    <w:rsid w:val="00FF206E"/>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22A5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390D91"/>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3"/>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semiHidden/>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aliases w:val="Footnote text"/>
    <w:basedOn w:val="Normal"/>
    <w:uiPriority w:val="23"/>
    <w:rsid w:val="00C24466"/>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390D91"/>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D43B47"/>
    <w:pPr>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801FEB"/>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3803B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390D91"/>
    <w:pPr>
      <w:tabs>
        <w:tab w:val="left" w:pos="720"/>
      </w:tabs>
      <w:spacing w:after="0" w:line="240" w:lineRule="auto"/>
      <w:jc w:val="center"/>
    </w:pPr>
    <w:rPr>
      <w:rFonts w:cs="Arial"/>
      <w:b/>
      <w:bCs/>
      <w:color w:val="FF0000"/>
      <w:sz w:val="32"/>
      <w:lang w:eastAsia="en-US"/>
    </w:rPr>
  </w:style>
  <w:style w:type="paragraph" w:styleId="Revision">
    <w:name w:val="Revision"/>
    <w:hidden/>
    <w:semiHidden/>
    <w:rsid w:val="00023A36"/>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info@acma.gov.au" TargetMode="External"/><Relationship Id="rId26" Type="http://schemas.openxmlformats.org/officeDocument/2006/relationships/footer" Target="footer5.xml"/><Relationship Id="rId39" Type="http://schemas.openxmlformats.org/officeDocument/2006/relationships/hyperlink" Target="https://www.acma.gov.au/sites/default/files/2022-09/Response%20to%20submissions%20to%20Draft%20FYSO%202022-27.pdf" TargetMode="External"/><Relationship Id="rId21" Type="http://schemas.openxmlformats.org/officeDocument/2006/relationships/footer" Target="footer2.xml"/><Relationship Id="rId34" Type="http://schemas.openxmlformats.org/officeDocument/2006/relationships/hyperlink" Target="https://www.acma.gov.au/consultations/2022-02/allocation-awls-34-40-ghz-band-remote-australia-ifc-112022" TargetMode="External"/><Relationship Id="rId42" Type="http://schemas.openxmlformats.org/officeDocument/2006/relationships/hyperlink" Target="https://www.acma.gov.au/consultations/2022-02/proposed-updates-rali-fx-22-frequency-assignment-requirements-fixed-service-800-mhz-band-consultation-052022" TargetMode="External"/><Relationship Id="rId47" Type="http://schemas.openxmlformats.org/officeDocument/2006/relationships/hyperlink" Target="https://www.acma.gov.au/consultations/2022-02/improving-technical-arrangements-awls-26-ghz-and-28-ghz-bands-consultation-042022" TargetMode="External"/><Relationship Id="rId50" Type="http://schemas.openxmlformats.org/officeDocument/2006/relationships/hyperlink" Target="https://webarchive.nla.gov.au/awa/20221128162030/https:/www.acma.gov.au/consultations/2022-06/proposed-updates-channel-arrangements-72-ghz-band-ifc-192022" TargetMode="External"/><Relationship Id="rId55" Type="http://schemas.openxmlformats.org/officeDocument/2006/relationships/hyperlink" Target="https://www.acma.gov.au/have-your-say"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acma.gov.au/sites/default/files/2021-10/Spectrum%20planning%20framework_review%20work%20program%202021%E2%80%9322%20%28final%29.docx" TargetMode="Externa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yperlink" Target="https://www.finance.gov.au/government/managing-commonwealth-resources/regulator-performance-rmg-128" TargetMode="External"/><Relationship Id="rId37" Type="http://schemas.openxmlformats.org/officeDocument/2006/relationships/hyperlink" Target="https://www.acma.gov.au/consultations/2022-02/allocation-awls-34-40-ghz-band-remote-australia-ifc-112022" TargetMode="External"/><Relationship Id="rId40" Type="http://schemas.openxmlformats.org/officeDocument/2006/relationships/hyperlink" Target="https://www.acma.gov.au/consultations/2021-12/replanning-2-ghz-band-review-2-ghz-television-outside-broadcast-frequency-band-plan-consultation-452021" TargetMode="External"/><Relationship Id="rId45" Type="http://schemas.openxmlformats.org/officeDocument/2006/relationships/hyperlink" Target="https://www.acma.gov.au/allocating-34-40-ghz-band" TargetMode="External"/><Relationship Id="rId53" Type="http://schemas.openxmlformats.org/officeDocument/2006/relationships/hyperlink" Target="https://www.acma.gov.au/consultations/2022-07/updates-earth-coordination-requirements-consultation-262022" TargetMode="External"/><Relationship Id="rId58" Type="http://schemas.openxmlformats.org/officeDocument/2006/relationships/hyperlink" Target="https://www.acma.gov.au/privacy-policy" TargetMode="External"/><Relationship Id="rId5" Type="http://schemas.openxmlformats.org/officeDocument/2006/relationships/customXml" Target="../customXml/item5.xml"/><Relationship Id="rId61" Type="http://schemas.openxmlformats.org/officeDocument/2006/relationships/footer" Target="footer7.xml"/><Relationship Id="rId19" Type="http://schemas.openxmlformats.org/officeDocument/2006/relationships/header" Target="header3.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yperlink" Target="https://www.acma.gov.au/spectrum-licence-technical-framework-review" TargetMode="External"/><Relationship Id="rId35" Type="http://schemas.openxmlformats.org/officeDocument/2006/relationships/hyperlink" Target="https://www.acma.gov.au/consultations/2022-06/proposed-updates-channel-arrangements-72-ghz-band-ifc-192022" TargetMode="External"/><Relationship Id="rId43" Type="http://schemas.openxmlformats.org/officeDocument/2006/relationships/hyperlink" Target="https://www.acma.gov.au/publications/2015-12/report/acmas-long-term-strategy-803-960-mhz-band-decision-paper" TargetMode="External"/><Relationship Id="rId48" Type="http://schemas.openxmlformats.org/officeDocument/2006/relationships/hyperlink" Target="https://www.acma.gov.au/consultations/2022-02/allocation-awls-34-40-ghz-band-remote-australia-ifc-112022" TargetMode="External"/><Relationship Id="rId56" Type="http://schemas.openxmlformats.org/officeDocument/2006/relationships/hyperlink" Target="mailto:freqplan@acma.gov.au"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acma.gov.au/consultations/2021-08/planning-wireless-broadband-use-urban-areas-3400-3475-mhz-band-consultation-312021"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creativecommons.org/licenses/by/4.0/" TargetMode="External"/><Relationship Id="rId25" Type="http://schemas.openxmlformats.org/officeDocument/2006/relationships/footer" Target="footer4.xml"/><Relationship Id="rId33" Type="http://schemas.openxmlformats.org/officeDocument/2006/relationships/hyperlink" Target="https://www.acma.gov.au/consultations/2021-11/exploring-future-use-19-ghz-band-consultation-402021" TargetMode="External"/><Relationship Id="rId38" Type="http://schemas.openxmlformats.org/officeDocument/2006/relationships/hyperlink" Target="https://www.acma.gov.au/publications/2022-09/plan/five-year-spectrum-outlook-2022-27" TargetMode="External"/><Relationship Id="rId46" Type="http://schemas.openxmlformats.org/officeDocument/2006/relationships/hyperlink" Target="https://www.acma.gov.au/consultations/2022-02/allocation-awls-34-40-ghz-band-remote-australia-ifc-112022" TargetMode="External"/><Relationship Id="rId59" Type="http://schemas.openxmlformats.org/officeDocument/2006/relationships/header" Target="header7.xml"/><Relationship Id="rId20" Type="http://schemas.openxmlformats.org/officeDocument/2006/relationships/header" Target="header4.xml"/><Relationship Id="rId41" Type="http://schemas.openxmlformats.org/officeDocument/2006/relationships/hyperlink" Target="https://www.acma.gov.au/consultations/2021-12/proposed-licensing-arrangements-2-ghz-narrowband-mobile-satellite-services-and-28-ghz-fixed-satellite-services-consultation-462021" TargetMode="External"/><Relationship Id="rId54" Type="http://schemas.openxmlformats.org/officeDocument/2006/relationships/hyperlink" Target="https://www.acma.gov.au/consultations/2022-02/improving-technical-arrangements-awls-26-ghz-and-28-ghz-bands-consultation-042022" TargetMode="External"/><Relationship Id="rId62"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i.creativecommons.org/l/by/3.0/88x31.png" TargetMode="External"/><Relationship Id="rId23" Type="http://schemas.openxmlformats.org/officeDocument/2006/relationships/header" Target="header5.xml"/><Relationship Id="rId28" Type="http://schemas.openxmlformats.org/officeDocument/2006/relationships/hyperlink" Target="https://www.acma.gov.au/sites/default/files/2022-08/Spectrum%20planning%20framework_information%20paper_1.docx" TargetMode="External"/><Relationship Id="rId36" Type="http://schemas.openxmlformats.org/officeDocument/2006/relationships/hyperlink" Target="https://www.acma.gov.au/consultations/2021-11/exploring-future-use-19-ghz-band-consultation-402021" TargetMode="External"/><Relationship Id="rId49" Type="http://schemas.openxmlformats.org/officeDocument/2006/relationships/hyperlink" Target="https://www.acma.gov.au/consultations/2022-07/updates-earth-coordination-requirements-consultation-262022" TargetMode="External"/><Relationship Id="rId57" Type="http://schemas.openxmlformats.org/officeDocument/2006/relationships/hyperlink" Target="https://www.acma.gov.au/publication-submissions" TargetMode="External"/><Relationship Id="rId10" Type="http://schemas.openxmlformats.org/officeDocument/2006/relationships/footnotes" Target="footnotes.xml"/><Relationship Id="rId31" Type="http://schemas.openxmlformats.org/officeDocument/2006/relationships/hyperlink" Target="https://www.acma.gov.au/five-year-spectrum-outlook" TargetMode="External"/><Relationship Id="rId44" Type="http://schemas.openxmlformats.org/officeDocument/2006/relationships/hyperlink" Target="https://www.acma.gov.au/publications/2019-09/instruction/rali-lm8-land-mobile-service" TargetMode="External"/><Relationship Id="rId52" Type="http://schemas.openxmlformats.org/officeDocument/2006/relationships/hyperlink" Target="https://www.acma.gov.au/consultations/2022-02/improving-technical-arrangements-awls-26-ghz-and-28-ghz-bands-consultation-042022" TargetMode="External"/><Relationship Id="rId60"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au/Series/F2020L01452" TargetMode="External"/><Relationship Id="rId2" Type="http://schemas.openxmlformats.org/officeDocument/2006/relationships/hyperlink" Target="https://www.legislation.gov.au/Series/F2021L01148" TargetMode="External"/><Relationship Id="rId1" Type="http://schemas.openxmlformats.org/officeDocument/2006/relationships/hyperlink" Target="https://www.legislation.gov.au/Series/F2020L0145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4A55C92B42AA40BC1B2189E7B3C29C" ma:contentTypeVersion="7" ma:contentTypeDescription="Create a new document." ma:contentTypeScope="" ma:versionID="146d6686a8c820e8680821f88aa49b7d">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3NE2HDV7HD6D-1249937519-4617</_dlc_DocId>
    <_dlc_DocIdUrl xmlns="1d983eb4-33f7-44b0-aea1-cbdcf0c55136">
      <Url>http://collaboration/organisation/cid/speb/SNIP/_layouts/15/DocIdRedir.aspx?ID=3NE2HDV7HD6D-1249937519-4617</Url>
      <Description>3NE2HDV7HD6D-1249937519-4617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D43467-53AC-42B6-887B-5072C480B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54319C-0383-4886-AAF8-DD8BA51E563C}">
  <ds:schemaRefs>
    <ds:schemaRef ds:uri="http://schemas.microsoft.com/office/2006/metadata/properties"/>
    <ds:schemaRef ds:uri="1d983eb4-33f7-44b0-aea1-cbdcf0c55136"/>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55387692-AF78-4405-B185-5BA926176A47}">
  <ds:schemaRefs>
    <ds:schemaRef ds:uri="http://schemas.microsoft.com/sharepoint/events"/>
  </ds:schemaRefs>
</ds:datastoreItem>
</file>

<file path=customXml/itemProps4.xml><?xml version="1.0" encoding="utf-8"?>
<ds:datastoreItem xmlns:ds="http://schemas.openxmlformats.org/officeDocument/2006/customXml" ds:itemID="{BA7F8262-1C21-46BC-9DE5-9254E2ABE8DF}">
  <ds:schemaRefs>
    <ds:schemaRef ds:uri="http://schemas.openxmlformats.org/officeDocument/2006/bibliography"/>
  </ds:schemaRefs>
</ds:datastoreItem>
</file>

<file path=customXml/itemProps5.xml><?xml version="1.0" encoding="utf-8"?>
<ds:datastoreItem xmlns:ds="http://schemas.openxmlformats.org/officeDocument/2006/customXml" ds:itemID="{04922727-E8F9-4C51-A694-116D5BCC7C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4373</Words>
  <Characters>24927</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29242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2023-06-20T03:49:00Z</dcterms:created>
  <dcterms:modified xsi:type="dcterms:W3CDTF">2023-06-20T03:49:00Z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0x010100DC4A55C92B42AA40BC1B2189E7B3C29C</vt:lpwstr>
  </property>
  <property fmtid="{D5CDD505-2E9C-101B-9397-08002B2CF9AE}" pid="3" name="_dlc_DocIdItemGuid">
    <vt:lpwstr>a16fd3d6-a7f9-4f9d-b703-33a442572209</vt:lpwstr>
  </property>
</Properties>
</file>