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13DDA" w14:textId="08248C67" w:rsidR="00F06E14" w:rsidRPr="00EF4843" w:rsidRDefault="00391EA6" w:rsidP="00EF4843">
      <w:pPr>
        <w:pStyle w:val="Reporttitle"/>
      </w:pPr>
      <w:bookmarkStart w:id="0" w:name="_Hlk96947071"/>
      <w:r w:rsidRPr="00EF4843">
        <w:t>Area-</w:t>
      </w:r>
      <w:r w:rsidR="003C216D" w:rsidRPr="00EF4843">
        <w:t>w</w:t>
      </w:r>
      <w:r w:rsidRPr="00EF4843">
        <w:t xml:space="preserve">ide </w:t>
      </w:r>
      <w:r w:rsidR="003C216D" w:rsidRPr="00EF4843">
        <w:t>a</w:t>
      </w:r>
      <w:r w:rsidR="00AE5A3D" w:rsidRPr="00EF4843">
        <w:t xml:space="preserve">pparatus licences in the </w:t>
      </w:r>
      <w:r w:rsidR="00871D6E" w:rsidRPr="00EF4843">
        <w:t>3.8</w:t>
      </w:r>
      <w:r w:rsidR="00277D35" w:rsidRPr="00EF4843">
        <w:t> </w:t>
      </w:r>
      <w:r w:rsidR="008D3CCA" w:rsidRPr="00EF4843">
        <w:t xml:space="preserve">GHz </w:t>
      </w:r>
      <w:r w:rsidR="000539AE" w:rsidRPr="00EF4843">
        <w:t xml:space="preserve">band in </w:t>
      </w:r>
      <w:r w:rsidR="00956DF5" w:rsidRPr="00EF4843">
        <w:t>metropolitan and regional</w:t>
      </w:r>
      <w:r w:rsidR="000539AE" w:rsidRPr="00EF4843">
        <w:t xml:space="preserve"> Australia</w:t>
      </w:r>
    </w:p>
    <w:bookmarkEnd w:id="0"/>
    <w:p w14:paraId="24DE6AAE" w14:textId="47801EB3" w:rsidR="00EF4843" w:rsidRPr="00EF4843" w:rsidRDefault="001E701E" w:rsidP="00EF4843">
      <w:pPr>
        <w:pStyle w:val="Reportsubtitle"/>
      </w:pPr>
      <w:r w:rsidRPr="00EF4843">
        <w:t xml:space="preserve">Licensing, </w:t>
      </w:r>
      <w:r w:rsidR="003B3881" w:rsidRPr="00EF4843">
        <w:t xml:space="preserve">allocation </w:t>
      </w:r>
      <w:r w:rsidR="00BA3A6B" w:rsidRPr="00EF4843">
        <w:t>process</w:t>
      </w:r>
      <w:r w:rsidR="003B3881" w:rsidRPr="00EF4843">
        <w:t xml:space="preserve">, </w:t>
      </w:r>
      <w:r w:rsidRPr="00EF4843">
        <w:t xml:space="preserve">technical </w:t>
      </w:r>
      <w:r w:rsidRPr="007328F1">
        <w:t>framework</w:t>
      </w:r>
      <w:r w:rsidRPr="00EF4843">
        <w:t xml:space="preserve"> and </w:t>
      </w:r>
      <w:r w:rsidR="00F7329E" w:rsidRPr="00EF4843">
        <w:t>pricing arrangements</w:t>
      </w:r>
      <w:r w:rsidR="00D10579" w:rsidRPr="00EF4843">
        <w:t xml:space="preserve"> </w:t>
      </w:r>
    </w:p>
    <w:p w14:paraId="184ED3F3" w14:textId="354A6C2E" w:rsidR="00F06E14" w:rsidRPr="00EF4843" w:rsidRDefault="00EF4843" w:rsidP="00EF4843">
      <w:pPr>
        <w:pStyle w:val="Reportsubtitle"/>
      </w:pPr>
      <w:r w:rsidRPr="00EF4843">
        <w:t>C</w:t>
      </w:r>
      <w:r w:rsidR="003B40A6" w:rsidRPr="00EF4843">
        <w:t>onsultation paper</w:t>
      </w:r>
    </w:p>
    <w:p w14:paraId="2325DF81" w14:textId="2AB2FF6D" w:rsidR="00C97736" w:rsidRPr="00EF4843" w:rsidRDefault="00FE23EA" w:rsidP="00546785">
      <w:pPr>
        <w:pStyle w:val="Reportdate"/>
        <w:sectPr w:rsidR="00C97736" w:rsidRPr="00EF4843" w:rsidSect="0021426C">
          <w:headerReference w:type="default" r:id="rId8"/>
          <w:footerReference w:type="default" r:id="rId9"/>
          <w:headerReference w:type="first" r:id="rId10"/>
          <w:pgSz w:w="11906" w:h="16838" w:code="9"/>
          <w:pgMar w:top="3924" w:right="992" w:bottom="1440" w:left="1134" w:header="709" w:footer="454" w:gutter="0"/>
          <w:cols w:space="708"/>
          <w:docGrid w:linePitch="360"/>
        </w:sectPr>
      </w:pPr>
      <w:r w:rsidRPr="00EF4843">
        <w:t xml:space="preserve">June 2023 </w:t>
      </w:r>
    </w:p>
    <w:p w14:paraId="7EFC239D" w14:textId="77777777" w:rsidR="0005011A" w:rsidRPr="00F44F3A" w:rsidRDefault="0005011A" w:rsidP="00FC07B9">
      <w:pPr>
        <w:pStyle w:val="ACMACorporateAddressHeader"/>
      </w:pPr>
      <w:r w:rsidRPr="00F44F3A">
        <w:lastRenderedPageBreak/>
        <w:t>Canberra</w:t>
      </w:r>
    </w:p>
    <w:p w14:paraId="29EF3061" w14:textId="77777777" w:rsidR="0005011A" w:rsidRPr="00FC07B9" w:rsidRDefault="0005011A" w:rsidP="00FC07B9">
      <w:pPr>
        <w:pStyle w:val="ACMACorporateAddresses"/>
      </w:pPr>
      <w:r w:rsidRPr="00FC07B9">
        <w:t xml:space="preserve">Red Building </w:t>
      </w:r>
      <w:r w:rsidRPr="00FC07B9">
        <w:br/>
        <w:t>Benjamin Offices</w:t>
      </w:r>
      <w:r w:rsidRPr="00FC07B9">
        <w:br/>
        <w:t xml:space="preserve">Chan Street </w:t>
      </w:r>
      <w:r w:rsidRPr="00FC07B9">
        <w:br/>
        <w:t>Belconnen ACT</w:t>
      </w:r>
    </w:p>
    <w:p w14:paraId="581FB3E8" w14:textId="77777777" w:rsidR="0005011A" w:rsidRPr="00FC07B9" w:rsidRDefault="0005011A" w:rsidP="00FC07B9">
      <w:pPr>
        <w:pStyle w:val="ACMACorporateAddresses"/>
      </w:pPr>
      <w:r w:rsidRPr="00FC07B9">
        <w:t>PO Box 78</w:t>
      </w:r>
      <w:r w:rsidRPr="00FC07B9">
        <w:br/>
        <w:t>Belconnen ACT 2616</w:t>
      </w:r>
    </w:p>
    <w:p w14:paraId="5345ADBC" w14:textId="77777777" w:rsidR="00FE1823" w:rsidRPr="00FC07B9" w:rsidRDefault="0005011A" w:rsidP="00FC07B9">
      <w:pPr>
        <w:pStyle w:val="ACMACorporateAddresses"/>
      </w:pPr>
      <w:r w:rsidRPr="00FC07B9">
        <w:t>T</w:t>
      </w:r>
      <w:r w:rsidR="00537604" w:rsidRPr="00FC07B9">
        <w:tab/>
      </w:r>
      <w:r w:rsidRPr="00FC07B9">
        <w:t>+61 2 6219 5555</w:t>
      </w:r>
      <w:r w:rsidRPr="00FC07B9">
        <w:br/>
        <w:t>F</w:t>
      </w:r>
      <w:r w:rsidR="00537604" w:rsidRPr="00FC07B9">
        <w:tab/>
      </w:r>
      <w:r w:rsidRPr="00FC07B9">
        <w:t>+61 2 6219 5353</w:t>
      </w:r>
    </w:p>
    <w:p w14:paraId="3326F910" w14:textId="77777777" w:rsidR="0005011A" w:rsidRPr="00F44F3A" w:rsidRDefault="0005011A" w:rsidP="00FC07B9">
      <w:pPr>
        <w:pStyle w:val="ACMACorporateAddressHeader"/>
      </w:pPr>
      <w:r w:rsidRPr="00F44F3A">
        <w:t>Melbourne</w:t>
      </w:r>
    </w:p>
    <w:p w14:paraId="792DA6A3" w14:textId="77777777" w:rsidR="0005011A" w:rsidRPr="00F44F3A" w:rsidRDefault="0005011A" w:rsidP="00FC07B9">
      <w:pPr>
        <w:pStyle w:val="ACMACorporateAddresses"/>
      </w:pPr>
      <w:r w:rsidRPr="00F44F3A">
        <w:t xml:space="preserve">Level 32 </w:t>
      </w:r>
      <w:r w:rsidRPr="00F44F3A">
        <w:br/>
        <w:t>Melbourne Central Tower</w:t>
      </w:r>
      <w:r w:rsidRPr="00F44F3A">
        <w:br/>
        <w:t xml:space="preserve">360 Elizabeth Street </w:t>
      </w:r>
      <w:r w:rsidR="008C10F4" w:rsidRPr="00F44F3A">
        <w:br/>
      </w:r>
      <w:r w:rsidRPr="00F44F3A">
        <w:t>Melbourne VIC</w:t>
      </w:r>
    </w:p>
    <w:p w14:paraId="675EB486" w14:textId="77777777" w:rsidR="0005011A" w:rsidRPr="00F44F3A" w:rsidRDefault="0005011A" w:rsidP="00FC07B9">
      <w:pPr>
        <w:pStyle w:val="ACMACorporateAddresses"/>
      </w:pPr>
      <w:r w:rsidRPr="00F44F3A">
        <w:t>PO Box 13112</w:t>
      </w:r>
      <w:r w:rsidRPr="00F44F3A">
        <w:br/>
        <w:t xml:space="preserve">Law Courts </w:t>
      </w:r>
      <w:r w:rsidRPr="00F44F3A">
        <w:br/>
        <w:t>Melbourne VIC 8010</w:t>
      </w:r>
    </w:p>
    <w:p w14:paraId="37405584" w14:textId="77777777" w:rsidR="0005011A" w:rsidRPr="00F44F3A" w:rsidRDefault="0005011A" w:rsidP="00FC07B9">
      <w:pPr>
        <w:pStyle w:val="ACMACorporateAddresses"/>
      </w:pPr>
      <w:r w:rsidRPr="00F44F3A">
        <w:t>T</w:t>
      </w:r>
      <w:r w:rsidR="00140318" w:rsidRPr="00F44F3A">
        <w:tab/>
      </w:r>
      <w:r w:rsidRPr="00F44F3A">
        <w:t>+61 3 9963 6800</w:t>
      </w:r>
      <w:r w:rsidRPr="00F44F3A">
        <w:br/>
        <w:t>F</w:t>
      </w:r>
      <w:r w:rsidR="00140318" w:rsidRPr="00F44F3A">
        <w:tab/>
      </w:r>
      <w:r w:rsidRPr="00F44F3A">
        <w:t>+61 3 9963 6899</w:t>
      </w:r>
    </w:p>
    <w:p w14:paraId="3A1D84D1" w14:textId="77777777" w:rsidR="0005011A" w:rsidRPr="00F44F3A" w:rsidRDefault="0005011A" w:rsidP="00FC07B9">
      <w:pPr>
        <w:pStyle w:val="ACMACorporateAddressHeader"/>
      </w:pPr>
      <w:r w:rsidRPr="00F44F3A">
        <w:t>Sydney</w:t>
      </w:r>
    </w:p>
    <w:p w14:paraId="197D13EE" w14:textId="77777777" w:rsidR="0005011A" w:rsidRPr="00F44F3A" w:rsidRDefault="0005011A" w:rsidP="00FC07B9">
      <w:pPr>
        <w:pStyle w:val="ACMACorporateAddresses"/>
      </w:pPr>
      <w:r w:rsidRPr="00F44F3A">
        <w:t xml:space="preserve">Level 5 </w:t>
      </w:r>
      <w:r w:rsidRPr="00F44F3A">
        <w:br/>
        <w:t>The Bay Centre</w:t>
      </w:r>
      <w:r w:rsidRPr="00F44F3A">
        <w:br/>
        <w:t xml:space="preserve">65 Pirrama Road </w:t>
      </w:r>
      <w:r w:rsidRPr="00F44F3A">
        <w:br/>
        <w:t>Pyrmont NSW</w:t>
      </w:r>
    </w:p>
    <w:p w14:paraId="6E72484E" w14:textId="77777777" w:rsidR="0005011A" w:rsidRPr="00F44F3A" w:rsidRDefault="0005011A" w:rsidP="00FC07B9">
      <w:pPr>
        <w:pStyle w:val="ACMACorporateAddresses"/>
      </w:pPr>
      <w:r w:rsidRPr="00F44F3A">
        <w:t>PO Box Q500</w:t>
      </w:r>
      <w:r w:rsidRPr="00F44F3A">
        <w:br/>
        <w:t xml:space="preserve">Queen Victoria Building </w:t>
      </w:r>
      <w:r w:rsidRPr="00F44F3A">
        <w:br/>
        <w:t>NSW 1230</w:t>
      </w:r>
    </w:p>
    <w:p w14:paraId="314CD70A" w14:textId="5894A78C" w:rsidR="0005011A" w:rsidRPr="00F44F3A" w:rsidRDefault="0005011A" w:rsidP="00FC07B9">
      <w:pPr>
        <w:pStyle w:val="ACMACorporateAddresses"/>
      </w:pPr>
      <w:r w:rsidRPr="00F44F3A">
        <w:t>T</w:t>
      </w:r>
      <w:r w:rsidR="00140318" w:rsidRPr="00F44F3A">
        <w:tab/>
      </w:r>
      <w:r w:rsidRPr="00F44F3A">
        <w:t>+61 2 9334 7700</w:t>
      </w:r>
      <w:r w:rsidRPr="00F44F3A">
        <w:br/>
        <w:t>F</w:t>
      </w:r>
      <w:r w:rsidR="00140318" w:rsidRPr="00F44F3A">
        <w:tab/>
      </w:r>
      <w:r w:rsidRPr="00F44F3A">
        <w:t>+61 2 9334 7799</w:t>
      </w:r>
    </w:p>
    <w:p w14:paraId="6BE27A77" w14:textId="77777777" w:rsidR="00140318" w:rsidRPr="006D46E5" w:rsidRDefault="00140318" w:rsidP="00FC07B9">
      <w:pPr>
        <w:pStyle w:val="ACMACopyrightHeader"/>
      </w:pPr>
      <w:r w:rsidRPr="00140318">
        <w:t>Copyright notice</w:t>
      </w:r>
    </w:p>
    <w:p w14:paraId="6A810D48" w14:textId="77777777" w:rsidR="00140318" w:rsidRPr="006D46E5" w:rsidRDefault="0AB0A236" w:rsidP="00623FF9">
      <w:pPr>
        <w:pStyle w:val="ACMACClogo"/>
      </w:pPr>
      <w:r>
        <w:rPr>
          <w:noProof/>
        </w:rPr>
        <w:drawing>
          <wp:inline distT="0" distB="0" distL="0" distR="0" wp14:anchorId="28938A13" wp14:editId="3F708B94">
            <wp:extent cx="838200" cy="295275"/>
            <wp:effectExtent l="0" t="0" r="0" b="0"/>
            <wp:docPr id="1341807005" name="Picture 1341807005" title="Creative Commons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p>
    <w:p w14:paraId="73E76C47" w14:textId="77777777" w:rsidR="00AA2DE5" w:rsidRDefault="0080686E" w:rsidP="00AA2DE5">
      <w:pPr>
        <w:pStyle w:val="ACMACorporateAddresses"/>
        <w:rPr>
          <w:rStyle w:val="Hyperlink"/>
        </w:rPr>
      </w:pPr>
      <w:hyperlink r:id="rId13" w:history="1">
        <w:r w:rsidR="00AA2DE5">
          <w:rPr>
            <w:rStyle w:val="Hyperlink"/>
          </w:rPr>
          <w:t>https://creativecommons.org/licenses/by/4.0/</w:t>
        </w:r>
      </w:hyperlink>
    </w:p>
    <w:p w14:paraId="1031D9EE" w14:textId="77777777" w:rsidR="00AA2DE5" w:rsidRDefault="00AA2DE5" w:rsidP="00AA2DE5">
      <w:pPr>
        <w:pStyle w:val="ACMACorporateAddresses"/>
      </w:pPr>
      <w:r>
        <w:t xml:space="preserve">With the exception of coats of arms, logos, emblems, images, other third-party material or devices protected by a trademark, this content is made available under the terms of the Creative Commons Attribution 4.0 International (CC BY 4.0) licence. </w:t>
      </w:r>
    </w:p>
    <w:p w14:paraId="638235EF" w14:textId="37144943" w:rsidR="00AA2DE5" w:rsidRDefault="00AA2DE5" w:rsidP="00AA2DE5">
      <w:pPr>
        <w:pStyle w:val="ACMACorporateAddresses"/>
      </w:pPr>
      <w:r>
        <w:t>We request attribution as © Commonwealth of Australia (Australian Communications and Media Authority) 20</w:t>
      </w:r>
      <w:r w:rsidR="00C41F21">
        <w:t>2</w:t>
      </w:r>
      <w:r w:rsidR="002059A5">
        <w:t>3</w:t>
      </w:r>
      <w:r>
        <w:t>.</w:t>
      </w:r>
    </w:p>
    <w:p w14:paraId="155BEDB0" w14:textId="77777777" w:rsidR="00AA2DE5" w:rsidRDefault="00AA2DE5" w:rsidP="00AA2DE5">
      <w:pPr>
        <w:pStyle w:val="ACMACorporateAddresses"/>
      </w:pPr>
      <w:r>
        <w:t>All other rights are reserved.</w:t>
      </w:r>
    </w:p>
    <w:p w14:paraId="02BA46F1" w14:textId="77777777" w:rsidR="00AA2DE5" w:rsidRDefault="00AA2DE5" w:rsidP="00AA2DE5">
      <w:pPr>
        <w:pStyle w:val="ACMACorporateAddresses"/>
      </w:pPr>
      <w:r>
        <w:t xml:space="preserve">The Australian Communications and Media Authority has undertaken reasonable enquiries to identify material owned by third parties and secure permission for its reproduction. Permission may need to be obtained from third parties to re-use their material. </w:t>
      </w:r>
    </w:p>
    <w:p w14:paraId="3F404266" w14:textId="77777777" w:rsidR="00AA2DE5" w:rsidRDefault="00AA2DE5" w:rsidP="00AA2DE5">
      <w:pPr>
        <w:pStyle w:val="ACMACorporateAddresses"/>
      </w:pPr>
      <w:r>
        <w:t>Written enquiries may be sent to:</w:t>
      </w:r>
    </w:p>
    <w:p w14:paraId="1F401B66" w14:textId="77777777" w:rsidR="00AA2DE5" w:rsidRDefault="00AA2DE5" w:rsidP="00AA2DE5">
      <w:pPr>
        <w:pStyle w:val="ACMACorporateAddresses"/>
        <w:rPr>
          <w:rStyle w:val="Hyperlink"/>
        </w:rPr>
      </w:pPr>
      <w:r>
        <w:t xml:space="preserve">Manager, Editorial </w:t>
      </w:r>
      <w:r w:rsidR="000245E5">
        <w:t>Services</w:t>
      </w:r>
      <w:r>
        <w:br/>
        <w:t>PO Box 13112</w:t>
      </w:r>
      <w:r>
        <w:br/>
        <w:t>Law Courts</w:t>
      </w:r>
      <w:r>
        <w:br/>
        <w:t>Melbourne VIC 8010</w:t>
      </w:r>
      <w:r>
        <w:br/>
        <w:t xml:space="preserve">Email: </w:t>
      </w:r>
      <w:hyperlink r:id="rId14" w:history="1">
        <w:r>
          <w:rPr>
            <w:rStyle w:val="Hyperlink"/>
          </w:rPr>
          <w:t>info@acma.gov.au</w:t>
        </w:r>
      </w:hyperlink>
    </w:p>
    <w:p w14:paraId="7967E873" w14:textId="77777777" w:rsidR="00D16FE3" w:rsidRDefault="00D16FE3" w:rsidP="00D16FE3">
      <w:pPr>
        <w:pStyle w:val="ACMACorporateAddresses"/>
        <w:rPr>
          <w:rStyle w:val="Hyperlink"/>
        </w:rPr>
      </w:pPr>
    </w:p>
    <w:p w14:paraId="224D8029" w14:textId="77777777" w:rsidR="00D16FE3" w:rsidRPr="00D16FE3" w:rsidRDefault="00D16FE3" w:rsidP="00D16FE3">
      <w:pPr>
        <w:pStyle w:val="ACMACorporateAddresses"/>
        <w:sectPr w:rsidR="00D16FE3" w:rsidRPr="00D16FE3">
          <w:headerReference w:type="even" r:id="rId15"/>
          <w:headerReference w:type="default" r:id="rId16"/>
          <w:footerReference w:type="even" r:id="rId17"/>
          <w:footerReference w:type="default" r:id="rId18"/>
          <w:pgSz w:w="11906" w:h="16838" w:code="9"/>
          <w:pgMar w:top="3924" w:right="1797" w:bottom="697" w:left="1134" w:header="709" w:footer="119" w:gutter="0"/>
          <w:cols w:space="708"/>
          <w:docGrid w:linePitch="360"/>
        </w:sectPr>
      </w:pPr>
    </w:p>
    <w:p w14:paraId="6D346B5F" w14:textId="6148C7F8" w:rsidR="00865D35" w:rsidRDefault="00C65F61">
      <w:pPr>
        <w:pStyle w:val="TOC1"/>
        <w:rPr>
          <w:rFonts w:asciiTheme="minorHAnsi" w:eastAsiaTheme="minorEastAsia" w:hAnsiTheme="minorHAnsi" w:cstheme="minorBidi"/>
          <w:b w:val="0"/>
          <w:spacing w:val="0"/>
          <w:sz w:val="22"/>
          <w:szCs w:val="22"/>
        </w:rPr>
      </w:pPr>
      <w:r>
        <w:rPr>
          <w:rFonts w:cs="Arial"/>
          <w:b w:val="0"/>
        </w:rPr>
        <w:lastRenderedPageBreak/>
        <w:fldChar w:fldCharType="begin"/>
      </w:r>
      <w:r>
        <w:rPr>
          <w:rFonts w:cs="Arial"/>
          <w:b w:val="0"/>
        </w:rPr>
        <w:instrText xml:space="preserve"> TOC \o "1-2" \t "Exec summary heading,1" </w:instrText>
      </w:r>
      <w:r>
        <w:rPr>
          <w:rFonts w:cs="Arial"/>
          <w:b w:val="0"/>
        </w:rPr>
        <w:fldChar w:fldCharType="separate"/>
      </w:r>
      <w:r w:rsidR="00865D35">
        <w:t>Introduction</w:t>
      </w:r>
      <w:r w:rsidR="00865D35">
        <w:tab/>
      </w:r>
      <w:r w:rsidR="00865D35">
        <w:fldChar w:fldCharType="begin"/>
      </w:r>
      <w:r w:rsidR="00865D35">
        <w:instrText xml:space="preserve"> PAGEREF _Toc137808598 \h </w:instrText>
      </w:r>
      <w:r w:rsidR="00865D35">
        <w:fldChar w:fldCharType="separate"/>
      </w:r>
      <w:r w:rsidR="00865D35">
        <w:t>1</w:t>
      </w:r>
      <w:r w:rsidR="00865D35">
        <w:fldChar w:fldCharType="end"/>
      </w:r>
    </w:p>
    <w:p w14:paraId="0F081A25" w14:textId="1198397D" w:rsidR="00865D35" w:rsidRDefault="00865D35">
      <w:pPr>
        <w:pStyle w:val="TOC1"/>
        <w:rPr>
          <w:rFonts w:asciiTheme="minorHAnsi" w:eastAsiaTheme="minorEastAsia" w:hAnsiTheme="minorHAnsi" w:cstheme="minorBidi"/>
          <w:b w:val="0"/>
          <w:spacing w:val="0"/>
          <w:sz w:val="22"/>
          <w:szCs w:val="22"/>
        </w:rPr>
      </w:pPr>
      <w:r>
        <w:t>Background</w:t>
      </w:r>
      <w:r>
        <w:tab/>
      </w:r>
      <w:r>
        <w:fldChar w:fldCharType="begin"/>
      </w:r>
      <w:r>
        <w:instrText xml:space="preserve"> PAGEREF _Toc137808599 \h </w:instrText>
      </w:r>
      <w:r>
        <w:fldChar w:fldCharType="separate"/>
      </w:r>
      <w:r>
        <w:t>2</w:t>
      </w:r>
      <w:r>
        <w:fldChar w:fldCharType="end"/>
      </w:r>
    </w:p>
    <w:p w14:paraId="44DFB005" w14:textId="516CE7FA" w:rsidR="00865D35" w:rsidRDefault="00865D35">
      <w:pPr>
        <w:pStyle w:val="TOC2"/>
        <w:rPr>
          <w:rFonts w:asciiTheme="minorHAnsi" w:eastAsiaTheme="minorEastAsia" w:hAnsiTheme="minorHAnsi" w:cstheme="minorBidi"/>
          <w:spacing w:val="0"/>
          <w:sz w:val="22"/>
          <w:szCs w:val="22"/>
        </w:rPr>
      </w:pPr>
      <w:r>
        <w:t>Planning decisions</w:t>
      </w:r>
      <w:r>
        <w:tab/>
      </w:r>
      <w:r>
        <w:fldChar w:fldCharType="begin"/>
      </w:r>
      <w:r>
        <w:instrText xml:space="preserve"> PAGEREF _Toc137808600 \h </w:instrText>
      </w:r>
      <w:r>
        <w:fldChar w:fldCharType="separate"/>
      </w:r>
      <w:r>
        <w:t>3</w:t>
      </w:r>
      <w:r>
        <w:fldChar w:fldCharType="end"/>
      </w:r>
    </w:p>
    <w:p w14:paraId="54707A98" w14:textId="4B185E8F" w:rsidR="00865D35" w:rsidRDefault="00865D35">
      <w:pPr>
        <w:pStyle w:val="TOC2"/>
        <w:rPr>
          <w:rFonts w:asciiTheme="minorHAnsi" w:eastAsiaTheme="minorEastAsia" w:hAnsiTheme="minorHAnsi" w:cstheme="minorBidi"/>
          <w:spacing w:val="0"/>
          <w:sz w:val="22"/>
          <w:szCs w:val="22"/>
        </w:rPr>
      </w:pPr>
      <w:r>
        <w:t>AWLs</w:t>
      </w:r>
      <w:r>
        <w:tab/>
      </w:r>
      <w:r w:rsidR="00BD3783">
        <w:tab/>
      </w:r>
      <w:r>
        <w:fldChar w:fldCharType="begin"/>
      </w:r>
      <w:r>
        <w:instrText xml:space="preserve"> PAGEREF _Toc137808601 \h </w:instrText>
      </w:r>
      <w:r>
        <w:fldChar w:fldCharType="separate"/>
      </w:r>
      <w:r>
        <w:t>3</w:t>
      </w:r>
      <w:r>
        <w:fldChar w:fldCharType="end"/>
      </w:r>
    </w:p>
    <w:p w14:paraId="7A1BFDB2" w14:textId="27E7E344" w:rsidR="00865D35" w:rsidRDefault="00865D35">
      <w:pPr>
        <w:pStyle w:val="TOC2"/>
        <w:rPr>
          <w:rFonts w:asciiTheme="minorHAnsi" w:eastAsiaTheme="minorEastAsia" w:hAnsiTheme="minorHAnsi" w:cstheme="minorBidi"/>
          <w:spacing w:val="0"/>
          <w:sz w:val="22"/>
          <w:szCs w:val="22"/>
        </w:rPr>
      </w:pPr>
      <w:r>
        <w:t>Legislative context and policy environment</w:t>
      </w:r>
      <w:r>
        <w:tab/>
      </w:r>
      <w:r>
        <w:fldChar w:fldCharType="begin"/>
      </w:r>
      <w:r>
        <w:instrText xml:space="preserve"> PAGEREF _Toc137808602 \h </w:instrText>
      </w:r>
      <w:r>
        <w:fldChar w:fldCharType="separate"/>
      </w:r>
      <w:r>
        <w:t>4</w:t>
      </w:r>
      <w:r>
        <w:fldChar w:fldCharType="end"/>
      </w:r>
    </w:p>
    <w:p w14:paraId="1EE085C2" w14:textId="644484FF" w:rsidR="00865D35" w:rsidRDefault="00865D35">
      <w:pPr>
        <w:pStyle w:val="TOC1"/>
        <w:rPr>
          <w:rFonts w:asciiTheme="minorHAnsi" w:eastAsiaTheme="minorEastAsia" w:hAnsiTheme="minorHAnsi" w:cstheme="minorBidi"/>
          <w:b w:val="0"/>
          <w:spacing w:val="0"/>
          <w:sz w:val="22"/>
          <w:szCs w:val="22"/>
        </w:rPr>
      </w:pPr>
      <w:r>
        <w:t>Consultation package</w:t>
      </w:r>
      <w:r>
        <w:tab/>
      </w:r>
      <w:r>
        <w:fldChar w:fldCharType="begin"/>
      </w:r>
      <w:r>
        <w:instrText xml:space="preserve"> PAGEREF _Toc137808603 \h </w:instrText>
      </w:r>
      <w:r>
        <w:fldChar w:fldCharType="separate"/>
      </w:r>
      <w:r>
        <w:t>6</w:t>
      </w:r>
      <w:r>
        <w:fldChar w:fldCharType="end"/>
      </w:r>
    </w:p>
    <w:p w14:paraId="26783321" w14:textId="102A54A1" w:rsidR="00865D35" w:rsidRDefault="00865D35">
      <w:pPr>
        <w:pStyle w:val="TOC1"/>
        <w:rPr>
          <w:rFonts w:asciiTheme="minorHAnsi" w:eastAsiaTheme="minorEastAsia" w:hAnsiTheme="minorHAnsi" w:cstheme="minorBidi"/>
          <w:b w:val="0"/>
          <w:spacing w:val="0"/>
          <w:sz w:val="22"/>
          <w:szCs w:val="22"/>
        </w:rPr>
      </w:pPr>
      <w:r>
        <w:t>Technical framework</w:t>
      </w:r>
      <w:r>
        <w:tab/>
      </w:r>
      <w:r>
        <w:fldChar w:fldCharType="begin"/>
      </w:r>
      <w:r>
        <w:instrText xml:space="preserve"> PAGEREF _Toc137808604 \h </w:instrText>
      </w:r>
      <w:r>
        <w:fldChar w:fldCharType="separate"/>
      </w:r>
      <w:r>
        <w:t>7</w:t>
      </w:r>
      <w:r>
        <w:fldChar w:fldCharType="end"/>
      </w:r>
    </w:p>
    <w:p w14:paraId="6C4E2FAF" w14:textId="1FA3458A" w:rsidR="00865D35" w:rsidRDefault="00865D35">
      <w:pPr>
        <w:pStyle w:val="TOC2"/>
        <w:rPr>
          <w:rFonts w:asciiTheme="minorHAnsi" w:eastAsiaTheme="minorEastAsia" w:hAnsiTheme="minorHAnsi" w:cstheme="minorBidi"/>
          <w:spacing w:val="0"/>
          <w:sz w:val="22"/>
          <w:szCs w:val="22"/>
        </w:rPr>
      </w:pPr>
      <w:r>
        <w:t>Introduction</w:t>
      </w:r>
      <w:r>
        <w:tab/>
      </w:r>
      <w:r>
        <w:fldChar w:fldCharType="begin"/>
      </w:r>
      <w:r>
        <w:instrText xml:space="preserve"> PAGEREF _Toc137808605 \h </w:instrText>
      </w:r>
      <w:r>
        <w:fldChar w:fldCharType="separate"/>
      </w:r>
      <w:r>
        <w:t>7</w:t>
      </w:r>
      <w:r>
        <w:fldChar w:fldCharType="end"/>
      </w:r>
    </w:p>
    <w:p w14:paraId="0E883D58" w14:textId="51A087EA" w:rsidR="00865D35" w:rsidRDefault="00865D35">
      <w:pPr>
        <w:pStyle w:val="TOC2"/>
        <w:rPr>
          <w:rFonts w:asciiTheme="minorHAnsi" w:eastAsiaTheme="minorEastAsia" w:hAnsiTheme="minorHAnsi" w:cstheme="minorBidi"/>
          <w:spacing w:val="0"/>
          <w:sz w:val="22"/>
          <w:szCs w:val="22"/>
        </w:rPr>
      </w:pPr>
      <w:r>
        <w:t>Background to the proposed technical arrangements</w:t>
      </w:r>
      <w:r>
        <w:tab/>
      </w:r>
      <w:r>
        <w:fldChar w:fldCharType="begin"/>
      </w:r>
      <w:r>
        <w:instrText xml:space="preserve"> PAGEREF _Toc137808606 \h </w:instrText>
      </w:r>
      <w:r>
        <w:fldChar w:fldCharType="separate"/>
      </w:r>
      <w:r>
        <w:t>7</w:t>
      </w:r>
      <w:r>
        <w:fldChar w:fldCharType="end"/>
      </w:r>
    </w:p>
    <w:p w14:paraId="1BA61AAF" w14:textId="073F38F2" w:rsidR="00865D35" w:rsidRDefault="00865D35">
      <w:pPr>
        <w:pStyle w:val="TOC2"/>
        <w:rPr>
          <w:rFonts w:asciiTheme="minorHAnsi" w:eastAsiaTheme="minorEastAsia" w:hAnsiTheme="minorHAnsi" w:cstheme="minorBidi"/>
          <w:spacing w:val="0"/>
          <w:sz w:val="22"/>
          <w:szCs w:val="22"/>
        </w:rPr>
      </w:pPr>
      <w:r>
        <w:t>Technical Liaison Group (TLG)</w:t>
      </w:r>
      <w:r>
        <w:tab/>
      </w:r>
      <w:r>
        <w:fldChar w:fldCharType="begin"/>
      </w:r>
      <w:r>
        <w:instrText xml:space="preserve"> PAGEREF _Toc137808607 \h </w:instrText>
      </w:r>
      <w:r>
        <w:fldChar w:fldCharType="separate"/>
      </w:r>
      <w:r>
        <w:t>8</w:t>
      </w:r>
      <w:r>
        <w:fldChar w:fldCharType="end"/>
      </w:r>
    </w:p>
    <w:p w14:paraId="4E5A6A83" w14:textId="67AD31AD" w:rsidR="00865D35" w:rsidRDefault="00865D35">
      <w:pPr>
        <w:pStyle w:val="TOC2"/>
        <w:rPr>
          <w:rFonts w:asciiTheme="minorHAnsi" w:eastAsiaTheme="minorEastAsia" w:hAnsiTheme="minorHAnsi" w:cstheme="minorBidi"/>
          <w:spacing w:val="0"/>
          <w:sz w:val="22"/>
          <w:szCs w:val="22"/>
        </w:rPr>
      </w:pPr>
      <w:r>
        <w:t>Summary of proposed arrangements</w:t>
      </w:r>
      <w:r>
        <w:tab/>
      </w:r>
      <w:r>
        <w:fldChar w:fldCharType="begin"/>
      </w:r>
      <w:r>
        <w:instrText xml:space="preserve"> PAGEREF _Toc137808608 \h </w:instrText>
      </w:r>
      <w:r>
        <w:fldChar w:fldCharType="separate"/>
      </w:r>
      <w:r>
        <w:t>8</w:t>
      </w:r>
      <w:r>
        <w:fldChar w:fldCharType="end"/>
      </w:r>
    </w:p>
    <w:p w14:paraId="7DB5139B" w14:textId="1E49F584" w:rsidR="00865D35" w:rsidRDefault="00865D35">
      <w:pPr>
        <w:pStyle w:val="TOC2"/>
        <w:rPr>
          <w:rFonts w:asciiTheme="minorHAnsi" w:eastAsiaTheme="minorEastAsia" w:hAnsiTheme="minorHAnsi" w:cstheme="minorBidi"/>
          <w:spacing w:val="0"/>
          <w:sz w:val="22"/>
          <w:szCs w:val="22"/>
        </w:rPr>
      </w:pPr>
      <w:r>
        <w:t>Future changes</w:t>
      </w:r>
      <w:r>
        <w:tab/>
      </w:r>
      <w:r>
        <w:fldChar w:fldCharType="begin"/>
      </w:r>
      <w:r>
        <w:instrText xml:space="preserve"> PAGEREF _Toc137808609 \h </w:instrText>
      </w:r>
      <w:r>
        <w:fldChar w:fldCharType="separate"/>
      </w:r>
      <w:r>
        <w:t>14</w:t>
      </w:r>
      <w:r>
        <w:fldChar w:fldCharType="end"/>
      </w:r>
    </w:p>
    <w:p w14:paraId="26BE105B" w14:textId="76C440D3" w:rsidR="00865D35" w:rsidRDefault="00865D35">
      <w:pPr>
        <w:pStyle w:val="TOC1"/>
        <w:rPr>
          <w:rFonts w:asciiTheme="minorHAnsi" w:eastAsiaTheme="minorEastAsia" w:hAnsiTheme="minorHAnsi" w:cstheme="minorBidi"/>
          <w:b w:val="0"/>
          <w:spacing w:val="0"/>
          <w:sz w:val="22"/>
          <w:szCs w:val="22"/>
        </w:rPr>
      </w:pPr>
      <w:r>
        <w:t>Tenure and renewal</w:t>
      </w:r>
      <w:r>
        <w:tab/>
      </w:r>
      <w:r>
        <w:fldChar w:fldCharType="begin"/>
      </w:r>
      <w:r>
        <w:instrText xml:space="preserve"> PAGEREF _Toc137808610 \h </w:instrText>
      </w:r>
      <w:r>
        <w:fldChar w:fldCharType="separate"/>
      </w:r>
      <w:r>
        <w:t>15</w:t>
      </w:r>
      <w:r>
        <w:fldChar w:fldCharType="end"/>
      </w:r>
    </w:p>
    <w:p w14:paraId="64862E06" w14:textId="53933650" w:rsidR="00865D35" w:rsidRDefault="00865D35">
      <w:pPr>
        <w:pStyle w:val="TOC2"/>
        <w:rPr>
          <w:rFonts w:asciiTheme="minorHAnsi" w:eastAsiaTheme="minorEastAsia" w:hAnsiTheme="minorHAnsi" w:cstheme="minorBidi"/>
          <w:spacing w:val="0"/>
          <w:sz w:val="22"/>
          <w:szCs w:val="22"/>
        </w:rPr>
      </w:pPr>
      <w:r>
        <w:t>Licence duration</w:t>
      </w:r>
      <w:r>
        <w:tab/>
      </w:r>
      <w:r>
        <w:fldChar w:fldCharType="begin"/>
      </w:r>
      <w:r>
        <w:instrText xml:space="preserve"> PAGEREF _Toc137808611 \h </w:instrText>
      </w:r>
      <w:r>
        <w:fldChar w:fldCharType="separate"/>
      </w:r>
      <w:r>
        <w:t>15</w:t>
      </w:r>
      <w:r>
        <w:fldChar w:fldCharType="end"/>
      </w:r>
    </w:p>
    <w:p w14:paraId="0AA09A83" w14:textId="11CE0B20" w:rsidR="00865D35" w:rsidRDefault="00865D35">
      <w:pPr>
        <w:pStyle w:val="TOC2"/>
        <w:rPr>
          <w:rFonts w:asciiTheme="minorHAnsi" w:eastAsiaTheme="minorEastAsia" w:hAnsiTheme="minorHAnsi" w:cstheme="minorBidi"/>
          <w:spacing w:val="0"/>
          <w:sz w:val="22"/>
          <w:szCs w:val="22"/>
        </w:rPr>
      </w:pPr>
      <w:r>
        <w:t>Licence renewal</w:t>
      </w:r>
      <w:r>
        <w:tab/>
      </w:r>
      <w:r>
        <w:fldChar w:fldCharType="begin"/>
      </w:r>
      <w:r>
        <w:instrText xml:space="preserve"> PAGEREF _Toc137808612 \h </w:instrText>
      </w:r>
      <w:r>
        <w:fldChar w:fldCharType="separate"/>
      </w:r>
      <w:r>
        <w:t>15</w:t>
      </w:r>
      <w:r>
        <w:fldChar w:fldCharType="end"/>
      </w:r>
    </w:p>
    <w:p w14:paraId="4E545082" w14:textId="12CD75A0" w:rsidR="00865D35" w:rsidRDefault="00865D35">
      <w:pPr>
        <w:pStyle w:val="TOC1"/>
        <w:rPr>
          <w:rFonts w:asciiTheme="minorHAnsi" w:eastAsiaTheme="minorEastAsia" w:hAnsiTheme="minorHAnsi" w:cstheme="minorBidi"/>
          <w:b w:val="0"/>
          <w:spacing w:val="0"/>
          <w:sz w:val="22"/>
          <w:szCs w:val="22"/>
        </w:rPr>
      </w:pPr>
      <w:r>
        <w:t>Allocation process</w:t>
      </w:r>
      <w:r>
        <w:tab/>
      </w:r>
      <w:r>
        <w:fldChar w:fldCharType="begin"/>
      </w:r>
      <w:r>
        <w:instrText xml:space="preserve"> PAGEREF _Toc137808613 \h </w:instrText>
      </w:r>
      <w:r>
        <w:fldChar w:fldCharType="separate"/>
      </w:r>
      <w:r>
        <w:t>17</w:t>
      </w:r>
      <w:r>
        <w:fldChar w:fldCharType="end"/>
      </w:r>
    </w:p>
    <w:p w14:paraId="13A1588E" w14:textId="7A8F7660" w:rsidR="00865D35" w:rsidRDefault="00865D35">
      <w:pPr>
        <w:pStyle w:val="TOC2"/>
        <w:rPr>
          <w:rFonts w:asciiTheme="minorHAnsi" w:eastAsiaTheme="minorEastAsia" w:hAnsiTheme="minorHAnsi" w:cstheme="minorBidi"/>
          <w:spacing w:val="0"/>
          <w:sz w:val="22"/>
          <w:szCs w:val="22"/>
        </w:rPr>
      </w:pPr>
      <w:r>
        <w:t>Comparative analysis</w:t>
      </w:r>
      <w:r>
        <w:tab/>
      </w:r>
      <w:r>
        <w:fldChar w:fldCharType="begin"/>
      </w:r>
      <w:r>
        <w:instrText xml:space="preserve"> PAGEREF _Toc137808614 \h </w:instrText>
      </w:r>
      <w:r>
        <w:fldChar w:fldCharType="separate"/>
      </w:r>
      <w:r>
        <w:t>19</w:t>
      </w:r>
      <w:r>
        <w:fldChar w:fldCharType="end"/>
      </w:r>
    </w:p>
    <w:p w14:paraId="2FCF0472" w14:textId="33D8F752" w:rsidR="00865D35" w:rsidRDefault="00865D35">
      <w:pPr>
        <w:pStyle w:val="TOC2"/>
        <w:rPr>
          <w:rFonts w:asciiTheme="minorHAnsi" w:eastAsiaTheme="minorEastAsia" w:hAnsiTheme="minorHAnsi" w:cstheme="minorBidi"/>
          <w:spacing w:val="0"/>
          <w:sz w:val="22"/>
          <w:szCs w:val="22"/>
        </w:rPr>
      </w:pPr>
      <w:r>
        <w:t>Option 1: 6-month LA WBB priority period</w:t>
      </w:r>
      <w:r>
        <w:tab/>
      </w:r>
      <w:r>
        <w:fldChar w:fldCharType="begin"/>
      </w:r>
      <w:r>
        <w:instrText xml:space="preserve"> PAGEREF _Toc137808615 \h </w:instrText>
      </w:r>
      <w:r>
        <w:fldChar w:fldCharType="separate"/>
      </w:r>
      <w:r>
        <w:t>21</w:t>
      </w:r>
      <w:r>
        <w:fldChar w:fldCharType="end"/>
      </w:r>
    </w:p>
    <w:p w14:paraId="33EA607B" w14:textId="773A4EB4" w:rsidR="00865D35" w:rsidRDefault="00865D35">
      <w:pPr>
        <w:pStyle w:val="TOC2"/>
        <w:rPr>
          <w:rFonts w:asciiTheme="minorHAnsi" w:eastAsiaTheme="minorEastAsia" w:hAnsiTheme="minorHAnsi" w:cstheme="minorBidi"/>
          <w:spacing w:val="0"/>
          <w:sz w:val="22"/>
          <w:szCs w:val="22"/>
        </w:rPr>
      </w:pPr>
      <w:r>
        <w:t>Allocation window approach with allocation limits and an allocation quantum policy</w:t>
      </w:r>
      <w:r>
        <w:tab/>
      </w:r>
      <w:r>
        <w:fldChar w:fldCharType="begin"/>
      </w:r>
      <w:r>
        <w:instrText xml:space="preserve"> PAGEREF _Toc137808616 \h </w:instrText>
      </w:r>
      <w:r>
        <w:fldChar w:fldCharType="separate"/>
      </w:r>
      <w:r>
        <w:t>22</w:t>
      </w:r>
      <w:r>
        <w:fldChar w:fldCharType="end"/>
      </w:r>
    </w:p>
    <w:p w14:paraId="41842B12" w14:textId="1A7C8028" w:rsidR="00865D35" w:rsidRDefault="00865D35">
      <w:pPr>
        <w:pStyle w:val="TOC2"/>
        <w:rPr>
          <w:rFonts w:asciiTheme="minorHAnsi" w:eastAsiaTheme="minorEastAsia" w:hAnsiTheme="minorHAnsi" w:cstheme="minorBidi"/>
          <w:spacing w:val="0"/>
          <w:sz w:val="22"/>
          <w:szCs w:val="22"/>
        </w:rPr>
      </w:pPr>
      <w:r>
        <w:t>Option 2: General allocation window approach</w:t>
      </w:r>
      <w:r>
        <w:tab/>
      </w:r>
      <w:r>
        <w:fldChar w:fldCharType="begin"/>
      </w:r>
      <w:r>
        <w:instrText xml:space="preserve"> PAGEREF _Toc137808617 \h </w:instrText>
      </w:r>
      <w:r>
        <w:fldChar w:fldCharType="separate"/>
      </w:r>
      <w:r>
        <w:t>28</w:t>
      </w:r>
      <w:r>
        <w:fldChar w:fldCharType="end"/>
      </w:r>
    </w:p>
    <w:p w14:paraId="067529F5" w14:textId="729E3EBC" w:rsidR="00865D35" w:rsidRDefault="00865D35">
      <w:pPr>
        <w:pStyle w:val="TOC2"/>
        <w:rPr>
          <w:rFonts w:asciiTheme="minorHAnsi" w:eastAsiaTheme="minorEastAsia" w:hAnsiTheme="minorHAnsi" w:cstheme="minorBidi"/>
          <w:spacing w:val="0"/>
          <w:sz w:val="22"/>
          <w:szCs w:val="22"/>
        </w:rPr>
      </w:pPr>
      <w:r>
        <w:t xml:space="preserve">Consultation with the ACCC </w:t>
      </w:r>
      <w:r>
        <w:tab/>
      </w:r>
      <w:r>
        <w:fldChar w:fldCharType="begin"/>
      </w:r>
      <w:r>
        <w:instrText xml:space="preserve"> PAGEREF _Toc137808618 \h </w:instrText>
      </w:r>
      <w:r>
        <w:fldChar w:fldCharType="separate"/>
      </w:r>
      <w:r>
        <w:t>30</w:t>
      </w:r>
      <w:r>
        <w:fldChar w:fldCharType="end"/>
      </w:r>
    </w:p>
    <w:p w14:paraId="57D75C5E" w14:textId="5809CD7C" w:rsidR="00865D35" w:rsidRDefault="00865D35">
      <w:pPr>
        <w:pStyle w:val="TOC1"/>
        <w:rPr>
          <w:rFonts w:asciiTheme="minorHAnsi" w:eastAsiaTheme="minorEastAsia" w:hAnsiTheme="minorHAnsi" w:cstheme="minorBidi"/>
          <w:b w:val="0"/>
          <w:spacing w:val="0"/>
          <w:sz w:val="22"/>
          <w:szCs w:val="22"/>
        </w:rPr>
      </w:pPr>
      <w:r>
        <w:t>Pricing</w:t>
      </w:r>
      <w:r>
        <w:tab/>
      </w:r>
      <w:r>
        <w:fldChar w:fldCharType="begin"/>
      </w:r>
      <w:r>
        <w:instrText xml:space="preserve"> PAGEREF _Toc137808619 \h </w:instrText>
      </w:r>
      <w:r>
        <w:fldChar w:fldCharType="separate"/>
      </w:r>
      <w:r>
        <w:t>32</w:t>
      </w:r>
      <w:r>
        <w:fldChar w:fldCharType="end"/>
      </w:r>
    </w:p>
    <w:p w14:paraId="7BFF5D1C" w14:textId="1EBE5355" w:rsidR="00865D35" w:rsidRDefault="00865D35">
      <w:pPr>
        <w:pStyle w:val="TOC2"/>
        <w:rPr>
          <w:rFonts w:asciiTheme="minorHAnsi" w:eastAsiaTheme="minorEastAsia" w:hAnsiTheme="minorHAnsi" w:cstheme="minorBidi"/>
          <w:spacing w:val="0"/>
          <w:sz w:val="22"/>
          <w:szCs w:val="22"/>
        </w:rPr>
      </w:pPr>
      <w:r>
        <w:t>Receiver and Transmitter licence tax arrangements</w:t>
      </w:r>
      <w:r>
        <w:tab/>
      </w:r>
      <w:r>
        <w:fldChar w:fldCharType="begin"/>
      </w:r>
      <w:r>
        <w:instrText xml:space="preserve"> PAGEREF _Toc137808620 \h </w:instrText>
      </w:r>
      <w:r>
        <w:fldChar w:fldCharType="separate"/>
      </w:r>
      <w:r>
        <w:t>32</w:t>
      </w:r>
      <w:r>
        <w:fldChar w:fldCharType="end"/>
      </w:r>
    </w:p>
    <w:p w14:paraId="0EA3E8A5" w14:textId="314EAE43" w:rsidR="00865D35" w:rsidRDefault="00865D35">
      <w:pPr>
        <w:pStyle w:val="TOC2"/>
        <w:rPr>
          <w:rFonts w:asciiTheme="minorHAnsi" w:eastAsiaTheme="minorEastAsia" w:hAnsiTheme="minorHAnsi" w:cstheme="minorBidi"/>
          <w:spacing w:val="0"/>
          <w:sz w:val="22"/>
          <w:szCs w:val="22"/>
        </w:rPr>
      </w:pPr>
      <w:r>
        <w:t>Proposed amendments to the tax determinations</w:t>
      </w:r>
      <w:r>
        <w:tab/>
      </w:r>
      <w:r>
        <w:fldChar w:fldCharType="begin"/>
      </w:r>
      <w:r>
        <w:instrText xml:space="preserve"> PAGEREF _Toc137808621 \h </w:instrText>
      </w:r>
      <w:r>
        <w:fldChar w:fldCharType="separate"/>
      </w:r>
      <w:r>
        <w:t>34</w:t>
      </w:r>
      <w:r>
        <w:fldChar w:fldCharType="end"/>
      </w:r>
    </w:p>
    <w:p w14:paraId="4120C3F4" w14:textId="2FEA7F9F" w:rsidR="00865D35" w:rsidRDefault="00865D35">
      <w:pPr>
        <w:pStyle w:val="TOC2"/>
        <w:rPr>
          <w:rFonts w:asciiTheme="minorHAnsi" w:eastAsiaTheme="minorEastAsia" w:hAnsiTheme="minorHAnsi" w:cstheme="minorBidi"/>
          <w:spacing w:val="0"/>
          <w:sz w:val="22"/>
          <w:szCs w:val="22"/>
        </w:rPr>
      </w:pPr>
      <w:r>
        <w:t>Charging arrangements</w:t>
      </w:r>
      <w:r>
        <w:tab/>
      </w:r>
      <w:r>
        <w:fldChar w:fldCharType="begin"/>
      </w:r>
      <w:r>
        <w:instrText xml:space="preserve"> PAGEREF _Toc137808622 \h </w:instrText>
      </w:r>
      <w:r>
        <w:fldChar w:fldCharType="separate"/>
      </w:r>
      <w:r>
        <w:t>35</w:t>
      </w:r>
      <w:r>
        <w:fldChar w:fldCharType="end"/>
      </w:r>
    </w:p>
    <w:p w14:paraId="210A4275" w14:textId="492D3FB7" w:rsidR="00865D35" w:rsidRDefault="00865D35">
      <w:pPr>
        <w:pStyle w:val="TOC1"/>
        <w:rPr>
          <w:rFonts w:asciiTheme="minorHAnsi" w:eastAsiaTheme="minorEastAsia" w:hAnsiTheme="minorHAnsi" w:cstheme="minorBidi"/>
          <w:b w:val="0"/>
          <w:spacing w:val="0"/>
          <w:sz w:val="22"/>
          <w:szCs w:val="22"/>
        </w:rPr>
      </w:pPr>
      <w:r>
        <w:t>Issues for comment</w:t>
      </w:r>
      <w:r>
        <w:tab/>
      </w:r>
      <w:r>
        <w:fldChar w:fldCharType="begin"/>
      </w:r>
      <w:r>
        <w:instrText xml:space="preserve"> PAGEREF _Toc137808623 \h </w:instrText>
      </w:r>
      <w:r>
        <w:fldChar w:fldCharType="separate"/>
      </w:r>
      <w:r>
        <w:t>36</w:t>
      </w:r>
      <w:r>
        <w:fldChar w:fldCharType="end"/>
      </w:r>
    </w:p>
    <w:p w14:paraId="21A43BAD" w14:textId="21EBDAE5" w:rsidR="00865D35" w:rsidRDefault="00865D35">
      <w:pPr>
        <w:pStyle w:val="TOC2"/>
        <w:rPr>
          <w:rFonts w:asciiTheme="minorHAnsi" w:eastAsiaTheme="minorEastAsia" w:hAnsiTheme="minorHAnsi" w:cstheme="minorBidi"/>
          <w:spacing w:val="0"/>
          <w:sz w:val="22"/>
          <w:szCs w:val="22"/>
        </w:rPr>
      </w:pPr>
      <w:r>
        <w:lastRenderedPageBreak/>
        <w:t>Technical framework</w:t>
      </w:r>
      <w:r>
        <w:tab/>
      </w:r>
      <w:r>
        <w:fldChar w:fldCharType="begin"/>
      </w:r>
      <w:r>
        <w:instrText xml:space="preserve"> PAGEREF _Toc137808624 \h </w:instrText>
      </w:r>
      <w:r>
        <w:fldChar w:fldCharType="separate"/>
      </w:r>
      <w:r>
        <w:t>36</w:t>
      </w:r>
      <w:r>
        <w:fldChar w:fldCharType="end"/>
      </w:r>
    </w:p>
    <w:p w14:paraId="34922607" w14:textId="7F11C84E" w:rsidR="00865D35" w:rsidRDefault="00865D35">
      <w:pPr>
        <w:pStyle w:val="TOC2"/>
        <w:rPr>
          <w:rFonts w:asciiTheme="minorHAnsi" w:eastAsiaTheme="minorEastAsia" w:hAnsiTheme="minorHAnsi" w:cstheme="minorBidi"/>
          <w:spacing w:val="0"/>
          <w:sz w:val="22"/>
          <w:szCs w:val="22"/>
        </w:rPr>
      </w:pPr>
      <w:r>
        <w:t>Allocation process</w:t>
      </w:r>
      <w:r>
        <w:tab/>
      </w:r>
      <w:r>
        <w:fldChar w:fldCharType="begin"/>
      </w:r>
      <w:r>
        <w:instrText xml:space="preserve"> PAGEREF _Toc137808625 \h </w:instrText>
      </w:r>
      <w:r>
        <w:fldChar w:fldCharType="separate"/>
      </w:r>
      <w:r>
        <w:t>36</w:t>
      </w:r>
      <w:r>
        <w:fldChar w:fldCharType="end"/>
      </w:r>
    </w:p>
    <w:p w14:paraId="65C9ADA3" w14:textId="6710C6B5" w:rsidR="00865D35" w:rsidRDefault="00865D35">
      <w:pPr>
        <w:pStyle w:val="TOC2"/>
        <w:rPr>
          <w:rFonts w:asciiTheme="minorHAnsi" w:eastAsiaTheme="minorEastAsia" w:hAnsiTheme="minorHAnsi" w:cstheme="minorBidi"/>
          <w:spacing w:val="0"/>
          <w:sz w:val="22"/>
          <w:szCs w:val="22"/>
        </w:rPr>
      </w:pPr>
      <w:r>
        <w:t>Questions from ACCC</w:t>
      </w:r>
      <w:r>
        <w:tab/>
      </w:r>
      <w:r>
        <w:fldChar w:fldCharType="begin"/>
      </w:r>
      <w:r>
        <w:instrText xml:space="preserve"> PAGEREF _Toc137808626 \h </w:instrText>
      </w:r>
      <w:r>
        <w:fldChar w:fldCharType="separate"/>
      </w:r>
      <w:r>
        <w:t>37</w:t>
      </w:r>
      <w:r>
        <w:fldChar w:fldCharType="end"/>
      </w:r>
    </w:p>
    <w:p w14:paraId="051730EB" w14:textId="27DC98E1" w:rsidR="00865D35" w:rsidRDefault="00865D35">
      <w:pPr>
        <w:pStyle w:val="TOC1"/>
        <w:rPr>
          <w:rFonts w:asciiTheme="minorHAnsi" w:eastAsiaTheme="minorEastAsia" w:hAnsiTheme="minorHAnsi" w:cstheme="minorBidi"/>
          <w:b w:val="0"/>
          <w:spacing w:val="0"/>
          <w:sz w:val="22"/>
          <w:szCs w:val="22"/>
        </w:rPr>
      </w:pPr>
      <w:r>
        <w:t>Invitation to comment</w:t>
      </w:r>
      <w:r>
        <w:tab/>
      </w:r>
      <w:r>
        <w:fldChar w:fldCharType="begin"/>
      </w:r>
      <w:r>
        <w:instrText xml:space="preserve"> PAGEREF _Toc137808627 \h </w:instrText>
      </w:r>
      <w:r>
        <w:fldChar w:fldCharType="separate"/>
      </w:r>
      <w:r>
        <w:t>38</w:t>
      </w:r>
      <w:r>
        <w:fldChar w:fldCharType="end"/>
      </w:r>
    </w:p>
    <w:p w14:paraId="65BC4DA8" w14:textId="7EEE8F2F" w:rsidR="00865D35" w:rsidRDefault="00865D35">
      <w:pPr>
        <w:pStyle w:val="TOC2"/>
        <w:rPr>
          <w:rFonts w:asciiTheme="minorHAnsi" w:eastAsiaTheme="minorEastAsia" w:hAnsiTheme="minorHAnsi" w:cstheme="minorBidi"/>
          <w:spacing w:val="0"/>
          <w:sz w:val="22"/>
          <w:szCs w:val="22"/>
        </w:rPr>
      </w:pPr>
      <w:r>
        <w:t>Making a submission</w:t>
      </w:r>
      <w:r>
        <w:tab/>
      </w:r>
      <w:r>
        <w:fldChar w:fldCharType="begin"/>
      </w:r>
      <w:r>
        <w:instrText xml:space="preserve"> PAGEREF _Toc137808628 \h </w:instrText>
      </w:r>
      <w:r>
        <w:fldChar w:fldCharType="separate"/>
      </w:r>
      <w:r>
        <w:t>38</w:t>
      </w:r>
      <w:r>
        <w:fldChar w:fldCharType="end"/>
      </w:r>
    </w:p>
    <w:p w14:paraId="71D82EAC" w14:textId="0F57BC79" w:rsidR="004D56FF" w:rsidRPr="000D76E0" w:rsidRDefault="00C65F61">
      <w:pPr>
        <w:rPr>
          <w:rFonts w:cs="Arial"/>
        </w:rPr>
        <w:sectPr w:rsidR="004D56FF" w:rsidRPr="000D76E0" w:rsidSect="00C77380">
          <w:headerReference w:type="even" r:id="rId19"/>
          <w:headerReference w:type="default" r:id="rId20"/>
          <w:footerReference w:type="even" r:id="rId21"/>
          <w:footerReference w:type="default" r:id="rId22"/>
          <w:footerReference w:type="first" r:id="rId23"/>
          <w:pgSz w:w="11906" w:h="16838" w:code="9"/>
          <w:pgMar w:top="3646" w:right="3101" w:bottom="1134" w:left="1134" w:header="709" w:footer="119" w:gutter="0"/>
          <w:cols w:space="708"/>
          <w:titlePg/>
          <w:docGrid w:linePitch="360"/>
        </w:sectPr>
      </w:pPr>
      <w:r>
        <w:rPr>
          <w:rFonts w:cs="Arial"/>
          <w:b/>
          <w:noProof/>
          <w:spacing w:val="-14"/>
          <w:sz w:val="28"/>
        </w:rPr>
        <w:fldChar w:fldCharType="end"/>
      </w:r>
    </w:p>
    <w:p w14:paraId="0D83799E" w14:textId="4C1AE978" w:rsidR="00D116EF" w:rsidRPr="00EF63DA" w:rsidRDefault="00F23FB5" w:rsidP="00EF63DA">
      <w:pPr>
        <w:pStyle w:val="Heading1"/>
      </w:pPr>
      <w:bookmarkStart w:id="1" w:name="_Toc137808598"/>
      <w:r w:rsidRPr="00EF63DA">
        <w:lastRenderedPageBreak/>
        <w:t>Introduction</w:t>
      </w:r>
      <w:bookmarkEnd w:id="1"/>
      <w:r w:rsidRPr="00EF63DA">
        <w:t xml:space="preserve"> </w:t>
      </w:r>
    </w:p>
    <w:p w14:paraId="29B1B8FF" w14:textId="3D4CF1B4" w:rsidR="00C27CD6" w:rsidRDefault="004E52E7" w:rsidP="00C27CD6">
      <w:pPr>
        <w:pStyle w:val="Paragraph"/>
      </w:pPr>
      <w:r>
        <w:t xml:space="preserve">The </w:t>
      </w:r>
      <w:r w:rsidR="00764F8A">
        <w:t xml:space="preserve">Australian Communications and Media Authority </w:t>
      </w:r>
      <w:r w:rsidR="00D76CAB">
        <w:t>(ACMA)</w:t>
      </w:r>
      <w:r w:rsidR="00764F8A">
        <w:t xml:space="preserve"> </w:t>
      </w:r>
      <w:r>
        <w:t xml:space="preserve">is consulting on arrangements for allocating apparatus licences in the </w:t>
      </w:r>
      <w:r w:rsidR="0052041A">
        <w:t xml:space="preserve">3.8 </w:t>
      </w:r>
      <w:r w:rsidR="008D3CCA">
        <w:t xml:space="preserve">GHz </w:t>
      </w:r>
      <w:r w:rsidR="00F7737E" w:rsidRPr="00E35305">
        <w:t xml:space="preserve">band </w:t>
      </w:r>
      <w:r w:rsidR="00C14155">
        <w:t>(3750–3950 MHz in regional areas</w:t>
      </w:r>
      <w:r w:rsidR="00EF63DA">
        <w:t>,</w:t>
      </w:r>
      <w:r w:rsidR="00C14155">
        <w:t xml:space="preserve"> and 3800–3950 MHz in metropolitan and immediate surrounding areas)</w:t>
      </w:r>
      <w:r>
        <w:t>.</w:t>
      </w:r>
      <w:r w:rsidR="00350C90">
        <w:t xml:space="preserve"> </w:t>
      </w:r>
      <w:r w:rsidR="00C27CD6">
        <w:t>The</w:t>
      </w:r>
      <w:r w:rsidR="00C27CD6" w:rsidRPr="001A2F6E">
        <w:t xml:space="preserve"> arrangements in </w:t>
      </w:r>
      <w:r w:rsidR="00DD3B97">
        <w:t xml:space="preserve">the </w:t>
      </w:r>
      <w:r w:rsidR="007A43B2">
        <w:t xml:space="preserve">3.8 </w:t>
      </w:r>
      <w:r w:rsidR="00392AA9">
        <w:t xml:space="preserve">GHz </w:t>
      </w:r>
      <w:r w:rsidR="00DD3B97">
        <w:t>band</w:t>
      </w:r>
      <w:r w:rsidR="008D3CCA">
        <w:t xml:space="preserve"> </w:t>
      </w:r>
      <w:r w:rsidR="00C27CD6" w:rsidRPr="001A2F6E">
        <w:t>are intended to facilitate</w:t>
      </w:r>
      <w:r w:rsidR="00CA297F">
        <w:t xml:space="preserve"> </w:t>
      </w:r>
      <w:r w:rsidR="00D579C8">
        <w:t xml:space="preserve">a wide range of </w:t>
      </w:r>
      <w:r w:rsidR="00DC763C">
        <w:t xml:space="preserve">new </w:t>
      </w:r>
      <w:r w:rsidR="00F379A8">
        <w:t xml:space="preserve">local area </w:t>
      </w:r>
      <w:r w:rsidR="00D4313D" w:rsidRPr="001A2F6E">
        <w:t xml:space="preserve">wireless broadband </w:t>
      </w:r>
      <w:r w:rsidR="00D4313D">
        <w:t>(</w:t>
      </w:r>
      <w:r w:rsidR="00F379A8">
        <w:t xml:space="preserve">LA </w:t>
      </w:r>
      <w:r w:rsidR="00D579C8">
        <w:t>WBB</w:t>
      </w:r>
      <w:r w:rsidR="00D4313D">
        <w:t>)</w:t>
      </w:r>
      <w:r w:rsidR="00D579C8">
        <w:t xml:space="preserve"> use</w:t>
      </w:r>
      <w:r w:rsidR="00B76681">
        <w:t xml:space="preserve"> </w:t>
      </w:r>
      <w:r w:rsidR="00D579C8">
        <w:t>cases</w:t>
      </w:r>
      <w:r w:rsidR="00812BC3">
        <w:t xml:space="preserve"> </w:t>
      </w:r>
      <w:r w:rsidR="00F379A8">
        <w:t xml:space="preserve">on a shared basis with </w:t>
      </w:r>
      <w:r w:rsidR="00981E5B">
        <w:t>fixed point to point (</w:t>
      </w:r>
      <w:r w:rsidR="00573FCC">
        <w:t xml:space="preserve">PTP) and fixed satellite </w:t>
      </w:r>
      <w:r w:rsidR="002E4041">
        <w:t>services (FSS)</w:t>
      </w:r>
      <w:r w:rsidR="00D26792">
        <w:t xml:space="preserve">. </w:t>
      </w:r>
    </w:p>
    <w:p w14:paraId="23D13355" w14:textId="6B30F9C1" w:rsidR="009A1E16" w:rsidRDefault="008D3CAC" w:rsidP="009073C6">
      <w:pPr>
        <w:pStyle w:val="Paragraph"/>
      </w:pPr>
      <w:r>
        <w:t xml:space="preserve">We propose </w:t>
      </w:r>
      <w:r w:rsidR="000B4065">
        <w:t xml:space="preserve">to authorise access </w:t>
      </w:r>
      <w:r w:rsidR="009531FA">
        <w:t xml:space="preserve">to the </w:t>
      </w:r>
      <w:r w:rsidR="00B43544">
        <w:t>3.8</w:t>
      </w:r>
      <w:r w:rsidR="00751A17">
        <w:t xml:space="preserve"> GHz band by </w:t>
      </w:r>
      <w:r w:rsidR="006A5E94">
        <w:t>issuing</w:t>
      </w:r>
      <w:r w:rsidR="000B4065">
        <w:t xml:space="preserve"> </w:t>
      </w:r>
      <w:hyperlink r:id="rId24" w:history="1">
        <w:r w:rsidR="000B4065" w:rsidRPr="00942A9C">
          <w:rPr>
            <w:rStyle w:val="Hyperlink"/>
          </w:rPr>
          <w:t>area-wide licences</w:t>
        </w:r>
      </w:hyperlink>
      <w:r w:rsidR="000B4065">
        <w:t xml:space="preserve"> (AWLs).</w:t>
      </w:r>
      <w:r w:rsidR="00115FEE">
        <w:t xml:space="preserve"> </w:t>
      </w:r>
      <w:r w:rsidR="00306374">
        <w:t>K</w:t>
      </w:r>
      <w:r w:rsidR="00115FEE">
        <w:t xml:space="preserve">ey </w:t>
      </w:r>
      <w:r w:rsidR="00306374">
        <w:t xml:space="preserve">features </w:t>
      </w:r>
      <w:r w:rsidR="00115FEE">
        <w:t xml:space="preserve">of AWLs </w:t>
      </w:r>
      <w:r w:rsidR="00306374">
        <w:t>are</w:t>
      </w:r>
      <w:r w:rsidR="00115FEE">
        <w:t xml:space="preserve"> that they are scalable in bandwidth and geographic area by aggregating geographic licence cells and/or spectrum blocks</w:t>
      </w:r>
      <w:r w:rsidR="00572B8F">
        <w:t>.</w:t>
      </w:r>
    </w:p>
    <w:p w14:paraId="3FBEE26C" w14:textId="49913305" w:rsidR="003C296F" w:rsidRDefault="00131FFA" w:rsidP="00B0727B">
      <w:pPr>
        <w:pStyle w:val="Paragraph"/>
        <w:spacing w:after="200"/>
      </w:pPr>
      <w:r>
        <w:t>We are</w:t>
      </w:r>
      <w:r w:rsidR="00ED47EE">
        <w:t xml:space="preserve"> consulting on</w:t>
      </w:r>
      <w:r>
        <w:t xml:space="preserve"> </w:t>
      </w:r>
      <w:r w:rsidR="00EF63DA">
        <w:t>2</w:t>
      </w:r>
      <w:r>
        <w:t xml:space="preserve"> allocation options for issuing AWLs. </w:t>
      </w:r>
      <w:r w:rsidR="00EC1286">
        <w:t xml:space="preserve">Under </w:t>
      </w:r>
      <w:r w:rsidR="005F0FA6">
        <w:t xml:space="preserve">allocation </w:t>
      </w:r>
      <w:r w:rsidR="00BD3783">
        <w:t>O</w:t>
      </w:r>
      <w:r w:rsidR="005F0FA6">
        <w:t>ption</w:t>
      </w:r>
      <w:r w:rsidR="009234F6">
        <w:t> </w:t>
      </w:r>
      <w:r w:rsidR="00823FDF">
        <w:t>1</w:t>
      </w:r>
      <w:r w:rsidR="005F0FA6">
        <w:t>, w</w:t>
      </w:r>
      <w:r w:rsidR="007D3141">
        <w:t xml:space="preserve">e are </w:t>
      </w:r>
      <w:r w:rsidR="00D62513">
        <w:t xml:space="preserve">seeking stakeholder views </w:t>
      </w:r>
      <w:r w:rsidR="009F449C">
        <w:t>on empl</w:t>
      </w:r>
      <w:r w:rsidR="00FD0D69">
        <w:t>oying</w:t>
      </w:r>
      <w:r w:rsidR="007D3141">
        <w:t xml:space="preserve"> a</w:t>
      </w:r>
      <w:r w:rsidR="00143D16">
        <w:t xml:space="preserve"> </w:t>
      </w:r>
      <w:r w:rsidR="008D3CAC">
        <w:t>2</w:t>
      </w:r>
      <w:r w:rsidR="00143D16">
        <w:t xml:space="preserve">-stage </w:t>
      </w:r>
      <w:r w:rsidR="007D3141">
        <w:t xml:space="preserve">administrative </w:t>
      </w:r>
      <w:r w:rsidR="00143D16">
        <w:t>allocation</w:t>
      </w:r>
      <w:r w:rsidR="00DE4182">
        <w:t xml:space="preserve"> window</w:t>
      </w:r>
      <w:r w:rsidR="004B6CA3">
        <w:t xml:space="preserve"> proce</w:t>
      </w:r>
      <w:r>
        <w:t xml:space="preserve">ss with additional allocation limits to prioritise LA WBB access. Under allocation </w:t>
      </w:r>
      <w:r w:rsidR="00BD3783">
        <w:t>O</w:t>
      </w:r>
      <w:r>
        <w:t>ption 2, we are proposing a general allocation window approach</w:t>
      </w:r>
      <w:r w:rsidR="00D01213">
        <w:t xml:space="preserve"> which would issue AWLs via administrative criteria</w:t>
      </w:r>
      <w:r w:rsidR="009D14B5">
        <w:t>,</w:t>
      </w:r>
      <w:r w:rsidR="00697F1B">
        <w:t xml:space="preserve"> </w:t>
      </w:r>
      <w:r w:rsidR="009D14B5">
        <w:t xml:space="preserve">similar to the </w:t>
      </w:r>
      <w:r w:rsidR="00B73FC8">
        <w:t>process adopted by the ACMA for the 26/28 GHz AWL allocation</w:t>
      </w:r>
      <w:r w:rsidR="00D01213">
        <w:t xml:space="preserve">. </w:t>
      </w:r>
      <w:r w:rsidR="003C296F">
        <w:t>Under both options, the ACMA would consider applications from LA WBB, PTP and FSS use</w:t>
      </w:r>
      <w:r w:rsidR="00420A5B">
        <w:t>-</w:t>
      </w:r>
      <w:r w:rsidR="003C296F">
        <w:t>cases</w:t>
      </w:r>
      <w:r w:rsidR="00DE3334">
        <w:t xml:space="preserve"> for both AWL </w:t>
      </w:r>
      <w:r w:rsidR="00EA0BF6">
        <w:t>transceiver</w:t>
      </w:r>
      <w:r w:rsidR="00EF63DA">
        <w:t xml:space="preserve"> (tx) </w:t>
      </w:r>
      <w:r w:rsidR="00DE3334">
        <w:t>licenses</w:t>
      </w:r>
      <w:r w:rsidR="008C19D8">
        <w:t xml:space="preserve"> and AWL </w:t>
      </w:r>
      <w:r w:rsidR="00EA0BF6">
        <w:t>receiver</w:t>
      </w:r>
      <w:r w:rsidR="00EF63DA">
        <w:t xml:space="preserve"> (rx)</w:t>
      </w:r>
      <w:r w:rsidR="008C19D8">
        <w:t xml:space="preserve"> licences</w:t>
      </w:r>
      <w:r w:rsidR="003C296F">
        <w:t>.</w:t>
      </w:r>
    </w:p>
    <w:p w14:paraId="696A88EE" w14:textId="7D75598E" w:rsidR="00D62EE4" w:rsidRDefault="00D62EE4" w:rsidP="00B0727B">
      <w:pPr>
        <w:pStyle w:val="Paragraph"/>
        <w:spacing w:after="200"/>
      </w:pPr>
      <w:r>
        <w:t xml:space="preserve">To support the allocation of AWLs </w:t>
      </w:r>
      <w:r w:rsidR="00815E13">
        <w:t xml:space="preserve">in </w:t>
      </w:r>
      <w:r w:rsidR="002A4EBD">
        <w:t>the</w:t>
      </w:r>
      <w:r w:rsidR="00815E13">
        <w:t xml:space="preserve"> </w:t>
      </w:r>
      <w:r w:rsidR="007F575C">
        <w:t xml:space="preserve">3.8 </w:t>
      </w:r>
      <w:r w:rsidR="002A4EBD">
        <w:t>GHz</w:t>
      </w:r>
      <w:r w:rsidR="007F575C">
        <w:t xml:space="preserve"> band</w:t>
      </w:r>
      <w:r w:rsidR="00815E13">
        <w:t xml:space="preserve">, </w:t>
      </w:r>
      <w:r w:rsidR="003D7345">
        <w:t xml:space="preserve">we </w:t>
      </w:r>
      <w:r w:rsidR="007F575C">
        <w:t xml:space="preserve">are </w:t>
      </w:r>
      <w:r w:rsidR="00B84EE9">
        <w:t>proposing</w:t>
      </w:r>
      <w:r w:rsidR="007F575C">
        <w:t xml:space="preserve"> t</w:t>
      </w:r>
      <w:r w:rsidR="003D7345">
        <w:t>o</w:t>
      </w:r>
      <w:r w:rsidR="00815E13">
        <w:t xml:space="preserve"> make </w:t>
      </w:r>
      <w:r w:rsidR="002A1BF8">
        <w:t>legislative</w:t>
      </w:r>
      <w:r w:rsidR="00815E13">
        <w:t xml:space="preserve"> instruments </w:t>
      </w:r>
      <w:r w:rsidR="0052713F">
        <w:t xml:space="preserve">setting out the technical conditions and </w:t>
      </w:r>
      <w:r w:rsidR="002A59BC">
        <w:t>pricing arrangements for AWLs in the band. The</w:t>
      </w:r>
      <w:r w:rsidR="00561541">
        <w:t>se</w:t>
      </w:r>
      <w:r w:rsidR="002A59BC">
        <w:t xml:space="preserve"> </w:t>
      </w:r>
      <w:r w:rsidR="00B66069">
        <w:t xml:space="preserve">instruments </w:t>
      </w:r>
      <w:r w:rsidR="00497262">
        <w:t>may be</w:t>
      </w:r>
      <w:r w:rsidR="00B66069">
        <w:t xml:space="preserve"> supported </w:t>
      </w:r>
      <w:r w:rsidR="00A5055C">
        <w:t xml:space="preserve">by </w:t>
      </w:r>
      <w:r w:rsidR="00561541">
        <w:t xml:space="preserve">administrative policies </w:t>
      </w:r>
      <w:r w:rsidR="005C0C60">
        <w:t xml:space="preserve">on aspects of the technical framework and </w:t>
      </w:r>
      <w:r w:rsidR="003D7345">
        <w:t xml:space="preserve">our </w:t>
      </w:r>
      <w:r w:rsidR="005C0C60">
        <w:t xml:space="preserve">process for allocating AWLs. </w:t>
      </w:r>
      <w:r w:rsidR="00D524EE">
        <w:t xml:space="preserve">Detailed discussion on the proposed instruments and administrative policies are in the </w:t>
      </w:r>
      <w:hyperlink w:anchor="_Technical_Framework" w:history="1">
        <w:r w:rsidR="00D524EE" w:rsidRPr="00BA6801">
          <w:rPr>
            <w:rStyle w:val="Hyperlink"/>
          </w:rPr>
          <w:t>Technical framework</w:t>
        </w:r>
      </w:hyperlink>
      <w:r w:rsidR="00D524EE" w:rsidRPr="00BA6801">
        <w:t xml:space="preserve">, </w:t>
      </w:r>
      <w:hyperlink w:anchor="_Allocation_process" w:history="1">
        <w:r w:rsidR="00D524EE" w:rsidRPr="00BA6801">
          <w:rPr>
            <w:rStyle w:val="Hyperlink"/>
          </w:rPr>
          <w:t>Allocation process</w:t>
        </w:r>
      </w:hyperlink>
      <w:r w:rsidR="00D524EE" w:rsidRPr="00BA6801">
        <w:t xml:space="preserve">, </w:t>
      </w:r>
      <w:hyperlink w:anchor="_Licence_tenure_and" w:history="1">
        <w:r w:rsidR="00D524EE" w:rsidRPr="00BA6801">
          <w:rPr>
            <w:rStyle w:val="Hyperlink"/>
          </w:rPr>
          <w:t>Tenure and renewal</w:t>
        </w:r>
      </w:hyperlink>
      <w:r w:rsidR="00D524EE" w:rsidRPr="00BA6801">
        <w:t xml:space="preserve"> and </w:t>
      </w:r>
      <w:hyperlink w:anchor="_Pricing" w:history="1">
        <w:r w:rsidR="00D524EE" w:rsidRPr="00BA6801">
          <w:rPr>
            <w:rStyle w:val="Hyperlink"/>
          </w:rPr>
          <w:t>Pricing</w:t>
        </w:r>
      </w:hyperlink>
      <w:r w:rsidR="00D524EE" w:rsidRPr="00BA6801">
        <w:t xml:space="preserve"> sections of this paper</w:t>
      </w:r>
      <w:r w:rsidR="00D524EE">
        <w:t>.</w:t>
      </w:r>
    </w:p>
    <w:p w14:paraId="143E8EF7" w14:textId="241F8FEE" w:rsidR="006C4240" w:rsidRDefault="00A65641" w:rsidP="00B0727B">
      <w:pPr>
        <w:pStyle w:val="Paragraph"/>
        <w:spacing w:after="200"/>
      </w:pPr>
      <w:r>
        <w:t xml:space="preserve">The proposed technical framework changes also include </w:t>
      </w:r>
      <w:r w:rsidR="00965300">
        <w:t xml:space="preserve">some </w:t>
      </w:r>
      <w:r w:rsidR="00BB03A2">
        <w:t xml:space="preserve">proposed </w:t>
      </w:r>
      <w:r w:rsidR="00965300">
        <w:t xml:space="preserve">consequential </w:t>
      </w:r>
      <w:r w:rsidR="00546785">
        <w:t xml:space="preserve">amendments </w:t>
      </w:r>
      <w:r w:rsidR="00965300">
        <w:t xml:space="preserve">to the </w:t>
      </w:r>
      <w:r w:rsidR="00FF7C9C" w:rsidRPr="00D85C90">
        <w:t xml:space="preserve">Radiocommunications Advisory Guidelines (Managing Interference from Spectrum Licensed Transmitters </w:t>
      </w:r>
      <w:r w:rsidR="00F620FC" w:rsidRPr="00D85C90">
        <w:softHyphen/>
        <w:t>–</w:t>
      </w:r>
      <w:r w:rsidR="00FF7C9C" w:rsidRPr="00D85C90">
        <w:t xml:space="preserve"> 3.4 GHz Band) 2015</w:t>
      </w:r>
      <w:r w:rsidR="00BB03A2">
        <w:t xml:space="preserve">. If </w:t>
      </w:r>
      <w:r w:rsidR="00D626A6">
        <w:t xml:space="preserve">proceeded with, amendments to this instrument would be expedited </w:t>
      </w:r>
      <w:r w:rsidR="00BA2EEA">
        <w:t xml:space="preserve">ahead of the </w:t>
      </w:r>
      <w:r w:rsidR="003A7DB4">
        <w:t>3.4/3.7 GHz spectrum licensing allocation</w:t>
      </w:r>
      <w:r w:rsidR="006F0A38">
        <w:t>,</w:t>
      </w:r>
      <w:r w:rsidR="003A7DB4">
        <w:t xml:space="preserve"> so </w:t>
      </w:r>
      <w:r w:rsidR="006F0A38">
        <w:t>that potential spectrum licence applicants are fully aware of any changed obligations</w:t>
      </w:r>
      <w:r w:rsidR="00271A96">
        <w:t>.</w:t>
      </w:r>
    </w:p>
    <w:p w14:paraId="062433F8" w14:textId="21CA8BCE" w:rsidR="002F148B" w:rsidRPr="008F716A" w:rsidRDefault="002F148B" w:rsidP="002F148B">
      <w:pPr>
        <w:pStyle w:val="Paragraph"/>
        <w:spacing w:after="200"/>
      </w:pPr>
      <w:r>
        <w:t>Following ACMA consideration of stakeholder submissions to this consultation, we will announce further details about the 3.8 GHz band allocation on our website. </w:t>
      </w:r>
    </w:p>
    <w:p w14:paraId="34E805CD" w14:textId="77777777" w:rsidR="002F148B" w:rsidRPr="008F716A" w:rsidRDefault="002F148B" w:rsidP="00B0727B">
      <w:pPr>
        <w:pStyle w:val="Paragraph"/>
        <w:spacing w:after="200"/>
      </w:pPr>
    </w:p>
    <w:p w14:paraId="1AEFAB5B" w14:textId="45D4CB3E" w:rsidR="006A400F" w:rsidRDefault="00832BD0" w:rsidP="00715722">
      <w:pPr>
        <w:pStyle w:val="Heading1"/>
      </w:pPr>
      <w:bookmarkStart w:id="2" w:name="_Toc137808599"/>
      <w:bookmarkStart w:id="3" w:name="_Toc433122125"/>
      <w:r>
        <w:lastRenderedPageBreak/>
        <w:t>Background</w:t>
      </w:r>
      <w:bookmarkEnd w:id="2"/>
    </w:p>
    <w:p w14:paraId="2980F0CF" w14:textId="2D6FBF6C" w:rsidR="005C1245" w:rsidRDefault="001548E6" w:rsidP="00306188">
      <w:pPr>
        <w:ind w:left="11"/>
      </w:pPr>
      <w:r>
        <w:t xml:space="preserve">As </w:t>
      </w:r>
      <w:r w:rsidR="00457FD3">
        <w:t>outlined</w:t>
      </w:r>
      <w:r>
        <w:t xml:space="preserve"> in the</w:t>
      </w:r>
      <w:r w:rsidR="001B77C9">
        <w:t xml:space="preserve"> January 2021</w:t>
      </w:r>
      <w:r>
        <w:t xml:space="preserve"> </w:t>
      </w:r>
      <w:hyperlink r:id="rId25" w:history="1">
        <w:r w:rsidR="00CF62C9" w:rsidRPr="00D85C90">
          <w:rPr>
            <w:rStyle w:val="Hyperlink"/>
            <w:i/>
            <w:iCs/>
          </w:rPr>
          <w:t>Replanning the 3700–4200 MHz band</w:t>
        </w:r>
        <w:r w:rsidR="00CF62C9" w:rsidRPr="00FE69BE">
          <w:rPr>
            <w:rStyle w:val="Hyperlink"/>
          </w:rPr>
          <w:t xml:space="preserve"> </w:t>
        </w:r>
        <w:r w:rsidR="00AE4490" w:rsidRPr="00FE69BE">
          <w:rPr>
            <w:rStyle w:val="Hyperlink"/>
          </w:rPr>
          <w:t>o</w:t>
        </w:r>
        <w:r w:rsidR="00CF62C9" w:rsidRPr="00FE69BE">
          <w:rPr>
            <w:rStyle w:val="Hyperlink"/>
          </w:rPr>
          <w:t>utcomes paper</w:t>
        </w:r>
      </w:hyperlink>
      <w:r w:rsidR="00580A41" w:rsidRPr="00BD3783">
        <w:t xml:space="preserve"> </w:t>
      </w:r>
      <w:r w:rsidR="00580A41">
        <w:t xml:space="preserve">(the 2021 </w:t>
      </w:r>
      <w:r w:rsidR="000F321A">
        <w:t>outcomes paper</w:t>
      </w:r>
      <w:r w:rsidR="00885374">
        <w:t>)</w:t>
      </w:r>
      <w:r w:rsidR="00457FD3">
        <w:t>,</w:t>
      </w:r>
      <w:r w:rsidR="00295391">
        <w:t xml:space="preserve"> the ACMA intends to introduce apparatus</w:t>
      </w:r>
      <w:r w:rsidR="00457FD3">
        <w:t xml:space="preserve"> licen</w:t>
      </w:r>
      <w:r w:rsidR="008675C2">
        <w:t>sing</w:t>
      </w:r>
      <w:r w:rsidR="00457FD3">
        <w:t xml:space="preserve"> arrangements in</w:t>
      </w:r>
      <w:r w:rsidR="00B46E5A">
        <w:t xml:space="preserve"> the 3.8</w:t>
      </w:r>
      <w:r w:rsidR="00295391">
        <w:t xml:space="preserve"> </w:t>
      </w:r>
      <w:r w:rsidR="00615B56">
        <w:t>G</w:t>
      </w:r>
      <w:r w:rsidR="0040248D" w:rsidRPr="002D72B7">
        <w:t>Hz band</w:t>
      </w:r>
      <w:r w:rsidR="00B94C21">
        <w:t xml:space="preserve"> </w:t>
      </w:r>
      <w:r w:rsidR="00BF40F9">
        <w:t xml:space="preserve">to </w:t>
      </w:r>
      <w:r w:rsidR="00E8192F">
        <w:t xml:space="preserve">support LA WBB services on a shared basis with FSS and </w:t>
      </w:r>
      <w:r w:rsidR="001B5E8A">
        <w:t xml:space="preserve">PTP services. </w:t>
      </w:r>
      <w:r w:rsidR="00176981">
        <w:t>L</w:t>
      </w:r>
      <w:r w:rsidR="00D9644F" w:rsidRPr="485C9D3C">
        <w:rPr>
          <w:rFonts w:cs="Arial"/>
        </w:rPr>
        <w:t xml:space="preserve">A WBB </w:t>
      </w:r>
      <w:r w:rsidR="00D9644F" w:rsidRPr="00884E59">
        <w:t xml:space="preserve">services </w:t>
      </w:r>
      <w:r w:rsidR="657FA351">
        <w:t>are</w:t>
      </w:r>
      <w:r w:rsidR="006B0A1E">
        <w:t xml:space="preserve"> </w:t>
      </w:r>
      <w:r w:rsidR="006117D0">
        <w:t xml:space="preserve">deployments by </w:t>
      </w:r>
      <w:r w:rsidR="2B2DAE8D">
        <w:t xml:space="preserve">operators </w:t>
      </w:r>
      <w:r w:rsidR="00076C8F">
        <w:t xml:space="preserve">servicing </w:t>
      </w:r>
      <w:r w:rsidR="00FC6D51">
        <w:t>limited</w:t>
      </w:r>
      <w:r w:rsidR="2B2DAE8D">
        <w:t xml:space="preserve"> geographic areas</w:t>
      </w:r>
      <w:r w:rsidR="48E096CD">
        <w:t>, including</w:t>
      </w:r>
      <w:r w:rsidR="006117D0">
        <w:t xml:space="preserve"> wireless internet service providers (WISPs)</w:t>
      </w:r>
      <w:r w:rsidR="5FBD993F">
        <w:t>, fixed wireless access providers,</w:t>
      </w:r>
      <w:r w:rsidR="006117D0">
        <w:t xml:space="preserve"> as well as campus-style and private network deployments by industry vertical and enterprise users</w:t>
      </w:r>
      <w:r w:rsidR="00D9644F" w:rsidRPr="485C9D3C">
        <w:rPr>
          <w:rFonts w:cs="Arial"/>
        </w:rPr>
        <w:t>.</w:t>
      </w:r>
      <w:r w:rsidR="00306188">
        <w:t xml:space="preserve"> </w:t>
      </w:r>
    </w:p>
    <w:p w14:paraId="362513E0" w14:textId="16B7248D" w:rsidR="00A10F6E" w:rsidRPr="00C636EB" w:rsidRDefault="00A10F6E" w:rsidP="00FE69BE">
      <w:pPr>
        <w:pStyle w:val="Paragraphbeforelist"/>
        <w:spacing w:after="240"/>
      </w:pPr>
      <w:r w:rsidRPr="00C636EB">
        <w:t xml:space="preserve">The allocation of apparatus licences </w:t>
      </w:r>
      <w:r w:rsidR="00163ECC" w:rsidRPr="00C636EB">
        <w:t xml:space="preserve">in </w:t>
      </w:r>
      <w:r w:rsidR="009F417F" w:rsidRPr="00C636EB">
        <w:t xml:space="preserve">the </w:t>
      </w:r>
      <w:r w:rsidR="00962874" w:rsidRPr="00C636EB">
        <w:t>3.</w:t>
      </w:r>
      <w:r w:rsidR="00F80E95" w:rsidRPr="00C636EB">
        <w:t>8</w:t>
      </w:r>
      <w:r w:rsidR="002F148B" w:rsidRPr="00C636EB">
        <w:t xml:space="preserve"> </w:t>
      </w:r>
      <w:r w:rsidR="00962874" w:rsidRPr="00C636EB">
        <w:t xml:space="preserve">GHz </w:t>
      </w:r>
      <w:r w:rsidR="009F417F" w:rsidRPr="00C636EB">
        <w:t>band</w:t>
      </w:r>
      <w:r w:rsidR="00962874" w:rsidRPr="00C636EB">
        <w:t xml:space="preserve"> </w:t>
      </w:r>
      <w:r w:rsidR="00292763" w:rsidRPr="00C636EB">
        <w:t xml:space="preserve">in </w:t>
      </w:r>
      <w:r w:rsidR="00F80E95" w:rsidRPr="00C636EB">
        <w:t>metropolitan and regional</w:t>
      </w:r>
      <w:r w:rsidR="00962874" w:rsidRPr="00C636EB">
        <w:t xml:space="preserve"> areas </w:t>
      </w:r>
      <w:r w:rsidRPr="00C636EB">
        <w:t xml:space="preserve">is </w:t>
      </w:r>
      <w:r w:rsidR="00CB7611" w:rsidRPr="00C636EB">
        <w:t>part of</w:t>
      </w:r>
      <w:r w:rsidR="00E93A00" w:rsidRPr="00C636EB">
        <w:t xml:space="preserve"> a larger </w:t>
      </w:r>
      <w:r w:rsidR="00B676EB" w:rsidRPr="00C636EB">
        <w:t xml:space="preserve">planning and allocation </w:t>
      </w:r>
      <w:r w:rsidR="007957B4" w:rsidRPr="00C636EB">
        <w:t xml:space="preserve">activity </w:t>
      </w:r>
      <w:r w:rsidR="00726AF5" w:rsidRPr="00C636EB">
        <w:t xml:space="preserve">in which </w:t>
      </w:r>
      <w:r w:rsidRPr="00C636EB">
        <w:t>the ACMA is making</w:t>
      </w:r>
      <w:r w:rsidR="002F148B" w:rsidRPr="00C636EB">
        <w:t xml:space="preserve"> mid band</w:t>
      </w:r>
      <w:r w:rsidRPr="00C636EB">
        <w:t xml:space="preserve"> spectrum available in </w:t>
      </w:r>
      <w:r w:rsidR="00F80E95" w:rsidRPr="00C636EB">
        <w:t>across broader</w:t>
      </w:r>
      <w:r w:rsidRPr="00C636EB">
        <w:t xml:space="preserve"> </w:t>
      </w:r>
      <w:r w:rsidR="008D3CCA" w:rsidRPr="00C636EB">
        <w:t xml:space="preserve">3.4–4.0 GHz </w:t>
      </w:r>
      <w:r w:rsidRPr="00C636EB">
        <w:t>band</w:t>
      </w:r>
      <w:r w:rsidR="00603CBA" w:rsidRPr="00C636EB">
        <w:t xml:space="preserve"> as follows</w:t>
      </w:r>
      <w:r w:rsidR="001F4F5A" w:rsidRPr="00C636EB">
        <w:t>:</w:t>
      </w:r>
    </w:p>
    <w:p w14:paraId="3862388B" w14:textId="54AC2317" w:rsidR="0001218B" w:rsidRPr="00FC3AD9" w:rsidRDefault="000C5649" w:rsidP="00FE69BE">
      <w:pPr>
        <w:pStyle w:val="Tableheading"/>
        <w:spacing w:after="240"/>
      </w:pPr>
      <w:r w:rsidRPr="00FC3AD9">
        <w:t xml:space="preserve">Summary of upcoming 3.4–4.0 GHz </w:t>
      </w:r>
      <w:r w:rsidR="003C05AB" w:rsidRPr="00FC3AD9">
        <w:t>band allocations</w:t>
      </w:r>
    </w:p>
    <w:tbl>
      <w:tblPr>
        <w:tblStyle w:val="TableGrid2"/>
        <w:tblW w:w="7797" w:type="dxa"/>
        <w:tblInd w:w="-5" w:type="dxa"/>
        <w:tblLayout w:type="fixed"/>
        <w:tblLook w:val="04A0" w:firstRow="1" w:lastRow="0" w:firstColumn="1" w:lastColumn="0" w:noHBand="0" w:noVBand="1"/>
      </w:tblPr>
      <w:tblGrid>
        <w:gridCol w:w="2057"/>
        <w:gridCol w:w="2058"/>
        <w:gridCol w:w="1839"/>
        <w:gridCol w:w="1843"/>
      </w:tblGrid>
      <w:tr w:rsidR="005D3947" w:rsidRPr="007C5005" w14:paraId="5A599C3F" w14:textId="77777777" w:rsidTr="00FE69BE">
        <w:tc>
          <w:tcPr>
            <w:tcW w:w="2057" w:type="dxa"/>
            <w:tcBorders>
              <w:top w:val="single" w:sz="4" w:space="0" w:color="auto"/>
              <w:left w:val="single" w:sz="4" w:space="0" w:color="auto"/>
              <w:bottom w:val="single" w:sz="4" w:space="0" w:color="auto"/>
              <w:right w:val="single" w:sz="4" w:space="0" w:color="auto"/>
            </w:tcBorders>
            <w:shd w:val="clear" w:color="auto" w:fill="404040" w:themeFill="text1" w:themeFillTint="BF"/>
            <w:hideMark/>
          </w:tcPr>
          <w:p w14:paraId="6A69B8CB" w14:textId="77777777" w:rsidR="007C5005" w:rsidRPr="00FE69BE" w:rsidRDefault="007C5005" w:rsidP="00FE69BE">
            <w:pPr>
              <w:pStyle w:val="Tableheaderrow"/>
              <w:rPr>
                <w:b w:val="0"/>
                <w:color w:val="FFFFFF" w:themeColor="background1"/>
              </w:rPr>
            </w:pPr>
            <w:bookmarkStart w:id="4" w:name="_Context_for_this"/>
            <w:bookmarkEnd w:id="4"/>
            <w:r w:rsidRPr="00FE69BE">
              <w:rPr>
                <w:color w:val="FFFFFF" w:themeColor="background1"/>
              </w:rPr>
              <w:t>Allocation type</w:t>
            </w:r>
          </w:p>
        </w:tc>
        <w:tc>
          <w:tcPr>
            <w:tcW w:w="2058" w:type="dxa"/>
            <w:tcBorders>
              <w:top w:val="single" w:sz="4" w:space="0" w:color="auto"/>
              <w:left w:val="single" w:sz="4" w:space="0" w:color="auto"/>
              <w:bottom w:val="single" w:sz="4" w:space="0" w:color="auto"/>
              <w:right w:val="single" w:sz="4" w:space="0" w:color="auto"/>
            </w:tcBorders>
            <w:shd w:val="clear" w:color="auto" w:fill="404040" w:themeFill="text1" w:themeFillTint="BF"/>
            <w:hideMark/>
          </w:tcPr>
          <w:p w14:paraId="74E339FB" w14:textId="77777777" w:rsidR="007C5005" w:rsidRPr="00FE69BE" w:rsidRDefault="007C5005" w:rsidP="00FE69BE">
            <w:pPr>
              <w:pStyle w:val="Tableheaderrow"/>
              <w:rPr>
                <w:b w:val="0"/>
                <w:color w:val="FFFFFF" w:themeColor="background1"/>
              </w:rPr>
            </w:pPr>
            <w:r w:rsidRPr="00FE69BE">
              <w:rPr>
                <w:color w:val="FFFFFF" w:themeColor="background1"/>
              </w:rPr>
              <w:t>Band/area</w:t>
            </w:r>
          </w:p>
        </w:tc>
        <w:tc>
          <w:tcPr>
            <w:tcW w:w="1839" w:type="dxa"/>
            <w:tcBorders>
              <w:top w:val="single" w:sz="4" w:space="0" w:color="auto"/>
              <w:left w:val="single" w:sz="4" w:space="0" w:color="auto"/>
              <w:bottom w:val="single" w:sz="4" w:space="0" w:color="auto"/>
              <w:right w:val="single" w:sz="4" w:space="0" w:color="auto"/>
            </w:tcBorders>
            <w:shd w:val="clear" w:color="auto" w:fill="404040" w:themeFill="text1" w:themeFillTint="BF"/>
            <w:hideMark/>
          </w:tcPr>
          <w:p w14:paraId="4C344426" w14:textId="6DAD7188" w:rsidR="007C5005" w:rsidRPr="00FE69BE" w:rsidRDefault="005D3947" w:rsidP="00FE69BE">
            <w:pPr>
              <w:pStyle w:val="Tableheaderrow"/>
              <w:rPr>
                <w:b w:val="0"/>
                <w:color w:val="FFFFFF" w:themeColor="background1"/>
              </w:rPr>
            </w:pPr>
            <w:r w:rsidRPr="00FE69BE">
              <w:rPr>
                <w:color w:val="FFFFFF" w:themeColor="background1"/>
              </w:rPr>
              <w:t xml:space="preserve">Allocation </w:t>
            </w:r>
            <w:r w:rsidR="005F3072" w:rsidRPr="00FE69BE">
              <w:rPr>
                <w:color w:val="FFFFFF" w:themeColor="background1"/>
              </w:rPr>
              <w:t>commencement</w:t>
            </w:r>
          </w:p>
        </w:tc>
        <w:tc>
          <w:tcPr>
            <w:tcW w:w="1843" w:type="dxa"/>
            <w:tcBorders>
              <w:top w:val="single" w:sz="4" w:space="0" w:color="auto"/>
              <w:left w:val="single" w:sz="4" w:space="0" w:color="auto"/>
              <w:bottom w:val="single" w:sz="4" w:space="0" w:color="auto"/>
              <w:right w:val="single" w:sz="4" w:space="0" w:color="auto"/>
            </w:tcBorders>
            <w:shd w:val="clear" w:color="auto" w:fill="404040" w:themeFill="text1" w:themeFillTint="BF"/>
            <w:hideMark/>
          </w:tcPr>
          <w:p w14:paraId="0C274A49" w14:textId="6ACB0C7C" w:rsidR="007C5005" w:rsidRPr="00FE69BE" w:rsidRDefault="007C5005" w:rsidP="00FE69BE">
            <w:pPr>
              <w:pStyle w:val="Tableheaderrow"/>
              <w:rPr>
                <w:b w:val="0"/>
                <w:color w:val="FFFFFF" w:themeColor="background1"/>
              </w:rPr>
            </w:pPr>
            <w:r w:rsidRPr="00FE69BE">
              <w:rPr>
                <w:color w:val="FFFFFF" w:themeColor="background1"/>
              </w:rPr>
              <w:t xml:space="preserve">Next </w:t>
            </w:r>
            <w:r w:rsidR="00C636EB" w:rsidRPr="00FE69BE">
              <w:rPr>
                <w:color w:val="FFFFFF" w:themeColor="background1"/>
              </w:rPr>
              <w:t>s</w:t>
            </w:r>
            <w:r w:rsidRPr="00FE69BE">
              <w:rPr>
                <w:color w:val="FFFFFF" w:themeColor="background1"/>
              </w:rPr>
              <w:t>teps</w:t>
            </w:r>
          </w:p>
        </w:tc>
      </w:tr>
      <w:tr w:rsidR="005D3947" w:rsidRPr="007C5005" w14:paraId="1199E54B" w14:textId="77777777" w:rsidTr="00C45F25">
        <w:tc>
          <w:tcPr>
            <w:tcW w:w="2057" w:type="dxa"/>
            <w:tcBorders>
              <w:top w:val="single" w:sz="4" w:space="0" w:color="auto"/>
              <w:left w:val="single" w:sz="4" w:space="0" w:color="auto"/>
              <w:bottom w:val="single" w:sz="4" w:space="0" w:color="auto"/>
              <w:right w:val="single" w:sz="4" w:space="0" w:color="auto"/>
            </w:tcBorders>
            <w:hideMark/>
          </w:tcPr>
          <w:p w14:paraId="3ACC12E6" w14:textId="77777777" w:rsidR="007C5005" w:rsidRPr="007C5005" w:rsidRDefault="007C5005" w:rsidP="007C5005">
            <w:pPr>
              <w:tabs>
                <w:tab w:val="left" w:pos="720"/>
              </w:tabs>
              <w:spacing w:before="120" w:after="0"/>
              <w:rPr>
                <w:rFonts w:cs="Arial"/>
                <w:lang w:eastAsia="en-US"/>
              </w:rPr>
            </w:pPr>
            <w:r w:rsidRPr="007C5005">
              <w:rPr>
                <w:rFonts w:cs="Arial"/>
                <w:lang w:eastAsia="en-US"/>
              </w:rPr>
              <w:t xml:space="preserve">AWLs, administrative allocation </w:t>
            </w:r>
          </w:p>
        </w:tc>
        <w:tc>
          <w:tcPr>
            <w:tcW w:w="2058" w:type="dxa"/>
            <w:tcBorders>
              <w:top w:val="single" w:sz="4" w:space="0" w:color="auto"/>
              <w:left w:val="single" w:sz="4" w:space="0" w:color="auto"/>
              <w:bottom w:val="single" w:sz="4" w:space="0" w:color="auto"/>
              <w:right w:val="single" w:sz="4" w:space="0" w:color="auto"/>
            </w:tcBorders>
            <w:hideMark/>
          </w:tcPr>
          <w:p w14:paraId="41FDDE9E" w14:textId="303F73EE" w:rsidR="007C5005" w:rsidRPr="007C5005" w:rsidRDefault="007C5005" w:rsidP="007C5005">
            <w:pPr>
              <w:tabs>
                <w:tab w:val="left" w:pos="720"/>
              </w:tabs>
              <w:spacing w:before="120" w:after="0"/>
              <w:rPr>
                <w:rFonts w:cs="Arial"/>
                <w:lang w:eastAsia="en-US"/>
              </w:rPr>
            </w:pPr>
            <w:r w:rsidRPr="007C5005">
              <w:rPr>
                <w:rFonts w:cs="Arial"/>
                <w:lang w:eastAsia="en-US"/>
              </w:rPr>
              <w:t>3.4</w:t>
            </w:r>
            <w:r w:rsidR="00442674" w:rsidRPr="00C636EB">
              <w:t>–</w:t>
            </w:r>
            <w:r w:rsidRPr="007C5005">
              <w:rPr>
                <w:rFonts w:cs="Arial"/>
                <w:lang w:eastAsia="en-US"/>
              </w:rPr>
              <w:t xml:space="preserve">4.0 GHz band </w:t>
            </w:r>
            <w:r w:rsidR="00442674" w:rsidRPr="00C636EB">
              <w:t>–</w:t>
            </w:r>
            <w:r w:rsidR="00442674">
              <w:t xml:space="preserve"> </w:t>
            </w:r>
            <w:r w:rsidRPr="007C5005">
              <w:rPr>
                <w:rFonts w:cs="Arial"/>
                <w:lang w:eastAsia="en-US"/>
              </w:rPr>
              <w:t>remote areas</w:t>
            </w:r>
          </w:p>
        </w:tc>
        <w:tc>
          <w:tcPr>
            <w:tcW w:w="1839" w:type="dxa"/>
            <w:tcBorders>
              <w:top w:val="single" w:sz="4" w:space="0" w:color="auto"/>
              <w:left w:val="single" w:sz="4" w:space="0" w:color="auto"/>
              <w:bottom w:val="single" w:sz="4" w:space="0" w:color="auto"/>
              <w:right w:val="single" w:sz="4" w:space="0" w:color="auto"/>
            </w:tcBorders>
            <w:hideMark/>
          </w:tcPr>
          <w:p w14:paraId="43521DCD" w14:textId="77777777" w:rsidR="007C5005" w:rsidRPr="007C5005" w:rsidRDefault="007C5005" w:rsidP="007C5005">
            <w:pPr>
              <w:tabs>
                <w:tab w:val="left" w:pos="720"/>
              </w:tabs>
              <w:spacing w:before="120" w:after="0"/>
              <w:rPr>
                <w:rFonts w:cs="Arial"/>
                <w:lang w:eastAsia="en-US"/>
              </w:rPr>
            </w:pPr>
            <w:r w:rsidRPr="007C5005">
              <w:rPr>
                <w:rFonts w:cs="Arial"/>
                <w:lang w:eastAsia="en-US"/>
              </w:rPr>
              <w:t>Q2 2023</w:t>
            </w:r>
          </w:p>
        </w:tc>
        <w:tc>
          <w:tcPr>
            <w:tcW w:w="1843" w:type="dxa"/>
            <w:tcBorders>
              <w:top w:val="single" w:sz="4" w:space="0" w:color="auto"/>
              <w:left w:val="single" w:sz="4" w:space="0" w:color="auto"/>
              <w:bottom w:val="single" w:sz="4" w:space="0" w:color="auto"/>
              <w:right w:val="single" w:sz="4" w:space="0" w:color="auto"/>
            </w:tcBorders>
            <w:hideMark/>
          </w:tcPr>
          <w:p w14:paraId="404E2979" w14:textId="0D4F48C1" w:rsidR="007C5005" w:rsidRPr="007C5005" w:rsidRDefault="00993D9E" w:rsidP="007C5005">
            <w:pPr>
              <w:tabs>
                <w:tab w:val="left" w:pos="720"/>
              </w:tabs>
              <w:spacing w:before="120" w:after="0"/>
              <w:rPr>
                <w:rFonts w:cs="Arial"/>
                <w:lang w:eastAsia="en-US"/>
              </w:rPr>
            </w:pPr>
            <w:r>
              <w:rPr>
                <w:rFonts w:cs="Arial"/>
                <w:lang w:eastAsia="en-US"/>
              </w:rPr>
              <w:t>Administrative allocation to occur in Q2 2023</w:t>
            </w:r>
          </w:p>
        </w:tc>
      </w:tr>
      <w:tr w:rsidR="005D3947" w:rsidRPr="007C5005" w14:paraId="38869040" w14:textId="77777777" w:rsidTr="00FE69BE">
        <w:trPr>
          <w:trHeight w:val="1427"/>
        </w:trPr>
        <w:tc>
          <w:tcPr>
            <w:tcW w:w="205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FE3C05" w14:textId="77777777" w:rsidR="007C5005" w:rsidRPr="007C5005" w:rsidRDefault="007C5005" w:rsidP="007C5005">
            <w:pPr>
              <w:tabs>
                <w:tab w:val="left" w:pos="720"/>
              </w:tabs>
              <w:spacing w:before="120" w:after="0"/>
              <w:rPr>
                <w:rFonts w:cs="Arial"/>
                <w:lang w:eastAsia="en-US"/>
              </w:rPr>
            </w:pPr>
            <w:r w:rsidRPr="007C5005">
              <w:rPr>
                <w:rFonts w:cs="Arial"/>
                <w:lang w:eastAsia="en-US"/>
              </w:rPr>
              <w:t>Spectrum licences, price-based allocation</w:t>
            </w:r>
          </w:p>
        </w:tc>
        <w:tc>
          <w:tcPr>
            <w:tcW w:w="205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F517A7C" w14:textId="35A6DF0B" w:rsidR="007C5005" w:rsidRPr="007C5005" w:rsidRDefault="007C5005" w:rsidP="007C5005">
            <w:pPr>
              <w:tabs>
                <w:tab w:val="left" w:pos="720"/>
              </w:tabs>
              <w:spacing w:before="120" w:after="0"/>
              <w:rPr>
                <w:rFonts w:cs="Arial"/>
                <w:lang w:eastAsia="en-US"/>
              </w:rPr>
            </w:pPr>
            <w:r w:rsidRPr="007C5005">
              <w:rPr>
                <w:rFonts w:cs="Arial"/>
                <w:lang w:eastAsia="en-US"/>
              </w:rPr>
              <w:t xml:space="preserve">3.4/3.7 GHz bands </w:t>
            </w:r>
            <w:r w:rsidR="00442674" w:rsidRPr="00C636EB">
              <w:t>–</w:t>
            </w:r>
            <w:r w:rsidRPr="007C5005">
              <w:rPr>
                <w:rFonts w:cs="Arial"/>
                <w:lang w:eastAsia="en-US"/>
              </w:rPr>
              <w:t xml:space="preserve"> metropolitan and regional areas</w:t>
            </w:r>
          </w:p>
        </w:tc>
        <w:tc>
          <w:tcPr>
            <w:tcW w:w="18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3D4CBC1" w14:textId="77777777" w:rsidR="007C5005" w:rsidRPr="007C5005" w:rsidRDefault="007C5005" w:rsidP="007C5005">
            <w:pPr>
              <w:tabs>
                <w:tab w:val="left" w:pos="720"/>
              </w:tabs>
              <w:spacing w:before="120" w:after="0"/>
              <w:rPr>
                <w:rFonts w:cs="Arial"/>
                <w:lang w:eastAsia="en-US"/>
              </w:rPr>
            </w:pPr>
            <w:r w:rsidRPr="007C5005">
              <w:rPr>
                <w:rFonts w:cs="Arial"/>
                <w:lang w:eastAsia="en-US"/>
              </w:rPr>
              <w:t>Q4 2023</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5996363" w14:textId="5DC7750C" w:rsidR="007C5005" w:rsidRPr="007C5005" w:rsidRDefault="00824B8B" w:rsidP="007C5005">
            <w:pPr>
              <w:tabs>
                <w:tab w:val="left" w:pos="720"/>
              </w:tabs>
              <w:spacing w:before="120" w:after="0"/>
              <w:rPr>
                <w:rFonts w:cs="Arial"/>
                <w:lang w:eastAsia="en-US"/>
              </w:rPr>
            </w:pPr>
            <w:r>
              <w:rPr>
                <w:rFonts w:cs="Arial"/>
                <w:lang w:eastAsia="en-US"/>
              </w:rPr>
              <w:t xml:space="preserve">Publication of </w:t>
            </w:r>
            <w:r w:rsidR="00F84576">
              <w:rPr>
                <w:rFonts w:cs="Arial"/>
                <w:lang w:eastAsia="en-US"/>
              </w:rPr>
              <w:t xml:space="preserve">applicant information pack/applications open </w:t>
            </w:r>
            <w:r w:rsidR="00442674" w:rsidRPr="00C636EB">
              <w:t>–</w:t>
            </w:r>
            <w:r w:rsidR="00F84576">
              <w:rPr>
                <w:rFonts w:cs="Arial"/>
                <w:lang w:eastAsia="en-US"/>
              </w:rPr>
              <w:t xml:space="preserve"> </w:t>
            </w:r>
            <w:r w:rsidR="00C45F25">
              <w:rPr>
                <w:rFonts w:cs="Arial"/>
                <w:lang w:eastAsia="en-US"/>
              </w:rPr>
              <w:t>July 2023</w:t>
            </w:r>
            <w:r w:rsidR="00993D9E">
              <w:rPr>
                <w:rFonts w:cs="Arial"/>
                <w:lang w:eastAsia="en-US"/>
              </w:rPr>
              <w:t xml:space="preserve"> </w:t>
            </w:r>
          </w:p>
        </w:tc>
      </w:tr>
      <w:tr w:rsidR="005D3947" w:rsidRPr="007C5005" w14:paraId="31536CA7" w14:textId="77777777" w:rsidTr="00C45F25">
        <w:tc>
          <w:tcPr>
            <w:tcW w:w="2057" w:type="dxa"/>
            <w:tcBorders>
              <w:top w:val="single" w:sz="4" w:space="0" w:color="auto"/>
              <w:left w:val="single" w:sz="4" w:space="0" w:color="auto"/>
              <w:bottom w:val="single" w:sz="4" w:space="0" w:color="auto"/>
              <w:right w:val="single" w:sz="4" w:space="0" w:color="auto"/>
            </w:tcBorders>
            <w:hideMark/>
          </w:tcPr>
          <w:p w14:paraId="1D58C570" w14:textId="77777777" w:rsidR="007C5005" w:rsidRPr="007C5005" w:rsidRDefault="007C5005" w:rsidP="007C5005">
            <w:pPr>
              <w:tabs>
                <w:tab w:val="left" w:pos="720"/>
              </w:tabs>
              <w:spacing w:before="120" w:after="0"/>
              <w:rPr>
                <w:rFonts w:cs="Arial"/>
                <w:lang w:eastAsia="en-US"/>
              </w:rPr>
            </w:pPr>
            <w:r w:rsidRPr="007C5005">
              <w:rPr>
                <w:rFonts w:cs="Arial"/>
                <w:lang w:eastAsia="en-US"/>
              </w:rPr>
              <w:t>AWL (subject of this paper)</w:t>
            </w:r>
          </w:p>
        </w:tc>
        <w:tc>
          <w:tcPr>
            <w:tcW w:w="2058" w:type="dxa"/>
            <w:tcBorders>
              <w:top w:val="single" w:sz="4" w:space="0" w:color="auto"/>
              <w:left w:val="single" w:sz="4" w:space="0" w:color="auto"/>
              <w:bottom w:val="single" w:sz="4" w:space="0" w:color="auto"/>
              <w:right w:val="single" w:sz="4" w:space="0" w:color="auto"/>
            </w:tcBorders>
            <w:hideMark/>
          </w:tcPr>
          <w:p w14:paraId="719B1986" w14:textId="78A6DEBE" w:rsidR="007C5005" w:rsidRPr="007C5005" w:rsidRDefault="007C5005" w:rsidP="007C5005">
            <w:pPr>
              <w:tabs>
                <w:tab w:val="left" w:pos="720"/>
              </w:tabs>
              <w:spacing w:before="120" w:after="0"/>
              <w:rPr>
                <w:rFonts w:cs="Arial"/>
                <w:lang w:eastAsia="en-US"/>
              </w:rPr>
            </w:pPr>
            <w:r w:rsidRPr="007C5005">
              <w:rPr>
                <w:rFonts w:cs="Arial"/>
                <w:lang w:eastAsia="en-US"/>
              </w:rPr>
              <w:t>3.8 GHz band</w:t>
            </w:r>
            <w:r w:rsidR="00B2318C">
              <w:rPr>
                <w:rStyle w:val="FootnoteReference"/>
                <w:rFonts w:cs="Arial"/>
                <w:lang w:eastAsia="en-US"/>
              </w:rPr>
              <w:footnoteReference w:id="2"/>
            </w:r>
            <w:r w:rsidRPr="007C5005">
              <w:rPr>
                <w:rFonts w:cs="Arial"/>
                <w:lang w:eastAsia="en-US"/>
              </w:rPr>
              <w:t>:</w:t>
            </w:r>
          </w:p>
          <w:p w14:paraId="662F2097" w14:textId="5E31F2ED" w:rsidR="007C5005" w:rsidRPr="007C5005" w:rsidRDefault="007C5005" w:rsidP="00FE69BE">
            <w:pPr>
              <w:pStyle w:val="Bulletlevel1"/>
              <w:rPr>
                <w:lang w:eastAsia="en-US"/>
              </w:rPr>
            </w:pPr>
            <w:r w:rsidRPr="007C5005">
              <w:rPr>
                <w:lang w:eastAsia="en-US"/>
              </w:rPr>
              <w:t>38</w:t>
            </w:r>
            <w:r w:rsidR="00793CDB">
              <w:rPr>
                <w:lang w:eastAsia="en-US"/>
              </w:rPr>
              <w:t>00</w:t>
            </w:r>
            <w:r w:rsidRPr="007C5005">
              <w:rPr>
                <w:lang w:eastAsia="en-US"/>
              </w:rPr>
              <w:t xml:space="preserve">–3950 MHz </w:t>
            </w:r>
            <w:r w:rsidR="00442674" w:rsidRPr="00C636EB">
              <w:t>–</w:t>
            </w:r>
            <w:r w:rsidRPr="007C5005">
              <w:rPr>
                <w:lang w:eastAsia="en-US"/>
              </w:rPr>
              <w:t xml:space="preserve"> metropolitan and immediate surrounding areas</w:t>
            </w:r>
          </w:p>
          <w:p w14:paraId="390224E3" w14:textId="322B4736" w:rsidR="007C5005" w:rsidRPr="007C5005" w:rsidRDefault="007C5005" w:rsidP="00FE69BE">
            <w:pPr>
              <w:pStyle w:val="Bulletlevel1"/>
              <w:rPr>
                <w:lang w:eastAsia="en-US"/>
              </w:rPr>
            </w:pPr>
            <w:r w:rsidRPr="007C5005">
              <w:rPr>
                <w:lang w:eastAsia="en-US"/>
              </w:rPr>
              <w:t>3</w:t>
            </w:r>
            <w:r w:rsidR="00C91A50">
              <w:rPr>
                <w:lang w:eastAsia="en-US"/>
              </w:rPr>
              <w:t>750</w:t>
            </w:r>
            <w:r w:rsidRPr="007C5005">
              <w:rPr>
                <w:lang w:eastAsia="en-US"/>
              </w:rPr>
              <w:t xml:space="preserve">–3950 MHz </w:t>
            </w:r>
            <w:r w:rsidR="00442674" w:rsidRPr="00C636EB">
              <w:t>–</w:t>
            </w:r>
            <w:r w:rsidRPr="007C5005">
              <w:rPr>
                <w:lang w:eastAsia="en-US"/>
              </w:rPr>
              <w:t xml:space="preserve"> other regional areas</w:t>
            </w:r>
          </w:p>
        </w:tc>
        <w:tc>
          <w:tcPr>
            <w:tcW w:w="1839" w:type="dxa"/>
            <w:tcBorders>
              <w:top w:val="single" w:sz="4" w:space="0" w:color="auto"/>
              <w:left w:val="single" w:sz="4" w:space="0" w:color="auto"/>
              <w:bottom w:val="single" w:sz="4" w:space="0" w:color="auto"/>
              <w:right w:val="single" w:sz="4" w:space="0" w:color="auto"/>
            </w:tcBorders>
            <w:hideMark/>
          </w:tcPr>
          <w:p w14:paraId="224DDEC0" w14:textId="77777777" w:rsidR="007C5005" w:rsidRPr="007C5005" w:rsidRDefault="007C5005" w:rsidP="007C5005">
            <w:pPr>
              <w:tabs>
                <w:tab w:val="left" w:pos="720"/>
              </w:tabs>
              <w:spacing w:before="120" w:after="0"/>
              <w:rPr>
                <w:rFonts w:cs="Arial"/>
                <w:lang w:eastAsia="en-US"/>
              </w:rPr>
            </w:pPr>
            <w:r w:rsidRPr="007C5005">
              <w:rPr>
                <w:rFonts w:cs="Arial"/>
                <w:lang w:eastAsia="en-US"/>
              </w:rPr>
              <w:t>Q1 2024</w:t>
            </w:r>
          </w:p>
        </w:tc>
        <w:tc>
          <w:tcPr>
            <w:tcW w:w="1843" w:type="dxa"/>
            <w:tcBorders>
              <w:top w:val="single" w:sz="4" w:space="0" w:color="auto"/>
              <w:left w:val="single" w:sz="4" w:space="0" w:color="auto"/>
              <w:bottom w:val="single" w:sz="4" w:space="0" w:color="auto"/>
              <w:right w:val="single" w:sz="4" w:space="0" w:color="auto"/>
            </w:tcBorders>
            <w:hideMark/>
          </w:tcPr>
          <w:p w14:paraId="20672DC4" w14:textId="5EF13F70" w:rsidR="007C5005" w:rsidRPr="007C5005" w:rsidRDefault="000B66AC" w:rsidP="007C5005">
            <w:pPr>
              <w:tabs>
                <w:tab w:val="left" w:pos="720"/>
              </w:tabs>
              <w:spacing w:before="120" w:after="0"/>
              <w:rPr>
                <w:rFonts w:cs="Arial"/>
                <w:lang w:eastAsia="en-US"/>
              </w:rPr>
            </w:pPr>
            <w:r>
              <w:rPr>
                <w:rFonts w:cs="Arial"/>
                <w:lang w:eastAsia="en-US"/>
              </w:rPr>
              <w:t>Current consultation</w:t>
            </w:r>
            <w:r w:rsidR="005152F5">
              <w:rPr>
                <w:rFonts w:cs="Arial"/>
                <w:lang w:eastAsia="en-US"/>
              </w:rPr>
              <w:t xml:space="preserve"> (subject of this </w:t>
            </w:r>
            <w:r w:rsidR="00103F57">
              <w:rPr>
                <w:rFonts w:cs="Arial"/>
                <w:lang w:eastAsia="en-US"/>
              </w:rPr>
              <w:t>paper)</w:t>
            </w:r>
          </w:p>
        </w:tc>
      </w:tr>
      <w:tr w:rsidR="005D3947" w:rsidRPr="007C5005" w14:paraId="0C301824" w14:textId="77777777" w:rsidTr="00FE69BE">
        <w:tc>
          <w:tcPr>
            <w:tcW w:w="205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87C2233" w14:textId="6D0C6942" w:rsidR="007C5005" w:rsidRPr="007C5005" w:rsidRDefault="00A81EB3" w:rsidP="007C5005">
            <w:pPr>
              <w:tabs>
                <w:tab w:val="left" w:pos="720"/>
              </w:tabs>
              <w:spacing w:before="120" w:after="0"/>
              <w:rPr>
                <w:rFonts w:cs="Arial"/>
                <w:lang w:eastAsia="en-US"/>
              </w:rPr>
            </w:pPr>
            <w:r>
              <w:rPr>
                <w:rFonts w:cs="Arial"/>
                <w:lang w:eastAsia="en-US"/>
              </w:rPr>
              <w:t xml:space="preserve">Highly localised </w:t>
            </w:r>
            <w:r w:rsidR="007C5005" w:rsidRPr="007C5005">
              <w:rPr>
                <w:rFonts w:cs="Arial"/>
                <w:lang w:eastAsia="en-US"/>
              </w:rPr>
              <w:t>apparatus licence</w:t>
            </w:r>
            <w:r w:rsidR="00745314">
              <w:rPr>
                <w:rFonts w:cs="Arial"/>
                <w:lang w:eastAsia="en-US"/>
              </w:rPr>
              <w:t>s</w:t>
            </w:r>
          </w:p>
        </w:tc>
        <w:tc>
          <w:tcPr>
            <w:tcW w:w="205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D38EF11" w14:textId="537F675F" w:rsidR="007C5005" w:rsidRPr="007C5005" w:rsidRDefault="007C5005" w:rsidP="007C5005">
            <w:pPr>
              <w:tabs>
                <w:tab w:val="left" w:pos="720"/>
              </w:tabs>
              <w:spacing w:before="120" w:after="0" w:line="280" w:lineRule="atLeast"/>
              <w:rPr>
                <w:rFonts w:cs="Arial"/>
                <w:lang w:eastAsia="en-US"/>
              </w:rPr>
            </w:pPr>
            <w:r w:rsidRPr="007C5005">
              <w:rPr>
                <w:rFonts w:cs="Arial"/>
                <w:lang w:eastAsia="en-US"/>
              </w:rPr>
              <w:t xml:space="preserve">3.95–4.0 GHz frequency range </w:t>
            </w:r>
            <w:r w:rsidR="00442674" w:rsidRPr="00C636EB">
              <w:t>–</w:t>
            </w:r>
            <w:r w:rsidRPr="007C5005">
              <w:rPr>
                <w:rFonts w:cs="Arial"/>
                <w:lang w:eastAsia="en-US"/>
              </w:rPr>
              <w:t xml:space="preserve"> regional and metropolitan areas</w:t>
            </w:r>
          </w:p>
          <w:p w14:paraId="0C3858A3" w14:textId="3C93410A" w:rsidR="007C5005" w:rsidRPr="007C5005" w:rsidRDefault="007C5005" w:rsidP="007C5005">
            <w:pPr>
              <w:tabs>
                <w:tab w:val="left" w:pos="720"/>
              </w:tabs>
              <w:spacing w:before="120" w:after="0" w:line="280" w:lineRule="atLeast"/>
              <w:rPr>
                <w:rFonts w:cs="Arial"/>
                <w:lang w:eastAsia="en-US"/>
              </w:rPr>
            </w:pPr>
            <w:r w:rsidRPr="007C5005">
              <w:rPr>
                <w:rFonts w:cs="Arial"/>
                <w:lang w:eastAsia="en-US"/>
              </w:rPr>
              <w:t xml:space="preserve">3.4–3.475 GHz frequency range </w:t>
            </w:r>
            <w:r w:rsidR="00442674" w:rsidRPr="00C636EB">
              <w:t>–</w:t>
            </w:r>
            <w:r w:rsidRPr="007C5005">
              <w:rPr>
                <w:rFonts w:cs="Arial"/>
                <w:lang w:eastAsia="en-US"/>
              </w:rPr>
              <w:t xml:space="preserve"> ‘urban excise’ areas</w:t>
            </w:r>
            <w:r w:rsidRPr="007C5005">
              <w:rPr>
                <w:rFonts w:cs="Arial"/>
                <w:vertAlign w:val="superscript"/>
                <w:lang w:eastAsia="en-US"/>
              </w:rPr>
              <w:footnoteReference w:id="3"/>
            </w:r>
          </w:p>
        </w:tc>
        <w:tc>
          <w:tcPr>
            <w:tcW w:w="18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8AD299F" w14:textId="3D9BCEE6" w:rsidR="007C5005" w:rsidRPr="007C5005" w:rsidRDefault="007C5005" w:rsidP="007C5005">
            <w:pPr>
              <w:tabs>
                <w:tab w:val="left" w:pos="720"/>
              </w:tabs>
              <w:spacing w:before="120" w:after="0"/>
              <w:rPr>
                <w:rFonts w:cs="Arial"/>
                <w:lang w:eastAsia="en-US"/>
              </w:rPr>
            </w:pPr>
            <w:r w:rsidRPr="007C5005">
              <w:rPr>
                <w:rFonts w:cs="Arial"/>
                <w:lang w:eastAsia="en-US"/>
              </w:rPr>
              <w:t>TBD</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622B2BE" w14:textId="7602F270" w:rsidR="007C5005" w:rsidRPr="007C5005" w:rsidRDefault="00A10808" w:rsidP="007C5005">
            <w:pPr>
              <w:tabs>
                <w:tab w:val="left" w:pos="720"/>
              </w:tabs>
              <w:spacing w:before="120" w:after="0"/>
              <w:rPr>
                <w:rFonts w:cs="Arial"/>
                <w:lang w:eastAsia="en-US"/>
              </w:rPr>
            </w:pPr>
            <w:r>
              <w:rPr>
                <w:rFonts w:cs="Arial"/>
                <w:lang w:eastAsia="en-US"/>
              </w:rPr>
              <w:t>Convene TLG in Q</w:t>
            </w:r>
            <w:r w:rsidR="00DE2486">
              <w:rPr>
                <w:rFonts w:cs="Arial"/>
                <w:lang w:eastAsia="en-US"/>
              </w:rPr>
              <w:t>3</w:t>
            </w:r>
            <w:r>
              <w:rPr>
                <w:rFonts w:cs="Arial"/>
                <w:lang w:eastAsia="en-US"/>
              </w:rPr>
              <w:t xml:space="preserve"> 2023</w:t>
            </w:r>
          </w:p>
        </w:tc>
      </w:tr>
    </w:tbl>
    <w:p w14:paraId="1A9A72C2" w14:textId="78AB5CE4" w:rsidR="00A10F6E" w:rsidRDefault="00A10F6E" w:rsidP="0001218B">
      <w:pPr>
        <w:pStyle w:val="Bulletlevel1last"/>
        <w:numPr>
          <w:ilvl w:val="0"/>
          <w:numId w:val="0"/>
        </w:numPr>
        <w:ind w:left="295"/>
      </w:pPr>
    </w:p>
    <w:p w14:paraId="701A828F" w14:textId="6A1BB403" w:rsidR="004F26DB" w:rsidRPr="00E96933" w:rsidRDefault="00BD1AE6" w:rsidP="00E96933">
      <w:pPr>
        <w:ind w:left="11"/>
        <w:rPr>
          <w:rFonts w:cs="Arial"/>
          <w:szCs w:val="20"/>
        </w:rPr>
      </w:pPr>
      <w:r>
        <w:rPr>
          <w:rFonts w:cs="Arial"/>
          <w:szCs w:val="20"/>
        </w:rPr>
        <w:lastRenderedPageBreak/>
        <w:t>T</w:t>
      </w:r>
      <w:r w:rsidR="009B6F9F" w:rsidRPr="00E96933">
        <w:rPr>
          <w:rFonts w:cs="Arial"/>
          <w:szCs w:val="20"/>
        </w:rPr>
        <w:t xml:space="preserve">he </w:t>
      </w:r>
      <w:r w:rsidR="008D3CCA">
        <w:rPr>
          <w:rFonts w:cs="Arial"/>
          <w:szCs w:val="20"/>
        </w:rPr>
        <w:t>3.</w:t>
      </w:r>
      <w:r w:rsidR="00D706CC">
        <w:rPr>
          <w:rFonts w:cs="Arial"/>
          <w:szCs w:val="20"/>
        </w:rPr>
        <w:t>8</w:t>
      </w:r>
      <w:r w:rsidR="00360457">
        <w:rPr>
          <w:rFonts w:cs="Arial"/>
          <w:szCs w:val="20"/>
        </w:rPr>
        <w:t xml:space="preserve"> GHz</w:t>
      </w:r>
      <w:r w:rsidR="008D3CCA">
        <w:rPr>
          <w:rFonts w:cs="Arial"/>
          <w:szCs w:val="20"/>
        </w:rPr>
        <w:t xml:space="preserve"> </w:t>
      </w:r>
      <w:r w:rsidR="009B6F9F" w:rsidRPr="00E96933">
        <w:rPr>
          <w:rFonts w:cs="Arial"/>
          <w:szCs w:val="20"/>
        </w:rPr>
        <w:t>band is currently used by a mixture of services and applications including</w:t>
      </w:r>
      <w:r w:rsidR="00820C85">
        <w:rPr>
          <w:rFonts w:cs="Arial"/>
          <w:szCs w:val="20"/>
        </w:rPr>
        <w:t xml:space="preserve"> </w:t>
      </w:r>
      <w:r w:rsidR="009B6F9F" w:rsidRPr="00E96933">
        <w:rPr>
          <w:rFonts w:cs="Arial"/>
          <w:szCs w:val="20"/>
        </w:rPr>
        <w:t>PTP link</w:t>
      </w:r>
      <w:r w:rsidR="00820C85">
        <w:rPr>
          <w:rFonts w:cs="Arial"/>
          <w:szCs w:val="20"/>
        </w:rPr>
        <w:t>s and</w:t>
      </w:r>
      <w:r w:rsidR="009B6F9F" w:rsidRPr="00E96933">
        <w:rPr>
          <w:rFonts w:cs="Arial"/>
          <w:szCs w:val="20"/>
        </w:rPr>
        <w:t xml:space="preserve"> earth </w:t>
      </w:r>
      <w:r w:rsidR="003E7AA3">
        <w:rPr>
          <w:rFonts w:cs="Arial"/>
          <w:szCs w:val="20"/>
        </w:rPr>
        <w:t xml:space="preserve">receive </w:t>
      </w:r>
      <w:r w:rsidR="009B6F9F" w:rsidRPr="00E96933">
        <w:rPr>
          <w:rFonts w:cs="Arial"/>
          <w:szCs w:val="20"/>
        </w:rPr>
        <w:t>stations.</w:t>
      </w:r>
      <w:r w:rsidR="001530B4" w:rsidRPr="00E96933">
        <w:rPr>
          <w:rFonts w:cs="Arial"/>
          <w:szCs w:val="20"/>
        </w:rPr>
        <w:t xml:space="preserve"> </w:t>
      </w:r>
      <w:r w:rsidR="007D3141" w:rsidRPr="00E96933">
        <w:rPr>
          <w:rFonts w:cs="Arial"/>
          <w:szCs w:val="20"/>
        </w:rPr>
        <w:t>The proposed allocation process and accompanying technical frameworks</w:t>
      </w:r>
      <w:r w:rsidR="00820C85">
        <w:rPr>
          <w:rFonts w:cs="Arial"/>
          <w:szCs w:val="20"/>
        </w:rPr>
        <w:t xml:space="preserve"> look to</w:t>
      </w:r>
      <w:r w:rsidR="007D3141" w:rsidRPr="00E96933">
        <w:rPr>
          <w:rFonts w:cs="Arial"/>
          <w:szCs w:val="20"/>
        </w:rPr>
        <w:t xml:space="preserve"> carefully balance the needs of both </w:t>
      </w:r>
      <w:r w:rsidR="00820C85">
        <w:rPr>
          <w:rFonts w:cs="Arial"/>
          <w:szCs w:val="20"/>
        </w:rPr>
        <w:t>LA WBB</w:t>
      </w:r>
      <w:r w:rsidR="00C4520D">
        <w:rPr>
          <w:rFonts w:cs="Arial"/>
          <w:szCs w:val="20"/>
        </w:rPr>
        <w:t xml:space="preserve"> operators</w:t>
      </w:r>
      <w:r w:rsidR="007D3141" w:rsidRPr="00E96933">
        <w:rPr>
          <w:rFonts w:cs="Arial"/>
          <w:szCs w:val="20"/>
        </w:rPr>
        <w:t xml:space="preserve"> and </w:t>
      </w:r>
      <w:r w:rsidR="001530B4" w:rsidRPr="00E96933">
        <w:rPr>
          <w:rFonts w:cs="Arial"/>
          <w:szCs w:val="20"/>
        </w:rPr>
        <w:t>incumbent services</w:t>
      </w:r>
      <w:r w:rsidR="007D3141" w:rsidRPr="00E96933">
        <w:rPr>
          <w:rFonts w:cs="Arial"/>
          <w:szCs w:val="20"/>
        </w:rPr>
        <w:t>.</w:t>
      </w:r>
    </w:p>
    <w:p w14:paraId="4E31A36F" w14:textId="62DAD000" w:rsidR="008907F8" w:rsidRPr="00281B72" w:rsidRDefault="008907F8" w:rsidP="00C8196C">
      <w:pPr>
        <w:pStyle w:val="Heading2"/>
        <w:rPr>
          <w:b w:val="0"/>
          <w:bCs w:val="0"/>
          <w:sz w:val="24"/>
        </w:rPr>
      </w:pPr>
      <w:bookmarkStart w:id="5" w:name="_Toc137808600"/>
      <w:r w:rsidRPr="00C8196C">
        <w:t>Planning decisions</w:t>
      </w:r>
      <w:bookmarkEnd w:id="5"/>
      <w:r w:rsidRPr="00C8196C">
        <w:t xml:space="preserve"> </w:t>
      </w:r>
    </w:p>
    <w:p w14:paraId="4CF70B91" w14:textId="4F3EA65E" w:rsidR="00641B00" w:rsidRDefault="00813E8F" w:rsidP="007B1E4F">
      <w:pPr>
        <w:keepNext/>
        <w:ind w:left="11"/>
        <w:rPr>
          <w:rFonts w:cs="Arial"/>
        </w:rPr>
      </w:pPr>
      <w:r>
        <w:rPr>
          <w:rFonts w:cs="Arial"/>
          <w:bCs/>
          <w:color w:val="000000" w:themeColor="text1"/>
          <w:szCs w:val="20"/>
        </w:rPr>
        <w:t>T</w:t>
      </w:r>
      <w:r w:rsidR="00641B00" w:rsidRPr="00885439">
        <w:rPr>
          <w:rFonts w:cs="Arial"/>
          <w:bCs/>
          <w:color w:val="000000" w:themeColor="text1"/>
          <w:szCs w:val="20"/>
        </w:rPr>
        <w:t xml:space="preserve">he </w:t>
      </w:r>
      <w:r w:rsidR="00641B00">
        <w:rPr>
          <w:rFonts w:cs="Arial"/>
          <w:bCs/>
          <w:color w:val="000000" w:themeColor="text1"/>
          <w:szCs w:val="20"/>
        </w:rPr>
        <w:t xml:space="preserve">2021 </w:t>
      </w:r>
      <w:r w:rsidR="008C1915">
        <w:rPr>
          <w:rFonts w:cs="Arial"/>
          <w:bCs/>
          <w:color w:val="000000" w:themeColor="text1"/>
          <w:szCs w:val="20"/>
        </w:rPr>
        <w:t>o</w:t>
      </w:r>
      <w:r w:rsidR="00641B00" w:rsidRPr="00885439">
        <w:rPr>
          <w:rFonts w:cs="Arial"/>
          <w:bCs/>
          <w:color w:val="000000" w:themeColor="text1"/>
          <w:szCs w:val="20"/>
        </w:rPr>
        <w:t>utcomes paper</w:t>
      </w:r>
      <w:r>
        <w:rPr>
          <w:rFonts w:cs="Arial"/>
          <w:bCs/>
          <w:color w:val="000000" w:themeColor="text1"/>
          <w:szCs w:val="20"/>
        </w:rPr>
        <w:t xml:space="preserve"> (released in January 2021) described</w:t>
      </w:r>
      <w:r w:rsidR="00641B00">
        <w:rPr>
          <w:rFonts w:cs="Arial"/>
        </w:rPr>
        <w:t xml:space="preserve"> </w:t>
      </w:r>
      <w:r w:rsidR="007B4EC0">
        <w:rPr>
          <w:rFonts w:cs="Arial"/>
        </w:rPr>
        <w:t xml:space="preserve">our </w:t>
      </w:r>
      <w:r w:rsidR="00641B00">
        <w:rPr>
          <w:rFonts w:cs="Arial"/>
        </w:rPr>
        <w:t xml:space="preserve">planning outcomes and preliminary views to introduce </w:t>
      </w:r>
      <w:r w:rsidR="000A5880">
        <w:rPr>
          <w:rFonts w:cs="Arial"/>
        </w:rPr>
        <w:t>WBB</w:t>
      </w:r>
      <w:r w:rsidR="00641B00">
        <w:rPr>
          <w:rFonts w:cs="Arial"/>
        </w:rPr>
        <w:t xml:space="preserve"> services in the 3</w:t>
      </w:r>
      <w:r w:rsidR="00FB7E3B">
        <w:rPr>
          <w:rFonts w:cs="Arial"/>
        </w:rPr>
        <w:t>.</w:t>
      </w:r>
      <w:r w:rsidR="00641B00">
        <w:rPr>
          <w:rFonts w:cs="Arial"/>
        </w:rPr>
        <w:t>7</w:t>
      </w:r>
      <w:r w:rsidR="008841A9" w:rsidRPr="002D72B7">
        <w:t>–</w:t>
      </w:r>
      <w:r w:rsidR="00641B00">
        <w:rPr>
          <w:rFonts w:cs="Arial"/>
        </w:rPr>
        <w:t>4</w:t>
      </w:r>
      <w:r w:rsidR="00FB7E3B">
        <w:rPr>
          <w:rFonts w:cs="Arial"/>
        </w:rPr>
        <w:t>.</w:t>
      </w:r>
      <w:r w:rsidR="00641B00">
        <w:rPr>
          <w:rFonts w:cs="Arial"/>
        </w:rPr>
        <w:t>2</w:t>
      </w:r>
      <w:r w:rsidR="008B7CD9">
        <w:rPr>
          <w:rFonts w:cs="Arial"/>
        </w:rPr>
        <w:t> </w:t>
      </w:r>
      <w:r w:rsidR="00FB7E3B">
        <w:rPr>
          <w:rFonts w:cs="Arial"/>
        </w:rPr>
        <w:t xml:space="preserve">GHz </w:t>
      </w:r>
      <w:r w:rsidR="00641B00">
        <w:rPr>
          <w:rFonts w:cs="Arial"/>
        </w:rPr>
        <w:t xml:space="preserve">band, using a combination of apparatus and spectrum licensing arrangements. </w:t>
      </w:r>
    </w:p>
    <w:p w14:paraId="3C8385A7" w14:textId="21EDD344" w:rsidR="00641B00" w:rsidRDefault="00641B00" w:rsidP="00641B00">
      <w:pPr>
        <w:ind w:left="11"/>
      </w:pPr>
      <w:r>
        <w:t>T</w:t>
      </w:r>
      <w:r w:rsidRPr="00197A32">
        <w:t xml:space="preserve">he </w:t>
      </w:r>
      <w:r w:rsidR="00D55EF3">
        <w:t>2021</w:t>
      </w:r>
      <w:r w:rsidRPr="00197A32">
        <w:t xml:space="preserve"> </w:t>
      </w:r>
      <w:r w:rsidR="0053703F">
        <w:t>o</w:t>
      </w:r>
      <w:r w:rsidRPr="00197A32">
        <w:t xml:space="preserve">utcomes paper </w:t>
      </w:r>
      <w:r>
        <w:t>also stated that</w:t>
      </w:r>
      <w:r w:rsidRPr="00197A32">
        <w:t xml:space="preserve"> </w:t>
      </w:r>
      <w:r w:rsidR="007B4EC0">
        <w:t xml:space="preserve">we </w:t>
      </w:r>
      <w:r w:rsidRPr="00197A32">
        <w:t>would</w:t>
      </w:r>
      <w:r>
        <w:t>,</w:t>
      </w:r>
      <w:r w:rsidRPr="00197A32">
        <w:t xml:space="preserve"> </w:t>
      </w:r>
      <w:r>
        <w:t xml:space="preserve">as far as practical, extend or align frameworks and the timing of their development with similar ones in the </w:t>
      </w:r>
      <w:r w:rsidR="007B4EC0">
        <w:br/>
      </w:r>
      <w:r w:rsidRPr="000A4EB2">
        <w:t>3</w:t>
      </w:r>
      <w:r w:rsidR="002C4ADE" w:rsidRPr="000A4EB2">
        <w:t>.</w:t>
      </w:r>
      <w:r w:rsidRPr="000A4EB2">
        <w:t>4</w:t>
      </w:r>
      <w:r w:rsidR="008841A9" w:rsidRPr="000A4EB2">
        <w:t>–</w:t>
      </w:r>
      <w:r w:rsidRPr="000A4EB2">
        <w:t>3</w:t>
      </w:r>
      <w:r w:rsidR="008841A9" w:rsidRPr="000A4EB2">
        <w:t>.</w:t>
      </w:r>
      <w:r w:rsidRPr="000A4EB2">
        <w:t>7</w:t>
      </w:r>
      <w:r w:rsidR="008841A9" w:rsidRPr="000A4EB2">
        <w:t> G</w:t>
      </w:r>
      <w:r w:rsidRPr="000A4EB2">
        <w:t xml:space="preserve">Hz </w:t>
      </w:r>
      <w:r>
        <w:t xml:space="preserve">band. </w:t>
      </w:r>
      <w:hyperlink r:id="rId26">
        <w:r w:rsidR="007C0E56" w:rsidRPr="00D85C90">
          <w:rPr>
            <w:rStyle w:val="Hyperlink"/>
            <w:i/>
            <w:iCs/>
          </w:rPr>
          <w:t>Optimising arrangements for the 3400–3575</w:t>
        </w:r>
        <w:r w:rsidR="00880DB2" w:rsidRPr="00D85C90">
          <w:rPr>
            <w:rStyle w:val="Hyperlink"/>
            <w:i/>
            <w:iCs/>
          </w:rPr>
          <w:t> </w:t>
        </w:r>
        <w:r w:rsidR="007C0E56" w:rsidRPr="00D85C90">
          <w:rPr>
            <w:rStyle w:val="Hyperlink"/>
            <w:i/>
            <w:iCs/>
          </w:rPr>
          <w:t>MHz band: Planning decisions and preliminary views</w:t>
        </w:r>
      </w:hyperlink>
      <w:r w:rsidR="00420A5B">
        <w:t xml:space="preserve"> (</w:t>
      </w:r>
      <w:r>
        <w:t xml:space="preserve">the 2019 </w:t>
      </w:r>
      <w:r w:rsidR="008C1915">
        <w:t>o</w:t>
      </w:r>
      <w:r>
        <w:t xml:space="preserve">utcomes paper) outlines the planning outcomes for the </w:t>
      </w:r>
      <w:r w:rsidR="259D6D00">
        <w:t>3400</w:t>
      </w:r>
      <w:r w:rsidR="009A01C0">
        <w:t>–</w:t>
      </w:r>
      <w:r w:rsidR="259D6D00">
        <w:t xml:space="preserve">3575 MHz part of the 3.4 </w:t>
      </w:r>
      <w:r>
        <w:t xml:space="preserve">GHz band. </w:t>
      </w:r>
    </w:p>
    <w:p w14:paraId="33A447AB" w14:textId="1BD69FA6" w:rsidR="00641B00" w:rsidRDefault="00641B00" w:rsidP="00F05CD9">
      <w:pPr>
        <w:keepNext/>
        <w:keepLines/>
        <w:spacing w:after="80"/>
        <w:ind w:left="11"/>
        <w:rPr>
          <w:rFonts w:cs="Arial"/>
          <w:bCs/>
          <w:color w:val="000000" w:themeColor="text1"/>
          <w:szCs w:val="20"/>
        </w:rPr>
      </w:pPr>
      <w:r>
        <w:t xml:space="preserve">New planning arrangements for the development of LA WBB </w:t>
      </w:r>
      <w:r>
        <w:rPr>
          <w:rFonts w:cs="Arial"/>
          <w:bCs/>
          <w:color w:val="000000" w:themeColor="text1"/>
          <w:szCs w:val="20"/>
        </w:rPr>
        <w:t>include:</w:t>
      </w:r>
    </w:p>
    <w:p w14:paraId="405E3646" w14:textId="0FB25078" w:rsidR="00641B00" w:rsidRPr="00D64FD0" w:rsidRDefault="00641B00" w:rsidP="00FE69BE">
      <w:pPr>
        <w:pStyle w:val="Bulletlevel1"/>
      </w:pPr>
      <w:r w:rsidRPr="00D64FD0">
        <w:t xml:space="preserve">Australia-wide in the </w:t>
      </w:r>
      <w:r w:rsidRPr="00B42FF8">
        <w:t>3</w:t>
      </w:r>
      <w:r w:rsidR="007326E6">
        <w:t>.</w:t>
      </w:r>
      <w:r w:rsidRPr="00B42FF8">
        <w:t>8–4</w:t>
      </w:r>
      <w:r w:rsidR="007326E6">
        <w:t>.</w:t>
      </w:r>
      <w:r w:rsidRPr="00B42FF8">
        <w:t>0</w:t>
      </w:r>
      <w:r w:rsidRPr="00D64FD0">
        <w:t xml:space="preserve"> </w:t>
      </w:r>
      <w:r w:rsidR="007326E6">
        <w:t>G</w:t>
      </w:r>
      <w:r w:rsidR="007326E6" w:rsidRPr="00D64FD0">
        <w:t>Hz</w:t>
      </w:r>
      <w:r w:rsidR="007326E6">
        <w:t xml:space="preserve"> </w:t>
      </w:r>
      <w:r>
        <w:t>frequency</w:t>
      </w:r>
      <w:r w:rsidRPr="00D64FD0">
        <w:t xml:space="preserve"> range, introducing arrangements to </w:t>
      </w:r>
      <w:r>
        <w:t>support</w:t>
      </w:r>
      <w:r w:rsidRPr="00D64FD0">
        <w:t xml:space="preserve"> LA WBB services </w:t>
      </w:r>
      <w:r>
        <w:t xml:space="preserve">on a shared basis </w:t>
      </w:r>
      <w:r w:rsidRPr="00D64FD0">
        <w:t xml:space="preserve">with </w:t>
      </w:r>
      <w:r>
        <w:t xml:space="preserve">existing </w:t>
      </w:r>
      <w:r w:rsidRPr="00D64FD0">
        <w:t>FSS and PTP services.</w:t>
      </w:r>
      <w:r w:rsidRPr="0006250C">
        <w:t xml:space="preserve"> </w:t>
      </w:r>
      <w:r>
        <w:t>New apparatus licences for FSS and PTP services would be issued on a coordinated, shared basis with LA WBB</w:t>
      </w:r>
      <w:r w:rsidR="0001711C">
        <w:t xml:space="preserve"> services</w:t>
      </w:r>
      <w:r>
        <w:t>.</w:t>
      </w:r>
    </w:p>
    <w:p w14:paraId="7954FC62" w14:textId="7E7055DA" w:rsidR="00641B00" w:rsidRPr="00164E0A" w:rsidRDefault="00641B00" w:rsidP="00F05CD9">
      <w:pPr>
        <w:pStyle w:val="Bulletlevel1"/>
        <w:keepNext/>
        <w:keepLines/>
        <w:ind w:left="306"/>
      </w:pPr>
      <w:r>
        <w:t>I</w:t>
      </w:r>
      <w:r w:rsidRPr="00D64FD0">
        <w:t>n remote areas in the 3</w:t>
      </w:r>
      <w:r w:rsidR="002F5D49">
        <w:t>.</w:t>
      </w:r>
      <w:r w:rsidRPr="00D64FD0">
        <w:t>7–</w:t>
      </w:r>
      <w:r w:rsidRPr="00B42FF8">
        <w:t>3</w:t>
      </w:r>
      <w:r w:rsidR="002F5D49">
        <w:t>.</w:t>
      </w:r>
      <w:r w:rsidRPr="00B42FF8">
        <w:t>8</w:t>
      </w:r>
      <w:r w:rsidRPr="00D64FD0">
        <w:t xml:space="preserve"> </w:t>
      </w:r>
      <w:r w:rsidR="002F5D49">
        <w:t>G</w:t>
      </w:r>
      <w:r w:rsidR="002F5D49" w:rsidRPr="00D64FD0">
        <w:t xml:space="preserve">Hz </w:t>
      </w:r>
      <w:r w:rsidRPr="00D64FD0">
        <w:t>range</w:t>
      </w:r>
      <w:r>
        <w:t>, i</w:t>
      </w:r>
      <w:r w:rsidRPr="00D64FD0">
        <w:t xml:space="preserve">ntroducing apparatus licensing arrangements to </w:t>
      </w:r>
      <w:r>
        <w:t>support</w:t>
      </w:r>
      <w:r w:rsidRPr="00D64FD0">
        <w:t xml:space="preserve"> LA WBB services </w:t>
      </w:r>
      <w:r>
        <w:t>on a</w:t>
      </w:r>
      <w:r w:rsidRPr="00D64FD0">
        <w:t xml:space="preserve"> share</w:t>
      </w:r>
      <w:r>
        <w:t xml:space="preserve">d basis </w:t>
      </w:r>
      <w:r w:rsidRPr="00D64FD0">
        <w:t xml:space="preserve">with </w:t>
      </w:r>
      <w:r>
        <w:t xml:space="preserve">existing </w:t>
      </w:r>
      <w:r w:rsidRPr="00D64FD0">
        <w:t>FSS and PTP</w:t>
      </w:r>
      <w:r>
        <w:t xml:space="preserve"> services</w:t>
      </w:r>
      <w:r w:rsidRPr="00D64FD0">
        <w:t>.</w:t>
      </w:r>
      <w:r>
        <w:t xml:space="preserve"> New apparatus licen</w:t>
      </w:r>
      <w:r w:rsidR="00786E69">
        <w:t>c</w:t>
      </w:r>
      <w:r>
        <w:t>e</w:t>
      </w:r>
      <w:r w:rsidR="00DF6FC3">
        <w:t>s</w:t>
      </w:r>
      <w:r>
        <w:t xml:space="preserve"> </w:t>
      </w:r>
      <w:r w:rsidR="006E00B7">
        <w:t>for</w:t>
      </w:r>
      <w:r>
        <w:t xml:space="preserve"> FSS </w:t>
      </w:r>
      <w:r w:rsidR="0006162D">
        <w:t>would be issued</w:t>
      </w:r>
      <w:r>
        <w:t xml:space="preserve"> on a coordinated, shared basis with licences for LA WBB services, but new </w:t>
      </w:r>
      <w:r w:rsidR="00CD6FF4">
        <w:t>apparatus</w:t>
      </w:r>
      <w:r>
        <w:t xml:space="preserve"> licences </w:t>
      </w:r>
      <w:r w:rsidR="00CD6FF4">
        <w:t>for</w:t>
      </w:r>
      <w:r>
        <w:t xml:space="preserve"> PTP </w:t>
      </w:r>
      <w:r w:rsidR="008B5D93">
        <w:t xml:space="preserve">services </w:t>
      </w:r>
      <w:r w:rsidR="00637BA8">
        <w:t xml:space="preserve">will likely </w:t>
      </w:r>
      <w:r>
        <w:t>not be issued to simplify new PTP technical arrangements in the band. Existing licen</w:t>
      </w:r>
      <w:r w:rsidR="00786E69">
        <w:t>c</w:t>
      </w:r>
      <w:r>
        <w:t>e</w:t>
      </w:r>
      <w:r w:rsidR="009D079B">
        <w:t xml:space="preserve">s </w:t>
      </w:r>
      <w:r w:rsidR="00CC7FCD">
        <w:t>used for</w:t>
      </w:r>
      <w:r>
        <w:t xml:space="preserve"> PTP services would be allowed to continue</w:t>
      </w:r>
      <w:r w:rsidR="005E705E">
        <w:t>.</w:t>
      </w:r>
      <w:r w:rsidRPr="00164E0A">
        <w:t xml:space="preserve"> </w:t>
      </w:r>
    </w:p>
    <w:p w14:paraId="4C633D74" w14:textId="2826DC80" w:rsidR="00641B00" w:rsidRDefault="00641B00" w:rsidP="00B972B5">
      <w:pPr>
        <w:pStyle w:val="Bulletlevel1"/>
        <w:ind w:left="306"/>
      </w:pPr>
      <w:r>
        <w:t>In remote areas in the 3</w:t>
      </w:r>
      <w:r w:rsidR="002F5D49">
        <w:t>.</w:t>
      </w:r>
      <w:r>
        <w:t>4</w:t>
      </w:r>
      <w:r w:rsidRPr="00B42FF8">
        <w:t>–</w:t>
      </w:r>
      <w:r>
        <w:t>3</w:t>
      </w:r>
      <w:r w:rsidR="002F5D49">
        <w:t>.</w:t>
      </w:r>
      <w:r>
        <w:t>7 </w:t>
      </w:r>
      <w:r w:rsidR="002F5D49">
        <w:t>G</w:t>
      </w:r>
      <w:r>
        <w:t>Hz range, i</w:t>
      </w:r>
      <w:r w:rsidRPr="00D64FD0">
        <w:t xml:space="preserve">ntroducing apparatus licensing arrangements to </w:t>
      </w:r>
      <w:r>
        <w:t>support</w:t>
      </w:r>
      <w:r w:rsidRPr="00D64FD0">
        <w:t xml:space="preserve"> LA WBB services</w:t>
      </w:r>
      <w:r>
        <w:t>.</w:t>
      </w:r>
    </w:p>
    <w:p w14:paraId="16395CBE" w14:textId="23FF5C22" w:rsidR="00641B00" w:rsidRDefault="00641B00" w:rsidP="00B972B5">
      <w:pPr>
        <w:pStyle w:val="Bulletlevel1last"/>
        <w:ind w:left="306"/>
      </w:pPr>
      <w:r>
        <w:t>In regional areas in the 3</w:t>
      </w:r>
      <w:r w:rsidR="00C65BE1">
        <w:t>.</w:t>
      </w:r>
      <w:r>
        <w:t>4</w:t>
      </w:r>
      <w:bookmarkStart w:id="6" w:name="_Hlk80347102"/>
      <w:r w:rsidRPr="00B42FF8">
        <w:t>–</w:t>
      </w:r>
      <w:bookmarkEnd w:id="6"/>
      <w:r>
        <w:t>3</w:t>
      </w:r>
      <w:r w:rsidR="00C65BE1">
        <w:t>.</w:t>
      </w:r>
      <w:r>
        <w:t>575 </w:t>
      </w:r>
      <w:r w:rsidR="00C65BE1">
        <w:t xml:space="preserve">GHz </w:t>
      </w:r>
      <w:r>
        <w:t>range, i</w:t>
      </w:r>
      <w:r w:rsidRPr="00D64FD0">
        <w:t xml:space="preserve">ntroducing apparatus licensing arrangements to </w:t>
      </w:r>
      <w:r>
        <w:t>support</w:t>
      </w:r>
      <w:r w:rsidRPr="00D64FD0">
        <w:t xml:space="preserve"> LA WBB services</w:t>
      </w:r>
      <w:r>
        <w:t>.</w:t>
      </w:r>
    </w:p>
    <w:p w14:paraId="4587AD09" w14:textId="53B1ADF0" w:rsidR="008E7A43" w:rsidRPr="00B313DD" w:rsidRDefault="630D2B1D" w:rsidP="00B45A92">
      <w:pPr>
        <w:spacing w:line="240" w:lineRule="auto"/>
        <w:rPr>
          <w:rFonts w:cs="Arial"/>
          <w:snapToGrid w:val="0"/>
          <w:lang w:eastAsia="en-US"/>
        </w:rPr>
      </w:pPr>
      <w:r w:rsidRPr="00754A64">
        <w:t xml:space="preserve">This consultation package </w:t>
      </w:r>
      <w:r w:rsidR="00625AA0" w:rsidRPr="00754A64">
        <w:t>considers the</w:t>
      </w:r>
      <w:r w:rsidRPr="00754A64">
        <w:t xml:space="preserve"> process of implementing </w:t>
      </w:r>
      <w:r w:rsidR="002D2E02" w:rsidRPr="00754A64">
        <w:t xml:space="preserve">apparatus licences in </w:t>
      </w:r>
      <w:r w:rsidR="002577BB" w:rsidRPr="00754A64">
        <w:t xml:space="preserve">the </w:t>
      </w:r>
      <w:r w:rsidR="008D3CCA">
        <w:rPr>
          <w:szCs w:val="20"/>
        </w:rPr>
        <w:t>3.</w:t>
      </w:r>
      <w:r w:rsidR="000F2A4A">
        <w:rPr>
          <w:szCs w:val="20"/>
        </w:rPr>
        <w:t xml:space="preserve">8 GHz band for metropolitan and regional areas only. </w:t>
      </w:r>
    </w:p>
    <w:p w14:paraId="4FE77914" w14:textId="1B4D97DD" w:rsidR="00C4432F" w:rsidRPr="007E6850" w:rsidRDefault="00911631" w:rsidP="00C8196C">
      <w:pPr>
        <w:pStyle w:val="Heading2"/>
        <w:rPr>
          <w:b w:val="0"/>
          <w:bCs w:val="0"/>
          <w:sz w:val="24"/>
        </w:rPr>
      </w:pPr>
      <w:bookmarkStart w:id="7" w:name="_Toc137808601"/>
      <w:r w:rsidRPr="008833FF">
        <w:t>AWLs</w:t>
      </w:r>
      <w:bookmarkEnd w:id="7"/>
    </w:p>
    <w:p w14:paraId="49C5DB67" w14:textId="760ABE68" w:rsidR="00184590" w:rsidRDefault="002F75C6" w:rsidP="00C4432F">
      <w:r>
        <w:rPr>
          <w:snapToGrid w:val="0"/>
          <w:lang w:eastAsia="en-US"/>
        </w:rPr>
        <w:t xml:space="preserve">We want to </w:t>
      </w:r>
      <w:r w:rsidR="00832A95">
        <w:rPr>
          <w:snapToGrid w:val="0"/>
          <w:lang w:eastAsia="en-US"/>
        </w:rPr>
        <w:t>allocate</w:t>
      </w:r>
      <w:r w:rsidR="00C4432F" w:rsidRPr="00B313DD">
        <w:rPr>
          <w:snapToGrid w:val="0"/>
          <w:lang w:eastAsia="en-US"/>
        </w:rPr>
        <w:t xml:space="preserve"> AWL</w:t>
      </w:r>
      <w:r w:rsidR="001E58AA">
        <w:rPr>
          <w:snapToGrid w:val="0"/>
          <w:lang w:eastAsia="en-US"/>
        </w:rPr>
        <w:t>s</w:t>
      </w:r>
      <w:r w:rsidR="00C4432F" w:rsidRPr="00B313DD">
        <w:rPr>
          <w:snapToGrid w:val="0"/>
          <w:lang w:eastAsia="en-US"/>
        </w:rPr>
        <w:t xml:space="preserve"> </w:t>
      </w:r>
      <w:r w:rsidR="00F21DCF">
        <w:rPr>
          <w:snapToGrid w:val="0"/>
          <w:lang w:eastAsia="en-US"/>
        </w:rPr>
        <w:t xml:space="preserve">to authorise access to spectrum </w:t>
      </w:r>
      <w:r w:rsidR="00E62B47">
        <w:rPr>
          <w:snapToGrid w:val="0"/>
          <w:lang w:eastAsia="en-US"/>
        </w:rPr>
        <w:t xml:space="preserve">in </w:t>
      </w:r>
      <w:r w:rsidR="00362D44">
        <w:rPr>
          <w:snapToGrid w:val="0"/>
          <w:lang w:eastAsia="en-US"/>
        </w:rPr>
        <w:t xml:space="preserve">the </w:t>
      </w:r>
      <w:r w:rsidR="00362D44" w:rsidRPr="00362D44">
        <w:rPr>
          <w:snapToGrid w:val="0"/>
          <w:lang w:eastAsia="en-US"/>
        </w:rPr>
        <w:t>3.</w:t>
      </w:r>
      <w:r w:rsidR="000F2A4A">
        <w:rPr>
          <w:snapToGrid w:val="0"/>
          <w:lang w:eastAsia="en-US"/>
        </w:rPr>
        <w:t>8 GHz band</w:t>
      </w:r>
      <w:r w:rsidR="00362D44" w:rsidRPr="00362D44">
        <w:rPr>
          <w:snapToGrid w:val="0"/>
          <w:lang w:eastAsia="en-US"/>
        </w:rPr>
        <w:t xml:space="preserve"> in </w:t>
      </w:r>
      <w:r w:rsidR="000F2A4A">
        <w:rPr>
          <w:snapToGrid w:val="0"/>
          <w:lang w:eastAsia="en-US"/>
        </w:rPr>
        <w:t>regional</w:t>
      </w:r>
      <w:r w:rsidR="00CE3E21">
        <w:rPr>
          <w:snapToGrid w:val="0"/>
          <w:lang w:eastAsia="en-US"/>
        </w:rPr>
        <w:t xml:space="preserve"> and </w:t>
      </w:r>
      <w:r w:rsidR="000F2A4A">
        <w:rPr>
          <w:snapToGrid w:val="0"/>
          <w:lang w:eastAsia="en-US"/>
        </w:rPr>
        <w:t>metropolitan</w:t>
      </w:r>
      <w:r w:rsidR="000512A8">
        <w:rPr>
          <w:snapToGrid w:val="0"/>
          <w:lang w:eastAsia="en-US"/>
        </w:rPr>
        <w:t xml:space="preserve"> </w:t>
      </w:r>
      <w:r w:rsidR="00CE3E21">
        <w:rPr>
          <w:snapToGrid w:val="0"/>
          <w:lang w:eastAsia="en-US"/>
        </w:rPr>
        <w:t>(and immediate surrounding)</w:t>
      </w:r>
      <w:r w:rsidR="000F2A4A" w:rsidRPr="00362D44">
        <w:rPr>
          <w:snapToGrid w:val="0"/>
          <w:lang w:eastAsia="en-US"/>
        </w:rPr>
        <w:t xml:space="preserve"> </w:t>
      </w:r>
      <w:r w:rsidR="00362D44" w:rsidRPr="00362D44">
        <w:rPr>
          <w:snapToGrid w:val="0"/>
          <w:lang w:eastAsia="en-US"/>
        </w:rPr>
        <w:t>areas</w:t>
      </w:r>
      <w:r w:rsidR="00551EEB">
        <w:rPr>
          <w:snapToGrid w:val="0"/>
          <w:lang w:eastAsia="en-US"/>
        </w:rPr>
        <w:t xml:space="preserve">. </w:t>
      </w:r>
      <w:r w:rsidR="00C4432F" w:rsidRPr="00B313DD">
        <w:rPr>
          <w:snapToGrid w:val="0"/>
          <w:lang w:eastAsia="en-US"/>
        </w:rPr>
        <w:t xml:space="preserve">Unlike </w:t>
      </w:r>
      <w:r w:rsidR="00937C62">
        <w:rPr>
          <w:snapToGrid w:val="0"/>
          <w:lang w:eastAsia="en-US"/>
        </w:rPr>
        <w:t>‘</w:t>
      </w:r>
      <w:r w:rsidR="00E768A7">
        <w:rPr>
          <w:snapToGrid w:val="0"/>
          <w:lang w:eastAsia="en-US"/>
        </w:rPr>
        <w:t>service-specific</w:t>
      </w:r>
      <w:r w:rsidR="00937C62">
        <w:rPr>
          <w:snapToGrid w:val="0"/>
          <w:lang w:eastAsia="en-US"/>
        </w:rPr>
        <w:t>’</w:t>
      </w:r>
      <w:r w:rsidR="00E768A7" w:rsidRPr="00B313DD">
        <w:rPr>
          <w:snapToGrid w:val="0"/>
          <w:lang w:eastAsia="en-US"/>
        </w:rPr>
        <w:t xml:space="preserve"> </w:t>
      </w:r>
      <w:r w:rsidR="00C4432F" w:rsidRPr="00B313DD">
        <w:rPr>
          <w:snapToGrid w:val="0"/>
          <w:lang w:eastAsia="en-US"/>
        </w:rPr>
        <w:t xml:space="preserve">apparatus licence types, which typically align with specific uses and purposes, the AWL type </w:t>
      </w:r>
      <w:r w:rsidR="00320614">
        <w:t xml:space="preserve">may be used for a wide range of purposes, uses, services, </w:t>
      </w:r>
      <w:r w:rsidR="009D5A66">
        <w:t>applications,</w:t>
      </w:r>
      <w:r w:rsidR="00320614">
        <w:t xml:space="preserve"> and technologies</w:t>
      </w:r>
      <w:r w:rsidR="00C4432F" w:rsidRPr="00B313DD">
        <w:rPr>
          <w:snapToGrid w:val="0"/>
          <w:lang w:eastAsia="en-US"/>
        </w:rPr>
        <w:t xml:space="preserve">. </w:t>
      </w:r>
      <w:r w:rsidR="00C4432F" w:rsidRPr="00B313DD">
        <w:t>This flexibility is intended to allow the licensee to tailor the spectrum capacity and geographic reach of the licence to specific use-cases</w:t>
      </w:r>
      <w:r w:rsidR="005B6862">
        <w:t>, including smaller-scale and/or bespoke deployments</w:t>
      </w:r>
      <w:r w:rsidR="00C4432F" w:rsidRPr="00B313DD">
        <w:t xml:space="preserve">. </w:t>
      </w:r>
      <w:r>
        <w:t xml:space="preserve">We have </w:t>
      </w:r>
      <w:r w:rsidR="005B6862">
        <w:t>previously allocated AWLs in parts of the 26</w:t>
      </w:r>
      <w:r w:rsidR="00655440">
        <w:t> </w:t>
      </w:r>
      <w:r w:rsidR="005B6862">
        <w:t xml:space="preserve">GHz and </w:t>
      </w:r>
      <w:r w:rsidR="00EF6E1F">
        <w:t>28 </w:t>
      </w:r>
      <w:r w:rsidR="005B6862">
        <w:t>GHz bands to facilitate both WBB and FSS use</w:t>
      </w:r>
      <w:r w:rsidR="00D07375">
        <w:t>-</w:t>
      </w:r>
      <w:r w:rsidR="005B6862">
        <w:t>cases.</w:t>
      </w:r>
    </w:p>
    <w:p w14:paraId="4BF508CC" w14:textId="546CDE31" w:rsidR="00A5591D" w:rsidRPr="00B313DD" w:rsidRDefault="00A84CFB" w:rsidP="00C4432F">
      <w:r>
        <w:t>In this</w:t>
      </w:r>
      <w:r w:rsidR="00842601">
        <w:t xml:space="preserve"> allocation, AWLs are intended for WBB applications. </w:t>
      </w:r>
      <w:r w:rsidR="00053C37">
        <w:t>The area-wide receive (AWL rx) licence type will be used to a</w:t>
      </w:r>
      <w:r w:rsidR="00166113">
        <w:t>uthorise earth receive stations for FSS applications.</w:t>
      </w:r>
    </w:p>
    <w:p w14:paraId="1922C4FB" w14:textId="77777777" w:rsidR="009C2D18" w:rsidRPr="00EC4136" w:rsidRDefault="009C2D18" w:rsidP="009C2D18">
      <w:pPr>
        <w:pStyle w:val="Heading2"/>
      </w:pPr>
      <w:bookmarkStart w:id="8" w:name="_Legislative_context_and"/>
      <w:bookmarkStart w:id="9" w:name="_Toc69301117"/>
      <w:bookmarkStart w:id="10" w:name="_Toc126917762"/>
      <w:bookmarkStart w:id="11" w:name="_Toc137808602"/>
      <w:bookmarkEnd w:id="8"/>
      <w:r w:rsidRPr="009069A8">
        <w:lastRenderedPageBreak/>
        <w:t>Legislative context and policy environment</w:t>
      </w:r>
      <w:bookmarkEnd w:id="9"/>
      <w:bookmarkEnd w:id="10"/>
      <w:bookmarkEnd w:id="11"/>
    </w:p>
    <w:p w14:paraId="3805370F" w14:textId="77777777" w:rsidR="009C2D18" w:rsidRPr="00FE69BE" w:rsidRDefault="009C2D18" w:rsidP="00420A5B">
      <w:pPr>
        <w:pStyle w:val="Heading3"/>
      </w:pPr>
      <w:r w:rsidRPr="00420A5B">
        <w:rPr>
          <w:rStyle w:val="normaltextrun"/>
        </w:rPr>
        <w:t xml:space="preserve">Guiding legislation </w:t>
      </w:r>
      <w:r w:rsidRPr="00FE69BE">
        <w:rPr>
          <w:rStyle w:val="eop"/>
        </w:rPr>
        <w:t> </w:t>
      </w:r>
    </w:p>
    <w:p w14:paraId="3B1E1B8F" w14:textId="749A2E17" w:rsidR="009C2D18" w:rsidRDefault="009C2D18" w:rsidP="00FE69BE">
      <w:pPr>
        <w:pStyle w:val="Paragraph"/>
        <w:spacing w:after="80"/>
      </w:pPr>
      <w:r>
        <w:rPr>
          <w:rStyle w:val="normaltextrun"/>
          <w:szCs w:val="20"/>
        </w:rPr>
        <w:t>The ACMA’s decisions are guided by the object</w:t>
      </w:r>
      <w:r w:rsidR="00DF4800">
        <w:rPr>
          <w:rStyle w:val="normaltextrun"/>
          <w:szCs w:val="20"/>
        </w:rPr>
        <w:t>s</w:t>
      </w:r>
      <w:r>
        <w:rPr>
          <w:rStyle w:val="normaltextrun"/>
          <w:szCs w:val="20"/>
        </w:rPr>
        <w:t xml:space="preserve"> of the</w:t>
      </w:r>
      <w:r w:rsidR="00FE69BE">
        <w:rPr>
          <w:rStyle w:val="normaltextrun"/>
          <w:szCs w:val="20"/>
        </w:rPr>
        <w:t xml:space="preserve"> </w:t>
      </w:r>
      <w:r w:rsidR="00FE69BE">
        <w:rPr>
          <w:rStyle w:val="normaltextrun"/>
          <w:i/>
          <w:iCs/>
          <w:szCs w:val="20"/>
        </w:rPr>
        <w:t xml:space="preserve">Radiocommunications Act </w:t>
      </w:r>
      <w:r w:rsidR="007F3B5D">
        <w:rPr>
          <w:rStyle w:val="normaltextrun"/>
          <w:i/>
          <w:iCs/>
          <w:szCs w:val="20"/>
        </w:rPr>
        <w:t>1992</w:t>
      </w:r>
      <w:r>
        <w:rPr>
          <w:rStyle w:val="normaltextrun"/>
          <w:szCs w:val="20"/>
        </w:rPr>
        <w:t xml:space="preserve"> </w:t>
      </w:r>
      <w:r w:rsidR="007F3B5D">
        <w:rPr>
          <w:rStyle w:val="normaltextrun"/>
          <w:szCs w:val="20"/>
        </w:rPr>
        <w:t>(</w:t>
      </w:r>
      <w:r w:rsidR="00DF4800">
        <w:rPr>
          <w:rStyle w:val="normaltextrun"/>
          <w:szCs w:val="20"/>
        </w:rPr>
        <w:t xml:space="preserve">the </w:t>
      </w:r>
      <w:r>
        <w:rPr>
          <w:rStyle w:val="normaltextrun"/>
          <w:szCs w:val="20"/>
        </w:rPr>
        <w:t>Act</w:t>
      </w:r>
      <w:r w:rsidR="007F3B5D">
        <w:rPr>
          <w:rStyle w:val="normaltextrun"/>
          <w:szCs w:val="20"/>
        </w:rPr>
        <w:t>)</w:t>
      </w:r>
      <w:r>
        <w:rPr>
          <w:rStyle w:val="normaltextrun"/>
          <w:szCs w:val="20"/>
        </w:rPr>
        <w:t xml:space="preserve"> to promote the long-term public interest derived from the use of the spectrum by providing for the management of the spectrum in a manner that:</w:t>
      </w:r>
      <w:r>
        <w:rPr>
          <w:rStyle w:val="eop"/>
          <w:szCs w:val="20"/>
        </w:rPr>
        <w:t> </w:t>
      </w:r>
    </w:p>
    <w:p w14:paraId="0D140003" w14:textId="023E82C2" w:rsidR="009C2D18" w:rsidRPr="00BD3783" w:rsidRDefault="009C2D18" w:rsidP="00FE69BE">
      <w:pPr>
        <w:pStyle w:val="Bulletlevel1"/>
      </w:pPr>
      <w:r w:rsidRPr="00BD3783">
        <w:rPr>
          <w:rStyle w:val="normaltextrun"/>
        </w:rPr>
        <w:t xml:space="preserve">facilitates the efficient planning, </w:t>
      </w:r>
      <w:r w:rsidR="009D5A66" w:rsidRPr="00BD3783">
        <w:rPr>
          <w:rStyle w:val="normaltextrun"/>
        </w:rPr>
        <w:t>allocation</w:t>
      </w:r>
      <w:r w:rsidRPr="00BD3783">
        <w:rPr>
          <w:rStyle w:val="normaltextrun"/>
        </w:rPr>
        <w:t xml:space="preserve"> and use of the spectrum</w:t>
      </w:r>
      <w:r w:rsidRPr="00BD3783">
        <w:rPr>
          <w:rStyle w:val="eop"/>
        </w:rPr>
        <w:t> </w:t>
      </w:r>
    </w:p>
    <w:p w14:paraId="53513C5E" w14:textId="77777777" w:rsidR="009C2D18" w:rsidRDefault="009C2D18" w:rsidP="00FE69BE">
      <w:pPr>
        <w:pStyle w:val="Bulletlevel1"/>
      </w:pPr>
      <w:r w:rsidRPr="00BD3783">
        <w:rPr>
          <w:rStyle w:val="normaltextrun"/>
        </w:rPr>
        <w:t>facilitates the use of the spectrum for</w:t>
      </w:r>
      <w:r>
        <w:rPr>
          <w:rStyle w:val="normaltextrun"/>
          <w:szCs w:val="20"/>
        </w:rPr>
        <w:t>:</w:t>
      </w:r>
      <w:r>
        <w:rPr>
          <w:rStyle w:val="eop"/>
          <w:szCs w:val="20"/>
        </w:rPr>
        <w:t> </w:t>
      </w:r>
    </w:p>
    <w:p w14:paraId="6E85D4B6" w14:textId="77777777" w:rsidR="009C2D18" w:rsidRPr="00BD3783" w:rsidRDefault="009C2D18" w:rsidP="00FE69BE">
      <w:pPr>
        <w:pStyle w:val="Bulletlevel2"/>
      </w:pPr>
      <w:r w:rsidRPr="00BD3783">
        <w:rPr>
          <w:rStyle w:val="normaltextrun"/>
        </w:rPr>
        <w:t>commercial purposes</w:t>
      </w:r>
      <w:r w:rsidRPr="00BD3783">
        <w:rPr>
          <w:rStyle w:val="eop"/>
        </w:rPr>
        <w:t> </w:t>
      </w:r>
    </w:p>
    <w:p w14:paraId="1F3E3FE8" w14:textId="77777777" w:rsidR="009C2D18" w:rsidRPr="00BD3783" w:rsidRDefault="009C2D18" w:rsidP="00FE69BE">
      <w:pPr>
        <w:pStyle w:val="Bulletlevel2"/>
      </w:pPr>
      <w:r w:rsidRPr="00BD3783">
        <w:rPr>
          <w:rStyle w:val="normaltextrun"/>
        </w:rPr>
        <w:t>defence purposes, national security purposes and other non-commercial purposes (including public safety and community purposes)</w:t>
      </w:r>
      <w:r w:rsidRPr="00BD3783">
        <w:rPr>
          <w:rStyle w:val="eop"/>
        </w:rPr>
        <w:t> </w:t>
      </w:r>
    </w:p>
    <w:p w14:paraId="32266F70" w14:textId="77777777" w:rsidR="009C2D18" w:rsidRPr="006A34A4" w:rsidRDefault="009C2D18" w:rsidP="00FE69BE">
      <w:pPr>
        <w:pStyle w:val="Bulletlevel1"/>
        <w:rPr>
          <w:rStyle w:val="eop"/>
          <w:szCs w:val="20"/>
        </w:rPr>
      </w:pPr>
      <w:r w:rsidRPr="006A34A4">
        <w:rPr>
          <w:rStyle w:val="normaltextrun"/>
          <w:szCs w:val="20"/>
        </w:rPr>
        <w:t>supports the communications policy objectives of the Australian Government.</w:t>
      </w:r>
      <w:r w:rsidRPr="006A34A4">
        <w:rPr>
          <w:rStyle w:val="eop"/>
          <w:szCs w:val="20"/>
        </w:rPr>
        <w:t> </w:t>
      </w:r>
    </w:p>
    <w:p w14:paraId="078DF275" w14:textId="77777777" w:rsidR="009C2D18" w:rsidRDefault="009C2D18" w:rsidP="009C2D18">
      <w:pPr>
        <w:pStyle w:val="paragraph0"/>
        <w:spacing w:before="0" w:beforeAutospacing="0" w:after="0" w:afterAutospacing="0"/>
        <w:ind w:left="720"/>
        <w:textAlignment w:val="baseline"/>
        <w:rPr>
          <w:rFonts w:ascii="Arial" w:hAnsi="Arial" w:cs="Arial"/>
          <w:sz w:val="20"/>
          <w:szCs w:val="20"/>
        </w:rPr>
      </w:pPr>
    </w:p>
    <w:p w14:paraId="6B9B3304" w14:textId="32C27E99" w:rsidR="009C2D18" w:rsidRDefault="009C2D18" w:rsidP="009C2D18">
      <w:pPr>
        <w:pStyle w:val="Heading3"/>
        <w:rPr>
          <w:rStyle w:val="normaltextrun"/>
          <w:rFonts w:ascii="Times New Roman" w:hAnsi="Times New Roman" w:cs="Times New Roman"/>
          <w:b w:val="0"/>
          <w:bCs w:val="0"/>
          <w:sz w:val="24"/>
          <w:szCs w:val="20"/>
          <w:highlight w:val="green"/>
        </w:rPr>
      </w:pPr>
      <w:r w:rsidRPr="00E87398">
        <w:rPr>
          <w:rStyle w:val="normaltextrun"/>
          <w:szCs w:val="20"/>
        </w:rPr>
        <w:t xml:space="preserve">Ministerial </w:t>
      </w:r>
      <w:r w:rsidR="00BD3783">
        <w:rPr>
          <w:rStyle w:val="normaltextrun"/>
          <w:szCs w:val="20"/>
        </w:rPr>
        <w:t>p</w:t>
      </w:r>
      <w:r w:rsidRPr="00E87398">
        <w:rPr>
          <w:rStyle w:val="normaltextrun"/>
          <w:szCs w:val="20"/>
        </w:rPr>
        <w:t xml:space="preserve">olicy </w:t>
      </w:r>
      <w:r w:rsidR="00BD3783">
        <w:rPr>
          <w:rStyle w:val="normaltextrun"/>
          <w:szCs w:val="20"/>
        </w:rPr>
        <w:t>s</w:t>
      </w:r>
      <w:r w:rsidRPr="00E87398">
        <w:rPr>
          <w:rStyle w:val="normaltextrun"/>
          <w:szCs w:val="20"/>
        </w:rPr>
        <w:t>tatement</w:t>
      </w:r>
    </w:p>
    <w:p w14:paraId="3C01095A" w14:textId="3FC97593" w:rsidR="009C2D18" w:rsidRDefault="009C2D18" w:rsidP="009C2D18">
      <w:pPr>
        <w:pStyle w:val="Paragraphbeforelist"/>
      </w:pPr>
      <w:r w:rsidRPr="00012797">
        <w:t xml:space="preserve">The former </w:t>
      </w:r>
      <w:r w:rsidR="00420A5B">
        <w:t>M</w:t>
      </w:r>
      <w:r w:rsidRPr="00012797">
        <w:t xml:space="preserve">inister responsible for the </w:t>
      </w:r>
      <w:r w:rsidR="00E37558">
        <w:t>C</w:t>
      </w:r>
      <w:r w:rsidRPr="00012797">
        <w:t>ommunications portfolio issued the</w:t>
      </w:r>
      <w:r w:rsidRPr="00012797" w:rsidDel="0071151E">
        <w:t xml:space="preserve"> </w:t>
      </w:r>
      <w:hyperlink r:id="rId27" w:tgtFrame="_blank" w:history="1">
        <w:r w:rsidR="00FE3CD1">
          <w:rPr>
            <w:rStyle w:val="Hyperlink"/>
          </w:rPr>
          <w:t>Radiocommunications (Ministerial Policy Statement – 3.4–4.0 GHz) Instrument 2022</w:t>
        </w:r>
      </w:hyperlink>
      <w:r w:rsidRPr="00012797">
        <w:t xml:space="preserve"> (MPS) for the allocation of the spectrum in the </w:t>
      </w:r>
      <w:r w:rsidRPr="00012797" w:rsidDel="0071151E">
        <w:t>3.4</w:t>
      </w:r>
      <w:r w:rsidRPr="00012797">
        <w:t>–4.0 GHz band, containing the following objectives:</w:t>
      </w:r>
      <w:r w:rsidRPr="00452114">
        <w:rPr>
          <w:rStyle w:val="normaltextrun"/>
        </w:rPr>
        <w:t> </w:t>
      </w:r>
    </w:p>
    <w:p w14:paraId="0ED0A6ED" w14:textId="77777777" w:rsidR="009C2D18" w:rsidRDefault="009C2D18" w:rsidP="009C2D18">
      <w:pPr>
        <w:pStyle w:val="Bulletlevel1"/>
        <w:numPr>
          <w:ilvl w:val="0"/>
          <w:numId w:val="16"/>
        </w:numPr>
        <w:ind w:left="426" w:hanging="426"/>
      </w:pPr>
      <w:r w:rsidRPr="002C56C4">
        <w:rPr>
          <w:rStyle w:val="normaltextrun"/>
        </w:rPr>
        <w:t>supporting the deployment of new and innovative technology, including 5G</w:t>
      </w:r>
    </w:p>
    <w:p w14:paraId="75A094C8" w14:textId="77777777" w:rsidR="009C2D18" w:rsidRDefault="009C2D18" w:rsidP="009C2D18">
      <w:pPr>
        <w:pStyle w:val="Bulletlevel1"/>
        <w:numPr>
          <w:ilvl w:val="0"/>
          <w:numId w:val="16"/>
        </w:numPr>
        <w:ind w:left="426" w:hanging="426"/>
      </w:pPr>
      <w:r w:rsidRPr="002C56C4">
        <w:rPr>
          <w:rStyle w:val="normaltextrun"/>
        </w:rPr>
        <w:t>supporting a range of use-cases and users </w:t>
      </w:r>
      <w:r w:rsidRPr="002C56C4">
        <w:rPr>
          <w:rStyle w:val="eop"/>
        </w:rPr>
        <w:t> </w:t>
      </w:r>
    </w:p>
    <w:p w14:paraId="2C78AFD3" w14:textId="77777777" w:rsidR="009C2D18" w:rsidRDefault="009C2D18" w:rsidP="009C2D18">
      <w:pPr>
        <w:pStyle w:val="Bulletlevel1"/>
        <w:numPr>
          <w:ilvl w:val="0"/>
          <w:numId w:val="16"/>
        </w:numPr>
        <w:ind w:left="426" w:hanging="426"/>
      </w:pPr>
      <w:r w:rsidRPr="002C56C4">
        <w:rPr>
          <w:rStyle w:val="normaltextrun"/>
        </w:rPr>
        <w:t>supporting digital connectivity and investment in regional Australia </w:t>
      </w:r>
      <w:r w:rsidRPr="002C56C4">
        <w:rPr>
          <w:rStyle w:val="eop"/>
        </w:rPr>
        <w:t> </w:t>
      </w:r>
    </w:p>
    <w:p w14:paraId="2CFDEC2C" w14:textId="77777777" w:rsidR="009C2D18" w:rsidRPr="002C56C4" w:rsidRDefault="009C2D18" w:rsidP="009C2D18">
      <w:pPr>
        <w:pStyle w:val="Bulletlevel1last"/>
        <w:numPr>
          <w:ilvl w:val="0"/>
          <w:numId w:val="17"/>
        </w:numPr>
        <w:ind w:left="426" w:hanging="426"/>
        <w:rPr>
          <w:rStyle w:val="eop"/>
        </w:rPr>
      </w:pPr>
      <w:r w:rsidRPr="002C56C4">
        <w:rPr>
          <w:rStyle w:val="normaltextrun"/>
        </w:rPr>
        <w:t>promoting competitive markets. </w:t>
      </w:r>
      <w:r w:rsidRPr="002C56C4">
        <w:rPr>
          <w:rStyle w:val="eop"/>
        </w:rPr>
        <w:t> </w:t>
      </w:r>
    </w:p>
    <w:p w14:paraId="245A2881" w14:textId="5BE9F79E" w:rsidR="009C2D18" w:rsidRPr="00533F5F" w:rsidRDefault="009C2D18" w:rsidP="009C2D18">
      <w:pPr>
        <w:pStyle w:val="Paragraph"/>
        <w:rPr>
          <w:rStyle w:val="normaltextrun"/>
          <w:b/>
          <w:szCs w:val="20"/>
        </w:rPr>
      </w:pPr>
      <w:r w:rsidRPr="00E87398">
        <w:rPr>
          <w:rStyle w:val="normaltextrun"/>
          <w:szCs w:val="20"/>
        </w:rPr>
        <w:t>Under section 28C of the Act, t</w:t>
      </w:r>
      <w:r w:rsidRPr="000B2D3D">
        <w:rPr>
          <w:rStyle w:val="normaltextrun"/>
          <w:szCs w:val="20"/>
        </w:rPr>
        <w:t>he ACMA must have regard to t</w:t>
      </w:r>
      <w:r w:rsidRPr="000E04E3">
        <w:rPr>
          <w:rStyle w:val="normaltextrun"/>
          <w:szCs w:val="20"/>
        </w:rPr>
        <w:t xml:space="preserve">he MPS in exercising its powers and performing its </w:t>
      </w:r>
      <w:r>
        <w:rPr>
          <w:rStyle w:val="normaltextrun"/>
          <w:szCs w:val="20"/>
        </w:rPr>
        <w:t>functions</w:t>
      </w:r>
      <w:r w:rsidRPr="000E04E3">
        <w:rPr>
          <w:rStyle w:val="normaltextrun"/>
          <w:szCs w:val="20"/>
        </w:rPr>
        <w:t xml:space="preserve"> under the Act.</w:t>
      </w:r>
      <w:r w:rsidR="00B539DC">
        <w:rPr>
          <w:rStyle w:val="normaltextrun"/>
          <w:szCs w:val="20"/>
        </w:rPr>
        <w:t xml:space="preserve"> In making any decisions in relation to the </w:t>
      </w:r>
      <w:r w:rsidR="00B267CD">
        <w:rPr>
          <w:rStyle w:val="normaltextrun"/>
          <w:szCs w:val="20"/>
        </w:rPr>
        <w:t xml:space="preserve">3.8 GHz band, the </w:t>
      </w:r>
      <w:r w:rsidR="00F34C0F">
        <w:rPr>
          <w:rStyle w:val="normaltextrun"/>
          <w:szCs w:val="20"/>
        </w:rPr>
        <w:t xml:space="preserve">ACMA will </w:t>
      </w:r>
      <w:r w:rsidR="00935C88">
        <w:rPr>
          <w:rStyle w:val="normaltextrun"/>
          <w:szCs w:val="20"/>
        </w:rPr>
        <w:t>have regard to the MPS.</w:t>
      </w:r>
      <w:r>
        <w:rPr>
          <w:rStyle w:val="eop"/>
          <w:szCs w:val="20"/>
        </w:rPr>
        <w:t> </w:t>
      </w:r>
    </w:p>
    <w:p w14:paraId="31D0B282" w14:textId="77777777" w:rsidR="009C2D18" w:rsidRPr="00533F5F" w:rsidRDefault="009C2D18" w:rsidP="009C2D18">
      <w:pPr>
        <w:pStyle w:val="Heading3"/>
        <w:rPr>
          <w:rFonts w:ascii="Segoe UI" w:hAnsi="Segoe UI" w:cs="Segoe UI"/>
          <w:sz w:val="18"/>
          <w:szCs w:val="18"/>
        </w:rPr>
      </w:pPr>
      <w:r w:rsidRPr="00533F5F">
        <w:rPr>
          <w:rStyle w:val="normaltextrun"/>
          <w:szCs w:val="20"/>
        </w:rPr>
        <w:t>Government communications policy objectives</w:t>
      </w:r>
      <w:r w:rsidRPr="00533F5F">
        <w:rPr>
          <w:rStyle w:val="eop"/>
          <w:szCs w:val="20"/>
        </w:rPr>
        <w:t> </w:t>
      </w:r>
    </w:p>
    <w:p w14:paraId="2E5CF04E" w14:textId="2EB054C1" w:rsidR="009C2D18" w:rsidRDefault="009C2D18" w:rsidP="009C2D18">
      <w:pPr>
        <w:pStyle w:val="Paragraph"/>
        <w:rPr>
          <w:rStyle w:val="eop"/>
          <w:b/>
          <w:bCs/>
          <w:szCs w:val="20"/>
        </w:rPr>
      </w:pPr>
      <w:r>
        <w:rPr>
          <w:rStyle w:val="eop"/>
          <w:szCs w:val="20"/>
        </w:rPr>
        <w:t xml:space="preserve">As part of the government’s October 2022 Budget announcements, the Minister for Communications (the </w:t>
      </w:r>
      <w:r w:rsidR="001354D8">
        <w:rPr>
          <w:rStyle w:val="eop"/>
          <w:szCs w:val="20"/>
        </w:rPr>
        <w:t>m</w:t>
      </w:r>
      <w:r>
        <w:rPr>
          <w:rStyle w:val="eop"/>
          <w:szCs w:val="20"/>
        </w:rPr>
        <w:t xml:space="preserve">inister), the Hon Michelle Rowland MP, </w:t>
      </w:r>
      <w:hyperlink r:id="rId28" w:history="1">
        <w:r w:rsidR="00FE3CD1">
          <w:rPr>
            <w:rStyle w:val="Hyperlink"/>
            <w:szCs w:val="20"/>
          </w:rPr>
          <w:t>restated</w:t>
        </w:r>
      </w:hyperlink>
      <w:r>
        <w:rPr>
          <w:rStyle w:val="eop"/>
          <w:szCs w:val="20"/>
        </w:rPr>
        <w:t xml:space="preserve"> the government’s commitment to deliver better connectivity to Australians, including to increase connectivity for rural, regional, remote and First Nations communities and to enable the ACMA to continue to auction high value spectrum.</w:t>
      </w:r>
    </w:p>
    <w:p w14:paraId="3E7BBA53" w14:textId="3DB04D79" w:rsidR="009C2D18" w:rsidRDefault="009C2D18" w:rsidP="009C2D18">
      <w:pPr>
        <w:pStyle w:val="Paragraph"/>
        <w:rPr>
          <w:bCs/>
          <w:color w:val="000000" w:themeColor="text1"/>
          <w:szCs w:val="20"/>
        </w:rPr>
      </w:pPr>
      <w:r>
        <w:rPr>
          <w:bCs/>
          <w:color w:val="000000" w:themeColor="text1"/>
          <w:szCs w:val="20"/>
        </w:rPr>
        <w:t>I</w:t>
      </w:r>
      <w:r w:rsidRPr="003C7211">
        <w:rPr>
          <w:bCs/>
          <w:color w:val="000000" w:themeColor="text1"/>
          <w:szCs w:val="20"/>
        </w:rPr>
        <w:t xml:space="preserve">n her </w:t>
      </w:r>
      <w:hyperlink r:id="rId29" w:history="1">
        <w:r w:rsidR="00FE3CD1">
          <w:rPr>
            <w:rStyle w:val="Hyperlink"/>
            <w:bCs/>
            <w:szCs w:val="20"/>
          </w:rPr>
          <w:t>speech to the Radcomms conference in November 2022</w:t>
        </w:r>
      </w:hyperlink>
      <w:r w:rsidRPr="003C7211">
        <w:rPr>
          <w:bCs/>
          <w:color w:val="000000" w:themeColor="text1"/>
          <w:szCs w:val="20"/>
        </w:rPr>
        <w:t xml:space="preserve">, the </w:t>
      </w:r>
      <w:r w:rsidR="001354D8">
        <w:rPr>
          <w:bCs/>
          <w:color w:val="000000" w:themeColor="text1"/>
          <w:szCs w:val="20"/>
        </w:rPr>
        <w:t>m</w:t>
      </w:r>
      <w:r w:rsidR="00BB0141">
        <w:rPr>
          <w:bCs/>
          <w:color w:val="000000" w:themeColor="text1"/>
          <w:szCs w:val="20"/>
        </w:rPr>
        <w:t>inister</w:t>
      </w:r>
      <w:r>
        <w:rPr>
          <w:bCs/>
          <w:color w:val="000000" w:themeColor="text1"/>
          <w:szCs w:val="20"/>
        </w:rPr>
        <w:t xml:space="preserve"> </w:t>
      </w:r>
      <w:r w:rsidRPr="003C7211">
        <w:rPr>
          <w:bCs/>
          <w:color w:val="000000" w:themeColor="text1"/>
          <w:szCs w:val="20"/>
        </w:rPr>
        <w:t xml:space="preserve">noted </w:t>
      </w:r>
      <w:r>
        <w:rPr>
          <w:bCs/>
          <w:color w:val="000000" w:themeColor="text1"/>
          <w:szCs w:val="20"/>
        </w:rPr>
        <w:t xml:space="preserve">that the allocation of </w:t>
      </w:r>
      <w:r w:rsidRPr="00533F5F">
        <w:rPr>
          <w:color w:val="000000" w:themeColor="text1"/>
          <w:szCs w:val="20"/>
        </w:rPr>
        <w:t>spectrum in the 3.4–4.0 GHz band will support digital connectivity and investment in regional Australia, as well as its importance for the deployment of new and innovative technology including 5G services.</w:t>
      </w:r>
    </w:p>
    <w:p w14:paraId="2BA7E1C3" w14:textId="2F99013C" w:rsidR="009C2D18" w:rsidRDefault="009C2D18" w:rsidP="009C2D18">
      <w:pPr>
        <w:pStyle w:val="Paragraphbeforelist"/>
        <w:rPr>
          <w:color w:val="000000" w:themeColor="text1"/>
        </w:rPr>
      </w:pPr>
      <w:r w:rsidRPr="034A6DC3">
        <w:rPr>
          <w:color w:val="000000" w:themeColor="text1"/>
        </w:rPr>
        <w:t xml:space="preserve">In its </w:t>
      </w:r>
      <w:hyperlink r:id="rId30">
        <w:r w:rsidRPr="034A6DC3">
          <w:rPr>
            <w:rStyle w:val="Hyperlink"/>
          </w:rPr>
          <w:t>statement of expectations for the ACMA</w:t>
        </w:r>
      </w:hyperlink>
      <w:r w:rsidRPr="034A6DC3">
        <w:rPr>
          <w:rStyle w:val="Hyperlink"/>
        </w:rPr>
        <w:t xml:space="preserve"> (SoE)</w:t>
      </w:r>
      <w:r w:rsidRPr="034A6DC3">
        <w:rPr>
          <w:color w:val="000000" w:themeColor="text1"/>
        </w:rPr>
        <w:t xml:space="preserve">, the government </w:t>
      </w:r>
      <w:r w:rsidR="00BB0141">
        <w:rPr>
          <w:color w:val="000000" w:themeColor="text1"/>
        </w:rPr>
        <w:t>has</w:t>
      </w:r>
      <w:r w:rsidRPr="034A6DC3">
        <w:rPr>
          <w:color w:val="000000" w:themeColor="text1"/>
        </w:rPr>
        <w:t xml:space="preserve"> articulated its expectation that the ACMA take a proactive regulatory approach. Of </w:t>
      </w:r>
      <w:r w:rsidR="001354D8" w:rsidRPr="034A6DC3">
        <w:rPr>
          <w:color w:val="000000" w:themeColor="text1"/>
        </w:rPr>
        <w:t>relevance</w:t>
      </w:r>
      <w:r w:rsidRPr="034A6DC3">
        <w:rPr>
          <w:color w:val="000000" w:themeColor="text1"/>
        </w:rPr>
        <w:t xml:space="preserve"> for the ACMA’s spectrum management functions, the SoE outlined the government’s expectation that the ACMA </w:t>
      </w:r>
      <w:r w:rsidR="008839D5">
        <w:rPr>
          <w:color w:val="000000" w:themeColor="text1"/>
        </w:rPr>
        <w:t>will</w:t>
      </w:r>
      <w:r w:rsidRPr="034A6DC3">
        <w:rPr>
          <w:color w:val="000000" w:themeColor="text1"/>
        </w:rPr>
        <w:t xml:space="preserve"> support the government’s communications and media objectives, including: </w:t>
      </w:r>
    </w:p>
    <w:p w14:paraId="628CC6FC" w14:textId="77777777" w:rsidR="009C2D18" w:rsidRPr="00E96650" w:rsidRDefault="009C2D18" w:rsidP="009C2D18">
      <w:pPr>
        <w:pStyle w:val="Bulletlevel1"/>
        <w:numPr>
          <w:ilvl w:val="0"/>
          <w:numId w:val="16"/>
        </w:numPr>
        <w:ind w:left="426" w:hanging="426"/>
      </w:pPr>
      <w:r>
        <w:t>promoting investment, innovation and the adoption of new and emerging technologies while continuing to safeguard the interests of consumers and small businesses</w:t>
      </w:r>
    </w:p>
    <w:p w14:paraId="4DBAA6E2" w14:textId="0E303900" w:rsidR="009C2D18" w:rsidRPr="00A65F45" w:rsidRDefault="009C2D18" w:rsidP="009C2D18">
      <w:pPr>
        <w:pStyle w:val="Bulletlevel1"/>
        <w:numPr>
          <w:ilvl w:val="0"/>
          <w:numId w:val="16"/>
        </w:numPr>
        <w:ind w:left="426" w:hanging="426"/>
      </w:pPr>
      <w:r>
        <w:t xml:space="preserve">supporting government policies related to regional, </w:t>
      </w:r>
      <w:r w:rsidR="001354D8">
        <w:t>rural,</w:t>
      </w:r>
      <w:r>
        <w:t xml:space="preserve"> and remote Australia including by having regard to relevant ministerial policy statements in the planning and allocation of spectrum to support innovation and competition in these areas</w:t>
      </w:r>
    </w:p>
    <w:p w14:paraId="0CA1172D" w14:textId="77777777" w:rsidR="009C2D18" w:rsidRPr="003C7211" w:rsidRDefault="009C2D18" w:rsidP="009C2D18">
      <w:pPr>
        <w:pStyle w:val="Bulletlevel1last"/>
        <w:numPr>
          <w:ilvl w:val="0"/>
          <w:numId w:val="17"/>
        </w:numPr>
        <w:ind w:left="426" w:hanging="426"/>
      </w:pPr>
      <w:r>
        <w:t xml:space="preserve">promoting the long-term public interest derived from spectrum, including the benefits of technological developments that improve spectrum utilisation. </w:t>
      </w:r>
    </w:p>
    <w:p w14:paraId="441430A7" w14:textId="4D9F1630" w:rsidR="002E6A17" w:rsidRDefault="00530DFE" w:rsidP="009469A5">
      <w:pPr>
        <w:pStyle w:val="Heading3"/>
      </w:pPr>
      <w:r>
        <w:lastRenderedPageBreak/>
        <w:t xml:space="preserve">Guiding </w:t>
      </w:r>
      <w:r w:rsidR="0068206A">
        <w:t>objectives</w:t>
      </w:r>
      <w:r>
        <w:t xml:space="preserve"> for the </w:t>
      </w:r>
      <w:r w:rsidR="00110D45">
        <w:t xml:space="preserve">3.8 </w:t>
      </w:r>
      <w:r w:rsidR="00CB201B">
        <w:t xml:space="preserve">GHz AWL </w:t>
      </w:r>
      <w:r>
        <w:t>allocation</w:t>
      </w:r>
      <w:r w:rsidR="0068206A">
        <w:t xml:space="preserve"> </w:t>
      </w:r>
    </w:p>
    <w:p w14:paraId="3566E4F5" w14:textId="099AF09D" w:rsidR="00FA38E1" w:rsidRDefault="009E18B1" w:rsidP="00FA38E1">
      <w:pPr>
        <w:pStyle w:val="Bulletlevel1last"/>
        <w:numPr>
          <w:ilvl w:val="0"/>
          <w:numId w:val="0"/>
        </w:numPr>
      </w:pPr>
      <w:r>
        <w:t>Taken together, the suite of allocations across the 3.4</w:t>
      </w:r>
      <w:r w:rsidR="001354D8" w:rsidRPr="00533F5F">
        <w:rPr>
          <w:color w:val="000000" w:themeColor="text1"/>
          <w:szCs w:val="20"/>
        </w:rPr>
        <w:t>–</w:t>
      </w:r>
      <w:r>
        <w:t xml:space="preserve">4.0 GHz band </w:t>
      </w:r>
      <w:r w:rsidR="009F0CB8">
        <w:t>and different licensing approaches are</w:t>
      </w:r>
      <w:r>
        <w:t xml:space="preserve"> intended to support the MPS objectives in conjunction with the other relevant policy and legislative objectives listed above.</w:t>
      </w:r>
      <w:r w:rsidR="00FA2968">
        <w:t xml:space="preserve"> </w:t>
      </w:r>
    </w:p>
    <w:p w14:paraId="252B3851" w14:textId="74FBD1B5" w:rsidR="002E6A17" w:rsidRDefault="009E18B1" w:rsidP="00FE69BE">
      <w:pPr>
        <w:pStyle w:val="Bulletlevel1last"/>
        <w:numPr>
          <w:ilvl w:val="0"/>
          <w:numId w:val="0"/>
        </w:numPr>
        <w:spacing w:after="80"/>
      </w:pPr>
      <w:r>
        <w:t>For th</w:t>
      </w:r>
      <w:r w:rsidR="00A83CAA">
        <w:t xml:space="preserve">is allocation of </w:t>
      </w:r>
      <w:r w:rsidR="005D3E69">
        <w:t xml:space="preserve">AWLs in the 3.8 GHz band, </w:t>
      </w:r>
      <w:r w:rsidR="002F60BC">
        <w:t>w</w:t>
      </w:r>
      <w:r w:rsidR="00DB5FBE">
        <w:t xml:space="preserve">e consider that the </w:t>
      </w:r>
      <w:r w:rsidR="005D3E69">
        <w:t xml:space="preserve">following </w:t>
      </w:r>
      <w:r w:rsidR="00BE5136">
        <w:t>objective</w:t>
      </w:r>
      <w:r w:rsidR="00D3473D">
        <w:t>s</w:t>
      </w:r>
      <w:r w:rsidR="00BE5136">
        <w:t xml:space="preserve"> </w:t>
      </w:r>
      <w:r w:rsidR="005D3E69">
        <w:t xml:space="preserve">are of most relevance: </w:t>
      </w:r>
    </w:p>
    <w:p w14:paraId="72FB6B5D" w14:textId="180D72E8" w:rsidR="00BE5136" w:rsidRPr="001354D8" w:rsidRDefault="001354D8" w:rsidP="00FE69BE">
      <w:pPr>
        <w:pStyle w:val="Bulletlevel1"/>
      </w:pPr>
      <w:r>
        <w:t>s</w:t>
      </w:r>
      <w:r w:rsidR="00BE5136" w:rsidRPr="001354D8">
        <w:t>upporting a range of use cases and users</w:t>
      </w:r>
    </w:p>
    <w:p w14:paraId="3252BD9B" w14:textId="56FDE6C7" w:rsidR="00BE5136" w:rsidRPr="001354D8" w:rsidRDefault="001354D8" w:rsidP="00FE69BE">
      <w:pPr>
        <w:pStyle w:val="Bulletlevel1"/>
      </w:pPr>
      <w:r>
        <w:t>s</w:t>
      </w:r>
      <w:r w:rsidR="00BE5136" w:rsidRPr="001354D8">
        <w:t>upporting digital connectivity and investment in regional Australia</w:t>
      </w:r>
    </w:p>
    <w:p w14:paraId="27A44F5E" w14:textId="658B387B" w:rsidR="00EB70C5" w:rsidRPr="001354D8" w:rsidRDefault="001354D8" w:rsidP="00FE69BE">
      <w:pPr>
        <w:pStyle w:val="Bulletlevel1"/>
      </w:pPr>
      <w:r>
        <w:t>s</w:t>
      </w:r>
      <w:r w:rsidR="00BE5136" w:rsidRPr="001354D8">
        <w:t>upporting the deployment of new and innovative technology</w:t>
      </w:r>
    </w:p>
    <w:p w14:paraId="486C7F34" w14:textId="2902BEDF" w:rsidR="006438A4" w:rsidRPr="001354D8" w:rsidRDefault="001354D8" w:rsidP="00FE69BE">
      <w:pPr>
        <w:pStyle w:val="Bulletlevel1"/>
      </w:pPr>
      <w:r>
        <w:t>p</w:t>
      </w:r>
      <w:r w:rsidR="006438A4" w:rsidRPr="001354D8">
        <w:t xml:space="preserve">romoting competitive markets </w:t>
      </w:r>
    </w:p>
    <w:p w14:paraId="1FD6C02A" w14:textId="7ECFF056" w:rsidR="00EA0466" w:rsidRPr="001354D8" w:rsidRDefault="001354D8" w:rsidP="00FE69BE">
      <w:pPr>
        <w:pStyle w:val="Bulletlevel1"/>
      </w:pPr>
      <w:r>
        <w:t>s</w:t>
      </w:r>
      <w:r w:rsidR="001D1198" w:rsidRPr="001354D8">
        <w:t>upporting the efficient allocation and use of spectrum</w:t>
      </w:r>
      <w:r w:rsidR="008839D5" w:rsidRPr="001354D8">
        <w:t>.</w:t>
      </w:r>
    </w:p>
    <w:p w14:paraId="57AEA247" w14:textId="77777777" w:rsidR="00967A03" w:rsidRDefault="00967A03">
      <w:pPr>
        <w:pStyle w:val="Bulletlevel1"/>
        <w:numPr>
          <w:ilvl w:val="0"/>
          <w:numId w:val="0"/>
        </w:numPr>
        <w:spacing w:after="240"/>
        <w:contextualSpacing/>
      </w:pPr>
    </w:p>
    <w:p w14:paraId="7FA5510E" w14:textId="443AC69E" w:rsidR="00EA0466" w:rsidRPr="00056B17" w:rsidRDefault="002631D3" w:rsidP="009469A5">
      <w:pPr>
        <w:pStyle w:val="Bulletlevel1"/>
        <w:numPr>
          <w:ilvl w:val="0"/>
          <w:numId w:val="0"/>
        </w:numPr>
        <w:spacing w:after="240"/>
        <w:contextualSpacing/>
      </w:pPr>
      <w:r>
        <w:t>In designing our allocation settings, w</w:t>
      </w:r>
      <w:r w:rsidR="00A60C4B">
        <w:t xml:space="preserve">e seek to strike </w:t>
      </w:r>
      <w:r w:rsidR="004012E5">
        <w:t>a</w:t>
      </w:r>
      <w:r w:rsidR="00A60C4B">
        <w:t xml:space="preserve"> balance between these </w:t>
      </w:r>
      <w:r w:rsidR="007F1829">
        <w:t xml:space="preserve">different </w:t>
      </w:r>
      <w:r w:rsidR="00A60C4B">
        <w:t>objectives</w:t>
      </w:r>
      <w:r>
        <w:t xml:space="preserve">. </w:t>
      </w:r>
    </w:p>
    <w:p w14:paraId="0CE52B25" w14:textId="4DBE0F0F" w:rsidR="00064EF5" w:rsidRDefault="000335BC" w:rsidP="00E37609">
      <w:pPr>
        <w:pStyle w:val="Heading1"/>
      </w:pPr>
      <w:bookmarkStart w:id="12" w:name="_Toc137808603"/>
      <w:r>
        <w:lastRenderedPageBreak/>
        <w:t>Consultation package</w:t>
      </w:r>
      <w:bookmarkEnd w:id="12"/>
      <w:r>
        <w:t xml:space="preserve"> </w:t>
      </w:r>
    </w:p>
    <w:p w14:paraId="0EDCED94" w14:textId="208F920E" w:rsidR="00064EF5" w:rsidRDefault="00557267" w:rsidP="0065595A">
      <w:pPr>
        <w:pStyle w:val="Paragraphbeforelist"/>
      </w:pPr>
      <w:r>
        <w:t>We are</w:t>
      </w:r>
      <w:r w:rsidR="423F577B">
        <w:t xml:space="preserve"> </w:t>
      </w:r>
      <w:r w:rsidR="00F75F90">
        <w:t xml:space="preserve">seeking </w:t>
      </w:r>
      <w:r w:rsidR="00F24592">
        <w:t>comments</w:t>
      </w:r>
      <w:r w:rsidR="00194351">
        <w:t xml:space="preserve"> from</w:t>
      </w:r>
      <w:r w:rsidR="00F24592">
        <w:t xml:space="preserve"> </w:t>
      </w:r>
      <w:r w:rsidR="00194351">
        <w:t xml:space="preserve">interested stakeholders </w:t>
      </w:r>
      <w:r w:rsidR="00F24592">
        <w:t xml:space="preserve">on the </w:t>
      </w:r>
      <w:r w:rsidR="004E086A">
        <w:t>foll</w:t>
      </w:r>
      <w:r w:rsidR="00B507D3">
        <w:t xml:space="preserve">owing aspects of our framework for </w:t>
      </w:r>
      <w:r w:rsidR="00FF06D4">
        <w:t xml:space="preserve">implementing </w:t>
      </w:r>
      <w:r w:rsidR="00B507D3">
        <w:t xml:space="preserve">AWLs </w:t>
      </w:r>
      <w:r w:rsidR="00C06178" w:rsidRPr="006A79FA">
        <w:t xml:space="preserve">in </w:t>
      </w:r>
      <w:r w:rsidR="00C06178" w:rsidRPr="00305F87">
        <w:rPr>
          <w:color w:val="000000"/>
        </w:rPr>
        <w:t xml:space="preserve">the </w:t>
      </w:r>
      <w:r w:rsidR="008D3CCA">
        <w:rPr>
          <w:color w:val="000000"/>
        </w:rPr>
        <w:t>3.</w:t>
      </w:r>
      <w:r w:rsidR="00415A29">
        <w:rPr>
          <w:color w:val="000000"/>
        </w:rPr>
        <w:t>8</w:t>
      </w:r>
      <w:r w:rsidR="008D3CCA">
        <w:rPr>
          <w:color w:val="000000"/>
        </w:rPr>
        <w:t xml:space="preserve"> GHz </w:t>
      </w:r>
      <w:r w:rsidR="00C06178" w:rsidRPr="00305F87">
        <w:rPr>
          <w:color w:val="000000"/>
        </w:rPr>
        <w:t xml:space="preserve">band in </w:t>
      </w:r>
      <w:r w:rsidR="00237814">
        <w:rPr>
          <w:color w:val="000000"/>
        </w:rPr>
        <w:t>metropolitan and regional</w:t>
      </w:r>
      <w:r w:rsidR="00237814" w:rsidRPr="00305F87">
        <w:rPr>
          <w:color w:val="000000"/>
        </w:rPr>
        <w:t xml:space="preserve"> </w:t>
      </w:r>
      <w:r w:rsidR="00C06178">
        <w:rPr>
          <w:color w:val="000000"/>
        </w:rPr>
        <w:t xml:space="preserve">areas of </w:t>
      </w:r>
      <w:r w:rsidR="00C06178" w:rsidRPr="00E50064">
        <w:t>Australia</w:t>
      </w:r>
      <w:r w:rsidR="00CD6B78">
        <w:t xml:space="preserve"> </w:t>
      </w:r>
      <w:r w:rsidR="00CD6B78" w:rsidRPr="00E50064">
        <w:t>using ‘allocation window</w:t>
      </w:r>
      <w:r w:rsidR="00B15576">
        <w:t>s</w:t>
      </w:r>
      <w:r w:rsidR="00CD6B78" w:rsidRPr="00E50064">
        <w:t>’</w:t>
      </w:r>
      <w:r w:rsidR="001354D8">
        <w:t>.</w:t>
      </w:r>
    </w:p>
    <w:p w14:paraId="7987D606" w14:textId="3EE2ED57" w:rsidR="00681206" w:rsidRDefault="00985D7E" w:rsidP="00FE69BE">
      <w:pPr>
        <w:pStyle w:val="Heading3"/>
      </w:pPr>
      <w:r w:rsidRPr="00D23E74">
        <w:t>Technical framework</w:t>
      </w:r>
      <w:r>
        <w:t xml:space="preserve"> </w:t>
      </w:r>
    </w:p>
    <w:p w14:paraId="602E3992" w14:textId="076512B4" w:rsidR="00D17983" w:rsidRDefault="00351650" w:rsidP="00022096">
      <w:pPr>
        <w:pStyle w:val="Bulletlevel1"/>
        <w:numPr>
          <w:ilvl w:val="0"/>
          <w:numId w:val="0"/>
        </w:numPr>
      </w:pPr>
      <w:r>
        <w:t xml:space="preserve">Amendments are proposed to </w:t>
      </w:r>
      <w:r w:rsidR="001602E6">
        <w:t xml:space="preserve">Radiocommunications </w:t>
      </w:r>
      <w:r w:rsidR="00826298">
        <w:t xml:space="preserve">Assignment and </w:t>
      </w:r>
      <w:r w:rsidR="00B711CD">
        <w:t>Licensing Instruction</w:t>
      </w:r>
      <w:r w:rsidR="00B55A09">
        <w:t xml:space="preserve"> (</w:t>
      </w:r>
      <w:r>
        <w:t>RALI</w:t>
      </w:r>
      <w:r w:rsidR="00B55A09">
        <w:t>)</w:t>
      </w:r>
      <w:r>
        <w:t xml:space="preserve"> MS47 </w:t>
      </w:r>
      <w:r w:rsidR="001354D8">
        <w:t>‘</w:t>
      </w:r>
      <w:r w:rsidR="006F2603" w:rsidRPr="006F2603">
        <w:t>Frequency coordination and licensing procedures for Area-Wide Licences (AWL) in the 3400–4000 MHz band</w:t>
      </w:r>
      <w:r w:rsidR="001354D8">
        <w:t>’</w:t>
      </w:r>
      <w:r>
        <w:t xml:space="preserve"> to</w:t>
      </w:r>
      <w:r w:rsidR="00D17983">
        <w:t>:</w:t>
      </w:r>
    </w:p>
    <w:p w14:paraId="6E7A641D" w14:textId="34D92A70" w:rsidR="000307D4" w:rsidRPr="001354D8" w:rsidRDefault="001354D8" w:rsidP="00FE69BE">
      <w:pPr>
        <w:pStyle w:val="Bulletlevel1"/>
      </w:pPr>
      <w:r>
        <w:t>e</w:t>
      </w:r>
      <w:r w:rsidR="00D17983" w:rsidRPr="001354D8">
        <w:t xml:space="preserve">xpand the use of AWLs to </w:t>
      </w:r>
      <w:r w:rsidR="000307D4" w:rsidRPr="001354D8">
        <w:t>include spectrum spaces proposed by this allocation process</w:t>
      </w:r>
    </w:p>
    <w:p w14:paraId="16769683" w14:textId="7FC32B42" w:rsidR="007400A4" w:rsidRPr="001354D8" w:rsidRDefault="001354D8" w:rsidP="00FE69BE">
      <w:pPr>
        <w:pStyle w:val="Bulletlevel1"/>
      </w:pPr>
      <w:r>
        <w:t>i</w:t>
      </w:r>
      <w:r w:rsidR="00F5094D" w:rsidRPr="001354D8">
        <w:t xml:space="preserve">nclude </w:t>
      </w:r>
      <w:r w:rsidR="00277DD9" w:rsidRPr="001354D8">
        <w:t xml:space="preserve">AWL rx licences </w:t>
      </w:r>
      <w:r w:rsidR="00F5094D" w:rsidRPr="001354D8">
        <w:t>for</w:t>
      </w:r>
      <w:r w:rsidR="007079A6" w:rsidRPr="001354D8">
        <w:t xml:space="preserve"> earth receive stations</w:t>
      </w:r>
      <w:r w:rsidR="00F5094D" w:rsidRPr="001354D8">
        <w:t xml:space="preserve"> in the scope of RALI MS47 and pro</w:t>
      </w:r>
      <w:r w:rsidR="003A7DD0" w:rsidRPr="001354D8">
        <w:t>vide assi</w:t>
      </w:r>
      <w:r w:rsidR="007F2BDA" w:rsidRPr="001354D8">
        <w:t>gnment and licensing guidance for those licences</w:t>
      </w:r>
    </w:p>
    <w:p w14:paraId="4E38F84D" w14:textId="561E1787" w:rsidR="003F4390" w:rsidRPr="001354D8" w:rsidRDefault="001354D8" w:rsidP="00FE69BE">
      <w:pPr>
        <w:pStyle w:val="Bulletlevel1"/>
      </w:pPr>
      <w:r>
        <w:t>p</w:t>
      </w:r>
      <w:r w:rsidR="00452858" w:rsidRPr="001354D8">
        <w:t xml:space="preserve">rioritise </w:t>
      </w:r>
      <w:r w:rsidR="008C2E45" w:rsidRPr="001354D8">
        <w:t>spectrum</w:t>
      </w:r>
      <w:r w:rsidR="00EA166E" w:rsidRPr="001354D8">
        <w:t xml:space="preserve"> in the AWL spectrum spaces</w:t>
      </w:r>
      <w:r w:rsidR="00351650" w:rsidRPr="001354D8">
        <w:t xml:space="preserve"> for </w:t>
      </w:r>
      <w:r w:rsidR="00E10C9B" w:rsidRPr="001354D8">
        <w:t>defined point-to-multipoint (</w:t>
      </w:r>
      <w:r w:rsidR="00351650" w:rsidRPr="001354D8">
        <w:t>PMP</w:t>
      </w:r>
      <w:r w:rsidR="00E10C9B" w:rsidRPr="001354D8">
        <w:t>)</w:t>
      </w:r>
      <w:r w:rsidR="00351650" w:rsidRPr="001354D8">
        <w:t xml:space="preserve"> </w:t>
      </w:r>
      <w:r w:rsidR="00E10C9B" w:rsidRPr="001354D8">
        <w:t xml:space="preserve">apparatus </w:t>
      </w:r>
      <w:r w:rsidR="00351650" w:rsidRPr="001354D8">
        <w:t xml:space="preserve">licences affected by the </w:t>
      </w:r>
      <w:hyperlink r:id="rId31" w:history="1">
        <w:r w:rsidR="00351650" w:rsidRPr="00FE69BE">
          <w:rPr>
            <w:rStyle w:val="Hyperlink"/>
            <w:color w:val="auto"/>
            <w:u w:val="none"/>
          </w:rPr>
          <w:t>Radiocommunications (Spectrum Re-allocation – 3.4  GHz and 3.7 GHz Bands) Declaration 2022</w:t>
        </w:r>
      </w:hyperlink>
      <w:r w:rsidR="00351650" w:rsidRPr="00FE69BE">
        <w:t xml:space="preserve"> </w:t>
      </w:r>
      <w:r w:rsidR="00351650" w:rsidRPr="001354D8">
        <w:t>(the re-allocation declaration)</w:t>
      </w:r>
      <w:r w:rsidR="007D20AC" w:rsidRPr="001354D8">
        <w:t>, during the reallocation period</w:t>
      </w:r>
    </w:p>
    <w:p w14:paraId="5F88AB00" w14:textId="1AF5E936" w:rsidR="006B3D5F" w:rsidRPr="001354D8" w:rsidRDefault="001354D8" w:rsidP="00FE69BE">
      <w:pPr>
        <w:pStyle w:val="Bulletlevel1"/>
      </w:pPr>
      <w:r>
        <w:t>a</w:t>
      </w:r>
      <w:r w:rsidR="00966148" w:rsidRPr="001354D8">
        <w:t xml:space="preserve">dopt a policy </w:t>
      </w:r>
      <w:r w:rsidR="00546785">
        <w:t>to not</w:t>
      </w:r>
      <w:r w:rsidR="00966148" w:rsidRPr="001354D8">
        <w:t xml:space="preserve"> issue</w:t>
      </w:r>
      <w:r w:rsidR="006B3D5F" w:rsidRPr="001354D8">
        <w:t xml:space="preserve"> </w:t>
      </w:r>
      <w:r w:rsidR="00546785">
        <w:t>additional</w:t>
      </w:r>
      <w:r w:rsidR="006B3D5F" w:rsidRPr="001354D8">
        <w:t xml:space="preserve"> fixed </w:t>
      </w:r>
      <w:r w:rsidR="00A41058" w:rsidRPr="001354D8">
        <w:t xml:space="preserve">PTP </w:t>
      </w:r>
      <w:r w:rsidR="006B3D5F" w:rsidRPr="001354D8">
        <w:t xml:space="preserve">licences </w:t>
      </w:r>
      <w:r w:rsidR="00E8617E" w:rsidRPr="001354D8">
        <w:t xml:space="preserve">in </w:t>
      </w:r>
      <w:r w:rsidR="00E60279" w:rsidRPr="001354D8">
        <w:t xml:space="preserve">the </w:t>
      </w:r>
      <w:r w:rsidR="00D06416" w:rsidRPr="001354D8">
        <w:t>3800</w:t>
      </w:r>
      <w:r w:rsidRPr="00533F5F">
        <w:rPr>
          <w:color w:val="000000" w:themeColor="text1"/>
          <w:szCs w:val="20"/>
        </w:rPr>
        <w:t>–</w:t>
      </w:r>
      <w:r w:rsidR="00D06416" w:rsidRPr="001354D8">
        <w:t xml:space="preserve">4000 MHz </w:t>
      </w:r>
      <w:r w:rsidR="00E60279" w:rsidRPr="001354D8">
        <w:t>range in metropolitan areas</w:t>
      </w:r>
    </w:p>
    <w:p w14:paraId="33E0E87E" w14:textId="67008D17" w:rsidR="00985D7E" w:rsidRPr="001354D8" w:rsidRDefault="001354D8" w:rsidP="00FE69BE">
      <w:pPr>
        <w:pStyle w:val="Bulletlevel1"/>
        <w:spacing w:after="240"/>
      </w:pPr>
      <w:r>
        <w:t>o</w:t>
      </w:r>
      <w:r w:rsidR="003F4390" w:rsidRPr="001354D8">
        <w:t xml:space="preserve">ther identified </w:t>
      </w:r>
      <w:r w:rsidR="0047678F" w:rsidRPr="001354D8">
        <w:t xml:space="preserve">proposed changes from the </w:t>
      </w:r>
      <w:r w:rsidR="00AA0E21" w:rsidRPr="001354D8">
        <w:t>first issue of RALI MS47</w:t>
      </w:r>
      <w:r w:rsidR="00903FA0" w:rsidRPr="001354D8">
        <w:t xml:space="preserve"> to improve </w:t>
      </w:r>
      <w:r w:rsidR="00B034C1" w:rsidRPr="001354D8">
        <w:t>coexistence between different</w:t>
      </w:r>
      <w:r w:rsidR="00E10C9B" w:rsidRPr="001354D8">
        <w:t xml:space="preserve"> services</w:t>
      </w:r>
      <w:r w:rsidR="00AA0E21" w:rsidRPr="001354D8">
        <w:t>.</w:t>
      </w:r>
      <w:r w:rsidR="00985D7E" w:rsidRPr="001354D8">
        <w:t xml:space="preserve"> </w:t>
      </w:r>
    </w:p>
    <w:p w14:paraId="1C0316A9" w14:textId="10A82A67" w:rsidR="000F7FDF" w:rsidRDefault="005B59EF" w:rsidP="00FE69BE">
      <w:pPr>
        <w:pStyle w:val="Bulletlevel1"/>
        <w:numPr>
          <w:ilvl w:val="0"/>
          <w:numId w:val="0"/>
        </w:numPr>
        <w:spacing w:after="240"/>
      </w:pPr>
      <w:r>
        <w:t xml:space="preserve">Additional </w:t>
      </w:r>
      <w:r w:rsidR="00F21498">
        <w:t>changes</w:t>
      </w:r>
      <w:r>
        <w:t xml:space="preserve"> </w:t>
      </w:r>
      <w:r w:rsidR="00C71C92">
        <w:t>are proposed</w:t>
      </w:r>
      <w:r>
        <w:t xml:space="preserve"> to the</w:t>
      </w:r>
      <w:r w:rsidR="00DE20ED">
        <w:t xml:space="preserve"> </w:t>
      </w:r>
      <w:hyperlink r:id="rId32" w:history="1">
        <w:r w:rsidR="00DE20ED" w:rsidRPr="00D85C90">
          <w:rPr>
            <w:rStyle w:val="Hyperlink"/>
          </w:rPr>
          <w:t xml:space="preserve">Radiocommunications Advisory Guidelines (Managing Interference from Spectrum Licensed Transmitters </w:t>
        </w:r>
        <w:r w:rsidR="001354D8" w:rsidRPr="00D85C90">
          <w:rPr>
            <w:rStyle w:val="Hyperlink"/>
          </w:rPr>
          <w:t>–</w:t>
        </w:r>
        <w:r w:rsidR="00DE20ED" w:rsidRPr="00D85C90">
          <w:rPr>
            <w:rStyle w:val="Hyperlink"/>
          </w:rPr>
          <w:t xml:space="preserve"> 3.4 GHz Band) 2015</w:t>
        </w:r>
      </w:hyperlink>
      <w:r w:rsidR="00DE20ED" w:rsidRPr="00022096">
        <w:rPr>
          <w:i/>
          <w:iCs/>
        </w:rPr>
        <w:t xml:space="preserve"> </w:t>
      </w:r>
      <w:r w:rsidR="00DE20ED">
        <w:t>from what was consulted in the March 2023</w:t>
      </w:r>
      <w:r>
        <w:t xml:space="preserve"> </w:t>
      </w:r>
      <w:hyperlink r:id="rId33" w:history="1">
        <w:r w:rsidR="00645933" w:rsidRPr="00FE69BE">
          <w:rPr>
            <w:rStyle w:val="Hyperlink"/>
          </w:rPr>
          <w:t>Draft allocation and technical instruments for the 3.4/3.7 GHz bands auction</w:t>
        </w:r>
      </w:hyperlink>
      <w:r w:rsidR="00645933">
        <w:t xml:space="preserve"> consultation.</w:t>
      </w:r>
      <w:r w:rsidR="00652CE2">
        <w:t xml:space="preserve"> </w:t>
      </w:r>
      <w:r w:rsidR="00BF090A">
        <w:t xml:space="preserve">These additional changes relate to </w:t>
      </w:r>
      <w:r w:rsidR="004817DF">
        <w:t>reflecting</w:t>
      </w:r>
      <w:r w:rsidR="008D141D">
        <w:t xml:space="preserve"> </w:t>
      </w:r>
      <w:r w:rsidR="004817DF">
        <w:t>different coordination requirements for spectrum licen</w:t>
      </w:r>
      <w:r w:rsidR="00EB1093">
        <w:t>s</w:t>
      </w:r>
      <w:r w:rsidR="004817DF">
        <w:t>ed transmitter</w:t>
      </w:r>
      <w:r w:rsidR="005C186F">
        <w:t xml:space="preserve">s for earth stations registered under an AWL rx compared with </w:t>
      </w:r>
      <w:r w:rsidR="003A6FFF">
        <w:t>earth receive licences.</w:t>
      </w:r>
    </w:p>
    <w:p w14:paraId="4236CA53" w14:textId="77777777" w:rsidR="008D5596" w:rsidRDefault="008D5596" w:rsidP="008D5596">
      <w:pPr>
        <w:pStyle w:val="Bulletlevel1"/>
        <w:numPr>
          <w:ilvl w:val="0"/>
          <w:numId w:val="0"/>
        </w:numPr>
      </w:pPr>
      <w:r>
        <w:t xml:space="preserve">Amendments to the </w:t>
      </w:r>
      <w:hyperlink r:id="rId34" w:history="1">
        <w:r w:rsidRPr="00FE69BE">
          <w:rPr>
            <w:rStyle w:val="Hyperlink"/>
          </w:rPr>
          <w:t>Radiocommunications (Interpretation) Determination 2015</w:t>
        </w:r>
      </w:hyperlink>
      <w:r>
        <w:t xml:space="preserve"> are proposed to enable the area-wide service and AWL rx licence type to accommodate earth receive stations.</w:t>
      </w:r>
    </w:p>
    <w:p w14:paraId="44D39AC0" w14:textId="77777777" w:rsidR="00A0244E" w:rsidRDefault="001B5004" w:rsidP="00022096">
      <w:pPr>
        <w:pStyle w:val="Bulletlevel1"/>
        <w:numPr>
          <w:ilvl w:val="0"/>
          <w:numId w:val="0"/>
        </w:numPr>
      </w:pPr>
      <w:r w:rsidRPr="00D23E74">
        <w:rPr>
          <w:b/>
        </w:rPr>
        <w:t>Allocation process</w:t>
      </w:r>
    </w:p>
    <w:p w14:paraId="147C7301" w14:textId="3FE5FD8D" w:rsidR="00A0244E" w:rsidRDefault="00ED1414" w:rsidP="00022096">
      <w:pPr>
        <w:pStyle w:val="Bulletlevel1"/>
        <w:numPr>
          <w:ilvl w:val="0"/>
          <w:numId w:val="0"/>
        </w:numPr>
      </w:pPr>
      <w:r>
        <w:t xml:space="preserve">The ACMA is seeking comment </w:t>
      </w:r>
      <w:r w:rsidR="00F84730">
        <w:t xml:space="preserve">on </w:t>
      </w:r>
      <w:r w:rsidR="001354D8">
        <w:t>2</w:t>
      </w:r>
      <w:r w:rsidR="00B416B0">
        <w:t xml:space="preserve"> </w:t>
      </w:r>
      <w:r w:rsidR="00B53221">
        <w:t>potential</w:t>
      </w:r>
      <w:r w:rsidR="00A0244E">
        <w:t xml:space="preserve"> draft allocation instruments</w:t>
      </w:r>
      <w:r w:rsidR="00B53221">
        <w:t>; one</w:t>
      </w:r>
      <w:r w:rsidR="00A0244E">
        <w:t xml:space="preserve"> to support a nil MHz </w:t>
      </w:r>
      <w:r w:rsidR="00B53221">
        <w:t>allocation</w:t>
      </w:r>
      <w:r w:rsidR="00A0244E">
        <w:t xml:space="preserve"> limit and </w:t>
      </w:r>
      <w:r w:rsidR="00B53221">
        <w:t xml:space="preserve">a second to </w:t>
      </w:r>
      <w:r w:rsidR="006413E7">
        <w:t>restric</w:t>
      </w:r>
      <w:r w:rsidR="007B78B6">
        <w:t>t</w:t>
      </w:r>
      <w:r w:rsidR="00A0244E">
        <w:t xml:space="preserve"> licen</w:t>
      </w:r>
      <w:r w:rsidR="007F17A4">
        <w:t>c</w:t>
      </w:r>
      <w:r w:rsidR="00A0244E">
        <w:t xml:space="preserve">e </w:t>
      </w:r>
      <w:r w:rsidR="004624E6">
        <w:t>transfer</w:t>
      </w:r>
      <w:r w:rsidR="00A0244E">
        <w:t>/</w:t>
      </w:r>
      <w:r w:rsidR="00EA2975">
        <w:t xml:space="preserve">use </w:t>
      </w:r>
      <w:r w:rsidR="00A0244E">
        <w:t xml:space="preserve">authorisation </w:t>
      </w:r>
      <w:r w:rsidR="00EA2975">
        <w:t>as follows</w:t>
      </w:r>
      <w:r w:rsidR="00A0244E">
        <w:t xml:space="preserve">: </w:t>
      </w:r>
    </w:p>
    <w:p w14:paraId="3205CD1C" w14:textId="120F7F5C" w:rsidR="00A0244E" w:rsidRPr="00BD3783" w:rsidRDefault="00ED4926" w:rsidP="00FE69BE">
      <w:pPr>
        <w:pStyle w:val="Bulletlevel1"/>
      </w:pPr>
      <w:r w:rsidRPr="00BD3783">
        <w:t xml:space="preserve">Draft </w:t>
      </w:r>
      <w:r w:rsidRPr="00FE69BE">
        <w:t>Radiocommunications (Area-Wide Licence Allocation Limits) Determination 2023</w:t>
      </w:r>
      <w:r w:rsidR="00A3544F" w:rsidRPr="00BD3783">
        <w:t xml:space="preserve"> </w:t>
      </w:r>
    </w:p>
    <w:p w14:paraId="2ED347B0" w14:textId="753CE3D5" w:rsidR="001B5004" w:rsidRPr="00BD3783" w:rsidRDefault="00ED4926" w:rsidP="00FE69BE">
      <w:pPr>
        <w:pStyle w:val="Bulletlevel1"/>
        <w:spacing w:after="240"/>
      </w:pPr>
      <w:r w:rsidRPr="00BD3783">
        <w:t>Draft</w:t>
      </w:r>
      <w:r w:rsidRPr="00FE69BE">
        <w:t xml:space="preserve"> </w:t>
      </w:r>
      <w:r w:rsidR="00A352B7" w:rsidRPr="00FE69BE">
        <w:t xml:space="preserve">Radiocommunications (Limitation of Authorisation of </w:t>
      </w:r>
      <w:r w:rsidR="00AE5D32" w:rsidRPr="00BD3783">
        <w:t>Third-Party</w:t>
      </w:r>
      <w:r w:rsidR="00A352B7" w:rsidRPr="00FE69BE">
        <w:t xml:space="preserve"> Users and Transfer of Area-Wide Licen</w:t>
      </w:r>
      <w:r w:rsidR="00C71C92" w:rsidRPr="00FE69BE">
        <w:t>c</w:t>
      </w:r>
      <w:r w:rsidR="00A352B7" w:rsidRPr="00FE69BE">
        <w:t xml:space="preserve">es) Determination 2023. </w:t>
      </w:r>
    </w:p>
    <w:p w14:paraId="34521853" w14:textId="31F6F415" w:rsidR="00A0244E" w:rsidRPr="00A0244E" w:rsidRDefault="00A0244E" w:rsidP="00FE69BE">
      <w:pPr>
        <w:pStyle w:val="Bulletlevel1"/>
        <w:numPr>
          <w:ilvl w:val="0"/>
          <w:numId w:val="0"/>
        </w:numPr>
        <w:spacing w:after="240"/>
      </w:pPr>
      <w:r>
        <w:t>We are also seeking comments on proposed cross-band limits and an allocation quantum policy in the package</w:t>
      </w:r>
      <w:r w:rsidR="007436F9">
        <w:t>.</w:t>
      </w:r>
    </w:p>
    <w:p w14:paraId="11491D04" w14:textId="4E575000" w:rsidR="00E96108" w:rsidRDefault="00B45B24" w:rsidP="00D23E74">
      <w:pPr>
        <w:pStyle w:val="ListBullet"/>
        <w:numPr>
          <w:ilvl w:val="0"/>
          <w:numId w:val="0"/>
        </w:numPr>
        <w:spacing w:after="240"/>
      </w:pPr>
      <w:r>
        <w:t>D</w:t>
      </w:r>
      <w:r w:rsidR="0072080E">
        <w:t xml:space="preserve">etails </w:t>
      </w:r>
      <w:r w:rsidR="00E96108">
        <w:t xml:space="preserve">on the proposed legislative </w:t>
      </w:r>
      <w:r w:rsidR="00A31719">
        <w:t xml:space="preserve">instrument </w:t>
      </w:r>
      <w:r w:rsidR="00E96108">
        <w:t xml:space="preserve">amendments and draft administrative policies </w:t>
      </w:r>
      <w:r w:rsidR="004F3C2E">
        <w:t xml:space="preserve">are found </w:t>
      </w:r>
      <w:r w:rsidR="00E96108">
        <w:t xml:space="preserve">in the </w:t>
      </w:r>
      <w:r w:rsidR="00776C39" w:rsidRPr="002345E0">
        <w:t>Technical framework</w:t>
      </w:r>
      <w:r w:rsidR="00E96108" w:rsidRPr="00D5496F">
        <w:t xml:space="preserve">, </w:t>
      </w:r>
      <w:r w:rsidR="00776C39" w:rsidRPr="002345E0">
        <w:t>Allocation process</w:t>
      </w:r>
      <w:r w:rsidR="00E96108" w:rsidRPr="00D5496F">
        <w:t xml:space="preserve">, </w:t>
      </w:r>
      <w:r w:rsidR="00776C39" w:rsidRPr="002345E0">
        <w:t>Tenure and renewal</w:t>
      </w:r>
      <w:r w:rsidR="00E96108" w:rsidRPr="00D5496F">
        <w:t xml:space="preserve"> and </w:t>
      </w:r>
      <w:r w:rsidR="00776C39" w:rsidRPr="002345E0">
        <w:t>Pricing</w:t>
      </w:r>
      <w:r w:rsidR="00E96108" w:rsidRPr="00D5496F">
        <w:t xml:space="preserve"> sections of this consultation paper.</w:t>
      </w:r>
    </w:p>
    <w:p w14:paraId="1CDB2C80" w14:textId="3CBA54C3" w:rsidR="00616726" w:rsidRDefault="00616726" w:rsidP="00616726">
      <w:pPr>
        <w:pStyle w:val="Heading1"/>
      </w:pPr>
      <w:bookmarkStart w:id="13" w:name="_Technical_Framework"/>
      <w:bookmarkStart w:id="14" w:name="_Toc137808604"/>
      <w:bookmarkEnd w:id="13"/>
      <w:r>
        <w:lastRenderedPageBreak/>
        <w:t xml:space="preserve">Technical </w:t>
      </w:r>
      <w:r w:rsidR="00DF7731">
        <w:t>f</w:t>
      </w:r>
      <w:r>
        <w:t>ramework</w:t>
      </w:r>
      <w:bookmarkEnd w:id="14"/>
    </w:p>
    <w:p w14:paraId="2E718489" w14:textId="3675324D" w:rsidR="00616726" w:rsidRDefault="00616726" w:rsidP="00616726">
      <w:pPr>
        <w:pStyle w:val="Heading2"/>
      </w:pPr>
      <w:bookmarkStart w:id="15" w:name="_Toc137808605"/>
      <w:r>
        <w:t>Introduction</w:t>
      </w:r>
      <w:bookmarkEnd w:id="15"/>
    </w:p>
    <w:p w14:paraId="7E6A219E" w14:textId="300298F1" w:rsidR="00E90D75" w:rsidRPr="00051179" w:rsidRDefault="00825578" w:rsidP="00FE6E20">
      <w:r>
        <w:t xml:space="preserve">In proposing a technical framework for </w:t>
      </w:r>
      <w:r w:rsidR="00A574A0">
        <w:t>the 3.8 GHz band</w:t>
      </w:r>
      <w:r>
        <w:t xml:space="preserve"> in </w:t>
      </w:r>
      <w:r w:rsidR="00950596">
        <w:t xml:space="preserve">metropolitan and regional </w:t>
      </w:r>
      <w:r>
        <w:t>areas</w:t>
      </w:r>
      <w:r w:rsidR="00C73C2B">
        <w:t xml:space="preserve">, </w:t>
      </w:r>
      <w:r w:rsidR="0074767B">
        <w:t xml:space="preserve">we have considered </w:t>
      </w:r>
      <w:r w:rsidR="00A718BE">
        <w:t xml:space="preserve">the object </w:t>
      </w:r>
      <w:r w:rsidR="00AB429A">
        <w:t xml:space="preserve">of the Act </w:t>
      </w:r>
      <w:r w:rsidR="00A718BE">
        <w:t>to promote</w:t>
      </w:r>
      <w:r w:rsidR="00A66320">
        <w:t xml:space="preserve"> the long-term </w:t>
      </w:r>
      <w:r w:rsidR="00063BEC">
        <w:t>public interest</w:t>
      </w:r>
      <w:r w:rsidR="00D36853">
        <w:t xml:space="preserve"> derived </w:t>
      </w:r>
      <w:r w:rsidR="00A80C0F">
        <w:t xml:space="preserve">from the band by </w:t>
      </w:r>
      <w:r w:rsidR="00EA378F">
        <w:t>facilitating</w:t>
      </w:r>
      <w:r w:rsidR="0067417D">
        <w:t xml:space="preserve"> the efficient planning </w:t>
      </w:r>
      <w:r w:rsidR="00EA378F">
        <w:t xml:space="preserve">and use </w:t>
      </w:r>
      <w:r w:rsidR="0067417D">
        <w:t xml:space="preserve">of the </w:t>
      </w:r>
      <w:r w:rsidR="00EA378F">
        <w:t xml:space="preserve">band. </w:t>
      </w:r>
    </w:p>
    <w:p w14:paraId="53F64280" w14:textId="65C7D947" w:rsidR="00616726" w:rsidRDefault="00740254" w:rsidP="00927D40">
      <w:pPr>
        <w:pStyle w:val="Paragraphbeforelist"/>
      </w:pPr>
      <w:r>
        <w:t xml:space="preserve">The </w:t>
      </w:r>
      <w:r w:rsidR="00616726">
        <w:t xml:space="preserve">technical framework </w:t>
      </w:r>
      <w:r w:rsidR="004C2BA7">
        <w:t xml:space="preserve">is </w:t>
      </w:r>
      <w:r w:rsidR="00616726">
        <w:t xml:space="preserve">designed to support AWLs </w:t>
      </w:r>
      <w:r w:rsidR="001831B9">
        <w:t xml:space="preserve">and AWL </w:t>
      </w:r>
      <w:r w:rsidR="00CA4F94">
        <w:t>rx</w:t>
      </w:r>
      <w:r w:rsidR="001831B9">
        <w:t xml:space="preserve"> licences </w:t>
      </w:r>
      <w:r w:rsidR="003F161F">
        <w:t xml:space="preserve">in the </w:t>
      </w:r>
      <w:r w:rsidR="006C6DA5">
        <w:t>3.8 GHz</w:t>
      </w:r>
      <w:r w:rsidR="003F161F">
        <w:t xml:space="preserve"> band </w:t>
      </w:r>
      <w:r w:rsidR="001831B9">
        <w:t>Australia-wide in relevant spectrum spaces and</w:t>
      </w:r>
      <w:r w:rsidR="003F161F">
        <w:t xml:space="preserve"> </w:t>
      </w:r>
      <w:r w:rsidR="00616726">
        <w:t xml:space="preserve">sets out the conditions and arrangements that allow coexistence with other services operating in, and adjacent to, the band </w:t>
      </w:r>
      <w:r w:rsidR="002230F4">
        <w:t xml:space="preserve">in which </w:t>
      </w:r>
      <w:r w:rsidR="00616726">
        <w:t xml:space="preserve">AWLs </w:t>
      </w:r>
      <w:r w:rsidR="00D01E6E">
        <w:t xml:space="preserve">and AWL </w:t>
      </w:r>
      <w:r w:rsidR="00EA54D5">
        <w:t xml:space="preserve">rxs </w:t>
      </w:r>
      <w:r w:rsidR="00616726">
        <w:t xml:space="preserve">are proposed to be issued. The conditions </w:t>
      </w:r>
      <w:r w:rsidR="000B1C7C">
        <w:t xml:space="preserve">and </w:t>
      </w:r>
      <w:r w:rsidR="00616726">
        <w:t xml:space="preserve">arrangements are described </w:t>
      </w:r>
      <w:r w:rsidR="003F161F">
        <w:t>in</w:t>
      </w:r>
      <w:r w:rsidR="00616726">
        <w:t>:</w:t>
      </w:r>
    </w:p>
    <w:p w14:paraId="29621453" w14:textId="18FE21D2" w:rsidR="00616726" w:rsidRDefault="00AE5D32" w:rsidP="00FE69BE">
      <w:pPr>
        <w:pStyle w:val="Bulletlevel1"/>
        <w:rPr>
          <w:rFonts w:eastAsia="Arial"/>
          <w:szCs w:val="20"/>
        </w:rPr>
      </w:pPr>
      <w:r>
        <w:t>t</w:t>
      </w:r>
      <w:r w:rsidR="00616726">
        <w:t xml:space="preserve">he Radiocommunications Licence Conditions (Apparatus Licence) Determination 2015, which </w:t>
      </w:r>
      <w:r w:rsidR="00C95F0A">
        <w:t xml:space="preserve">imposes </w:t>
      </w:r>
      <w:r w:rsidR="00616726">
        <w:t xml:space="preserve">conditions </w:t>
      </w:r>
      <w:r w:rsidR="00740254">
        <w:t xml:space="preserve">that apply to </w:t>
      </w:r>
      <w:r w:rsidR="00616726">
        <w:t>all apparatus licences</w:t>
      </w:r>
    </w:p>
    <w:p w14:paraId="1145DEB5" w14:textId="66C18A42" w:rsidR="00B56C3E" w:rsidRDefault="00AE5D32" w:rsidP="00FE69BE">
      <w:pPr>
        <w:pStyle w:val="Bulletlevel1"/>
        <w:rPr>
          <w:rFonts w:eastAsia="Arial"/>
        </w:rPr>
      </w:pPr>
      <w:r>
        <w:t>d</w:t>
      </w:r>
      <w:r w:rsidR="00CC473A">
        <w:t xml:space="preserve">raft </w:t>
      </w:r>
      <w:r w:rsidR="00095B7C">
        <w:t>revised</w:t>
      </w:r>
      <w:r w:rsidR="00CC473A">
        <w:t xml:space="preserve"> RALI MS47</w:t>
      </w:r>
      <w:r w:rsidR="00616726">
        <w:t>, which provides information about, and describe</w:t>
      </w:r>
      <w:r w:rsidR="00F4591F">
        <w:t>s</w:t>
      </w:r>
      <w:r w:rsidR="00616726">
        <w:t xml:space="preserve"> necessary steps for</w:t>
      </w:r>
      <w:r w:rsidR="00990AB4">
        <w:t xml:space="preserve"> </w:t>
      </w:r>
      <w:r w:rsidR="00616726">
        <w:t>the frequency coordination and licensing of AWLs</w:t>
      </w:r>
      <w:r w:rsidR="00095B7C">
        <w:t xml:space="preserve"> </w:t>
      </w:r>
      <w:r w:rsidR="003F33CC">
        <w:t>and AWL rxs</w:t>
      </w:r>
      <w:r w:rsidR="00616726">
        <w:t xml:space="preserve"> in the </w:t>
      </w:r>
      <w:r w:rsidR="00C03B3C">
        <w:t>3.</w:t>
      </w:r>
      <w:r w:rsidR="00735DF0">
        <w:t xml:space="preserve">8 GHz </w:t>
      </w:r>
      <w:r w:rsidR="00616726">
        <w:t xml:space="preserve">band in </w:t>
      </w:r>
      <w:r w:rsidR="000F137A">
        <w:t xml:space="preserve">metropolitan and regional </w:t>
      </w:r>
      <w:r w:rsidR="00616726">
        <w:t>areas</w:t>
      </w:r>
      <w:r w:rsidR="000B1C7C">
        <w:t xml:space="preserve"> and </w:t>
      </w:r>
      <w:r w:rsidR="00C4692D">
        <w:t xml:space="preserve">the </w:t>
      </w:r>
      <w:r w:rsidR="000B1C7C">
        <w:t xml:space="preserve">technical </w:t>
      </w:r>
      <w:r w:rsidR="0AF4A38F">
        <w:t xml:space="preserve">requirements </w:t>
      </w:r>
      <w:r w:rsidR="00057E0B">
        <w:t xml:space="preserve">that </w:t>
      </w:r>
      <w:r w:rsidR="00C4692D">
        <w:t>should</w:t>
      </w:r>
      <w:r w:rsidR="00057E0B">
        <w:t xml:space="preserve"> be met </w:t>
      </w:r>
      <w:r w:rsidR="533D686B">
        <w:t xml:space="preserve">before devices </w:t>
      </w:r>
      <w:r w:rsidR="00057E0B">
        <w:t xml:space="preserve">are </w:t>
      </w:r>
      <w:r w:rsidR="533D686B">
        <w:t>registered</w:t>
      </w:r>
    </w:p>
    <w:p w14:paraId="34D0BD18" w14:textId="5E368E57" w:rsidR="00616726" w:rsidRPr="00F13312" w:rsidRDefault="00AE5D32" w:rsidP="00FE69BE">
      <w:pPr>
        <w:pStyle w:val="Bulletlevel1"/>
        <w:rPr>
          <w:rFonts w:eastAsia="Arial"/>
          <w:szCs w:val="20"/>
        </w:rPr>
      </w:pPr>
      <w:r>
        <w:rPr>
          <w:szCs w:val="20"/>
        </w:rPr>
        <w:t>c</w:t>
      </w:r>
      <w:r w:rsidR="00616726" w:rsidRPr="006731E5">
        <w:rPr>
          <w:szCs w:val="20"/>
        </w:rPr>
        <w:t>onditions on individually issued licences</w:t>
      </w:r>
    </w:p>
    <w:p w14:paraId="54858298" w14:textId="6DFF8368" w:rsidR="00057E0B" w:rsidRDefault="00AE5D32" w:rsidP="00FE69BE">
      <w:pPr>
        <w:pStyle w:val="Bulletlevel1"/>
        <w:spacing w:after="240"/>
      </w:pPr>
      <w:r>
        <w:t>o</w:t>
      </w:r>
      <w:r w:rsidR="00057E0B" w:rsidRPr="29EC2A3F">
        <w:t xml:space="preserve">ther legislative instruments or ACMA policy documents referenced </w:t>
      </w:r>
      <w:r w:rsidR="00B759A4">
        <w:t xml:space="preserve">in any </w:t>
      </w:r>
      <w:r w:rsidR="00057E0B" w:rsidRPr="29EC2A3F">
        <w:t>the above.</w:t>
      </w:r>
    </w:p>
    <w:p w14:paraId="3F3EEA63" w14:textId="7E612AE2" w:rsidR="002E534D" w:rsidRDefault="00BC493E" w:rsidP="00AE5D32">
      <w:pPr>
        <w:spacing w:line="259" w:lineRule="auto"/>
        <w:rPr>
          <w:rFonts w:eastAsia="Arial" w:cs="Arial"/>
        </w:rPr>
      </w:pPr>
      <w:r w:rsidRPr="006A50CC">
        <w:t xml:space="preserve">A draft revised </w:t>
      </w:r>
      <w:r>
        <w:t>RALI MS47</w:t>
      </w:r>
      <w:r w:rsidR="000F137A">
        <w:t xml:space="preserve"> is </w:t>
      </w:r>
      <w:r w:rsidR="0055577C">
        <w:t>included in</w:t>
      </w:r>
      <w:r w:rsidR="00616726">
        <w:t xml:space="preserve"> this consultation </w:t>
      </w:r>
      <w:r w:rsidR="00AE5D32">
        <w:t>package,</w:t>
      </w:r>
      <w:r w:rsidR="00616726">
        <w:t xml:space="preserve"> and </w:t>
      </w:r>
      <w:r w:rsidR="009C7E5D">
        <w:t xml:space="preserve">we </w:t>
      </w:r>
      <w:r w:rsidR="00616726">
        <w:t>welcome views on any element of the technical framework</w:t>
      </w:r>
      <w:r w:rsidR="007C204E">
        <w:t xml:space="preserve"> that relate to this proposed allocation</w:t>
      </w:r>
      <w:r w:rsidR="00616726">
        <w:t>.</w:t>
      </w:r>
    </w:p>
    <w:p w14:paraId="48FDA85D" w14:textId="105892A8" w:rsidR="09907C23" w:rsidRDefault="3643BD6A" w:rsidP="164BBBA5">
      <w:pPr>
        <w:pStyle w:val="Heading2"/>
      </w:pPr>
      <w:bookmarkStart w:id="16" w:name="_Toc137808606"/>
      <w:r>
        <w:t xml:space="preserve">Background to the proposed </w:t>
      </w:r>
      <w:r w:rsidR="007613F4">
        <w:t xml:space="preserve">technical </w:t>
      </w:r>
      <w:r>
        <w:t>arrangements</w:t>
      </w:r>
      <w:bookmarkEnd w:id="16"/>
    </w:p>
    <w:p w14:paraId="0ADF66C0" w14:textId="49FDC92C" w:rsidR="3643BD6A" w:rsidRDefault="3643BD6A" w:rsidP="00FE69BE">
      <w:pPr>
        <w:spacing w:after="80" w:line="259" w:lineRule="auto"/>
      </w:pPr>
      <w:r>
        <w:t xml:space="preserve">As well as outlining planning decisions and preliminary views on how </w:t>
      </w:r>
      <w:r w:rsidR="00747994">
        <w:t xml:space="preserve">those decisions </w:t>
      </w:r>
      <w:r>
        <w:t xml:space="preserve">could be implemented, the </w:t>
      </w:r>
      <w:r w:rsidR="009331F7">
        <w:t xml:space="preserve">2021 </w:t>
      </w:r>
      <w:r w:rsidR="0053703F">
        <w:t>o</w:t>
      </w:r>
      <w:r w:rsidR="00CB6FC9">
        <w:t xml:space="preserve">utcomes paper </w:t>
      </w:r>
      <w:r>
        <w:t xml:space="preserve">also indicated preliminary views on some technical framework aspects, as they relate to </w:t>
      </w:r>
      <w:r w:rsidR="00ED4926">
        <w:t>metro</w:t>
      </w:r>
      <w:r w:rsidR="001C0EAA">
        <w:t>politan</w:t>
      </w:r>
      <w:r w:rsidR="00ED4926">
        <w:t xml:space="preserve"> and regional </w:t>
      </w:r>
      <w:r>
        <w:t>areas:</w:t>
      </w:r>
    </w:p>
    <w:p w14:paraId="4CE2E26B" w14:textId="3AAA35BE" w:rsidR="3643BD6A" w:rsidRPr="00AE5D32" w:rsidRDefault="00AE5D32" w:rsidP="00AE5D32">
      <w:pPr>
        <w:pStyle w:val="Bulletlevel1"/>
        <w:rPr>
          <w:rFonts w:eastAsia="Arial"/>
        </w:rPr>
      </w:pPr>
      <w:r>
        <w:t>t</w:t>
      </w:r>
      <w:r w:rsidR="3643BD6A" w:rsidRPr="00AE5D32">
        <w:t>echnical parameters for LA WBB use should align with those under the future spectrum licensing framework in the band as much as is practicable</w:t>
      </w:r>
    </w:p>
    <w:p w14:paraId="2133C69B" w14:textId="5C417810" w:rsidR="3643BD6A" w:rsidRPr="00AE5D32" w:rsidRDefault="00AE5D32" w:rsidP="00AE5D32">
      <w:pPr>
        <w:pStyle w:val="Bulletlevel1"/>
        <w:rPr>
          <w:rFonts w:eastAsia="Arial"/>
        </w:rPr>
      </w:pPr>
      <w:r>
        <w:t>a</w:t>
      </w:r>
      <w:r w:rsidR="3643BD6A" w:rsidRPr="00AE5D32">
        <w:t xml:space="preserve">ny </w:t>
      </w:r>
      <w:r w:rsidR="00CB6FC9" w:rsidRPr="00AE5D32">
        <w:t>AWL</w:t>
      </w:r>
      <w:r w:rsidR="3643BD6A" w:rsidRPr="00AE5D32">
        <w:t xml:space="preserve"> framework proposed should ideally attempt to accommodate WBB, FSS and PTP services within the one framework if practicable</w:t>
      </w:r>
    </w:p>
    <w:p w14:paraId="4DEDEBFA" w14:textId="02D79303" w:rsidR="3643BD6A" w:rsidRPr="00AE5D32" w:rsidRDefault="00AE5D32" w:rsidP="00AE5D32">
      <w:pPr>
        <w:pStyle w:val="Bulletlevel1"/>
        <w:rPr>
          <w:rFonts w:eastAsia="Arial"/>
        </w:rPr>
      </w:pPr>
      <w:r>
        <w:t>f</w:t>
      </w:r>
      <w:r w:rsidR="3643BD6A" w:rsidRPr="00AE5D32">
        <w:t>uture consideration of low</w:t>
      </w:r>
      <w:r w:rsidR="003D7345" w:rsidRPr="00AE5D32">
        <w:t>-</w:t>
      </w:r>
      <w:r w:rsidR="3643BD6A" w:rsidRPr="00AE5D32">
        <w:t>power or indoor deployment WBB arrangements is desirable</w:t>
      </w:r>
    </w:p>
    <w:p w14:paraId="55F861D6" w14:textId="232F92AA" w:rsidR="3643BD6A" w:rsidRPr="00AE5D32" w:rsidRDefault="00065B85" w:rsidP="00AE5D32">
      <w:pPr>
        <w:pStyle w:val="Bulletlevel1"/>
        <w:rPr>
          <w:rFonts w:eastAsia="Arial"/>
        </w:rPr>
      </w:pPr>
      <w:r w:rsidRPr="00AE5D32">
        <w:t>PTP</w:t>
      </w:r>
      <w:r w:rsidR="3643BD6A" w:rsidRPr="00AE5D32">
        <w:t xml:space="preserve"> arrangements should be consolidated </w:t>
      </w:r>
      <w:r w:rsidR="007009C9" w:rsidRPr="00AE5D32">
        <w:t xml:space="preserve">to </w:t>
      </w:r>
      <w:r w:rsidR="3643BD6A" w:rsidRPr="00AE5D32">
        <w:t>the 3.8–4.2 GHz frequency range Australia-wide</w:t>
      </w:r>
    </w:p>
    <w:p w14:paraId="71864CFB" w14:textId="5091F84A" w:rsidR="3643BD6A" w:rsidRPr="00AE5D32" w:rsidRDefault="00AE5D32" w:rsidP="00AE5D32">
      <w:pPr>
        <w:pStyle w:val="Bulletlevel1"/>
        <w:rPr>
          <w:rFonts w:eastAsia="Arial"/>
        </w:rPr>
      </w:pPr>
      <w:r>
        <w:t>e</w:t>
      </w:r>
      <w:r w:rsidR="3643BD6A" w:rsidRPr="00AE5D32">
        <w:t>arth station protection zone areas should not be identified for any spectrum licensing or apparatus licensing in the band other than for FSS receivers</w:t>
      </w:r>
    </w:p>
    <w:p w14:paraId="65A290C8" w14:textId="4BD3D3A2" w:rsidR="3643BD6A" w:rsidRPr="00AE5D32" w:rsidRDefault="00AE5D32" w:rsidP="00AE5D32">
      <w:pPr>
        <w:pStyle w:val="Bulletlevel1"/>
        <w:rPr>
          <w:rFonts w:eastAsia="Arial"/>
        </w:rPr>
      </w:pPr>
      <w:r>
        <w:t>a</w:t>
      </w:r>
      <w:r w:rsidR="00EA6EA5" w:rsidRPr="00AE5D32">
        <w:t>rrangements for r</w:t>
      </w:r>
      <w:r w:rsidR="3643BD6A" w:rsidRPr="00AE5D32">
        <w:t xml:space="preserve">adiolocation services in the </w:t>
      </w:r>
      <w:r w:rsidR="00065B85" w:rsidRPr="00AE5D32">
        <w:t>3.</w:t>
      </w:r>
      <w:r w:rsidR="00553059" w:rsidRPr="00AE5D32">
        <w:t>1–3.5 </w:t>
      </w:r>
      <w:r w:rsidR="000915DE" w:rsidRPr="00AE5D32">
        <w:t xml:space="preserve">GHz </w:t>
      </w:r>
      <w:r w:rsidR="3643BD6A" w:rsidRPr="00AE5D32">
        <w:t xml:space="preserve">band </w:t>
      </w:r>
      <w:r w:rsidR="00937EB7" w:rsidRPr="00AE5D32">
        <w:t>should not change, nor those permitted in the 3</w:t>
      </w:r>
      <w:r w:rsidR="00C14782" w:rsidRPr="00AE5D32">
        <w:t>.</w:t>
      </w:r>
      <w:r w:rsidR="00937EB7" w:rsidRPr="00AE5D32">
        <w:t>7</w:t>
      </w:r>
      <w:r w:rsidR="00A30558" w:rsidRPr="00AE5D32">
        <w:t>–</w:t>
      </w:r>
      <w:r w:rsidR="00937EB7" w:rsidRPr="00AE5D32">
        <w:t>4</w:t>
      </w:r>
      <w:r w:rsidR="00C14782" w:rsidRPr="00AE5D32">
        <w:t>.</w:t>
      </w:r>
      <w:r w:rsidR="00937EB7" w:rsidRPr="00AE5D32">
        <w:t xml:space="preserve">2 </w:t>
      </w:r>
      <w:r w:rsidR="00C14782" w:rsidRPr="00AE5D32">
        <w:t xml:space="preserve">GHz </w:t>
      </w:r>
      <w:r w:rsidR="00937EB7" w:rsidRPr="00AE5D32">
        <w:t xml:space="preserve">band </w:t>
      </w:r>
      <w:r w:rsidR="00753C33" w:rsidRPr="00AE5D32">
        <w:t xml:space="preserve">under </w:t>
      </w:r>
      <w:r w:rsidR="00B72B95" w:rsidRPr="00AE5D32">
        <w:t>in accordance with subsection</w:t>
      </w:r>
      <w:r w:rsidR="00CD158D" w:rsidRPr="00AE5D32">
        <w:t xml:space="preserve"> </w:t>
      </w:r>
      <w:r w:rsidR="00753C33" w:rsidRPr="00AE5D32">
        <w:t xml:space="preserve">10(7) of the </w:t>
      </w:r>
      <w:r w:rsidR="00691D7A" w:rsidRPr="00FE69BE">
        <w:t>Australian Radiofrequency Spectrum Plan 2021</w:t>
      </w:r>
      <w:r w:rsidR="00691D7A" w:rsidRPr="00AE5D32">
        <w:t xml:space="preserve"> (</w:t>
      </w:r>
      <w:r w:rsidR="00563D67" w:rsidRPr="00AE5D32">
        <w:t>the Spectrum P</w:t>
      </w:r>
      <w:r w:rsidR="00CD228D" w:rsidRPr="00AE5D32">
        <w:t>lan</w:t>
      </w:r>
      <w:r w:rsidR="00691D7A" w:rsidRPr="00AE5D32">
        <w:t>)</w:t>
      </w:r>
    </w:p>
    <w:p w14:paraId="50449A00" w14:textId="578DBBBC" w:rsidR="007E5731" w:rsidRPr="00AE5D32" w:rsidRDefault="00AE5D32" w:rsidP="00FE69BE">
      <w:pPr>
        <w:pStyle w:val="Bulletlevel1"/>
        <w:spacing w:after="240"/>
      </w:pPr>
      <w:r>
        <w:t>a</w:t>
      </w:r>
      <w:r w:rsidR="3643BD6A" w:rsidRPr="00AE5D32">
        <w:t xml:space="preserve">rrangements for existing low interference potential devices permitted in the </w:t>
      </w:r>
      <w:r w:rsidR="00B11DE5" w:rsidRPr="00AE5D32">
        <w:br/>
      </w:r>
      <w:r w:rsidR="007E5928" w:rsidRPr="00AE5D32">
        <w:t>3.</w:t>
      </w:r>
      <w:r w:rsidR="00CC5845" w:rsidRPr="00AE5D32">
        <w:t>4</w:t>
      </w:r>
      <w:r w:rsidR="007E5928" w:rsidRPr="00AE5D32">
        <w:t xml:space="preserve">–4.2 GHz </w:t>
      </w:r>
      <w:r w:rsidR="3643BD6A" w:rsidRPr="00AE5D32">
        <w:t>band should not change</w:t>
      </w:r>
      <w:r>
        <w:t>.</w:t>
      </w:r>
    </w:p>
    <w:p w14:paraId="7999E99F" w14:textId="2391C713" w:rsidR="00C21376" w:rsidRPr="00FE69BE" w:rsidRDefault="00C21376" w:rsidP="00AE5D32">
      <w:pPr>
        <w:pStyle w:val="Heading2"/>
      </w:pPr>
      <w:bookmarkStart w:id="17" w:name="_Toc137808607"/>
      <w:r w:rsidRPr="00AE5D32">
        <w:lastRenderedPageBreak/>
        <w:t>Technical Liaison Group (TLG)</w:t>
      </w:r>
      <w:bookmarkEnd w:id="17"/>
      <w:r w:rsidRPr="00AE5D32">
        <w:t xml:space="preserve"> </w:t>
      </w:r>
    </w:p>
    <w:p w14:paraId="20A48328" w14:textId="4BCE5ABA" w:rsidR="00C21376" w:rsidRPr="007121BE" w:rsidRDefault="00C21376" w:rsidP="00C21376">
      <w:pPr>
        <w:rPr>
          <w:rFonts w:eastAsia="Arial" w:cs="Arial"/>
        </w:rPr>
      </w:pPr>
      <w:r w:rsidRPr="007121BE">
        <w:rPr>
          <w:rFonts w:eastAsia="Arial" w:cs="Arial"/>
        </w:rPr>
        <w:t xml:space="preserve">A TLG is a short-term advisory body convened by </w:t>
      </w:r>
      <w:r w:rsidR="00B11DE5">
        <w:rPr>
          <w:rFonts w:eastAsia="Arial" w:cs="Arial"/>
        </w:rPr>
        <w:t xml:space="preserve">us </w:t>
      </w:r>
      <w:r w:rsidRPr="007121BE">
        <w:rPr>
          <w:rFonts w:eastAsia="Arial" w:cs="Arial"/>
        </w:rPr>
        <w:t>which offers a</w:t>
      </w:r>
      <w:r w:rsidR="007F671C">
        <w:rPr>
          <w:rFonts w:eastAsia="Arial" w:cs="Arial"/>
        </w:rPr>
        <w:t>n informal</w:t>
      </w:r>
      <w:r w:rsidRPr="007121BE">
        <w:rPr>
          <w:rFonts w:eastAsia="Arial" w:cs="Arial"/>
        </w:rPr>
        <w:t xml:space="preserve"> discussion forum between </w:t>
      </w:r>
      <w:r w:rsidR="00E5746B">
        <w:rPr>
          <w:rFonts w:eastAsia="Arial" w:cs="Arial"/>
        </w:rPr>
        <w:t>the ACMA</w:t>
      </w:r>
      <w:r w:rsidRPr="007121BE">
        <w:rPr>
          <w:rFonts w:eastAsia="Arial" w:cs="Arial"/>
        </w:rPr>
        <w:t xml:space="preserve">, industry and other stakeholders with an interest in the technical aspects of licences. </w:t>
      </w:r>
      <w:r w:rsidRPr="00736BE8">
        <w:t>Its purpose is to provide advice on the development of, or possible changes to, a licen</w:t>
      </w:r>
      <w:r w:rsidR="00277D35">
        <w:t>s</w:t>
      </w:r>
      <w:r>
        <w:t>ing</w:t>
      </w:r>
      <w:r w:rsidRPr="00736BE8">
        <w:t xml:space="preserve"> technical framework.</w:t>
      </w:r>
    </w:p>
    <w:p w14:paraId="3E652BBD" w14:textId="2B1AA223" w:rsidR="00C21376" w:rsidRDefault="00C21376" w:rsidP="00C21376">
      <w:pPr>
        <w:rPr>
          <w:rFonts w:cs="Arial"/>
        </w:rPr>
      </w:pPr>
      <w:r>
        <w:rPr>
          <w:rFonts w:cs="Arial"/>
          <w:bCs/>
          <w:color w:val="000000" w:themeColor="text1"/>
          <w:szCs w:val="20"/>
        </w:rPr>
        <w:t xml:space="preserve">To facilitate development of apparatus and spectrum licence arrangements, </w:t>
      </w:r>
      <w:r w:rsidR="00B11DE5">
        <w:rPr>
          <w:rFonts w:cs="Arial"/>
          <w:bCs/>
          <w:color w:val="000000" w:themeColor="text1"/>
          <w:szCs w:val="20"/>
        </w:rPr>
        <w:t xml:space="preserve">we </w:t>
      </w:r>
      <w:r>
        <w:rPr>
          <w:rFonts w:cs="Arial"/>
          <w:bCs/>
          <w:color w:val="000000" w:themeColor="text1"/>
          <w:szCs w:val="20"/>
        </w:rPr>
        <w:t>formed the 3.4–4.0 GHz TLG</w:t>
      </w:r>
      <w:r w:rsidR="00607451">
        <w:rPr>
          <w:rFonts w:cs="Arial"/>
          <w:bCs/>
          <w:color w:val="000000" w:themeColor="text1"/>
          <w:szCs w:val="20"/>
        </w:rPr>
        <w:t xml:space="preserve"> to </w:t>
      </w:r>
      <w:r w:rsidRPr="009C4CA7">
        <w:rPr>
          <w:rFonts w:cs="Arial"/>
          <w:bCs/>
          <w:color w:val="000000" w:themeColor="text1"/>
          <w:szCs w:val="20"/>
        </w:rPr>
        <w:t>review</w:t>
      </w:r>
      <w:r w:rsidR="00607451">
        <w:rPr>
          <w:rFonts w:cs="Arial"/>
          <w:bCs/>
          <w:color w:val="000000" w:themeColor="text1"/>
          <w:szCs w:val="20"/>
        </w:rPr>
        <w:t xml:space="preserve"> and </w:t>
      </w:r>
      <w:r w:rsidRPr="009C4CA7">
        <w:rPr>
          <w:rFonts w:cs="Arial"/>
          <w:bCs/>
          <w:color w:val="000000" w:themeColor="text1"/>
          <w:szCs w:val="20"/>
        </w:rPr>
        <w:t xml:space="preserve">develop spectrum and apparatus </w:t>
      </w:r>
      <w:r w:rsidR="008F1FF7" w:rsidRPr="009C4CA7">
        <w:rPr>
          <w:rFonts w:cs="Arial"/>
          <w:bCs/>
          <w:color w:val="000000" w:themeColor="text1"/>
          <w:szCs w:val="20"/>
        </w:rPr>
        <w:t>licen</w:t>
      </w:r>
      <w:r w:rsidR="008F1FF7">
        <w:rPr>
          <w:rFonts w:cs="Arial"/>
          <w:bCs/>
          <w:color w:val="000000" w:themeColor="text1"/>
          <w:szCs w:val="20"/>
        </w:rPr>
        <w:t>sing</w:t>
      </w:r>
      <w:r w:rsidR="008F1FF7" w:rsidRPr="009C4CA7">
        <w:rPr>
          <w:rFonts w:cs="Arial"/>
          <w:bCs/>
          <w:color w:val="000000" w:themeColor="text1"/>
          <w:szCs w:val="20"/>
        </w:rPr>
        <w:t xml:space="preserve"> </w:t>
      </w:r>
      <w:r w:rsidRPr="009C4CA7">
        <w:rPr>
          <w:rFonts w:cs="Arial"/>
          <w:bCs/>
          <w:color w:val="000000" w:themeColor="text1"/>
          <w:szCs w:val="20"/>
        </w:rPr>
        <w:t xml:space="preserve">technical frameworks for the </w:t>
      </w:r>
      <w:r>
        <w:rPr>
          <w:rFonts w:cs="Arial"/>
          <w:bCs/>
          <w:color w:val="000000" w:themeColor="text1"/>
          <w:szCs w:val="20"/>
        </w:rPr>
        <w:t xml:space="preserve">3.4–4.0 GHz </w:t>
      </w:r>
      <w:r w:rsidR="00DA72EA">
        <w:rPr>
          <w:rFonts w:cs="Arial"/>
          <w:bCs/>
          <w:color w:val="000000" w:themeColor="text1"/>
          <w:szCs w:val="20"/>
        </w:rPr>
        <w:t>band</w:t>
      </w:r>
      <w:r w:rsidRPr="009C4CA7">
        <w:rPr>
          <w:rFonts w:cs="Arial"/>
          <w:bCs/>
          <w:color w:val="000000" w:themeColor="text1"/>
          <w:szCs w:val="20"/>
        </w:rPr>
        <w:t xml:space="preserve">. </w:t>
      </w:r>
      <w:r w:rsidR="00E50397">
        <w:rPr>
          <w:rFonts w:cs="Arial"/>
        </w:rPr>
        <w:t xml:space="preserve">There were </w:t>
      </w:r>
      <w:r w:rsidR="00AE5D32">
        <w:rPr>
          <w:rFonts w:cs="Arial"/>
        </w:rPr>
        <w:t>2</w:t>
      </w:r>
      <w:r w:rsidR="00E50397">
        <w:rPr>
          <w:rFonts w:cs="Arial"/>
        </w:rPr>
        <w:t xml:space="preserve"> phases of the TLG, </w:t>
      </w:r>
      <w:r w:rsidR="007D58BA">
        <w:rPr>
          <w:rFonts w:cs="Arial"/>
        </w:rPr>
        <w:t xml:space="preserve">and the outcome of </w:t>
      </w:r>
      <w:r w:rsidR="007D58BA">
        <w:rPr>
          <w:rFonts w:eastAsia="Arial" w:cs="Arial"/>
        </w:rPr>
        <w:t xml:space="preserve">discussions </w:t>
      </w:r>
      <w:r w:rsidR="007D58BA">
        <w:rPr>
          <w:rFonts w:cs="Arial"/>
        </w:rPr>
        <w:t>are</w:t>
      </w:r>
      <w:r w:rsidRPr="10B5E1C3">
        <w:rPr>
          <w:rFonts w:cs="Arial"/>
        </w:rPr>
        <w:t xml:space="preserve"> </w:t>
      </w:r>
      <w:r w:rsidR="0026739F">
        <w:rPr>
          <w:rFonts w:cs="Arial"/>
        </w:rPr>
        <w:t>available</w:t>
      </w:r>
      <w:r w:rsidRPr="10B5E1C3">
        <w:rPr>
          <w:rFonts w:cs="Arial"/>
        </w:rPr>
        <w:t xml:space="preserve"> on the </w:t>
      </w:r>
      <w:hyperlink r:id="rId35">
        <w:r w:rsidRPr="10B5E1C3">
          <w:rPr>
            <w:rFonts w:cs="Arial"/>
            <w:color w:val="0000FF"/>
            <w:u w:val="single"/>
          </w:rPr>
          <w:t>ACMA website</w:t>
        </w:r>
      </w:hyperlink>
      <w:r w:rsidRPr="10B5E1C3">
        <w:rPr>
          <w:rFonts w:cs="Arial"/>
        </w:rPr>
        <w:t xml:space="preserve">. </w:t>
      </w:r>
    </w:p>
    <w:p w14:paraId="65CAF2B9" w14:textId="77777777" w:rsidR="001741C5" w:rsidRDefault="00C21376" w:rsidP="00C21376">
      <w:pPr>
        <w:rPr>
          <w:rFonts w:eastAsia="Arial" w:cs="Arial"/>
          <w:snapToGrid w:val="0"/>
          <w:lang w:eastAsia="en-US"/>
        </w:rPr>
      </w:pPr>
      <w:r w:rsidRPr="00851249">
        <w:rPr>
          <w:rFonts w:eastAsia="Arial" w:cs="Arial"/>
          <w:snapToGrid w:val="0"/>
          <w:lang w:eastAsia="en-US"/>
        </w:rPr>
        <w:t xml:space="preserve">The draft technical framework proposed for AWLs in these bands </w:t>
      </w:r>
      <w:r w:rsidR="00EF4815">
        <w:rPr>
          <w:rFonts w:eastAsia="Arial" w:cs="Arial"/>
          <w:snapToGrid w:val="0"/>
          <w:lang w:eastAsia="en-US"/>
        </w:rPr>
        <w:t xml:space="preserve">is </w:t>
      </w:r>
      <w:r w:rsidRPr="00851249">
        <w:rPr>
          <w:rFonts w:eastAsia="Arial" w:cs="Arial"/>
          <w:snapToGrid w:val="0"/>
          <w:lang w:eastAsia="en-US"/>
        </w:rPr>
        <w:t xml:space="preserve">informed by TLG </w:t>
      </w:r>
      <w:r>
        <w:rPr>
          <w:rFonts w:eastAsia="Arial" w:cs="Arial"/>
          <w:snapToGrid w:val="0"/>
          <w:lang w:eastAsia="en-US"/>
        </w:rPr>
        <w:t>discussions</w:t>
      </w:r>
      <w:r w:rsidR="009669E5">
        <w:rPr>
          <w:rFonts w:eastAsia="Arial" w:cs="Arial"/>
          <w:snapToGrid w:val="0"/>
          <w:lang w:eastAsia="en-US"/>
        </w:rPr>
        <w:t xml:space="preserve">, </w:t>
      </w:r>
      <w:r w:rsidR="004F04A3">
        <w:rPr>
          <w:rFonts w:eastAsia="Arial" w:cs="Arial"/>
          <w:snapToGrid w:val="0"/>
          <w:lang w:eastAsia="en-US"/>
        </w:rPr>
        <w:t xml:space="preserve">submissions to the March 23 </w:t>
      </w:r>
      <w:hyperlink r:id="rId36" w:history="1">
        <w:r w:rsidR="0054772B" w:rsidRPr="008E483C">
          <w:rPr>
            <w:rStyle w:val="Hyperlink"/>
            <w:rFonts w:eastAsia="Arial" w:cs="Arial"/>
            <w:snapToGrid w:val="0"/>
            <w:lang w:eastAsia="en-US"/>
          </w:rPr>
          <w:t>Radiocommunications Advisory Guidelines (Managing Interference from Spectrum Licensed Transmitters — 3.4 GHz Band) 2015</w:t>
        </w:r>
        <w:r w:rsidR="0054772B" w:rsidRPr="00D91D54">
          <w:rPr>
            <w:rStyle w:val="Hyperlink"/>
            <w:rFonts w:eastAsia="Arial" w:cs="Arial"/>
            <w:snapToGrid w:val="0"/>
            <w:lang w:eastAsia="en-US"/>
          </w:rPr>
          <w:t xml:space="preserve"> consultation</w:t>
        </w:r>
      </w:hyperlink>
      <w:r w:rsidR="0054772B">
        <w:rPr>
          <w:rFonts w:eastAsia="Arial" w:cs="Arial"/>
          <w:snapToGrid w:val="0"/>
          <w:lang w:eastAsia="en-US"/>
        </w:rPr>
        <w:t xml:space="preserve">, </w:t>
      </w:r>
      <w:r w:rsidR="009669E5">
        <w:rPr>
          <w:rFonts w:eastAsia="Arial" w:cs="Arial"/>
          <w:snapToGrid w:val="0"/>
          <w:lang w:eastAsia="en-US"/>
        </w:rPr>
        <w:t>other engagements and ACMA staff considerations</w:t>
      </w:r>
      <w:r w:rsidRPr="00851249">
        <w:rPr>
          <w:rFonts w:eastAsia="Arial" w:cs="Arial"/>
          <w:snapToGrid w:val="0"/>
          <w:lang w:eastAsia="en-US"/>
        </w:rPr>
        <w:t>.</w:t>
      </w:r>
    </w:p>
    <w:p w14:paraId="289E8044" w14:textId="4D181389" w:rsidR="00616726" w:rsidRDefault="00616726" w:rsidP="0087611E">
      <w:pPr>
        <w:pStyle w:val="Heading2"/>
        <w:keepLines/>
      </w:pPr>
      <w:bookmarkStart w:id="18" w:name="_Toc137808608"/>
      <w:r>
        <w:t>Summary of proposed arrangements</w:t>
      </w:r>
      <w:bookmarkEnd w:id="18"/>
    </w:p>
    <w:p w14:paraId="63AB66A7" w14:textId="56041414" w:rsidR="00616726" w:rsidRPr="00AE5D32" w:rsidRDefault="00797E01" w:rsidP="00FE69BE">
      <w:pPr>
        <w:pStyle w:val="Heading3"/>
      </w:pPr>
      <w:r w:rsidRPr="00AE5D32">
        <w:t>PTP</w:t>
      </w:r>
      <w:r w:rsidR="00616726" w:rsidRPr="00AE5D32">
        <w:t xml:space="preserve"> services</w:t>
      </w:r>
    </w:p>
    <w:p w14:paraId="418DFD1E" w14:textId="37CAD914" w:rsidR="00616726" w:rsidRDefault="00E5746B" w:rsidP="0087611E">
      <w:pPr>
        <w:keepNext/>
        <w:keepLines/>
        <w:spacing w:after="160" w:line="259" w:lineRule="auto"/>
      </w:pPr>
      <w:r>
        <w:t>Apparatus licences for n</w:t>
      </w:r>
      <w:r w:rsidR="00616726">
        <w:t xml:space="preserve">ew PTP services </w:t>
      </w:r>
      <w:r w:rsidR="00D976BF">
        <w:t xml:space="preserve">will </w:t>
      </w:r>
      <w:r w:rsidR="00DB58B6">
        <w:t xml:space="preserve">generally be </w:t>
      </w:r>
      <w:r w:rsidR="00616726">
        <w:t xml:space="preserve">restricted to the </w:t>
      </w:r>
      <w:r w:rsidR="00C21376">
        <w:t xml:space="preserve">3.8–4.2 GHz </w:t>
      </w:r>
      <w:r w:rsidR="00616726">
        <w:t>range</w:t>
      </w:r>
      <w:r w:rsidR="7D1B386F">
        <w:t>, based on flexible use of the remaining channels of the current channel raster</w:t>
      </w:r>
      <w:r w:rsidR="47366AE0">
        <w:t xml:space="preserve"> (</w:t>
      </w:r>
      <w:r w:rsidR="00432404">
        <w:t xml:space="preserve">see </w:t>
      </w:r>
      <w:r w:rsidR="47366AE0">
        <w:t xml:space="preserve">Figure </w:t>
      </w:r>
      <w:r w:rsidR="00117FA1">
        <w:t>1</w:t>
      </w:r>
      <w:r w:rsidR="47366AE0">
        <w:t>)</w:t>
      </w:r>
      <w:r w:rsidR="00466E57">
        <w:t xml:space="preserve"> and to </w:t>
      </w:r>
      <w:r w:rsidR="00DB58B6">
        <w:t>areas</w:t>
      </w:r>
      <w:r w:rsidR="00466E57">
        <w:t xml:space="preserve"> outside of </w:t>
      </w:r>
      <w:r w:rsidR="00442A5C">
        <w:t>specified metropolitan</w:t>
      </w:r>
      <w:r w:rsidR="00B55F5A">
        <w:t xml:space="preserve"> </w:t>
      </w:r>
      <w:r w:rsidR="00616726">
        <w:t>areas</w:t>
      </w:r>
      <w:r w:rsidR="2D7A44FC">
        <w:t xml:space="preserve"> described </w:t>
      </w:r>
      <w:r w:rsidR="00442A5C">
        <w:t xml:space="preserve">in </w:t>
      </w:r>
      <w:r w:rsidR="006D2FC9">
        <w:t xml:space="preserve">the </w:t>
      </w:r>
      <w:r w:rsidR="00442A5C">
        <w:t>RALI MS47</w:t>
      </w:r>
      <w:r w:rsidR="006D2FC9">
        <w:t xml:space="preserve"> as proposed to be amended</w:t>
      </w:r>
      <w:r w:rsidR="440B3507">
        <w:t>.</w:t>
      </w:r>
      <w:r w:rsidR="00616726">
        <w:t xml:space="preserve"> </w:t>
      </w:r>
    </w:p>
    <w:p w14:paraId="57BBDAA5" w14:textId="2C526382" w:rsidR="1D807B38" w:rsidRPr="00165C8E" w:rsidRDefault="61547A8D" w:rsidP="00FE69BE">
      <w:pPr>
        <w:pStyle w:val="ACMAFigureHeader"/>
      </w:pPr>
      <w:r w:rsidRPr="00165C8E">
        <w:t>Restricted existing channel raster</w:t>
      </w:r>
    </w:p>
    <w:p w14:paraId="1E3E72E4" w14:textId="4BE42A08" w:rsidR="1D807B38" w:rsidRDefault="428E4CF2" w:rsidP="0087611E">
      <w:pPr>
        <w:keepNext/>
        <w:keepLines/>
        <w:spacing w:after="160" w:line="259" w:lineRule="auto"/>
        <w:rPr>
          <w:szCs w:val="20"/>
        </w:rPr>
      </w:pPr>
      <w:r>
        <w:rPr>
          <w:noProof/>
        </w:rPr>
        <w:drawing>
          <wp:inline distT="0" distB="0" distL="0" distR="0" wp14:anchorId="6725358A" wp14:editId="0771A7E1">
            <wp:extent cx="4572000" cy="1581150"/>
            <wp:effectExtent l="0" t="0" r="0" b="0"/>
            <wp:docPr id="2029046266" name="Picture 2029046266" descr="Figure 1: Restricted existing channel r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046266" name="Picture 2029046266" descr="Figure 1: Restricted existing channel raster"/>
                    <pic:cNvPicPr/>
                  </pic:nvPicPr>
                  <pic:blipFill>
                    <a:blip r:embed="rId37">
                      <a:extLst>
                        <a:ext uri="{28A0092B-C50C-407E-A947-70E740481C1C}">
                          <a14:useLocalDpi xmlns:a14="http://schemas.microsoft.com/office/drawing/2010/main" val="0"/>
                        </a:ext>
                      </a:extLst>
                    </a:blip>
                    <a:stretch>
                      <a:fillRect/>
                    </a:stretch>
                  </pic:blipFill>
                  <pic:spPr>
                    <a:xfrm>
                      <a:off x="0" y="0"/>
                      <a:ext cx="4572000" cy="1581150"/>
                    </a:xfrm>
                    <a:prstGeom prst="rect">
                      <a:avLst/>
                    </a:prstGeom>
                  </pic:spPr>
                </pic:pic>
              </a:graphicData>
            </a:graphic>
          </wp:inline>
        </w:drawing>
      </w:r>
    </w:p>
    <w:p w14:paraId="7F3449AD" w14:textId="3D0CCC6F" w:rsidR="00616726" w:rsidRDefault="00616726" w:rsidP="00616726">
      <w:pPr>
        <w:spacing w:after="160" w:line="259" w:lineRule="auto"/>
      </w:pPr>
      <w:r>
        <w:t xml:space="preserve">Coordination requirements for PTP services are proposed </w:t>
      </w:r>
      <w:r w:rsidR="00EF0434">
        <w:t>to</w:t>
      </w:r>
      <w:r>
        <w:t xml:space="preserve"> remain the same as described in the current </w:t>
      </w:r>
      <w:hyperlink r:id="rId38">
        <w:r w:rsidRPr="3F059A03">
          <w:rPr>
            <w:rStyle w:val="Hyperlink"/>
          </w:rPr>
          <w:t>RALI FX3</w:t>
        </w:r>
      </w:hyperlink>
      <w:r>
        <w:t xml:space="preserve">, </w:t>
      </w:r>
      <w:r w:rsidR="004E6628">
        <w:t>and</w:t>
      </w:r>
      <w:r>
        <w:t xml:space="preserve"> </w:t>
      </w:r>
      <w:r w:rsidR="00CA7158">
        <w:t xml:space="preserve">current </w:t>
      </w:r>
      <w:r>
        <w:t>RALI MS47</w:t>
      </w:r>
      <w:r w:rsidR="2A9DF9A6">
        <w:t>.</w:t>
      </w:r>
    </w:p>
    <w:p w14:paraId="13FB73A0" w14:textId="4EB16C07" w:rsidR="00616726" w:rsidRDefault="009B1FC4" w:rsidP="00616726">
      <w:pPr>
        <w:pStyle w:val="Heading3"/>
      </w:pPr>
      <w:r>
        <w:t xml:space="preserve">The </w:t>
      </w:r>
      <w:r w:rsidR="00DB58B6">
        <w:t>f</w:t>
      </w:r>
      <w:r>
        <w:t xml:space="preserve">ixed </w:t>
      </w:r>
      <w:r w:rsidR="00DB58B6">
        <w:t>s</w:t>
      </w:r>
      <w:r>
        <w:t>atellite service</w:t>
      </w:r>
    </w:p>
    <w:p w14:paraId="308F8BAE" w14:textId="6FC04D09" w:rsidR="00616726" w:rsidRDefault="000E23A7" w:rsidP="00616726">
      <w:pPr>
        <w:spacing w:after="160" w:line="259" w:lineRule="auto"/>
        <w:rPr>
          <w:rFonts w:eastAsia="Arial"/>
        </w:rPr>
      </w:pPr>
      <w:r>
        <w:t>In regional and metropolitan areas</w:t>
      </w:r>
      <w:r w:rsidR="005A5947">
        <w:t xml:space="preserve"> in </w:t>
      </w:r>
      <w:r w:rsidR="00DF2FC7">
        <w:t>the</w:t>
      </w:r>
      <w:r w:rsidR="005A5947">
        <w:t xml:space="preserve"> 3750</w:t>
      </w:r>
      <w:r w:rsidR="00AE5D32">
        <w:t>–</w:t>
      </w:r>
      <w:r w:rsidR="005A5947">
        <w:t>4000 MHz</w:t>
      </w:r>
      <w:r w:rsidR="00DF2FC7">
        <w:t xml:space="preserve"> band</w:t>
      </w:r>
      <w:r w:rsidR="00B9394E">
        <w:t xml:space="preserve">, </w:t>
      </w:r>
      <w:r w:rsidR="00977BB9">
        <w:t xml:space="preserve">new </w:t>
      </w:r>
      <w:r w:rsidR="00A22591">
        <w:t>earth</w:t>
      </w:r>
      <w:r w:rsidR="00977BB9">
        <w:t xml:space="preserve"> </w:t>
      </w:r>
      <w:r w:rsidR="00575F08">
        <w:t>receiv</w:t>
      </w:r>
      <w:r w:rsidR="00A55A98">
        <w:t>e</w:t>
      </w:r>
      <w:r w:rsidR="00977BB9">
        <w:t xml:space="preserve"> </w:t>
      </w:r>
      <w:r w:rsidR="00A55A98">
        <w:t>stations</w:t>
      </w:r>
      <w:r w:rsidR="00977BB9">
        <w:t xml:space="preserve"> will </w:t>
      </w:r>
      <w:r w:rsidR="00DF2FC7">
        <w:t>generally</w:t>
      </w:r>
      <w:r w:rsidR="00977BB9">
        <w:t xml:space="preserve"> be licensed using </w:t>
      </w:r>
      <w:r w:rsidR="00A55A98">
        <w:t xml:space="preserve">the </w:t>
      </w:r>
      <w:r w:rsidR="00977BB9">
        <w:t xml:space="preserve">AWL receive (AWL rx) </w:t>
      </w:r>
      <w:r w:rsidR="0039771F">
        <w:t>licence</w:t>
      </w:r>
      <w:r w:rsidR="00A55A98">
        <w:t xml:space="preserve"> type</w:t>
      </w:r>
      <w:r w:rsidR="0039771F">
        <w:t xml:space="preserve">. </w:t>
      </w:r>
      <w:r w:rsidR="007A5A2C">
        <w:t xml:space="preserve">Existing </w:t>
      </w:r>
      <w:r w:rsidR="00C85D94">
        <w:t xml:space="preserve">earth receive licences will </w:t>
      </w:r>
      <w:r w:rsidR="00292086">
        <w:t xml:space="preserve">generally </w:t>
      </w:r>
      <w:r w:rsidR="00C85D94">
        <w:t xml:space="preserve">be </w:t>
      </w:r>
      <w:r w:rsidR="00035149">
        <w:t>appropriate for renewal</w:t>
      </w:r>
      <w:r w:rsidR="00C85D94">
        <w:t>.</w:t>
      </w:r>
    </w:p>
    <w:p w14:paraId="37E74C3F" w14:textId="6EAA1FEC" w:rsidR="00D90252" w:rsidRDefault="00D90252" w:rsidP="00FE69BE">
      <w:pPr>
        <w:spacing w:after="80" w:line="259" w:lineRule="auto"/>
        <w:rPr>
          <w:rFonts w:eastAsia="Arial"/>
        </w:rPr>
      </w:pPr>
      <w:r>
        <w:t xml:space="preserve">The draft revised RALI MS47 now includes provisions for </w:t>
      </w:r>
      <w:r w:rsidR="002E4584">
        <w:t xml:space="preserve">assignment and </w:t>
      </w:r>
      <w:r w:rsidR="00575F08">
        <w:t>coordination</w:t>
      </w:r>
      <w:r w:rsidR="002E4584">
        <w:t xml:space="preserve"> of AWL rxs </w:t>
      </w:r>
      <w:r w:rsidR="00B91FB9">
        <w:t xml:space="preserve">to support </w:t>
      </w:r>
      <w:r w:rsidR="009E3124">
        <w:t xml:space="preserve">new </w:t>
      </w:r>
      <w:r w:rsidR="00575F08">
        <w:t>earth receiv</w:t>
      </w:r>
      <w:r w:rsidR="009E3124">
        <w:t>e</w:t>
      </w:r>
      <w:r w:rsidR="00575F08">
        <w:t xml:space="preserve"> </w:t>
      </w:r>
      <w:r w:rsidR="009E3124">
        <w:t>stations</w:t>
      </w:r>
      <w:r w:rsidR="00575F08">
        <w:t>:</w:t>
      </w:r>
    </w:p>
    <w:p w14:paraId="29F5B4D7" w14:textId="4A5173CA" w:rsidR="00F40FA7" w:rsidRDefault="00AE5D32" w:rsidP="00FE69BE">
      <w:pPr>
        <w:pStyle w:val="Bulletlevel1"/>
        <w:rPr>
          <w:rFonts w:eastAsia="Arial"/>
        </w:rPr>
      </w:pPr>
      <w:r>
        <w:rPr>
          <w:rFonts w:eastAsia="Arial"/>
        </w:rPr>
        <w:t>N</w:t>
      </w:r>
      <w:r w:rsidR="00480594">
        <w:rPr>
          <w:rFonts w:eastAsia="Arial"/>
        </w:rPr>
        <w:t>o minimum bandwidth or set channel raster for AWL rx is proposed</w:t>
      </w:r>
      <w:r>
        <w:rPr>
          <w:rFonts w:eastAsia="Arial"/>
        </w:rPr>
        <w:t>.</w:t>
      </w:r>
    </w:p>
    <w:p w14:paraId="3FC5E272" w14:textId="60BA4EF7" w:rsidR="00C40163" w:rsidRDefault="00C40163" w:rsidP="00FE69BE">
      <w:pPr>
        <w:pStyle w:val="Bulletlevel1"/>
        <w:rPr>
          <w:rFonts w:eastAsia="Arial"/>
        </w:rPr>
      </w:pPr>
      <w:r>
        <w:rPr>
          <w:rFonts w:eastAsia="Arial"/>
        </w:rPr>
        <w:t xml:space="preserve">The </w:t>
      </w:r>
      <w:r w:rsidR="004E64DE">
        <w:rPr>
          <w:rFonts w:eastAsia="Arial"/>
        </w:rPr>
        <w:t>device boundary criteria defined</w:t>
      </w:r>
      <w:r w:rsidR="003D4BE5">
        <w:rPr>
          <w:rFonts w:eastAsia="Arial"/>
        </w:rPr>
        <w:t xml:space="preserve"> </w:t>
      </w:r>
      <w:r w:rsidR="004E64DE">
        <w:rPr>
          <w:rFonts w:eastAsia="Arial"/>
        </w:rPr>
        <w:t xml:space="preserve">in the </w:t>
      </w:r>
      <w:r w:rsidR="003D4BE5" w:rsidRPr="00FE69BE">
        <w:rPr>
          <w:rFonts w:eastAsia="Arial"/>
          <w:iCs/>
        </w:rPr>
        <w:t xml:space="preserve">Radiocommunications (Unacceptable Levels of Interference </w:t>
      </w:r>
      <w:r w:rsidR="00AE5D32" w:rsidRPr="00AE5D32">
        <w:rPr>
          <w:iCs/>
        </w:rPr>
        <w:t>–</w:t>
      </w:r>
      <w:r w:rsidR="003D4BE5" w:rsidRPr="00FE69BE">
        <w:rPr>
          <w:rFonts w:eastAsia="Arial"/>
          <w:iCs/>
        </w:rPr>
        <w:t xml:space="preserve"> 3.4 GHz Band) Determination 2015</w:t>
      </w:r>
      <w:r w:rsidR="003D4BE5">
        <w:rPr>
          <w:rFonts w:eastAsia="Arial"/>
        </w:rPr>
        <w:t xml:space="preserve"> (the ULOI)</w:t>
      </w:r>
      <w:r>
        <w:rPr>
          <w:rFonts w:eastAsia="Arial"/>
        </w:rPr>
        <w:t xml:space="preserve"> </w:t>
      </w:r>
      <w:r w:rsidR="00163AE8">
        <w:rPr>
          <w:rFonts w:eastAsia="Arial"/>
        </w:rPr>
        <w:t xml:space="preserve">is proposed to </w:t>
      </w:r>
      <w:r w:rsidR="00DE73CD">
        <w:rPr>
          <w:rFonts w:eastAsia="Arial"/>
        </w:rPr>
        <w:t>appl</w:t>
      </w:r>
      <w:r w:rsidR="00163AE8">
        <w:rPr>
          <w:rFonts w:eastAsia="Arial"/>
        </w:rPr>
        <w:t>y</w:t>
      </w:r>
      <w:r w:rsidR="00DE73CD">
        <w:rPr>
          <w:rFonts w:eastAsia="Arial"/>
        </w:rPr>
        <w:t xml:space="preserve"> </w:t>
      </w:r>
      <w:r w:rsidR="00C30DC7">
        <w:rPr>
          <w:rFonts w:eastAsia="Arial"/>
        </w:rPr>
        <w:t xml:space="preserve">in relation to </w:t>
      </w:r>
      <w:r w:rsidR="00DE73CD">
        <w:rPr>
          <w:rFonts w:eastAsia="Arial"/>
        </w:rPr>
        <w:t xml:space="preserve">AWLs and </w:t>
      </w:r>
      <w:r w:rsidR="00C30DC7">
        <w:rPr>
          <w:rFonts w:eastAsia="Arial"/>
        </w:rPr>
        <w:t>spectrum licensed</w:t>
      </w:r>
      <w:r w:rsidR="00DE73CD">
        <w:rPr>
          <w:rFonts w:eastAsia="Arial"/>
        </w:rPr>
        <w:t xml:space="preserve"> devices </w:t>
      </w:r>
      <w:r w:rsidR="00163AE8">
        <w:rPr>
          <w:rFonts w:eastAsia="Arial"/>
        </w:rPr>
        <w:t xml:space="preserve">at </w:t>
      </w:r>
      <w:r w:rsidR="00DE73CD">
        <w:rPr>
          <w:rFonts w:eastAsia="Arial"/>
        </w:rPr>
        <w:t>the boundary of an AWL rx.</w:t>
      </w:r>
    </w:p>
    <w:p w14:paraId="448A0882" w14:textId="7AAFD092" w:rsidR="00D9146F" w:rsidRDefault="00D9146F" w:rsidP="00FE69BE">
      <w:pPr>
        <w:pStyle w:val="Bulletlevel1"/>
        <w:spacing w:after="240"/>
      </w:pPr>
      <w:r>
        <w:t xml:space="preserve">For AWLs </w:t>
      </w:r>
      <w:r w:rsidR="001270EC">
        <w:t>operating transmitters</w:t>
      </w:r>
      <w:r>
        <w:t xml:space="preserve">, coordination requirements with </w:t>
      </w:r>
      <w:r w:rsidR="003E1A4B">
        <w:t xml:space="preserve">earth receive stations </w:t>
      </w:r>
      <w:r w:rsidR="00537284">
        <w:t>regi</w:t>
      </w:r>
      <w:r w:rsidR="00124DA2">
        <w:t>s</w:t>
      </w:r>
      <w:r w:rsidR="00B4795E">
        <w:t xml:space="preserve">tered under </w:t>
      </w:r>
      <w:r>
        <w:t xml:space="preserve">AWL rxs are introduced. </w:t>
      </w:r>
      <w:r w:rsidR="00BC5318">
        <w:t>Only t</w:t>
      </w:r>
      <w:r>
        <w:t xml:space="preserve">he </w:t>
      </w:r>
      <w:r w:rsidR="00443F9B">
        <w:t xml:space="preserve">receiver </w:t>
      </w:r>
      <w:r>
        <w:t xml:space="preserve">overload mechanism is </w:t>
      </w:r>
      <w:r w:rsidR="001270EC">
        <w:t xml:space="preserve">proposed </w:t>
      </w:r>
      <w:r>
        <w:t>to be considered</w:t>
      </w:r>
      <w:r w:rsidR="009B5E7F">
        <w:t>. The</w:t>
      </w:r>
      <w:r>
        <w:t xml:space="preserve"> assumed RF filter for </w:t>
      </w:r>
      <w:r w:rsidR="009B5E7F">
        <w:t xml:space="preserve">earth station </w:t>
      </w:r>
      <w:r>
        <w:lastRenderedPageBreak/>
        <w:t>receiver</w:t>
      </w:r>
      <w:r w:rsidR="009B5E7F">
        <w:t>s</w:t>
      </w:r>
      <w:r>
        <w:t xml:space="preserve"> is </w:t>
      </w:r>
      <w:r w:rsidR="002270A6">
        <w:t xml:space="preserve">proposed to be </w:t>
      </w:r>
      <w:r>
        <w:t>more stringent tha</w:t>
      </w:r>
      <w:r w:rsidR="00A7726A">
        <w:t>n</w:t>
      </w:r>
      <w:r>
        <w:t xml:space="preserve"> that to be assumed for AWL coordination with earth stations under earth receive licences.</w:t>
      </w:r>
    </w:p>
    <w:p w14:paraId="3C1AB652" w14:textId="4817AD54" w:rsidR="006446CE" w:rsidRDefault="00FC5C94" w:rsidP="00FE69BE">
      <w:pPr>
        <w:spacing w:line="259" w:lineRule="auto"/>
        <w:rPr>
          <w:rFonts w:eastAsia="Arial"/>
        </w:rPr>
      </w:pPr>
      <w:r>
        <w:rPr>
          <w:rFonts w:eastAsia="Arial"/>
        </w:rPr>
        <w:t>I</w:t>
      </w:r>
      <w:r w:rsidR="005B44D4">
        <w:rPr>
          <w:rFonts w:eastAsia="Arial"/>
        </w:rPr>
        <w:t xml:space="preserve">t is intended that </w:t>
      </w:r>
      <w:r w:rsidR="00BC1029">
        <w:rPr>
          <w:rFonts w:eastAsia="Arial"/>
        </w:rPr>
        <w:t>prospective</w:t>
      </w:r>
      <w:r w:rsidR="00B01813">
        <w:rPr>
          <w:rFonts w:eastAsia="Arial"/>
        </w:rPr>
        <w:t xml:space="preserve"> AWL rx licensees </w:t>
      </w:r>
      <w:r w:rsidR="009A3D2D">
        <w:rPr>
          <w:rFonts w:eastAsia="Arial"/>
        </w:rPr>
        <w:t>will</w:t>
      </w:r>
      <w:r w:rsidR="00ED402C">
        <w:rPr>
          <w:rFonts w:eastAsia="Arial"/>
        </w:rPr>
        <w:t xml:space="preserve"> </w:t>
      </w:r>
      <w:r w:rsidR="00B01813">
        <w:rPr>
          <w:rFonts w:eastAsia="Arial"/>
        </w:rPr>
        <w:t xml:space="preserve">consider the size </w:t>
      </w:r>
      <w:r w:rsidR="00BC1029">
        <w:t xml:space="preserve">of the AWL spectrum space (both in area and frequency) </w:t>
      </w:r>
      <w:r w:rsidR="00DB7202">
        <w:t xml:space="preserve">that is </w:t>
      </w:r>
      <w:r w:rsidR="00BC1029">
        <w:t>need</w:t>
      </w:r>
      <w:r w:rsidR="00ED402C">
        <w:t>ed</w:t>
      </w:r>
      <w:r w:rsidR="00BC1029">
        <w:t xml:space="preserve"> to ensure the</w:t>
      </w:r>
      <w:r w:rsidR="001F14DA">
        <w:t xml:space="preserve">ir operations </w:t>
      </w:r>
      <w:r w:rsidR="00BC1029">
        <w:t xml:space="preserve">are provided suitable co-channel and adjacent channel protection from existing and future registered transmitters. </w:t>
      </w:r>
      <w:r w:rsidR="0086134A">
        <w:t>This can</w:t>
      </w:r>
      <w:r w:rsidR="00C840F1">
        <w:t>, for example,</w:t>
      </w:r>
      <w:r w:rsidR="0086134A">
        <w:t xml:space="preserve"> take into account the spectrum </w:t>
      </w:r>
      <w:r w:rsidR="00C840F1">
        <w:t xml:space="preserve">required </w:t>
      </w:r>
      <w:r w:rsidR="0086134A">
        <w:t>for</w:t>
      </w:r>
      <w:r w:rsidR="00F00ACB">
        <w:t xml:space="preserve"> </w:t>
      </w:r>
      <w:r w:rsidR="00624CBA">
        <w:t>sufficient</w:t>
      </w:r>
      <w:r w:rsidR="00F00ACB">
        <w:t xml:space="preserve"> </w:t>
      </w:r>
      <w:r w:rsidR="0086134A">
        <w:t>RF filter</w:t>
      </w:r>
      <w:r w:rsidR="00F00ACB">
        <w:t xml:space="preserve">ing </w:t>
      </w:r>
      <w:r w:rsidR="009E0EAF">
        <w:t xml:space="preserve">roll-off </w:t>
      </w:r>
      <w:r w:rsidR="00F00ACB">
        <w:t>to</w:t>
      </w:r>
      <w:r w:rsidR="00624CBA">
        <w:t xml:space="preserve"> apply.</w:t>
      </w:r>
    </w:p>
    <w:p w14:paraId="4CD94D99" w14:textId="0F164C0D" w:rsidR="00251F05" w:rsidRPr="009469A5" w:rsidRDefault="00251F05" w:rsidP="00FE69BE">
      <w:pPr>
        <w:pStyle w:val="Heading3"/>
        <w:rPr>
          <w:rFonts w:eastAsia="Arial"/>
        </w:rPr>
      </w:pPr>
      <w:r w:rsidRPr="009469A5">
        <w:t>Spectrum licen</w:t>
      </w:r>
      <w:r>
        <w:t>s</w:t>
      </w:r>
      <w:r w:rsidRPr="009469A5">
        <w:t>ed services in 3400</w:t>
      </w:r>
      <w:r w:rsidR="006C2B80">
        <w:t>–</w:t>
      </w:r>
      <w:r w:rsidRPr="009469A5">
        <w:t>3800 MHz</w:t>
      </w:r>
      <w:r w:rsidR="00102ED9">
        <w:t xml:space="preserve"> and AWL rxs</w:t>
      </w:r>
    </w:p>
    <w:p w14:paraId="4782B1E3" w14:textId="3299D5B2" w:rsidR="00251F05" w:rsidRDefault="00251F05" w:rsidP="00251F05">
      <w:pPr>
        <w:spacing w:after="160" w:line="259" w:lineRule="auto"/>
        <w:rPr>
          <w:rFonts w:eastAsia="Arial"/>
        </w:rPr>
      </w:pPr>
      <w:r>
        <w:rPr>
          <w:rFonts w:eastAsia="Arial"/>
        </w:rPr>
        <w:t xml:space="preserve">The intent is that provisions should apply for the coordination of SL transmitters with AWL rxs. To achieve this, the </w:t>
      </w:r>
      <w:r w:rsidRPr="006A50CC">
        <w:rPr>
          <w:rFonts w:eastAsia="Arial"/>
          <w:i/>
        </w:rPr>
        <w:t xml:space="preserve">Radiocommunications Advisory Guidelines (Managing Interference from Spectrum Licensed Transmitters </w:t>
      </w:r>
      <w:r w:rsidR="006C2B80">
        <w:t>–</w:t>
      </w:r>
      <w:r w:rsidRPr="006A50CC">
        <w:rPr>
          <w:rFonts w:eastAsia="Arial"/>
          <w:i/>
        </w:rPr>
        <w:t xml:space="preserve"> 3.4 GHz Band) 2015 </w:t>
      </w:r>
      <w:r>
        <w:rPr>
          <w:rFonts w:eastAsia="Arial"/>
        </w:rPr>
        <w:t xml:space="preserve">(RAG Tx) needs to be varied. Relevant parts of the current RAG Tx apply to coordination with all earth stations. As earth stations will now be licensed as either earth receive or AWL rx, depending on the spectrum space, these variations are required to be able to apply separate coordination requirements between the two. Below is a summary of the proposed variations to address this matter. These proposed variations are in addition to those that were subject to consultation in the March 2023 </w:t>
      </w:r>
      <w:hyperlink r:id="rId39" w:history="1">
        <w:r w:rsidRPr="00CD452C">
          <w:rPr>
            <w:rStyle w:val="Hyperlink"/>
            <w:rFonts w:eastAsia="Arial"/>
          </w:rPr>
          <w:t>Draft allocation and technical instruments for the 3.4/3.7 GHz bands auction</w:t>
        </w:r>
      </w:hyperlink>
      <w:r>
        <w:rPr>
          <w:rFonts w:eastAsia="Arial"/>
        </w:rPr>
        <w:t xml:space="preserve">. </w:t>
      </w:r>
    </w:p>
    <w:p w14:paraId="7BEF19FE" w14:textId="73FDAD9B" w:rsidR="00251F05" w:rsidRDefault="00251F05" w:rsidP="00251F05">
      <w:pPr>
        <w:spacing w:after="160" w:line="259" w:lineRule="auto"/>
        <w:rPr>
          <w:rFonts w:eastAsia="Arial"/>
        </w:rPr>
      </w:pPr>
      <w:r>
        <w:rPr>
          <w:rFonts w:eastAsia="Arial"/>
        </w:rPr>
        <w:t xml:space="preserve">The earth station filter requirements proposed for AWL rx are based on those implemented by the US Federal Communications Commission that apply below 3980 MHz. In our proposal, the filter roll-off is assumed to commence 20 MHz inside the AWL rx frequency boundary. The AWL rx applicant can manage this risk by acquiring a wider licence if necessary. Alternatively, we could consider having it apply 20 MHz before the spectrum licence frequency boundary, </w:t>
      </w:r>
      <w:r w:rsidR="006C2B80">
        <w:rPr>
          <w:rFonts w:eastAsia="Arial"/>
        </w:rPr>
        <w:t>that is</w:t>
      </w:r>
      <w:r>
        <w:rPr>
          <w:rFonts w:eastAsia="Arial"/>
        </w:rPr>
        <w:t xml:space="preserve">, fixed at below 3820 MHz in metro areas and below 3770 MHz in regional areas. The benefit of this approach is it reduces the level of spectrum denial between </w:t>
      </w:r>
      <w:r>
        <w:t>earth stations and spectrum licence devices thereby increasing spectrum utility. This is particularly useful in populated areas where the density of deployments is expected to be greater. However, this complicates situations where the AWL rx is adjacent in frequency to both spectrum licences and AWLs at the same time. This could happen near a regional/remote boundary.</w:t>
      </w:r>
    </w:p>
    <w:p w14:paraId="1EC51EE2" w14:textId="77777777" w:rsidR="00251F05" w:rsidRPr="0006723C" w:rsidRDefault="00251F05" w:rsidP="00251F05">
      <w:pPr>
        <w:spacing w:after="160" w:line="259" w:lineRule="auto"/>
      </w:pPr>
      <w:r>
        <w:t>Below are the proposed revised clauses in the RAG tx:</w:t>
      </w:r>
    </w:p>
    <w:p w14:paraId="0B3E9674" w14:textId="77777777" w:rsidR="00251F05" w:rsidRPr="00FE69BE" w:rsidRDefault="00251F05" w:rsidP="00BD3783">
      <w:pPr>
        <w:pStyle w:val="ItemHead"/>
        <w:numPr>
          <w:ilvl w:val="0"/>
          <w:numId w:val="46"/>
        </w:numPr>
        <w:rPr>
          <w:sz w:val="20"/>
        </w:rPr>
      </w:pPr>
      <w:r w:rsidRPr="00FE69BE">
        <w:rPr>
          <w:sz w:val="20"/>
        </w:rPr>
        <w:t>Section 4.2, heading</w:t>
      </w:r>
    </w:p>
    <w:p w14:paraId="7B1E8527" w14:textId="77777777" w:rsidR="00251F05" w:rsidRPr="00030F97" w:rsidRDefault="00251F05" w:rsidP="00BD3783">
      <w:pPr>
        <w:pStyle w:val="Item"/>
        <w:rPr>
          <w:rFonts w:ascii="Arial" w:hAnsi="Arial" w:cs="Arial"/>
          <w:sz w:val="20"/>
        </w:rPr>
      </w:pPr>
      <w:r w:rsidRPr="00030F97">
        <w:rPr>
          <w:rFonts w:ascii="Arial" w:hAnsi="Arial" w:cs="Arial"/>
          <w:sz w:val="20"/>
        </w:rPr>
        <w:t>Omit the heading, substitute:</w:t>
      </w:r>
    </w:p>
    <w:p w14:paraId="5CE71F07" w14:textId="77777777" w:rsidR="00251F05" w:rsidRPr="00030F97" w:rsidRDefault="00251F05" w:rsidP="00BD3783">
      <w:pPr>
        <w:pStyle w:val="ItemHead"/>
        <w:ind w:firstLine="0"/>
        <w:rPr>
          <w:rFonts w:cs="Arial"/>
          <w:color w:val="000000"/>
          <w:sz w:val="20"/>
          <w:shd w:val="clear" w:color="auto" w:fill="FFFFFF"/>
        </w:rPr>
      </w:pPr>
      <w:r w:rsidRPr="00030F97">
        <w:rPr>
          <w:rFonts w:cs="Arial"/>
          <w:color w:val="000000"/>
          <w:sz w:val="20"/>
          <w:shd w:val="clear" w:color="auto" w:fill="FFFFFF"/>
        </w:rPr>
        <w:t>Protection requirements – FSS Earth receive stations operating in the 3400-3600 MHz band under earth receive licences</w:t>
      </w:r>
    </w:p>
    <w:p w14:paraId="299E451B" w14:textId="77777777" w:rsidR="00251F05" w:rsidRPr="00030F97" w:rsidRDefault="00251F05" w:rsidP="00251F05">
      <w:pPr>
        <w:pStyle w:val="ItemHead"/>
        <w:numPr>
          <w:ilvl w:val="0"/>
          <w:numId w:val="46"/>
        </w:numPr>
        <w:rPr>
          <w:rFonts w:cs="Arial"/>
          <w:sz w:val="20"/>
        </w:rPr>
      </w:pPr>
      <w:r w:rsidRPr="00030F97">
        <w:rPr>
          <w:rFonts w:cs="Arial"/>
          <w:sz w:val="20"/>
        </w:rPr>
        <w:t>Section 4.3</w:t>
      </w:r>
      <w:r>
        <w:rPr>
          <w:rFonts w:cs="Arial"/>
          <w:sz w:val="20"/>
        </w:rPr>
        <w:t>,</w:t>
      </w:r>
      <w:r w:rsidRPr="00030F97">
        <w:rPr>
          <w:rFonts w:cs="Arial"/>
          <w:sz w:val="20"/>
        </w:rPr>
        <w:t xml:space="preserve"> heading</w:t>
      </w:r>
    </w:p>
    <w:p w14:paraId="37CDF66C" w14:textId="77777777" w:rsidR="00251F05" w:rsidRPr="00030F97" w:rsidRDefault="00251F05" w:rsidP="00251F05">
      <w:pPr>
        <w:pStyle w:val="Item"/>
        <w:rPr>
          <w:rFonts w:ascii="Arial" w:hAnsi="Arial" w:cs="Arial"/>
          <w:sz w:val="20"/>
        </w:rPr>
      </w:pPr>
      <w:r w:rsidRPr="00030F97">
        <w:rPr>
          <w:rFonts w:ascii="Arial" w:hAnsi="Arial" w:cs="Arial"/>
          <w:sz w:val="20"/>
        </w:rPr>
        <w:t>Omit the heading, substitute:</w:t>
      </w:r>
    </w:p>
    <w:p w14:paraId="7373705D" w14:textId="77777777" w:rsidR="00251F05" w:rsidRPr="00030F97" w:rsidRDefault="00251F05" w:rsidP="00251F05">
      <w:pPr>
        <w:pStyle w:val="ItemHead"/>
        <w:ind w:firstLine="0"/>
        <w:rPr>
          <w:rFonts w:cs="Arial"/>
          <w:sz w:val="20"/>
        </w:rPr>
      </w:pPr>
      <w:r w:rsidRPr="00030F97">
        <w:rPr>
          <w:rFonts w:cs="Arial"/>
          <w:color w:val="000000"/>
          <w:sz w:val="20"/>
          <w:shd w:val="clear" w:color="auto" w:fill="FFFFFF"/>
        </w:rPr>
        <w:t>Protection requirements –</w:t>
      </w:r>
      <w:r>
        <w:rPr>
          <w:rFonts w:cs="Arial"/>
          <w:color w:val="000000"/>
          <w:sz w:val="20"/>
          <w:shd w:val="clear" w:color="auto" w:fill="FFFFFF"/>
        </w:rPr>
        <w:t xml:space="preserve"> FSS </w:t>
      </w:r>
      <w:r w:rsidRPr="00030F97">
        <w:rPr>
          <w:rFonts w:cs="Arial"/>
          <w:color w:val="000000"/>
          <w:sz w:val="20"/>
          <w:shd w:val="clear" w:color="auto" w:fill="FFFFFF"/>
        </w:rPr>
        <w:t>Earth receive stations operating in the 3600-4200 MHz band under earth receive licences</w:t>
      </w:r>
    </w:p>
    <w:p w14:paraId="2EAA858A" w14:textId="77777777" w:rsidR="00251F05" w:rsidRDefault="00251F05" w:rsidP="00251F05">
      <w:pPr>
        <w:pStyle w:val="ItemHead"/>
        <w:numPr>
          <w:ilvl w:val="0"/>
          <w:numId w:val="46"/>
        </w:numPr>
        <w:rPr>
          <w:rFonts w:cs="Arial"/>
          <w:sz w:val="20"/>
        </w:rPr>
      </w:pPr>
      <w:r>
        <w:rPr>
          <w:rFonts w:cs="Arial"/>
          <w:sz w:val="20"/>
        </w:rPr>
        <w:t>Paragraph 4.3(1)(a)</w:t>
      </w:r>
    </w:p>
    <w:p w14:paraId="5ED1CC62" w14:textId="77777777" w:rsidR="00251F05" w:rsidRDefault="00251F05" w:rsidP="00251F05">
      <w:pPr>
        <w:pStyle w:val="Item"/>
        <w:rPr>
          <w:rFonts w:ascii="Arial" w:hAnsi="Arial" w:cs="Arial"/>
          <w:sz w:val="20"/>
        </w:rPr>
      </w:pPr>
      <w:r w:rsidRPr="005C6EA3">
        <w:rPr>
          <w:rFonts w:ascii="Arial" w:hAnsi="Arial" w:cs="Arial"/>
          <w:sz w:val="20"/>
        </w:rPr>
        <w:t>Omit the paragraph, substitute:</w:t>
      </w:r>
    </w:p>
    <w:p w14:paraId="319AAFDB" w14:textId="77777777" w:rsidR="00251F05" w:rsidRPr="00030F97" w:rsidRDefault="00251F05" w:rsidP="00251F05">
      <w:pPr>
        <w:shd w:val="clear" w:color="auto" w:fill="FFFFFF"/>
        <w:spacing w:before="120" w:after="0" w:line="240" w:lineRule="auto"/>
        <w:ind w:left="1701" w:hanging="709"/>
        <w:rPr>
          <w:rFonts w:cs="Arial"/>
          <w:color w:val="000000"/>
          <w:szCs w:val="20"/>
        </w:rPr>
      </w:pPr>
      <w:r w:rsidRPr="00030F97">
        <w:rPr>
          <w:rFonts w:cs="Arial"/>
          <w:color w:val="000000"/>
          <w:szCs w:val="20"/>
        </w:rPr>
        <w:t>(a)</w:t>
      </w:r>
      <w:r w:rsidRPr="00030F97">
        <w:rPr>
          <w:rFonts w:cs="Arial"/>
          <w:color w:val="000000"/>
          <w:szCs w:val="20"/>
        </w:rPr>
        <w:tab/>
        <w:t>is</w:t>
      </w:r>
      <w:r>
        <w:rPr>
          <w:rFonts w:cs="Arial"/>
          <w:color w:val="000000"/>
          <w:szCs w:val="20"/>
        </w:rPr>
        <w:t xml:space="preserve"> the subject of an earth receive</w:t>
      </w:r>
      <w:r w:rsidRPr="00030F97">
        <w:rPr>
          <w:rFonts w:cs="Arial"/>
          <w:color w:val="000000"/>
          <w:szCs w:val="20"/>
        </w:rPr>
        <w:t xml:space="preserve"> licen</w:t>
      </w:r>
      <w:r>
        <w:rPr>
          <w:rFonts w:cs="Arial"/>
          <w:color w:val="000000"/>
          <w:szCs w:val="20"/>
        </w:rPr>
        <w:t>ce issued</w:t>
      </w:r>
      <w:r w:rsidRPr="00030F97">
        <w:rPr>
          <w:rFonts w:cs="Arial"/>
          <w:color w:val="000000"/>
          <w:szCs w:val="20"/>
        </w:rPr>
        <w:t xml:space="preserve"> under the Act;</w:t>
      </w:r>
    </w:p>
    <w:p w14:paraId="16593FC0" w14:textId="77777777" w:rsidR="00251F05" w:rsidRPr="00030F97" w:rsidRDefault="00251F05" w:rsidP="00251F05">
      <w:pPr>
        <w:pStyle w:val="ItemHead"/>
        <w:numPr>
          <w:ilvl w:val="0"/>
          <w:numId w:val="46"/>
        </w:numPr>
        <w:rPr>
          <w:rFonts w:cs="Arial"/>
          <w:sz w:val="20"/>
        </w:rPr>
      </w:pPr>
      <w:r w:rsidRPr="00030F97">
        <w:rPr>
          <w:rFonts w:cs="Arial"/>
          <w:sz w:val="20"/>
        </w:rPr>
        <w:t>Section 4.4</w:t>
      </w:r>
      <w:r>
        <w:rPr>
          <w:rFonts w:cs="Arial"/>
          <w:sz w:val="20"/>
        </w:rPr>
        <w:t>,</w:t>
      </w:r>
      <w:r w:rsidRPr="00030F97">
        <w:rPr>
          <w:rFonts w:cs="Arial"/>
          <w:sz w:val="20"/>
        </w:rPr>
        <w:t xml:space="preserve"> heading</w:t>
      </w:r>
    </w:p>
    <w:p w14:paraId="78EF5E65" w14:textId="77777777" w:rsidR="00251F05" w:rsidRPr="00030F97" w:rsidRDefault="00251F05" w:rsidP="00251F05">
      <w:pPr>
        <w:pStyle w:val="Item"/>
        <w:rPr>
          <w:rFonts w:ascii="Arial" w:hAnsi="Arial" w:cs="Arial"/>
          <w:sz w:val="20"/>
        </w:rPr>
      </w:pPr>
      <w:r w:rsidRPr="00030F97">
        <w:rPr>
          <w:rFonts w:ascii="Arial" w:hAnsi="Arial" w:cs="Arial"/>
          <w:sz w:val="20"/>
        </w:rPr>
        <w:t>Omit the heading, substitute:</w:t>
      </w:r>
    </w:p>
    <w:p w14:paraId="12054AFF" w14:textId="77777777" w:rsidR="00251F05" w:rsidRPr="00030F97" w:rsidRDefault="00251F05" w:rsidP="00251F05">
      <w:pPr>
        <w:pStyle w:val="ItemHead"/>
        <w:ind w:firstLine="0"/>
        <w:rPr>
          <w:rFonts w:cs="Arial"/>
          <w:sz w:val="20"/>
        </w:rPr>
      </w:pPr>
      <w:r w:rsidRPr="00030F97">
        <w:rPr>
          <w:rFonts w:cs="Arial"/>
          <w:color w:val="000000"/>
          <w:sz w:val="20"/>
          <w:shd w:val="clear" w:color="auto" w:fill="FFFFFF"/>
        </w:rPr>
        <w:lastRenderedPageBreak/>
        <w:t>Additional protection requirements</w:t>
      </w:r>
      <w:r>
        <w:rPr>
          <w:rFonts w:cs="Arial"/>
          <w:color w:val="000000"/>
          <w:sz w:val="20"/>
          <w:shd w:val="clear" w:color="auto" w:fill="FFFFFF"/>
        </w:rPr>
        <w:t xml:space="preserve"> –</w:t>
      </w:r>
      <w:r w:rsidRPr="00030F97">
        <w:rPr>
          <w:rFonts w:cs="Arial"/>
          <w:color w:val="000000"/>
          <w:sz w:val="20"/>
          <w:shd w:val="clear" w:color="auto" w:fill="FFFFFF"/>
        </w:rPr>
        <w:t xml:space="preserve"> incumbent </w:t>
      </w:r>
      <w:r>
        <w:rPr>
          <w:rFonts w:cs="Arial"/>
          <w:color w:val="000000"/>
          <w:sz w:val="20"/>
          <w:shd w:val="clear" w:color="auto" w:fill="FFFFFF"/>
        </w:rPr>
        <w:t xml:space="preserve">FSS </w:t>
      </w:r>
      <w:r w:rsidRPr="00030F97">
        <w:rPr>
          <w:rFonts w:cs="Arial"/>
          <w:color w:val="000000"/>
          <w:sz w:val="20"/>
          <w:shd w:val="clear" w:color="auto" w:fill="FFFFFF"/>
        </w:rPr>
        <w:t>Earth receive stations operating in the 3600-3800 MHz band under earth receive licences</w:t>
      </w:r>
    </w:p>
    <w:p w14:paraId="701AC750" w14:textId="77777777" w:rsidR="00251F05" w:rsidRDefault="00251F05" w:rsidP="00251F05">
      <w:pPr>
        <w:pStyle w:val="ItemHead"/>
        <w:numPr>
          <w:ilvl w:val="0"/>
          <w:numId w:val="46"/>
        </w:numPr>
        <w:rPr>
          <w:rFonts w:cs="Arial"/>
          <w:sz w:val="20"/>
        </w:rPr>
      </w:pPr>
      <w:r>
        <w:rPr>
          <w:rFonts w:cs="Arial"/>
          <w:sz w:val="20"/>
        </w:rPr>
        <w:t>Subsection 4.5(2)</w:t>
      </w:r>
    </w:p>
    <w:p w14:paraId="4E5D4E7C" w14:textId="77777777" w:rsidR="00251F05" w:rsidRPr="009F0CEB" w:rsidRDefault="00251F05" w:rsidP="00251F05">
      <w:pPr>
        <w:pStyle w:val="Item"/>
        <w:rPr>
          <w:rFonts w:ascii="Arial" w:hAnsi="Arial" w:cs="Arial"/>
          <w:sz w:val="20"/>
        </w:rPr>
      </w:pPr>
      <w:r w:rsidRPr="009F0CEB">
        <w:rPr>
          <w:rFonts w:ascii="Arial" w:hAnsi="Arial" w:cs="Arial"/>
          <w:sz w:val="20"/>
        </w:rPr>
        <w:t>After ‘earth receive stations’ insert ‘the subject of an earth receive licence’.</w:t>
      </w:r>
    </w:p>
    <w:p w14:paraId="6C98BFCA" w14:textId="77777777" w:rsidR="00251F05" w:rsidRPr="00030F97" w:rsidRDefault="00251F05" w:rsidP="00251F05">
      <w:pPr>
        <w:pStyle w:val="ItemHead"/>
        <w:numPr>
          <w:ilvl w:val="0"/>
          <w:numId w:val="46"/>
        </w:numPr>
        <w:rPr>
          <w:rFonts w:cs="Arial"/>
          <w:sz w:val="20"/>
        </w:rPr>
      </w:pPr>
      <w:r w:rsidRPr="00030F97">
        <w:rPr>
          <w:rFonts w:cs="Arial"/>
          <w:sz w:val="20"/>
        </w:rPr>
        <w:t>After section 4.</w:t>
      </w:r>
      <w:r w:rsidRPr="00030F97" w:rsidDel="005233E8">
        <w:rPr>
          <w:rFonts w:cs="Arial"/>
          <w:sz w:val="20"/>
        </w:rPr>
        <w:t>4</w:t>
      </w:r>
    </w:p>
    <w:p w14:paraId="3B0292EE" w14:textId="77777777" w:rsidR="00251F05" w:rsidRPr="00030F97" w:rsidRDefault="00251F05" w:rsidP="00251F05">
      <w:pPr>
        <w:pStyle w:val="Item"/>
        <w:rPr>
          <w:rFonts w:ascii="Arial" w:hAnsi="Arial" w:cs="Arial"/>
          <w:sz w:val="20"/>
        </w:rPr>
      </w:pPr>
      <w:r w:rsidRPr="00030F97">
        <w:rPr>
          <w:rFonts w:ascii="Arial" w:hAnsi="Arial" w:cs="Arial"/>
          <w:sz w:val="20"/>
        </w:rPr>
        <w:t>Insert:</w:t>
      </w:r>
    </w:p>
    <w:p w14:paraId="6CCB99B0" w14:textId="77777777" w:rsidR="00251F05" w:rsidRPr="00030F97" w:rsidRDefault="00251F05" w:rsidP="00251F05">
      <w:pPr>
        <w:pStyle w:val="ItemHead"/>
        <w:ind w:left="1437" w:hanging="728"/>
        <w:rPr>
          <w:rFonts w:cs="Arial"/>
          <w:sz w:val="20"/>
        </w:rPr>
      </w:pPr>
      <w:r w:rsidRPr="00030F97">
        <w:rPr>
          <w:rFonts w:cs="Arial"/>
          <w:color w:val="000000"/>
          <w:sz w:val="20"/>
          <w:shd w:val="clear" w:color="auto" w:fill="FFFFFF"/>
        </w:rPr>
        <w:t>4.5</w:t>
      </w:r>
      <w:r w:rsidRPr="00030F97">
        <w:rPr>
          <w:rFonts w:cs="Arial"/>
          <w:color w:val="000000"/>
          <w:sz w:val="20"/>
          <w:shd w:val="clear" w:color="auto" w:fill="FFFFFF"/>
        </w:rPr>
        <w:tab/>
        <w:t>Protection requirements –</w:t>
      </w:r>
      <w:r>
        <w:rPr>
          <w:rFonts w:cs="Arial"/>
          <w:color w:val="000000"/>
          <w:sz w:val="20"/>
          <w:shd w:val="clear" w:color="auto" w:fill="FFFFFF"/>
        </w:rPr>
        <w:t xml:space="preserve"> FSS </w:t>
      </w:r>
      <w:r w:rsidRPr="00030F97">
        <w:rPr>
          <w:rFonts w:cs="Arial"/>
          <w:color w:val="000000"/>
          <w:sz w:val="20"/>
          <w:shd w:val="clear" w:color="auto" w:fill="FFFFFF"/>
        </w:rPr>
        <w:t>Earth receive stations operating in the 3</w:t>
      </w:r>
      <w:r>
        <w:rPr>
          <w:rFonts w:cs="Arial"/>
          <w:color w:val="000000"/>
          <w:sz w:val="20"/>
          <w:shd w:val="clear" w:color="auto" w:fill="FFFFFF"/>
        </w:rPr>
        <w:t>75</w:t>
      </w:r>
      <w:r w:rsidRPr="00030F97">
        <w:rPr>
          <w:rFonts w:cs="Arial"/>
          <w:color w:val="000000"/>
          <w:sz w:val="20"/>
          <w:shd w:val="clear" w:color="auto" w:fill="FFFFFF"/>
        </w:rPr>
        <w:t>0-4000 MHz band under area wide receive licences</w:t>
      </w:r>
    </w:p>
    <w:p w14:paraId="59D3DDFC" w14:textId="77777777" w:rsidR="00251F05" w:rsidRPr="00030F97" w:rsidRDefault="00251F05" w:rsidP="00251F05">
      <w:pPr>
        <w:shd w:val="clear" w:color="auto" w:fill="FFFFFF"/>
        <w:spacing w:before="120" w:after="0" w:line="260" w:lineRule="atLeast"/>
        <w:ind w:left="981" w:hanging="425"/>
        <w:jc w:val="both"/>
        <w:rPr>
          <w:rFonts w:cs="Arial"/>
          <w:color w:val="000000"/>
          <w:szCs w:val="20"/>
        </w:rPr>
      </w:pPr>
      <w:r w:rsidRPr="00030F97">
        <w:rPr>
          <w:rFonts w:cs="Arial"/>
          <w:color w:val="000000"/>
          <w:szCs w:val="20"/>
        </w:rPr>
        <w:t>(1)</w:t>
      </w:r>
      <w:r>
        <w:rPr>
          <w:rFonts w:cs="Arial"/>
          <w:color w:val="000000"/>
          <w:szCs w:val="20"/>
        </w:rPr>
        <w:tab/>
      </w:r>
      <w:r w:rsidRPr="00030F97">
        <w:rPr>
          <w:rFonts w:cs="Arial"/>
          <w:color w:val="000000"/>
          <w:szCs w:val="20"/>
        </w:rPr>
        <w:t>Radiocommunications transmitters operated under a spectrum licence</w:t>
      </w:r>
      <w:r>
        <w:rPr>
          <w:rFonts w:cs="Arial"/>
          <w:color w:val="000000"/>
          <w:szCs w:val="20"/>
        </w:rPr>
        <w:t xml:space="preserve"> [in the 3.4 GHz band]</w:t>
      </w:r>
      <w:r w:rsidRPr="00030F97">
        <w:rPr>
          <w:rFonts w:cs="Arial"/>
          <w:color w:val="000000"/>
          <w:szCs w:val="20"/>
        </w:rPr>
        <w:t xml:space="preserve"> must protect earth receive stations from receiver overload, if the radiocommunications receiver for the earth receive station:</w:t>
      </w:r>
    </w:p>
    <w:p w14:paraId="2FF7FFDD" w14:textId="77777777" w:rsidR="00251F05" w:rsidRPr="00030F97" w:rsidRDefault="00251F05" w:rsidP="00251F05">
      <w:pPr>
        <w:shd w:val="clear" w:color="auto" w:fill="FFFFFF"/>
        <w:spacing w:before="120" w:after="0" w:line="240" w:lineRule="auto"/>
        <w:ind w:left="1701" w:hanging="709"/>
        <w:rPr>
          <w:rFonts w:cs="Arial"/>
          <w:color w:val="000000"/>
          <w:szCs w:val="20"/>
        </w:rPr>
      </w:pPr>
      <w:r w:rsidRPr="00030F97">
        <w:rPr>
          <w:rFonts w:cs="Arial"/>
          <w:color w:val="000000"/>
          <w:szCs w:val="20"/>
        </w:rPr>
        <w:t>(a)</w:t>
      </w:r>
      <w:r w:rsidRPr="00030F97">
        <w:rPr>
          <w:rFonts w:cs="Arial"/>
          <w:color w:val="000000"/>
          <w:szCs w:val="20"/>
        </w:rPr>
        <w:tab/>
        <w:t xml:space="preserve">is </w:t>
      </w:r>
      <w:r>
        <w:rPr>
          <w:rFonts w:cs="Arial"/>
          <w:color w:val="000000"/>
          <w:szCs w:val="20"/>
        </w:rPr>
        <w:t>the subject of an area-wide receive licence issued</w:t>
      </w:r>
      <w:r w:rsidRPr="00030F97">
        <w:rPr>
          <w:rFonts w:cs="Arial"/>
          <w:color w:val="000000"/>
          <w:szCs w:val="20"/>
        </w:rPr>
        <w:t xml:space="preserve"> under the Act;</w:t>
      </w:r>
    </w:p>
    <w:p w14:paraId="581F89AA" w14:textId="66069496" w:rsidR="00251F05" w:rsidRPr="00030F97" w:rsidRDefault="00251F05" w:rsidP="00251F05">
      <w:pPr>
        <w:shd w:val="clear" w:color="auto" w:fill="FFFFFF"/>
        <w:spacing w:before="120" w:after="0" w:line="240" w:lineRule="auto"/>
        <w:ind w:left="1701" w:hanging="709"/>
        <w:rPr>
          <w:rFonts w:cs="Arial"/>
          <w:color w:val="000000"/>
          <w:szCs w:val="20"/>
        </w:rPr>
      </w:pPr>
      <w:r w:rsidRPr="00030F97">
        <w:rPr>
          <w:rFonts w:cs="Arial"/>
          <w:color w:val="000000"/>
          <w:szCs w:val="20"/>
        </w:rPr>
        <w:t>(b)</w:t>
      </w:r>
      <w:r w:rsidRPr="00030F97">
        <w:rPr>
          <w:rFonts w:cs="Arial"/>
          <w:color w:val="000000"/>
          <w:szCs w:val="20"/>
        </w:rPr>
        <w:tab/>
        <w:t>was registered in the Register prior to the date on which the radiocommunications transmitter operated under the spectrum licence is registered</w:t>
      </w:r>
    </w:p>
    <w:p w14:paraId="4CF12A6E" w14:textId="77777777" w:rsidR="00251F05" w:rsidRPr="00030F97" w:rsidRDefault="00251F05" w:rsidP="00251F05">
      <w:pPr>
        <w:shd w:val="clear" w:color="auto" w:fill="FFFFFF"/>
        <w:spacing w:before="120" w:after="0" w:line="240" w:lineRule="auto"/>
        <w:ind w:left="1701" w:hanging="709"/>
        <w:rPr>
          <w:rFonts w:cs="Arial"/>
          <w:color w:val="000000"/>
          <w:szCs w:val="20"/>
        </w:rPr>
      </w:pPr>
      <w:r w:rsidRPr="00030F97">
        <w:rPr>
          <w:rFonts w:cs="Arial"/>
          <w:color w:val="000000"/>
          <w:szCs w:val="20"/>
        </w:rPr>
        <w:t>(c)</w:t>
      </w:r>
      <w:r w:rsidRPr="00030F97">
        <w:rPr>
          <w:rFonts w:cs="Arial"/>
          <w:color w:val="000000"/>
          <w:szCs w:val="20"/>
        </w:rPr>
        <w:tab/>
        <w:t>is located within 100 km</w:t>
      </w:r>
      <w:r>
        <w:rPr>
          <w:rFonts w:cs="Arial"/>
          <w:color w:val="000000"/>
          <w:szCs w:val="20"/>
        </w:rPr>
        <w:t xml:space="preserve"> of the radiocommunications transmitter.</w:t>
      </w:r>
    </w:p>
    <w:p w14:paraId="5AF59879" w14:textId="77777777" w:rsidR="00251F05" w:rsidRDefault="00251F05" w:rsidP="00251F05">
      <w:pPr>
        <w:shd w:val="clear" w:color="auto" w:fill="FFFFFF"/>
        <w:spacing w:before="120" w:line="260" w:lineRule="atLeast"/>
        <w:ind w:left="981" w:hanging="425"/>
        <w:jc w:val="both"/>
        <w:rPr>
          <w:rFonts w:cs="Arial"/>
          <w:color w:val="000000"/>
          <w:szCs w:val="20"/>
        </w:rPr>
      </w:pPr>
      <w:r w:rsidRPr="00030F97">
        <w:rPr>
          <w:rFonts w:cs="Arial"/>
          <w:color w:val="000000"/>
          <w:szCs w:val="20"/>
        </w:rPr>
        <w:t xml:space="preserve">(2) </w:t>
      </w:r>
      <w:r w:rsidRPr="00030F97">
        <w:rPr>
          <w:rFonts w:cs="Arial"/>
          <w:color w:val="000000"/>
          <w:szCs w:val="20"/>
        </w:rPr>
        <w:tab/>
        <w:t>A radiocommunications transmitter operated under a spectrum licence in the 3.4 GHz band is not considered to overload the receiver of an earth station</w:t>
      </w:r>
      <w:r>
        <w:rPr>
          <w:rFonts w:cs="Arial"/>
          <w:color w:val="000000"/>
          <w:szCs w:val="20"/>
        </w:rPr>
        <w:t xml:space="preserve"> mentioned in paragraph (a)</w:t>
      </w:r>
      <w:r w:rsidRPr="00030F97">
        <w:rPr>
          <w:rFonts w:cs="Arial"/>
          <w:color w:val="000000"/>
          <w:szCs w:val="20"/>
        </w:rPr>
        <w:t xml:space="preserve"> if the total power received from the </w:t>
      </w:r>
      <w:r>
        <w:rPr>
          <w:rFonts w:cs="Arial"/>
          <w:color w:val="000000"/>
          <w:szCs w:val="20"/>
        </w:rPr>
        <w:t>transmitter</w:t>
      </w:r>
      <w:r w:rsidRPr="00030F97">
        <w:rPr>
          <w:rFonts w:cs="Arial"/>
          <w:color w:val="000000"/>
          <w:szCs w:val="20"/>
        </w:rPr>
        <w:t xml:space="preserve"> at the input of an earth station receiver ( after considering </w:t>
      </w:r>
      <w:r>
        <w:rPr>
          <w:rFonts w:cs="Arial"/>
          <w:color w:val="000000"/>
          <w:szCs w:val="20"/>
        </w:rPr>
        <w:t>a</w:t>
      </w:r>
      <w:r w:rsidRPr="00030F97">
        <w:rPr>
          <w:rFonts w:cs="Arial"/>
          <w:color w:val="000000"/>
          <w:szCs w:val="20"/>
        </w:rPr>
        <w:t xml:space="preserve">ntenna gain, radiofrequency filtering and other losses) does not exceed a total of -65 dBm at frequencies outside of the </w:t>
      </w:r>
      <w:r>
        <w:rPr>
          <w:rFonts w:cs="Arial"/>
          <w:color w:val="000000"/>
          <w:szCs w:val="20"/>
        </w:rPr>
        <w:t xml:space="preserve">frequencies authorised by </w:t>
      </w:r>
      <w:r w:rsidRPr="00030F97">
        <w:rPr>
          <w:rFonts w:cs="Arial"/>
          <w:color w:val="000000"/>
          <w:szCs w:val="20"/>
        </w:rPr>
        <w:t xml:space="preserve">area-wide receive licence. The minimum </w:t>
      </w:r>
      <w:r>
        <w:rPr>
          <w:rFonts w:cs="Arial"/>
          <w:color w:val="000000"/>
          <w:szCs w:val="20"/>
        </w:rPr>
        <w:t>radiofrequency</w:t>
      </w:r>
      <w:r w:rsidRPr="00030F97">
        <w:rPr>
          <w:rFonts w:cs="Arial"/>
          <w:color w:val="000000"/>
          <w:szCs w:val="20"/>
        </w:rPr>
        <w:t xml:space="preserve"> filtering level described in Table 2, at the front end of the </w:t>
      </w:r>
      <w:r>
        <w:rPr>
          <w:rFonts w:cs="Arial"/>
          <w:color w:val="000000"/>
          <w:szCs w:val="20"/>
        </w:rPr>
        <w:t>e</w:t>
      </w:r>
      <w:r w:rsidRPr="00030F97">
        <w:rPr>
          <w:rFonts w:cs="Arial"/>
          <w:color w:val="000000"/>
          <w:szCs w:val="20"/>
        </w:rPr>
        <w:t xml:space="preserve">arth receive station for different frequency offsets, </w:t>
      </w:r>
      <w:r>
        <w:rPr>
          <w:rFonts w:cs="Arial"/>
          <w:color w:val="000000"/>
          <w:szCs w:val="20"/>
        </w:rPr>
        <w:t>is assumed to apply</w:t>
      </w:r>
      <w:r w:rsidRPr="00030F97">
        <w:rPr>
          <w:rFonts w:cs="Arial"/>
          <w:color w:val="000000"/>
          <w:szCs w:val="20"/>
        </w:rPr>
        <w:t xml:space="preserve"> at each </w:t>
      </w:r>
      <w:r>
        <w:rPr>
          <w:rFonts w:cs="Arial"/>
          <w:color w:val="000000"/>
          <w:szCs w:val="20"/>
        </w:rPr>
        <w:t>lower limit for the licence and the upper limit for the station. In this subsection:</w:t>
      </w:r>
    </w:p>
    <w:p w14:paraId="1AE743FC" w14:textId="77777777" w:rsidR="00251F05" w:rsidRDefault="00251F05" w:rsidP="00251F05">
      <w:pPr>
        <w:shd w:val="clear" w:color="auto" w:fill="FFFFFF"/>
        <w:spacing w:before="120" w:line="260" w:lineRule="atLeast"/>
        <w:ind w:left="981"/>
        <w:jc w:val="both"/>
        <w:rPr>
          <w:rFonts w:cs="Arial"/>
          <w:color w:val="000000"/>
          <w:szCs w:val="20"/>
        </w:rPr>
      </w:pPr>
      <w:r>
        <w:rPr>
          <w:rFonts w:cs="Arial"/>
          <w:b/>
          <w:bCs/>
          <w:i/>
          <w:iCs/>
          <w:color w:val="000000"/>
          <w:szCs w:val="20"/>
        </w:rPr>
        <w:t xml:space="preserve">lower limit for the station </w:t>
      </w:r>
      <w:r>
        <w:rPr>
          <w:rFonts w:cs="Arial"/>
          <w:color w:val="000000"/>
          <w:szCs w:val="20"/>
        </w:rPr>
        <w:t>means, in relation to the geographic area specified in an area-wide receive licence that contains the station, the lowest frequency specified in the licence for the operation of radiocommunications receivers in that geographic area</w:t>
      </w:r>
      <w:r w:rsidRPr="00030F97">
        <w:rPr>
          <w:rFonts w:cs="Arial"/>
          <w:color w:val="000000"/>
          <w:szCs w:val="20"/>
        </w:rPr>
        <w:t>.</w:t>
      </w:r>
    </w:p>
    <w:p w14:paraId="3527CED9" w14:textId="1BF6A6D8" w:rsidR="00552D82" w:rsidRDefault="00251F05" w:rsidP="00251F05">
      <w:pPr>
        <w:shd w:val="clear" w:color="auto" w:fill="FFFFFF"/>
        <w:spacing w:before="120" w:line="260" w:lineRule="atLeast"/>
        <w:ind w:left="981"/>
        <w:jc w:val="both"/>
        <w:rPr>
          <w:rFonts w:cs="Arial"/>
          <w:color w:val="000000"/>
          <w:szCs w:val="20"/>
        </w:rPr>
      </w:pPr>
      <w:r w:rsidRPr="00020140">
        <w:rPr>
          <w:rFonts w:cs="Arial"/>
          <w:b/>
          <w:bCs/>
          <w:i/>
          <w:iCs/>
          <w:color w:val="000000"/>
          <w:szCs w:val="20"/>
        </w:rPr>
        <w:t xml:space="preserve">upper limit </w:t>
      </w:r>
      <w:r>
        <w:rPr>
          <w:rFonts w:cs="Arial"/>
          <w:b/>
          <w:bCs/>
          <w:i/>
          <w:iCs/>
          <w:color w:val="000000"/>
          <w:szCs w:val="20"/>
        </w:rPr>
        <w:t>for</w:t>
      </w:r>
      <w:r w:rsidRPr="00020140">
        <w:rPr>
          <w:rFonts w:cs="Arial"/>
          <w:b/>
          <w:bCs/>
          <w:i/>
          <w:iCs/>
          <w:color w:val="000000"/>
          <w:szCs w:val="20"/>
        </w:rPr>
        <w:t xml:space="preserve"> the </w:t>
      </w:r>
      <w:r>
        <w:rPr>
          <w:rFonts w:cs="Arial"/>
          <w:b/>
          <w:bCs/>
          <w:i/>
          <w:iCs/>
          <w:color w:val="000000"/>
          <w:szCs w:val="20"/>
        </w:rPr>
        <w:t>station</w:t>
      </w:r>
      <w:r w:rsidRPr="00354F17">
        <w:rPr>
          <w:rFonts w:cs="Arial"/>
          <w:b/>
          <w:bCs/>
          <w:i/>
          <w:iCs/>
          <w:color w:val="000000"/>
          <w:szCs w:val="20"/>
        </w:rPr>
        <w:t xml:space="preserve"> </w:t>
      </w:r>
      <w:r w:rsidRPr="005A4A1E">
        <w:rPr>
          <w:rFonts w:cs="Arial"/>
          <w:color w:val="000000"/>
          <w:szCs w:val="20"/>
        </w:rPr>
        <w:t>means, in relation to the geographic area specified in an area-wide receive licence that contains the station, the highest frequency specified in the licence for the operation of radiocommunications receivers in that geographic area.</w:t>
      </w:r>
    </w:p>
    <w:p w14:paraId="606B5ED2" w14:textId="71251036" w:rsidR="00552D82" w:rsidRDefault="00552D82">
      <w:pPr>
        <w:spacing w:after="0" w:line="240" w:lineRule="auto"/>
        <w:rPr>
          <w:rFonts w:cs="Arial"/>
          <w:color w:val="000000"/>
          <w:szCs w:val="20"/>
        </w:rPr>
      </w:pPr>
      <w:r>
        <w:rPr>
          <w:rFonts w:cs="Arial"/>
          <w:color w:val="000000"/>
          <w:szCs w:val="20"/>
        </w:rPr>
        <w:br w:type="page"/>
      </w:r>
    </w:p>
    <w:p w14:paraId="4C20A8C0" w14:textId="53CA8220" w:rsidR="00251F05" w:rsidRPr="00FE69BE" w:rsidRDefault="00D755E0" w:rsidP="00FE69BE">
      <w:pPr>
        <w:pStyle w:val="Tableheading"/>
        <w:rPr>
          <w:rFonts w:cs="Arial"/>
          <w:color w:val="000000"/>
        </w:rPr>
      </w:pPr>
      <w:r w:rsidRPr="005F4074">
        <w:lastRenderedPageBreak/>
        <w:t xml:space="preserve">Minimum frequency response of earth receive station’s </w:t>
      </w:r>
      <w:r>
        <w:t>radiofrequency</w:t>
      </w:r>
      <w:r w:rsidRPr="005F4074">
        <w:t xml:space="preserve"> filter</w:t>
      </w:r>
      <w:r>
        <w:t>,</w:t>
      </w:r>
      <w:r w:rsidRPr="005F4074">
        <w:t xml:space="preserve"> under an area-wide receive licence</w:t>
      </w:r>
    </w:p>
    <w:tbl>
      <w:tblPr>
        <w:tblStyle w:val="TableGrid"/>
        <w:tblW w:w="0" w:type="auto"/>
        <w:jc w:val="center"/>
        <w:tblLook w:val="04A0" w:firstRow="1" w:lastRow="0" w:firstColumn="1" w:lastColumn="0" w:noHBand="0" w:noVBand="1"/>
        <w:tblCaption w:val="Shows Frequency offset (MHz) from the lower or upper frequency on the earth receive station licence and rejection (dB)"/>
      </w:tblPr>
      <w:tblGrid>
        <w:gridCol w:w="3192"/>
        <w:gridCol w:w="3040"/>
      </w:tblGrid>
      <w:tr w:rsidR="00251F05" w:rsidRPr="00BD4384" w14:paraId="342263F3" w14:textId="77777777" w:rsidTr="00FE69BE">
        <w:trPr>
          <w:trHeight w:val="498"/>
          <w:tblHeader/>
          <w:jc w:val="center"/>
        </w:trPr>
        <w:tc>
          <w:tcPr>
            <w:tcW w:w="3192" w:type="dxa"/>
            <w:tcBorders>
              <w:top w:val="single" w:sz="4" w:space="0" w:color="auto"/>
              <w:left w:val="single" w:sz="4" w:space="0" w:color="auto"/>
              <w:bottom w:val="single" w:sz="4" w:space="0" w:color="auto"/>
              <w:right w:val="single" w:sz="4" w:space="0" w:color="auto"/>
            </w:tcBorders>
            <w:shd w:val="clear" w:color="auto" w:fill="404040" w:themeFill="text1" w:themeFillTint="BF"/>
            <w:hideMark/>
          </w:tcPr>
          <w:p w14:paraId="53372C6E" w14:textId="47712C03" w:rsidR="00251F05" w:rsidRPr="00FE69BE" w:rsidRDefault="00251F05">
            <w:pPr>
              <w:ind w:left="11"/>
              <w:rPr>
                <w:rFonts w:cs="Arial"/>
                <w:b/>
                <w:color w:val="FFFFFF" w:themeColor="background1"/>
                <w:szCs w:val="20"/>
              </w:rPr>
            </w:pPr>
            <w:r w:rsidRPr="00FE69BE">
              <w:rPr>
                <w:rFonts w:cs="Arial"/>
                <w:b/>
                <w:color w:val="FFFFFF" w:themeColor="background1"/>
                <w:szCs w:val="20"/>
              </w:rPr>
              <w:t xml:space="preserve">Frequency offset from </w:t>
            </w:r>
            <w:r w:rsidR="007022F9" w:rsidRPr="00FE69BE">
              <w:rPr>
                <w:rFonts w:cs="Arial"/>
                <w:b/>
                <w:color w:val="FFFFFF" w:themeColor="background1"/>
                <w:szCs w:val="20"/>
              </w:rPr>
              <w:t>lower or upper limit</w:t>
            </w:r>
            <w:r w:rsidR="00B564A3" w:rsidRPr="00FE69BE">
              <w:rPr>
                <w:rFonts w:cs="Arial"/>
                <w:b/>
                <w:color w:val="FFFFFF" w:themeColor="background1"/>
                <w:szCs w:val="20"/>
              </w:rPr>
              <w:t xml:space="preserve"> for the</w:t>
            </w:r>
            <w:r w:rsidRPr="00FE69BE">
              <w:rPr>
                <w:rFonts w:cs="Arial"/>
                <w:b/>
                <w:color w:val="FFFFFF" w:themeColor="background1"/>
                <w:szCs w:val="20"/>
              </w:rPr>
              <w:t xml:space="preserve"> earth receive station receiver licence frequency (MHz)</w:t>
            </w:r>
          </w:p>
        </w:tc>
        <w:tc>
          <w:tcPr>
            <w:tcW w:w="3040" w:type="dxa"/>
            <w:tcBorders>
              <w:top w:val="single" w:sz="4" w:space="0" w:color="auto"/>
              <w:left w:val="single" w:sz="4" w:space="0" w:color="auto"/>
              <w:right w:val="single" w:sz="4" w:space="0" w:color="auto"/>
            </w:tcBorders>
            <w:shd w:val="clear" w:color="auto" w:fill="404040" w:themeFill="text1" w:themeFillTint="BF"/>
          </w:tcPr>
          <w:p w14:paraId="06B04A63" w14:textId="77777777" w:rsidR="00251F05" w:rsidRPr="00FE69BE" w:rsidRDefault="00251F05">
            <w:pPr>
              <w:ind w:left="11"/>
              <w:rPr>
                <w:rFonts w:cs="Arial"/>
                <w:b/>
                <w:color w:val="FFFFFF" w:themeColor="background1"/>
                <w:szCs w:val="20"/>
              </w:rPr>
            </w:pPr>
            <w:r w:rsidRPr="00FE69BE">
              <w:rPr>
                <w:rFonts w:cs="Arial"/>
                <w:b/>
                <w:color w:val="FFFFFF" w:themeColor="background1"/>
                <w:szCs w:val="20"/>
              </w:rPr>
              <w:t>Rejection (dB)</w:t>
            </w:r>
          </w:p>
        </w:tc>
      </w:tr>
      <w:tr w:rsidR="00251F05" w:rsidRPr="00BD4384" w14:paraId="4F1D4888" w14:textId="77777777">
        <w:trPr>
          <w:trHeight w:val="271"/>
          <w:jc w:val="center"/>
        </w:trPr>
        <w:tc>
          <w:tcPr>
            <w:tcW w:w="3192" w:type="dxa"/>
            <w:tcBorders>
              <w:top w:val="single" w:sz="4" w:space="0" w:color="auto"/>
              <w:left w:val="single" w:sz="4" w:space="0" w:color="auto"/>
              <w:bottom w:val="single" w:sz="4" w:space="0" w:color="auto"/>
              <w:right w:val="single" w:sz="4" w:space="0" w:color="auto"/>
            </w:tcBorders>
            <w:hideMark/>
          </w:tcPr>
          <w:p w14:paraId="26612CA8" w14:textId="77777777" w:rsidR="00251F05" w:rsidRPr="008A3BFC" w:rsidRDefault="00251F05">
            <w:pPr>
              <w:ind w:left="11"/>
              <w:rPr>
                <w:rFonts w:cs="Arial"/>
                <w:szCs w:val="20"/>
              </w:rPr>
            </w:pPr>
            <w:r w:rsidRPr="008A3BFC">
              <w:rPr>
                <w:rFonts w:cs="Arial"/>
                <w:szCs w:val="20"/>
              </w:rPr>
              <w:t>&lt; 80</w:t>
            </w:r>
          </w:p>
        </w:tc>
        <w:tc>
          <w:tcPr>
            <w:tcW w:w="3040" w:type="dxa"/>
            <w:tcBorders>
              <w:top w:val="single" w:sz="4" w:space="0" w:color="auto"/>
              <w:left w:val="single" w:sz="4" w:space="0" w:color="auto"/>
              <w:bottom w:val="single" w:sz="4" w:space="0" w:color="auto"/>
              <w:right w:val="single" w:sz="4" w:space="0" w:color="auto"/>
            </w:tcBorders>
          </w:tcPr>
          <w:p w14:paraId="78FAF887" w14:textId="77777777" w:rsidR="00251F05" w:rsidRPr="008A3BFC" w:rsidRDefault="00251F05">
            <w:pPr>
              <w:ind w:left="11"/>
              <w:rPr>
                <w:rFonts w:cs="Arial"/>
                <w:szCs w:val="20"/>
              </w:rPr>
            </w:pPr>
            <w:r w:rsidRPr="008A3BFC">
              <w:rPr>
                <w:rFonts w:cs="Arial"/>
                <w:szCs w:val="20"/>
              </w:rPr>
              <w:t>60</w:t>
            </w:r>
          </w:p>
        </w:tc>
      </w:tr>
      <w:tr w:rsidR="00251F05" w:rsidRPr="00BD4384" w14:paraId="041546D7" w14:textId="77777777" w:rsidTr="00FE69BE">
        <w:trPr>
          <w:jc w:val="center"/>
        </w:trPr>
        <w:tc>
          <w:tcPr>
            <w:tcW w:w="31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745C0E" w14:textId="77777777" w:rsidR="00251F05" w:rsidRPr="008A3BFC" w:rsidRDefault="00251F05">
            <w:pPr>
              <w:ind w:left="11"/>
              <w:rPr>
                <w:rFonts w:cs="Arial"/>
                <w:szCs w:val="20"/>
              </w:rPr>
            </w:pPr>
            <w:r w:rsidRPr="008A3BFC">
              <w:rPr>
                <w:rFonts w:cs="Arial"/>
                <w:szCs w:val="20"/>
              </w:rPr>
              <w:t>≥ 80</w:t>
            </w:r>
          </w:p>
        </w:tc>
        <w:tc>
          <w:tcPr>
            <w:tcW w:w="3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FC45F9" w14:textId="77777777" w:rsidR="00251F05" w:rsidRPr="008A3BFC" w:rsidRDefault="00251F05">
            <w:pPr>
              <w:ind w:left="11"/>
              <w:rPr>
                <w:rFonts w:cs="Arial"/>
                <w:szCs w:val="20"/>
              </w:rPr>
            </w:pPr>
            <w:r w:rsidRPr="008A3BFC">
              <w:rPr>
                <w:rFonts w:cs="Arial"/>
                <w:szCs w:val="20"/>
              </w:rPr>
              <w:t>70</w:t>
            </w:r>
          </w:p>
        </w:tc>
      </w:tr>
    </w:tbl>
    <w:p w14:paraId="3F4B505E" w14:textId="459B395E" w:rsidR="00251F05" w:rsidRPr="008A3BFC" w:rsidRDefault="00251F05" w:rsidP="00251F05">
      <w:pPr>
        <w:shd w:val="clear" w:color="auto" w:fill="FFFFFF"/>
        <w:spacing w:before="120" w:after="0" w:line="260" w:lineRule="atLeast"/>
        <w:ind w:left="981" w:hanging="425"/>
        <w:jc w:val="both"/>
      </w:pPr>
    </w:p>
    <w:p w14:paraId="4756EAB5" w14:textId="77777777" w:rsidR="00251F05" w:rsidRPr="00030F97" w:rsidRDefault="00251F05" w:rsidP="00251F05">
      <w:pPr>
        <w:shd w:val="clear" w:color="auto" w:fill="FFFFFF"/>
        <w:spacing w:before="120" w:after="0" w:line="260" w:lineRule="atLeast"/>
        <w:ind w:left="964" w:hanging="397"/>
        <w:jc w:val="both"/>
        <w:rPr>
          <w:rFonts w:cs="Arial"/>
          <w:color w:val="000000"/>
          <w:szCs w:val="20"/>
        </w:rPr>
      </w:pPr>
      <w:r w:rsidRPr="00030F97">
        <w:rPr>
          <w:rFonts w:cs="Arial"/>
          <w:color w:val="000000"/>
          <w:szCs w:val="20"/>
        </w:rPr>
        <w:t>(3)</w:t>
      </w:r>
      <w:r>
        <w:rPr>
          <w:rFonts w:cs="Arial"/>
          <w:color w:val="000000"/>
          <w:szCs w:val="20"/>
        </w:rPr>
        <w:tab/>
      </w:r>
      <w:r w:rsidRPr="00030F97">
        <w:rPr>
          <w:rFonts w:cs="Arial"/>
          <w:color w:val="000000"/>
          <w:szCs w:val="20"/>
        </w:rPr>
        <w:t>When assessing interference caused by receiver overload:</w:t>
      </w:r>
    </w:p>
    <w:p w14:paraId="6C77034F" w14:textId="77777777" w:rsidR="00251F05" w:rsidRPr="00354F17" w:rsidRDefault="00251F05" w:rsidP="00251F05">
      <w:pPr>
        <w:pStyle w:val="ListParagraph"/>
        <w:numPr>
          <w:ilvl w:val="0"/>
          <w:numId w:val="76"/>
        </w:numPr>
        <w:shd w:val="clear" w:color="auto" w:fill="FFFFFF"/>
        <w:spacing w:before="120" w:after="0" w:line="260" w:lineRule="atLeast"/>
        <w:jc w:val="both"/>
        <w:rPr>
          <w:rFonts w:cs="Arial"/>
          <w:color w:val="000000"/>
          <w:szCs w:val="20"/>
        </w:rPr>
      </w:pPr>
      <w:r w:rsidRPr="00354F17">
        <w:rPr>
          <w:rFonts w:cs="Arial"/>
          <w:color w:val="000000"/>
          <w:szCs w:val="20"/>
        </w:rPr>
        <w:t>Propagation loss between a radiocommunications transmitter and an earth receive station for a</w:t>
      </w:r>
      <w:r>
        <w:rPr>
          <w:rFonts w:cs="Arial"/>
          <w:color w:val="000000"/>
          <w:szCs w:val="20"/>
        </w:rPr>
        <w:t>n FSS</w:t>
      </w:r>
      <w:r w:rsidRPr="00354F17">
        <w:rPr>
          <w:rFonts w:cs="Arial"/>
          <w:color w:val="000000"/>
          <w:szCs w:val="20"/>
        </w:rPr>
        <w:t xml:space="preserve"> should be calculated using Recommendation ITU-R P.452 with </w:t>
      </w:r>
      <w:r w:rsidRPr="00354F17">
        <w:rPr>
          <w:rFonts w:cs="Arial"/>
          <w:i/>
          <w:color w:val="000000"/>
          <w:szCs w:val="20"/>
        </w:rPr>
        <w:t>p </w:t>
      </w:r>
      <w:r w:rsidRPr="00354F17">
        <w:rPr>
          <w:rFonts w:cs="Arial"/>
          <w:color w:val="000000"/>
          <w:szCs w:val="20"/>
        </w:rPr>
        <w:t>= 20%.</w:t>
      </w:r>
    </w:p>
    <w:p w14:paraId="2CC6DA92" w14:textId="77777777" w:rsidR="00251F05" w:rsidRPr="00354F17" w:rsidRDefault="00251F05" w:rsidP="00251F05">
      <w:pPr>
        <w:shd w:val="clear" w:color="auto" w:fill="FFFFFF"/>
        <w:spacing w:before="120" w:after="0" w:line="260" w:lineRule="atLeast"/>
        <w:ind w:left="1548" w:hanging="567"/>
        <w:jc w:val="both"/>
        <w:rPr>
          <w:rFonts w:cs="Arial"/>
          <w:color w:val="000000"/>
          <w:sz w:val="16"/>
          <w:szCs w:val="16"/>
        </w:rPr>
      </w:pPr>
      <w:r w:rsidRPr="00354F17">
        <w:rPr>
          <w:rFonts w:cs="Arial"/>
          <w:i/>
          <w:color w:val="000000"/>
          <w:sz w:val="16"/>
          <w:szCs w:val="16"/>
        </w:rPr>
        <w:t>Note:</w:t>
      </w:r>
      <w:r w:rsidRPr="00354F17">
        <w:rPr>
          <w:rFonts w:cs="Arial"/>
          <w:i/>
          <w:color w:val="000000"/>
          <w:sz w:val="16"/>
          <w:szCs w:val="16"/>
        </w:rPr>
        <w:tab/>
      </w:r>
      <w:r w:rsidRPr="00354F17">
        <w:rPr>
          <w:rFonts w:cs="Arial"/>
          <w:color w:val="000000"/>
          <w:sz w:val="16"/>
          <w:szCs w:val="16"/>
        </w:rPr>
        <w:t>The parameter </w:t>
      </w:r>
      <w:r w:rsidRPr="00354F17">
        <w:rPr>
          <w:rFonts w:cs="Arial"/>
          <w:i/>
          <w:color w:val="000000"/>
          <w:sz w:val="16"/>
          <w:szCs w:val="16"/>
        </w:rPr>
        <w:t>p </w:t>
      </w:r>
      <w:r w:rsidRPr="00354F17">
        <w:rPr>
          <w:rFonts w:cs="Arial"/>
          <w:color w:val="000000"/>
          <w:sz w:val="16"/>
          <w:szCs w:val="16"/>
        </w:rPr>
        <w:t>is defined in</w:t>
      </w:r>
      <w:r w:rsidRPr="00354F17">
        <w:rPr>
          <w:rFonts w:cs="Arial"/>
          <w:i/>
          <w:color w:val="000000"/>
          <w:sz w:val="16"/>
          <w:szCs w:val="16"/>
        </w:rPr>
        <w:t> </w:t>
      </w:r>
      <w:r w:rsidRPr="00354F17">
        <w:rPr>
          <w:rFonts w:cs="Arial"/>
          <w:color w:val="000000"/>
          <w:sz w:val="16"/>
          <w:szCs w:val="16"/>
        </w:rPr>
        <w:t>Recommendation ITU-R P.452 as the required time percentage for which the calculated basic transmission is not exceeded.</w:t>
      </w:r>
    </w:p>
    <w:p w14:paraId="63BBEA07" w14:textId="77777777" w:rsidR="00251F05" w:rsidRPr="00354F17" w:rsidRDefault="00251F05" w:rsidP="00251F05">
      <w:pPr>
        <w:pStyle w:val="ListParagraph"/>
        <w:numPr>
          <w:ilvl w:val="0"/>
          <w:numId w:val="76"/>
        </w:numPr>
        <w:shd w:val="clear" w:color="auto" w:fill="FFFFFF"/>
        <w:spacing w:before="120" w:after="0" w:line="260" w:lineRule="atLeast"/>
        <w:jc w:val="both"/>
        <w:rPr>
          <w:rFonts w:cs="Arial"/>
          <w:color w:val="000000"/>
          <w:szCs w:val="20"/>
        </w:rPr>
      </w:pPr>
      <w:r w:rsidRPr="00354F17">
        <w:rPr>
          <w:rFonts w:cs="Arial"/>
          <w:color w:val="000000"/>
          <w:szCs w:val="20"/>
        </w:rPr>
        <w:t>In the event actual antenna radiation patterns are not available for an earth receive station in a</w:t>
      </w:r>
      <w:r>
        <w:rPr>
          <w:rFonts w:cs="Arial"/>
          <w:color w:val="000000"/>
          <w:szCs w:val="20"/>
        </w:rPr>
        <w:t>n FSS</w:t>
      </w:r>
      <w:r w:rsidRPr="00354F17">
        <w:rPr>
          <w:rFonts w:cs="Arial"/>
          <w:color w:val="000000"/>
          <w:szCs w:val="20"/>
        </w:rPr>
        <w:t>, the antenna radiation pattern defined in ITU-R Recommendation S.465 can be assumed.</w:t>
      </w:r>
    </w:p>
    <w:p w14:paraId="3B0E0A53" w14:textId="77777777" w:rsidR="00251F05" w:rsidRDefault="00251F05" w:rsidP="008E5919">
      <w:pPr>
        <w:pStyle w:val="Item"/>
        <w:numPr>
          <w:ilvl w:val="0"/>
          <w:numId w:val="76"/>
        </w:numPr>
        <w:spacing w:after="240"/>
        <w:rPr>
          <w:rFonts w:ascii="Arial" w:hAnsi="Arial" w:cs="Arial"/>
          <w:sz w:val="20"/>
        </w:rPr>
      </w:pPr>
      <w:r w:rsidRPr="00030F97">
        <w:rPr>
          <w:rFonts w:ascii="Arial" w:eastAsiaTheme="minorHAnsi" w:hAnsi="Arial" w:cs="Arial"/>
          <w:color w:val="000000"/>
          <w:sz w:val="20"/>
          <w:lang w:eastAsia="en-US"/>
        </w:rPr>
        <w:t>For coordination occurring before 17 July 2027, the first time a spectrum licensee performs adjacent channel coordination with a</w:t>
      </w:r>
      <w:r>
        <w:rPr>
          <w:rFonts w:ascii="Arial" w:eastAsiaTheme="minorHAnsi" w:hAnsi="Arial" w:cs="Arial"/>
          <w:color w:val="000000"/>
          <w:sz w:val="20"/>
          <w:lang w:eastAsia="en-US"/>
        </w:rPr>
        <w:t>n</w:t>
      </w:r>
      <w:r w:rsidRPr="00030F97">
        <w:rPr>
          <w:rFonts w:ascii="Arial" w:eastAsiaTheme="minorHAnsi" w:hAnsi="Arial" w:cs="Arial"/>
          <w:color w:val="000000"/>
          <w:sz w:val="20"/>
          <w:lang w:eastAsia="en-US"/>
        </w:rPr>
        <w:t xml:space="preserve"> earth receive station operating in the 3800 to 4000 MHz band, and before the spectrum licensee registers the</w:t>
      </w:r>
      <w:r>
        <w:rPr>
          <w:rFonts w:ascii="Arial" w:eastAsiaTheme="minorHAnsi" w:hAnsi="Arial" w:cs="Arial"/>
          <w:color w:val="000000"/>
          <w:sz w:val="20"/>
          <w:lang w:eastAsia="en-US"/>
        </w:rPr>
        <w:t xml:space="preserve"> relevant</w:t>
      </w:r>
      <w:r w:rsidRPr="00030F97">
        <w:rPr>
          <w:rFonts w:ascii="Arial" w:eastAsiaTheme="minorHAnsi" w:hAnsi="Arial" w:cs="Arial"/>
          <w:color w:val="000000"/>
          <w:sz w:val="20"/>
          <w:lang w:eastAsia="en-US"/>
        </w:rPr>
        <w:t xml:space="preserve"> device, the spectrum licensee must notify the affected </w:t>
      </w:r>
      <w:r>
        <w:rPr>
          <w:rFonts w:ascii="Arial" w:eastAsiaTheme="minorHAnsi" w:hAnsi="Arial" w:cs="Arial"/>
          <w:color w:val="000000"/>
          <w:sz w:val="20"/>
          <w:lang w:eastAsia="en-US"/>
        </w:rPr>
        <w:t>area-wide receive</w:t>
      </w:r>
      <w:r w:rsidRPr="00030F97">
        <w:rPr>
          <w:rFonts w:ascii="Arial" w:eastAsiaTheme="minorHAnsi" w:hAnsi="Arial" w:cs="Arial"/>
          <w:color w:val="000000"/>
          <w:sz w:val="20"/>
          <w:lang w:eastAsia="en-US"/>
        </w:rPr>
        <w:t xml:space="preserve"> licensee. This is to ensure the area-wide receive licensee has </w:t>
      </w:r>
      <w:r>
        <w:rPr>
          <w:rFonts w:ascii="Arial" w:eastAsiaTheme="minorHAnsi" w:hAnsi="Arial" w:cs="Arial"/>
          <w:color w:val="000000"/>
          <w:sz w:val="20"/>
          <w:lang w:eastAsia="en-US"/>
        </w:rPr>
        <w:t xml:space="preserve">the opportunity to </w:t>
      </w:r>
      <w:r w:rsidRPr="00030F97">
        <w:rPr>
          <w:rFonts w:ascii="Arial" w:eastAsiaTheme="minorHAnsi" w:hAnsi="Arial" w:cs="Arial"/>
          <w:color w:val="000000"/>
          <w:sz w:val="20"/>
          <w:lang w:eastAsia="en-US"/>
        </w:rPr>
        <w:t xml:space="preserve">install a </w:t>
      </w:r>
      <w:r>
        <w:rPr>
          <w:rFonts w:ascii="Arial" w:eastAsiaTheme="minorHAnsi" w:hAnsi="Arial" w:cs="Arial"/>
          <w:color w:val="000000"/>
          <w:sz w:val="20"/>
          <w:lang w:eastAsia="en-US"/>
        </w:rPr>
        <w:t xml:space="preserve">radiofrequency </w:t>
      </w:r>
      <w:r w:rsidRPr="00030F97">
        <w:rPr>
          <w:rFonts w:ascii="Arial" w:eastAsiaTheme="minorHAnsi" w:hAnsi="Arial" w:cs="Arial"/>
          <w:color w:val="000000"/>
          <w:sz w:val="20"/>
          <w:lang w:eastAsia="en-US"/>
        </w:rPr>
        <w:t>filter with the relevant characteristics from Table 2 to the front end of their earth station receiver</w:t>
      </w:r>
      <w:r w:rsidRPr="00030F97" w:rsidDel="00B80FF7">
        <w:rPr>
          <w:rFonts w:ascii="Arial" w:eastAsiaTheme="minorHAnsi" w:hAnsi="Arial" w:cs="Arial"/>
          <w:sz w:val="20"/>
        </w:rPr>
        <w:t>.</w:t>
      </w:r>
      <w:r w:rsidRPr="00030F97">
        <w:rPr>
          <w:rFonts w:ascii="Arial" w:hAnsi="Arial" w:cs="Arial"/>
          <w:sz w:val="20"/>
        </w:rPr>
        <w:t xml:space="preserve"> </w:t>
      </w:r>
    </w:p>
    <w:p w14:paraId="6607BC4A" w14:textId="6EF4A044" w:rsidR="00251F05" w:rsidRDefault="00251F05" w:rsidP="00251F05">
      <w:pPr>
        <w:pStyle w:val="Paragraph"/>
        <w:spacing w:after="200"/>
      </w:pPr>
      <w:r>
        <w:t>If we proceeded with the proposed changes to the RAG tx above, our intention would be to expedite those changes</w:t>
      </w:r>
      <w:r w:rsidR="00546785">
        <w:t xml:space="preserve"> to the RAG tx</w:t>
      </w:r>
      <w:r>
        <w:t>. This is so they can be made ahead of the planned 3.4/3.7 GHz spectrum licensing allocations. As they involve coordination requirements for spectrum licences devices, prospective spectrum licensees need to have certainty of arrangements for the planned allocation.</w:t>
      </w:r>
    </w:p>
    <w:p w14:paraId="0FD0E103" w14:textId="34E0896C" w:rsidR="00725E9B" w:rsidRPr="009469A5" w:rsidRDefault="00725E9B" w:rsidP="00725E9B">
      <w:pPr>
        <w:spacing w:after="160" w:line="259" w:lineRule="auto"/>
        <w:rPr>
          <w:rFonts w:eastAsia="Arial"/>
          <w:b/>
        </w:rPr>
      </w:pPr>
      <w:r w:rsidRPr="009469A5">
        <w:rPr>
          <w:b/>
        </w:rPr>
        <w:t>Spectrum licen</w:t>
      </w:r>
      <w:r>
        <w:rPr>
          <w:b/>
        </w:rPr>
        <w:t>s</w:t>
      </w:r>
      <w:r w:rsidRPr="009469A5">
        <w:rPr>
          <w:b/>
        </w:rPr>
        <w:t>ed services in 3400</w:t>
      </w:r>
      <w:r w:rsidR="00D755E0">
        <w:t>–</w:t>
      </w:r>
      <w:r w:rsidRPr="009469A5">
        <w:rPr>
          <w:b/>
        </w:rPr>
        <w:t>3800 MHz</w:t>
      </w:r>
      <w:r>
        <w:rPr>
          <w:b/>
        </w:rPr>
        <w:t xml:space="preserve"> and AWL</w:t>
      </w:r>
      <w:r w:rsidR="0087660D">
        <w:rPr>
          <w:b/>
        </w:rPr>
        <w:t>s</w:t>
      </w:r>
    </w:p>
    <w:p w14:paraId="5995195B" w14:textId="00229C4E" w:rsidR="000439B8" w:rsidRPr="008E5919" w:rsidRDefault="00C575E6" w:rsidP="008E5919">
      <w:pPr>
        <w:pStyle w:val="Paragraph"/>
        <w:spacing w:after="200"/>
        <w:rPr>
          <w:rFonts w:cs="Times New Roman"/>
          <w:b/>
          <w:kern w:val="28"/>
          <w:sz w:val="24"/>
        </w:rPr>
      </w:pPr>
      <w:r>
        <w:t xml:space="preserve">As per the </w:t>
      </w:r>
      <w:hyperlink r:id="rId40" w:history="1">
        <w:r w:rsidR="001374A0">
          <w:rPr>
            <w:rStyle w:val="Hyperlink"/>
          </w:rPr>
          <w:t>proposed spectrum re-</w:t>
        </w:r>
        <w:r w:rsidR="00037D2E">
          <w:rPr>
            <w:rStyle w:val="Hyperlink"/>
          </w:rPr>
          <w:t>allocation</w:t>
        </w:r>
        <w:r w:rsidR="001374A0">
          <w:rPr>
            <w:rStyle w:val="Hyperlink"/>
          </w:rPr>
          <w:t xml:space="preserve"> for the 3.4 GHz and 3.7 GHz bands outcomes paper</w:t>
        </w:r>
      </w:hyperlink>
      <w:r w:rsidR="00C8361B">
        <w:t xml:space="preserve">, </w:t>
      </w:r>
      <w:r w:rsidR="00D64AE8">
        <w:t xml:space="preserve">we indicated that we intended to apply 15 MHz </w:t>
      </w:r>
      <w:r w:rsidR="00D755E0">
        <w:t>‘</w:t>
      </w:r>
      <w:r w:rsidR="00D64AE8">
        <w:t>restricted use bands</w:t>
      </w:r>
      <w:r w:rsidR="00D755E0">
        <w:t>’</w:t>
      </w:r>
      <w:r w:rsidR="00D64AE8">
        <w:t xml:space="preserve"> </w:t>
      </w:r>
      <w:r w:rsidR="00B81BFF">
        <w:t>across</w:t>
      </w:r>
      <w:r w:rsidR="00D64AE8">
        <w:t xml:space="preserve"> any spectrum licence and AWL frequency boundary. In th</w:t>
      </w:r>
      <w:r w:rsidR="00416226">
        <w:t>ese restricted use bands</w:t>
      </w:r>
      <w:r w:rsidR="00BB7FEE">
        <w:t>, u</w:t>
      </w:r>
      <w:r w:rsidR="00BB7FEE" w:rsidRPr="00BB7FEE">
        <w:t xml:space="preserve">nless an applicant can demonstrate satisfactory coordination measures, the ACMA will generally not issue AWLs authorising the operation of radiocommunications transmitters in in the 15 MHz of spectrum directly adjacent to a 3.4 GHz </w:t>
      </w:r>
      <w:r w:rsidR="005546B1">
        <w:t xml:space="preserve">or 3.7 GHz </w:t>
      </w:r>
      <w:r w:rsidR="00BB7FEE" w:rsidRPr="00BB7FEE">
        <w:t xml:space="preserve">spectrum licence. </w:t>
      </w:r>
    </w:p>
    <w:p w14:paraId="0DEE61CA" w14:textId="77777777" w:rsidR="00616726" w:rsidRDefault="00616726" w:rsidP="00616726">
      <w:pPr>
        <w:pStyle w:val="Heading3"/>
      </w:pPr>
      <w:r>
        <w:t>Point-to-multipoint (PMP) services</w:t>
      </w:r>
    </w:p>
    <w:p w14:paraId="0D2A321E" w14:textId="663B450B" w:rsidR="00616726" w:rsidRDefault="00616726" w:rsidP="00616726">
      <w:pPr>
        <w:spacing w:after="160" w:line="259" w:lineRule="auto"/>
      </w:pPr>
      <w:r>
        <w:t xml:space="preserve">As incumbent PMP services may continue to operate in the band, elements </w:t>
      </w:r>
      <w:r w:rsidR="00DB447E">
        <w:t>remain</w:t>
      </w:r>
      <w:r>
        <w:t xml:space="preserve"> in in RALI </w:t>
      </w:r>
      <w:r w:rsidR="00B72FCA">
        <w:t>MS47</w:t>
      </w:r>
      <w:r>
        <w:t xml:space="preserve"> to coordinate between </w:t>
      </w:r>
      <w:r w:rsidR="003617A5">
        <w:t>AWL</w:t>
      </w:r>
      <w:r>
        <w:t xml:space="preserve"> and </w:t>
      </w:r>
      <w:r w:rsidR="003617A5">
        <w:t>PMP</w:t>
      </w:r>
      <w:r w:rsidR="00B24407">
        <w:t xml:space="preserve"> licences</w:t>
      </w:r>
      <w:r>
        <w:t>.</w:t>
      </w:r>
    </w:p>
    <w:p w14:paraId="26D15110" w14:textId="77777777" w:rsidR="00616726" w:rsidRDefault="00616726" w:rsidP="00616726">
      <w:pPr>
        <w:pStyle w:val="Heading3"/>
      </w:pPr>
      <w:r>
        <w:lastRenderedPageBreak/>
        <w:t>AWL services</w:t>
      </w:r>
    </w:p>
    <w:p w14:paraId="471F9413" w14:textId="40ABE065" w:rsidR="00616726" w:rsidRDefault="00875D42" w:rsidP="00FE69BE">
      <w:pPr>
        <w:pStyle w:val="Paragraph"/>
      </w:pPr>
      <w:r>
        <w:t xml:space="preserve">RALI MS47 </w:t>
      </w:r>
      <w:r w:rsidR="00936B4E">
        <w:t>is proposed to be</w:t>
      </w:r>
      <w:r>
        <w:t xml:space="preserve"> revised to extend the application of AWLs for WBB applications to </w:t>
      </w:r>
      <w:r w:rsidR="001C1A7D">
        <w:t>the 3.8 GHz band</w:t>
      </w:r>
      <w:r w:rsidR="00424FE0">
        <w:t>,</w:t>
      </w:r>
      <w:r w:rsidR="000E00A5">
        <w:t xml:space="preserve"> and to introduce the use of AWL r</w:t>
      </w:r>
      <w:r w:rsidR="00465C39">
        <w:t>xs</w:t>
      </w:r>
      <w:r w:rsidR="000E00A5">
        <w:t xml:space="preserve"> for satellite receive </w:t>
      </w:r>
      <w:r w:rsidR="008D2397">
        <w:t>applications in regional and metropolitan areas</w:t>
      </w:r>
      <w:r>
        <w:t>.</w:t>
      </w:r>
    </w:p>
    <w:p w14:paraId="268C7DEE" w14:textId="1CCC64ED" w:rsidR="00742387" w:rsidRDefault="008B7E83" w:rsidP="00FE69BE">
      <w:pPr>
        <w:pStyle w:val="Paragraph"/>
      </w:pPr>
      <w:r>
        <w:t xml:space="preserve">Updates </w:t>
      </w:r>
      <w:r w:rsidR="00A02A8B">
        <w:t>are also proposed</w:t>
      </w:r>
      <w:r>
        <w:t xml:space="preserve"> </w:t>
      </w:r>
      <w:r w:rsidR="00E34EB8">
        <w:t xml:space="preserve">to </w:t>
      </w:r>
      <w:r w:rsidR="0096386D">
        <w:t xml:space="preserve">RALI </w:t>
      </w:r>
      <w:r w:rsidR="00E34EB8">
        <w:t xml:space="preserve">MS47 </w:t>
      </w:r>
      <w:r w:rsidR="004F755B">
        <w:t xml:space="preserve">to </w:t>
      </w:r>
      <w:r w:rsidR="00DE1489">
        <w:t xml:space="preserve">be clear which clauses apply to </w:t>
      </w:r>
      <w:r w:rsidR="00F93202">
        <w:t>AWLs for WBB applications and which apply only to AWL rxs</w:t>
      </w:r>
      <w:r w:rsidR="0096437D">
        <w:t>.</w:t>
      </w:r>
      <w:r w:rsidR="00513C55">
        <w:t xml:space="preserve"> While any </w:t>
      </w:r>
      <w:r w:rsidR="0015310B">
        <w:t xml:space="preserve">permitted type of receiver can be registered under an AWL rx, </w:t>
      </w:r>
      <w:r w:rsidR="0095468D">
        <w:t>some specific coordination requirements for AWLs and spectrum licen</w:t>
      </w:r>
      <w:r w:rsidR="00612C23">
        <w:t>c</w:t>
      </w:r>
      <w:r w:rsidR="0095468D">
        <w:t xml:space="preserve">es, as discussed above, </w:t>
      </w:r>
      <w:r w:rsidR="00510FAE">
        <w:t xml:space="preserve">are proposed only to apply </w:t>
      </w:r>
      <w:r w:rsidR="00B42560">
        <w:t>in coordination with ea</w:t>
      </w:r>
      <w:r w:rsidR="002B386F">
        <w:t>r</w:t>
      </w:r>
      <w:r w:rsidR="00B42560">
        <w:t>th receive stations registered under an AWL rx.</w:t>
      </w:r>
    </w:p>
    <w:p w14:paraId="685125C3" w14:textId="5EC9F19C" w:rsidR="00914F0C" w:rsidRPr="00D755E0" w:rsidRDefault="00914F0C" w:rsidP="00D755E0">
      <w:pPr>
        <w:pStyle w:val="Heading3"/>
      </w:pPr>
      <w:r w:rsidRPr="00D755E0">
        <w:t>AWL coexistence with radio altimeter</w:t>
      </w:r>
      <w:r w:rsidR="00275A57" w:rsidRPr="00D755E0">
        <w:t>s</w:t>
      </w:r>
      <w:r w:rsidRPr="00D755E0">
        <w:t xml:space="preserve"> </w:t>
      </w:r>
    </w:p>
    <w:p w14:paraId="5C3B6854" w14:textId="3A2FDD3C" w:rsidR="00616726" w:rsidRDefault="00CA5A15" w:rsidP="00FE69BE">
      <w:pPr>
        <w:pStyle w:val="Paragraph"/>
      </w:pPr>
      <w:r>
        <w:t xml:space="preserve">Managing coexistence from AWLs to radio altimeters on aircraft remains the same as </w:t>
      </w:r>
      <w:r w:rsidR="003A6194">
        <w:t>for AWLs in remote areas</w:t>
      </w:r>
      <w:r w:rsidR="0057746C">
        <w:t xml:space="preserve"> described in the existing RALI MS47</w:t>
      </w:r>
      <w:r w:rsidR="003A6194">
        <w:t xml:space="preserve">. </w:t>
      </w:r>
    </w:p>
    <w:p w14:paraId="6E1E4C22" w14:textId="77777777" w:rsidR="00616726" w:rsidRPr="00D755E0" w:rsidRDefault="00616726" w:rsidP="00D755E0">
      <w:pPr>
        <w:pStyle w:val="Heading3"/>
      </w:pPr>
      <w:r w:rsidRPr="00D755E0">
        <w:t>Other incumbent services</w:t>
      </w:r>
    </w:p>
    <w:p w14:paraId="1B5BAA97" w14:textId="0935162E" w:rsidR="00616726" w:rsidRDefault="00616726" w:rsidP="00FE69BE">
      <w:pPr>
        <w:pStyle w:val="Paragraph"/>
        <w:rPr>
          <w:rFonts w:eastAsia="Arial"/>
        </w:rPr>
      </w:pPr>
      <w:r>
        <w:t xml:space="preserve">RALI </w:t>
      </w:r>
      <w:r w:rsidR="00B72FCA">
        <w:t>MS47</w:t>
      </w:r>
      <w:r>
        <w:t xml:space="preserve"> </w:t>
      </w:r>
      <w:r w:rsidR="00C216B2">
        <w:t xml:space="preserve">already </w:t>
      </w:r>
      <w:r>
        <w:t xml:space="preserve">outlines coordination </w:t>
      </w:r>
      <w:r w:rsidR="002C53B5">
        <w:t>arrangements</w:t>
      </w:r>
      <w:r>
        <w:t xml:space="preserve"> with other incumbent services in</w:t>
      </w:r>
      <w:r w:rsidR="008C5E82">
        <w:t> </w:t>
      </w:r>
      <w:r>
        <w:t>the band</w:t>
      </w:r>
      <w:r w:rsidR="00266B9A">
        <w:t xml:space="preserve">. Relevant services in the spectrum space for this allocation would include spectrum licences, point to point services, </w:t>
      </w:r>
      <w:r w:rsidR="000E562B">
        <w:t xml:space="preserve">earth receive services, amateur </w:t>
      </w:r>
      <w:r w:rsidR="00D755E0">
        <w:t>services,</w:t>
      </w:r>
      <w:r>
        <w:t xml:space="preserve"> </w:t>
      </w:r>
      <w:r w:rsidR="001759AE">
        <w:t>and point-to-multipoint services.</w:t>
      </w:r>
      <w:r>
        <w:t xml:space="preserve"> </w:t>
      </w:r>
    </w:p>
    <w:p w14:paraId="26AC2E9C" w14:textId="77777777" w:rsidR="00616726" w:rsidRPr="00D755E0" w:rsidRDefault="00616726" w:rsidP="00D755E0">
      <w:pPr>
        <w:pStyle w:val="Heading3"/>
      </w:pPr>
      <w:r w:rsidRPr="00D755E0">
        <w:t>Restricted and protected areas</w:t>
      </w:r>
    </w:p>
    <w:p w14:paraId="3684E2A6" w14:textId="31508A7E" w:rsidR="00616726" w:rsidRDefault="00616726" w:rsidP="00E9224C">
      <w:pPr>
        <w:pStyle w:val="Paragraphbeforelist"/>
        <w:rPr>
          <w:rFonts w:eastAsia="Arial"/>
        </w:rPr>
      </w:pPr>
      <w:r w:rsidRPr="00FE69BE">
        <w:rPr>
          <w:rStyle w:val="ParagraphChar"/>
        </w:rPr>
        <w:t xml:space="preserve">RALI </w:t>
      </w:r>
      <w:r w:rsidR="00B72FCA" w:rsidRPr="00FE69BE">
        <w:rPr>
          <w:rStyle w:val="ParagraphChar"/>
        </w:rPr>
        <w:t>MS47</w:t>
      </w:r>
      <w:r w:rsidRPr="00FE69BE">
        <w:rPr>
          <w:rStyle w:val="ParagraphChar"/>
        </w:rPr>
        <w:t xml:space="preserve"> also outlines </w:t>
      </w:r>
      <w:r w:rsidR="00F61D98" w:rsidRPr="00FE69BE">
        <w:rPr>
          <w:rStyle w:val="ParagraphChar"/>
        </w:rPr>
        <w:t xml:space="preserve">specific </w:t>
      </w:r>
      <w:r w:rsidRPr="00FE69BE">
        <w:rPr>
          <w:rStyle w:val="ParagraphChar"/>
        </w:rPr>
        <w:t xml:space="preserve">coordination arrangements </w:t>
      </w:r>
      <w:r w:rsidR="00F61D98" w:rsidRPr="00FE69BE">
        <w:rPr>
          <w:rStyle w:val="ParagraphChar"/>
        </w:rPr>
        <w:t xml:space="preserve">that apply in certain </w:t>
      </w:r>
      <w:r w:rsidRPr="00FE69BE">
        <w:rPr>
          <w:rStyle w:val="ParagraphChar"/>
        </w:rPr>
        <w:t xml:space="preserve">geographic areas. These are </w:t>
      </w:r>
      <w:r w:rsidR="00F65D9E" w:rsidRPr="00FE69BE">
        <w:rPr>
          <w:rStyle w:val="ParagraphChar"/>
        </w:rPr>
        <w:t xml:space="preserve">based on arrangements </w:t>
      </w:r>
      <w:r w:rsidRPr="00FE69BE">
        <w:rPr>
          <w:rStyle w:val="ParagraphChar"/>
        </w:rPr>
        <w:t xml:space="preserve">in other RALIs for the same areas, </w:t>
      </w:r>
      <w:r w:rsidR="00F65D9E" w:rsidRPr="00FE69BE">
        <w:rPr>
          <w:rStyle w:val="ParagraphChar"/>
        </w:rPr>
        <w:t xml:space="preserve">with </w:t>
      </w:r>
      <w:r w:rsidR="00215944" w:rsidRPr="00FE69BE">
        <w:rPr>
          <w:rStyle w:val="ParagraphChar"/>
        </w:rPr>
        <w:t xml:space="preserve">some additional </w:t>
      </w:r>
      <w:r w:rsidRPr="00FE69BE">
        <w:rPr>
          <w:rStyle w:val="ParagraphChar"/>
        </w:rPr>
        <w:t>restrict</w:t>
      </w:r>
      <w:r w:rsidR="00215944" w:rsidRPr="00FE69BE">
        <w:rPr>
          <w:rStyle w:val="ParagraphChar"/>
        </w:rPr>
        <w:t>ions</w:t>
      </w:r>
      <w:r w:rsidRPr="00FE69BE">
        <w:rPr>
          <w:rStyle w:val="ParagraphChar"/>
        </w:rPr>
        <w:t xml:space="preserve"> due to the expected ubiquitous nature of AWL WBB services</w:t>
      </w:r>
      <w:r w:rsidR="00012B1A" w:rsidRPr="00FE69BE">
        <w:rPr>
          <w:rStyle w:val="ParagraphChar"/>
        </w:rPr>
        <w:t xml:space="preserve">. </w:t>
      </w:r>
      <w:r w:rsidR="00C10BFA" w:rsidRPr="00FE69BE">
        <w:rPr>
          <w:rStyle w:val="ParagraphChar"/>
        </w:rPr>
        <w:t xml:space="preserve">The geographic areas </w:t>
      </w:r>
      <w:r w:rsidR="00002C67" w:rsidRPr="00FE69BE">
        <w:rPr>
          <w:rStyle w:val="ParagraphChar"/>
        </w:rPr>
        <w:t xml:space="preserve">relevant to this allocation </w:t>
      </w:r>
      <w:r w:rsidR="00C10BFA" w:rsidRPr="00FE69BE">
        <w:rPr>
          <w:rStyle w:val="ParagraphChar"/>
        </w:rPr>
        <w:t>are</w:t>
      </w:r>
      <w:r>
        <w:t>:</w:t>
      </w:r>
    </w:p>
    <w:p w14:paraId="19A094F6" w14:textId="54A0A9BE" w:rsidR="00616726" w:rsidRPr="00D755E0" w:rsidRDefault="00616726" w:rsidP="00D755E0">
      <w:pPr>
        <w:pStyle w:val="Bulletlevel1"/>
      </w:pPr>
      <w:r w:rsidRPr="00D755E0">
        <w:t>Darwin and Geraldton coordination zones</w:t>
      </w:r>
    </w:p>
    <w:p w14:paraId="16A171F7" w14:textId="77989EBC" w:rsidR="00E11229" w:rsidRPr="00D755E0" w:rsidRDefault="00616726" w:rsidP="00D755E0">
      <w:pPr>
        <w:pStyle w:val="Bulletlevel1"/>
      </w:pPr>
      <w:r w:rsidRPr="00D755E0">
        <w:t>Earth Station Protection Zones (ESPZ)</w:t>
      </w:r>
    </w:p>
    <w:p w14:paraId="61327897" w14:textId="1EF7BDC1" w:rsidR="00616726" w:rsidRPr="00D755E0" w:rsidRDefault="00616726" w:rsidP="00FE69BE">
      <w:pPr>
        <w:pStyle w:val="Bulletlevel1"/>
        <w:spacing w:after="240"/>
      </w:pPr>
      <w:r w:rsidRPr="00D755E0">
        <w:t>Australian Radio Qui</w:t>
      </w:r>
      <w:r w:rsidR="004722D1" w:rsidRPr="00D755E0">
        <w:t>et</w:t>
      </w:r>
      <w:r w:rsidRPr="00D755E0">
        <w:t xml:space="preserve"> Zone in Western Australia (ARQZWA)</w:t>
      </w:r>
      <w:r w:rsidR="00D755E0">
        <w:t>.</w:t>
      </w:r>
      <w:r w:rsidR="005A17F3" w:rsidRPr="00D755E0">
        <w:t xml:space="preserve"> </w:t>
      </w:r>
    </w:p>
    <w:p w14:paraId="798B4BC3" w14:textId="68489097" w:rsidR="00375256" w:rsidRPr="00D755E0" w:rsidRDefault="00375256" w:rsidP="00FE69BE">
      <w:pPr>
        <w:pStyle w:val="Heading3"/>
      </w:pPr>
      <w:r w:rsidRPr="00D755E0">
        <w:t xml:space="preserve">Preservation of spectrum options for affected </w:t>
      </w:r>
      <w:r w:rsidR="005646EE" w:rsidRPr="00D755E0">
        <w:t>PMP</w:t>
      </w:r>
      <w:r w:rsidRPr="00D755E0">
        <w:t xml:space="preserve"> licences</w:t>
      </w:r>
    </w:p>
    <w:p w14:paraId="6FE660F6" w14:textId="4265DE06" w:rsidR="00375256" w:rsidRDefault="00375256" w:rsidP="00375256">
      <w:pPr>
        <w:spacing w:after="160" w:line="259" w:lineRule="auto"/>
      </w:pPr>
      <w:r>
        <w:t xml:space="preserve">Amendments are proposed to RALI MS47 to preserve options for PMP licences affected by the </w:t>
      </w:r>
      <w:hyperlink r:id="rId41" w:history="1">
        <w:r w:rsidRPr="00CE56AF">
          <w:rPr>
            <w:rStyle w:val="Hyperlink"/>
          </w:rPr>
          <w:t>re-allocation declaration</w:t>
        </w:r>
      </w:hyperlink>
      <w:r>
        <w:t xml:space="preserve"> to </w:t>
      </w:r>
      <w:r w:rsidR="00B616D4">
        <w:t>transition service</w:t>
      </w:r>
      <w:r w:rsidR="001F5533">
        <w:t>s</w:t>
      </w:r>
      <w:r>
        <w:t xml:space="preserve"> into</w:t>
      </w:r>
      <w:r w:rsidR="0003352A">
        <w:t xml:space="preserve"> the 3.8 GHz band</w:t>
      </w:r>
      <w:r>
        <w:t xml:space="preserve">. These changes are intended to </w:t>
      </w:r>
      <w:r w:rsidR="007D21FC">
        <w:t xml:space="preserve">prioritise </w:t>
      </w:r>
      <w:r>
        <w:t>spectrum in defined areas to enable</w:t>
      </w:r>
      <w:r w:rsidR="0003352A">
        <w:t xml:space="preserve"> the</w:t>
      </w:r>
      <w:r>
        <w:t xml:space="preserve"> affected licensees to apply for AWLs in the </w:t>
      </w:r>
      <w:r w:rsidR="00B616D4">
        <w:t>3.8 GHz band</w:t>
      </w:r>
      <w:r>
        <w:t xml:space="preserve"> before the end of the re-allocation period</w:t>
      </w:r>
      <w:r w:rsidR="00427BB9">
        <w:t xml:space="preserve"> (</w:t>
      </w:r>
      <w:r w:rsidR="00D755E0">
        <w:t>that is,</w:t>
      </w:r>
      <w:r w:rsidR="00D4752C">
        <w:t xml:space="preserve"> </w:t>
      </w:r>
      <w:r w:rsidR="00427BB9">
        <w:t>15 July 2027)</w:t>
      </w:r>
      <w:r>
        <w:t xml:space="preserve">. The </w:t>
      </w:r>
      <w:r w:rsidR="00B82722">
        <w:t>relevant provisions</w:t>
      </w:r>
      <w:r w:rsidR="00ED1C89">
        <w:t xml:space="preserve"> </w:t>
      </w:r>
      <w:r>
        <w:t xml:space="preserve">will be removed at the end of the re-allocation period </w:t>
      </w:r>
      <w:r w:rsidR="001B0ED2">
        <w:t>and will be</w:t>
      </w:r>
      <w:r w:rsidR="00ED1C89">
        <w:t xml:space="preserve"> periodically</w:t>
      </w:r>
      <w:r w:rsidR="001B0ED2">
        <w:t xml:space="preserve"> updated </w:t>
      </w:r>
      <w:r>
        <w:t>as affected PMP licensees apply for AWL</w:t>
      </w:r>
      <w:r w:rsidR="001B0ED2">
        <w:t>s</w:t>
      </w:r>
      <w:r>
        <w:t xml:space="preserve"> and transition </w:t>
      </w:r>
      <w:r w:rsidR="00CE56AF">
        <w:t>their</w:t>
      </w:r>
      <w:r>
        <w:t xml:space="preserve"> services.</w:t>
      </w:r>
    </w:p>
    <w:p w14:paraId="0A7DBE67" w14:textId="73D7CF31" w:rsidR="00375256" w:rsidRDefault="00375256" w:rsidP="00375256">
      <w:pPr>
        <w:spacing w:after="160" w:line="259" w:lineRule="auto"/>
      </w:pPr>
      <w:r>
        <w:t>The ACMA has identified 31 PMP licences operating in the 3475</w:t>
      </w:r>
      <w:r w:rsidR="00D755E0">
        <w:t>–</w:t>
      </w:r>
      <w:r>
        <w:t>3520 MHz frequency range that these provisions are proposed to apply to</w:t>
      </w:r>
      <w:r w:rsidR="0021288D">
        <w:t xml:space="preserve">. The locations of these </w:t>
      </w:r>
      <w:r w:rsidR="008F1AA2">
        <w:t xml:space="preserve">licences </w:t>
      </w:r>
      <w:r w:rsidR="0021288D">
        <w:t xml:space="preserve">are shown in </w:t>
      </w:r>
      <w:r w:rsidR="0021288D" w:rsidRPr="00061FB1">
        <w:t xml:space="preserve">Figure </w:t>
      </w:r>
      <w:r w:rsidR="00E3405E">
        <w:t>4</w:t>
      </w:r>
      <w:r>
        <w:t xml:space="preserve">. Other prospective licensees will be required to </w:t>
      </w:r>
      <w:r w:rsidR="00B82722">
        <w:t xml:space="preserve">coordinate with these </w:t>
      </w:r>
      <w:r>
        <w:t xml:space="preserve">PMP licences </w:t>
      </w:r>
      <w:r w:rsidR="00B82722">
        <w:t xml:space="preserve">as though they </w:t>
      </w:r>
      <w:r>
        <w:t xml:space="preserve">are operating </w:t>
      </w:r>
      <w:r w:rsidR="00B82722">
        <w:t>in the 3.8 GHz band</w:t>
      </w:r>
      <w:r>
        <w:t>. The existing coordination criteria defined in RALI MS47 for PMP licences in the 3400</w:t>
      </w:r>
      <w:r w:rsidR="00D755E0">
        <w:t>–</w:t>
      </w:r>
      <w:r>
        <w:t xml:space="preserve">3700 MHz </w:t>
      </w:r>
      <w:r w:rsidR="00EC0A49">
        <w:t>frequency range</w:t>
      </w:r>
      <w:r>
        <w:t xml:space="preserve"> </w:t>
      </w:r>
      <w:r w:rsidR="00B82722">
        <w:t>are</w:t>
      </w:r>
      <w:r>
        <w:t xml:space="preserve"> proposed to </w:t>
      </w:r>
      <w:r w:rsidR="00EC0A49">
        <w:t xml:space="preserve">be </w:t>
      </w:r>
      <w:r>
        <w:t>appl</w:t>
      </w:r>
      <w:r w:rsidR="00EC0A49">
        <w:t>ied</w:t>
      </w:r>
      <w:r>
        <w:t xml:space="preserve">. </w:t>
      </w:r>
    </w:p>
    <w:p w14:paraId="295EBC00" w14:textId="05C80F08" w:rsidR="00817049" w:rsidRDefault="00C3402F" w:rsidP="00FE69BE">
      <w:pPr>
        <w:spacing w:after="80" w:line="259" w:lineRule="auto"/>
      </w:pPr>
      <w:r>
        <w:t xml:space="preserve">The ACMA has written to all affected PMP licensees and confirmed they wish to take up the offer transitioning to the 3.8 GHz band. </w:t>
      </w:r>
      <w:r w:rsidR="00375256" w:rsidRPr="00061FB1">
        <w:t xml:space="preserve">Table </w:t>
      </w:r>
      <w:r w:rsidR="00061FB1" w:rsidRPr="00061FB1">
        <w:t>1</w:t>
      </w:r>
      <w:r w:rsidR="00375256">
        <w:t xml:space="preserve"> details the affected PMP licences and licensees as well as the proposed frequency range</w:t>
      </w:r>
      <w:r w:rsidR="00422505">
        <w:t>s</w:t>
      </w:r>
      <w:r w:rsidR="00375256">
        <w:t xml:space="preserve"> to coordinate against them with in the </w:t>
      </w:r>
      <w:r w:rsidR="009871F0">
        <w:t>3.8 GHz band</w:t>
      </w:r>
      <w:r w:rsidR="00375256">
        <w:t xml:space="preserve">. These </w:t>
      </w:r>
      <w:r w:rsidR="005B28EF">
        <w:t>frequencies</w:t>
      </w:r>
      <w:r w:rsidR="001D6DF8">
        <w:t>:</w:t>
      </w:r>
    </w:p>
    <w:p w14:paraId="20FAB815" w14:textId="39347606" w:rsidR="00F466E2" w:rsidRDefault="00D755E0" w:rsidP="00D755E0">
      <w:pPr>
        <w:pStyle w:val="Bulletlevel1"/>
      </w:pPr>
      <w:r>
        <w:t>r</w:t>
      </w:r>
      <w:r w:rsidR="00F466E2">
        <w:t xml:space="preserve">epresent </w:t>
      </w:r>
      <w:r w:rsidR="00375256">
        <w:t>the lowest frequency ranges</w:t>
      </w:r>
      <w:r w:rsidR="005B28EF">
        <w:t xml:space="preserve"> </w:t>
      </w:r>
      <w:r w:rsidR="00696D4A">
        <w:t>available</w:t>
      </w:r>
      <w:r w:rsidR="00375256">
        <w:t xml:space="preserve"> at the location of each licence</w:t>
      </w:r>
    </w:p>
    <w:p w14:paraId="3FF840C1" w14:textId="28F733D3" w:rsidR="00F466E2" w:rsidRDefault="00D755E0" w:rsidP="00D755E0">
      <w:pPr>
        <w:pStyle w:val="Bulletlevel1"/>
      </w:pPr>
      <w:r>
        <w:t>m</w:t>
      </w:r>
      <w:r w:rsidR="00EA2E02">
        <w:t xml:space="preserve">aintain </w:t>
      </w:r>
      <w:r w:rsidR="008E412A">
        <w:t xml:space="preserve">the </w:t>
      </w:r>
      <w:r w:rsidR="00EA2E02">
        <w:t xml:space="preserve">existing </w:t>
      </w:r>
      <w:r w:rsidR="008E412A">
        <w:t xml:space="preserve">licence </w:t>
      </w:r>
      <w:r w:rsidR="00EA2E02">
        <w:t xml:space="preserve">frequency </w:t>
      </w:r>
      <w:r w:rsidR="008E412A">
        <w:t>separations at each</w:t>
      </w:r>
      <w:r w:rsidR="00425845">
        <w:t xml:space="preserve"> PMP</w:t>
      </w:r>
      <w:r w:rsidR="008E412A">
        <w:t xml:space="preserve"> site</w:t>
      </w:r>
    </w:p>
    <w:p w14:paraId="72E96621" w14:textId="6A9A93E5" w:rsidR="00375256" w:rsidRDefault="00D755E0" w:rsidP="00FE69BE">
      <w:pPr>
        <w:pStyle w:val="Bulletlevel1"/>
        <w:spacing w:after="240"/>
      </w:pPr>
      <w:r>
        <w:t>i</w:t>
      </w:r>
      <w:r w:rsidR="00F466E2">
        <w:t xml:space="preserve">mplement </w:t>
      </w:r>
      <w:r w:rsidR="00375256">
        <w:t>a 15 MHz frequency separation with the adjacent frequency spectrum licence space (to enable coexistence</w:t>
      </w:r>
      <w:r w:rsidR="008A5941">
        <w:t xml:space="preserve"> without the need for synchronisation</w:t>
      </w:r>
      <w:r w:rsidR="00375256">
        <w:t xml:space="preserve">). </w:t>
      </w:r>
    </w:p>
    <w:p w14:paraId="7EFFF732" w14:textId="1F366478" w:rsidR="00375256" w:rsidRPr="00FE69BE" w:rsidRDefault="00375256" w:rsidP="00FE69BE">
      <w:pPr>
        <w:pStyle w:val="Tableheading"/>
      </w:pPr>
      <w:r w:rsidRPr="00FE69BE">
        <w:lastRenderedPageBreak/>
        <w:t>Affected PMP licences in the 3475</w:t>
      </w:r>
      <w:r w:rsidR="00D755E0">
        <w:t>–</w:t>
      </w:r>
      <w:r w:rsidRPr="00FE69BE">
        <w:t>3520 MHz frequency range</w:t>
      </w:r>
    </w:p>
    <w:tbl>
      <w:tblPr>
        <w:tblW w:w="7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300"/>
        <w:gridCol w:w="2064"/>
        <w:gridCol w:w="1617"/>
        <w:gridCol w:w="1877"/>
      </w:tblGrid>
      <w:tr w:rsidR="00375256" w:rsidRPr="0003343D" w14:paraId="3249B88E" w14:textId="77777777" w:rsidTr="00FE69BE">
        <w:trPr>
          <w:trHeight w:val="454"/>
        </w:trPr>
        <w:tc>
          <w:tcPr>
            <w:tcW w:w="2300" w:type="dxa"/>
            <w:shd w:val="clear" w:color="auto" w:fill="404040" w:themeFill="text1" w:themeFillTint="BF"/>
            <w:vAlign w:val="center"/>
          </w:tcPr>
          <w:p w14:paraId="3CBB3911" w14:textId="77777777" w:rsidR="00375256" w:rsidRPr="00FE69BE" w:rsidRDefault="00375256">
            <w:pPr>
              <w:spacing w:after="0" w:line="240" w:lineRule="auto"/>
              <w:rPr>
                <w:rFonts w:cs="Arial"/>
                <w:b/>
                <w:bCs/>
                <w:color w:val="FFFFFF" w:themeColor="background1"/>
                <w:szCs w:val="20"/>
              </w:rPr>
            </w:pPr>
            <w:r w:rsidRPr="00FE69BE">
              <w:rPr>
                <w:rFonts w:cs="Arial"/>
                <w:b/>
                <w:bCs/>
                <w:color w:val="FFFFFF" w:themeColor="background1"/>
                <w:szCs w:val="20"/>
              </w:rPr>
              <w:t>Licensee</w:t>
            </w:r>
          </w:p>
        </w:tc>
        <w:tc>
          <w:tcPr>
            <w:tcW w:w="2064" w:type="dxa"/>
            <w:shd w:val="clear" w:color="auto" w:fill="404040" w:themeFill="text1" w:themeFillTint="BF"/>
            <w:vAlign w:val="center"/>
          </w:tcPr>
          <w:p w14:paraId="75891D69" w14:textId="77777777" w:rsidR="00375256" w:rsidRPr="00FE69BE" w:rsidRDefault="00375256">
            <w:pPr>
              <w:spacing w:after="0"/>
              <w:jc w:val="center"/>
              <w:rPr>
                <w:rFonts w:cs="Arial"/>
                <w:b/>
                <w:bCs/>
                <w:color w:val="FFFFFF" w:themeColor="background1"/>
                <w:szCs w:val="20"/>
              </w:rPr>
            </w:pPr>
            <w:r w:rsidRPr="00FE69BE">
              <w:rPr>
                <w:rFonts w:cs="Arial"/>
                <w:b/>
                <w:bCs/>
                <w:color w:val="FFFFFF" w:themeColor="background1"/>
                <w:szCs w:val="20"/>
              </w:rPr>
              <w:t>Licence number</w:t>
            </w:r>
          </w:p>
          <w:p w14:paraId="283A35FD" w14:textId="106A25AE" w:rsidR="00375256" w:rsidRPr="00FE69BE" w:rsidRDefault="00375256">
            <w:pPr>
              <w:spacing w:after="0" w:line="240" w:lineRule="auto"/>
              <w:jc w:val="center"/>
              <w:rPr>
                <w:rFonts w:cs="Arial"/>
                <w:b/>
                <w:bCs/>
                <w:color w:val="FFFFFF" w:themeColor="background1"/>
                <w:szCs w:val="20"/>
              </w:rPr>
            </w:pPr>
            <w:r w:rsidRPr="00FE69BE">
              <w:rPr>
                <w:rFonts w:cs="Arial"/>
                <w:b/>
                <w:color w:val="FFFFFF" w:themeColor="background1"/>
                <w:szCs w:val="20"/>
              </w:rPr>
              <w:t xml:space="preserve">(as of </w:t>
            </w:r>
            <w:r w:rsidR="001A67BD" w:rsidRPr="00FE69BE">
              <w:rPr>
                <w:rFonts w:cs="Arial"/>
                <w:b/>
                <w:color w:val="FFFFFF" w:themeColor="background1"/>
                <w:szCs w:val="20"/>
              </w:rPr>
              <w:t>26</w:t>
            </w:r>
            <w:r w:rsidRPr="00FE69BE">
              <w:rPr>
                <w:rFonts w:cs="Arial"/>
                <w:b/>
                <w:color w:val="FFFFFF" w:themeColor="background1"/>
                <w:szCs w:val="20"/>
              </w:rPr>
              <w:t>/</w:t>
            </w:r>
            <w:r w:rsidR="001A67BD" w:rsidRPr="00FE69BE">
              <w:rPr>
                <w:rFonts w:cs="Arial"/>
                <w:b/>
                <w:color w:val="FFFFFF" w:themeColor="background1"/>
                <w:szCs w:val="20"/>
              </w:rPr>
              <w:t>4</w:t>
            </w:r>
            <w:r w:rsidRPr="00FE69BE">
              <w:rPr>
                <w:rFonts w:cs="Arial"/>
                <w:b/>
                <w:color w:val="FFFFFF" w:themeColor="background1"/>
                <w:szCs w:val="20"/>
              </w:rPr>
              <w:t>/2023)</w:t>
            </w:r>
          </w:p>
        </w:tc>
        <w:tc>
          <w:tcPr>
            <w:tcW w:w="1617" w:type="dxa"/>
            <w:shd w:val="clear" w:color="auto" w:fill="404040" w:themeFill="text1" w:themeFillTint="BF"/>
            <w:vAlign w:val="center"/>
          </w:tcPr>
          <w:p w14:paraId="5C35F3AA" w14:textId="77777777" w:rsidR="00375256" w:rsidRPr="00FE69BE" w:rsidRDefault="00375256">
            <w:pPr>
              <w:spacing w:after="0" w:line="240" w:lineRule="auto"/>
              <w:jc w:val="center"/>
              <w:rPr>
                <w:rFonts w:cs="Arial"/>
                <w:b/>
                <w:bCs/>
                <w:color w:val="FFFFFF" w:themeColor="background1"/>
                <w:szCs w:val="20"/>
              </w:rPr>
            </w:pPr>
            <w:r w:rsidRPr="00FE69BE">
              <w:rPr>
                <w:rFonts w:cs="Arial"/>
                <w:b/>
                <w:bCs/>
                <w:color w:val="FFFFFF" w:themeColor="background1"/>
                <w:szCs w:val="20"/>
              </w:rPr>
              <w:t>ACMA site ID</w:t>
            </w:r>
          </w:p>
        </w:tc>
        <w:tc>
          <w:tcPr>
            <w:tcW w:w="1877" w:type="dxa"/>
            <w:shd w:val="clear" w:color="auto" w:fill="404040" w:themeFill="text1" w:themeFillTint="BF"/>
            <w:vAlign w:val="center"/>
          </w:tcPr>
          <w:p w14:paraId="1CD1A8E9" w14:textId="77777777" w:rsidR="00375256" w:rsidRPr="00FE69BE" w:rsidRDefault="00375256">
            <w:pPr>
              <w:spacing w:after="0" w:line="240" w:lineRule="auto"/>
              <w:jc w:val="center"/>
              <w:rPr>
                <w:rFonts w:cs="Arial"/>
                <w:b/>
                <w:bCs/>
                <w:color w:val="FFFFFF" w:themeColor="background1"/>
                <w:szCs w:val="20"/>
              </w:rPr>
            </w:pPr>
            <w:r w:rsidRPr="00FE69BE">
              <w:rPr>
                <w:rFonts w:cs="Arial"/>
                <w:b/>
                <w:bCs/>
                <w:color w:val="FFFFFF" w:themeColor="background1"/>
                <w:szCs w:val="20"/>
              </w:rPr>
              <w:t>Frequency range to coordinate against</w:t>
            </w:r>
          </w:p>
        </w:tc>
      </w:tr>
      <w:tr w:rsidR="00C17A51" w:rsidRPr="0003343D" w14:paraId="5BDFCEB0" w14:textId="77777777" w:rsidTr="007F2B19">
        <w:tc>
          <w:tcPr>
            <w:tcW w:w="2300" w:type="dxa"/>
            <w:vMerge w:val="restart"/>
            <w:shd w:val="clear" w:color="auto" w:fill="auto"/>
            <w:noWrap/>
            <w:tcMar>
              <w:top w:w="0" w:type="dxa"/>
              <w:bottom w:w="0" w:type="dxa"/>
            </w:tcMar>
            <w:vAlign w:val="center"/>
          </w:tcPr>
          <w:p w14:paraId="5139E51E" w14:textId="77777777" w:rsidR="00C17A51" w:rsidRPr="00FE69BE" w:rsidRDefault="00C17A51">
            <w:pPr>
              <w:spacing w:after="0" w:line="240" w:lineRule="auto"/>
              <w:rPr>
                <w:rFonts w:cs="Arial"/>
                <w:color w:val="000000"/>
                <w:szCs w:val="20"/>
              </w:rPr>
            </w:pPr>
            <w:r w:rsidRPr="00FE69BE">
              <w:rPr>
                <w:rFonts w:cs="Arial"/>
                <w:color w:val="000000"/>
                <w:szCs w:val="20"/>
              </w:rPr>
              <w:t>Bm Alliance Coal Operations Pty Limited</w:t>
            </w:r>
          </w:p>
        </w:tc>
        <w:tc>
          <w:tcPr>
            <w:tcW w:w="2064" w:type="dxa"/>
            <w:shd w:val="clear" w:color="auto" w:fill="auto"/>
            <w:tcMar>
              <w:top w:w="0" w:type="dxa"/>
              <w:bottom w:w="0" w:type="dxa"/>
            </w:tcMar>
            <w:vAlign w:val="center"/>
          </w:tcPr>
          <w:p w14:paraId="35179F51" w14:textId="77777777" w:rsidR="00C17A51" w:rsidRPr="00FE69BE" w:rsidRDefault="00C17A51">
            <w:pPr>
              <w:spacing w:after="0" w:line="240" w:lineRule="auto"/>
              <w:jc w:val="center"/>
              <w:rPr>
                <w:rFonts w:cs="Arial"/>
                <w:color w:val="000000"/>
                <w:szCs w:val="20"/>
              </w:rPr>
            </w:pPr>
            <w:r w:rsidRPr="00FE69BE">
              <w:rPr>
                <w:rFonts w:cs="Arial"/>
                <w:color w:val="000000"/>
                <w:szCs w:val="20"/>
              </w:rPr>
              <w:t>10615470/1</w:t>
            </w:r>
          </w:p>
        </w:tc>
        <w:tc>
          <w:tcPr>
            <w:tcW w:w="1617" w:type="dxa"/>
            <w:vMerge w:val="restart"/>
            <w:shd w:val="clear" w:color="auto" w:fill="auto"/>
            <w:tcMar>
              <w:top w:w="0" w:type="dxa"/>
              <w:bottom w:w="0" w:type="dxa"/>
            </w:tcMar>
            <w:vAlign w:val="center"/>
          </w:tcPr>
          <w:p w14:paraId="6647C416" w14:textId="77777777" w:rsidR="00C17A51" w:rsidRPr="00FE69BE" w:rsidRDefault="00C17A51">
            <w:pPr>
              <w:spacing w:after="0" w:line="240" w:lineRule="auto"/>
              <w:jc w:val="center"/>
              <w:rPr>
                <w:rFonts w:cs="Arial"/>
                <w:color w:val="000000"/>
                <w:szCs w:val="20"/>
              </w:rPr>
            </w:pPr>
            <w:r w:rsidRPr="00FE69BE">
              <w:rPr>
                <w:rFonts w:cs="Arial"/>
                <w:color w:val="000000"/>
                <w:szCs w:val="20"/>
              </w:rPr>
              <w:t>10014668</w:t>
            </w:r>
          </w:p>
        </w:tc>
        <w:tc>
          <w:tcPr>
            <w:tcW w:w="1877" w:type="dxa"/>
            <w:shd w:val="clear" w:color="auto" w:fill="auto"/>
            <w:tcMar>
              <w:top w:w="0" w:type="dxa"/>
              <w:bottom w:w="0" w:type="dxa"/>
            </w:tcMar>
            <w:vAlign w:val="center"/>
          </w:tcPr>
          <w:p w14:paraId="6A3A5BC7" w14:textId="5144170A" w:rsidR="00C17A51" w:rsidRPr="00FE69BE" w:rsidRDefault="00C17A51">
            <w:pPr>
              <w:spacing w:after="0" w:line="240" w:lineRule="auto"/>
              <w:jc w:val="center"/>
              <w:rPr>
                <w:rFonts w:cs="Arial"/>
                <w:color w:val="000000"/>
                <w:szCs w:val="20"/>
              </w:rPr>
            </w:pPr>
            <w:r w:rsidRPr="00FE69BE">
              <w:rPr>
                <w:rFonts w:cs="Arial"/>
                <w:szCs w:val="20"/>
              </w:rPr>
              <w:t>3765</w:t>
            </w:r>
            <w:r w:rsidR="00151B87">
              <w:t>–</w:t>
            </w:r>
            <w:r w:rsidRPr="00FE69BE">
              <w:rPr>
                <w:rFonts w:cs="Arial"/>
                <w:szCs w:val="20"/>
              </w:rPr>
              <w:t>3770 MHz</w:t>
            </w:r>
          </w:p>
        </w:tc>
      </w:tr>
      <w:tr w:rsidR="00C17A51" w:rsidRPr="0003343D" w14:paraId="5C476210" w14:textId="77777777" w:rsidTr="007F2B19">
        <w:tc>
          <w:tcPr>
            <w:tcW w:w="2300" w:type="dxa"/>
            <w:vMerge/>
            <w:noWrap/>
            <w:tcMar>
              <w:top w:w="0" w:type="dxa"/>
              <w:bottom w:w="0" w:type="dxa"/>
            </w:tcMar>
            <w:vAlign w:val="center"/>
          </w:tcPr>
          <w:p w14:paraId="34091745" w14:textId="77777777" w:rsidR="00C17A51" w:rsidRPr="00FE69BE" w:rsidRDefault="00C17A51">
            <w:pPr>
              <w:spacing w:after="0" w:line="240" w:lineRule="auto"/>
              <w:rPr>
                <w:rFonts w:cs="Arial"/>
                <w:color w:val="000000"/>
                <w:szCs w:val="20"/>
              </w:rPr>
            </w:pPr>
          </w:p>
        </w:tc>
        <w:tc>
          <w:tcPr>
            <w:tcW w:w="2064" w:type="dxa"/>
            <w:shd w:val="clear" w:color="auto" w:fill="auto"/>
            <w:tcMar>
              <w:top w:w="0" w:type="dxa"/>
              <w:bottom w:w="0" w:type="dxa"/>
            </w:tcMar>
            <w:vAlign w:val="center"/>
          </w:tcPr>
          <w:p w14:paraId="5BCE8A08" w14:textId="77777777" w:rsidR="00C17A51" w:rsidRPr="00FE69BE" w:rsidRDefault="00C17A51">
            <w:pPr>
              <w:spacing w:after="0" w:line="240" w:lineRule="auto"/>
              <w:jc w:val="center"/>
              <w:rPr>
                <w:rFonts w:cs="Arial"/>
                <w:color w:val="000000"/>
                <w:szCs w:val="20"/>
              </w:rPr>
            </w:pPr>
            <w:r w:rsidRPr="00FE69BE">
              <w:rPr>
                <w:rFonts w:cs="Arial"/>
                <w:color w:val="000000"/>
                <w:szCs w:val="20"/>
              </w:rPr>
              <w:t>10615471/1</w:t>
            </w:r>
          </w:p>
        </w:tc>
        <w:tc>
          <w:tcPr>
            <w:tcW w:w="1617" w:type="dxa"/>
            <w:vMerge/>
            <w:tcMar>
              <w:top w:w="0" w:type="dxa"/>
              <w:bottom w:w="0" w:type="dxa"/>
            </w:tcMar>
            <w:vAlign w:val="center"/>
          </w:tcPr>
          <w:p w14:paraId="1D923830" w14:textId="77777777" w:rsidR="00C17A51" w:rsidRPr="00FE69BE" w:rsidRDefault="00C17A51">
            <w:pPr>
              <w:spacing w:after="0" w:line="240" w:lineRule="auto"/>
              <w:jc w:val="center"/>
              <w:rPr>
                <w:rFonts w:cs="Arial"/>
                <w:color w:val="000000"/>
                <w:szCs w:val="20"/>
              </w:rPr>
            </w:pPr>
          </w:p>
        </w:tc>
        <w:tc>
          <w:tcPr>
            <w:tcW w:w="1877" w:type="dxa"/>
            <w:shd w:val="clear" w:color="auto" w:fill="auto"/>
            <w:tcMar>
              <w:top w:w="0" w:type="dxa"/>
              <w:bottom w:w="0" w:type="dxa"/>
            </w:tcMar>
            <w:vAlign w:val="center"/>
          </w:tcPr>
          <w:p w14:paraId="0D8256C4" w14:textId="3C34BA18" w:rsidR="00C17A51" w:rsidRPr="00FE69BE" w:rsidRDefault="00C17A51">
            <w:pPr>
              <w:spacing w:after="0" w:line="240" w:lineRule="auto"/>
              <w:jc w:val="center"/>
              <w:rPr>
                <w:rFonts w:cs="Arial"/>
                <w:color w:val="000000"/>
                <w:szCs w:val="20"/>
              </w:rPr>
            </w:pPr>
            <w:r w:rsidRPr="00FE69BE">
              <w:rPr>
                <w:rFonts w:cs="Arial"/>
                <w:szCs w:val="20"/>
              </w:rPr>
              <w:t>3770</w:t>
            </w:r>
            <w:r w:rsidR="00151B87">
              <w:t>–</w:t>
            </w:r>
            <w:r w:rsidRPr="00FE69BE">
              <w:rPr>
                <w:rFonts w:cs="Arial"/>
                <w:szCs w:val="20"/>
              </w:rPr>
              <w:t>3775 MHz</w:t>
            </w:r>
          </w:p>
        </w:tc>
      </w:tr>
      <w:tr w:rsidR="00C17A51" w:rsidRPr="0003343D" w14:paraId="4B921076" w14:textId="77777777" w:rsidTr="007F2B19">
        <w:tc>
          <w:tcPr>
            <w:tcW w:w="2300" w:type="dxa"/>
            <w:vMerge/>
            <w:noWrap/>
            <w:tcMar>
              <w:top w:w="0" w:type="dxa"/>
              <w:bottom w:w="0" w:type="dxa"/>
            </w:tcMar>
            <w:vAlign w:val="center"/>
          </w:tcPr>
          <w:p w14:paraId="3989D6E1" w14:textId="77777777" w:rsidR="00C17A51" w:rsidRPr="00FE69BE" w:rsidRDefault="00C17A51">
            <w:pPr>
              <w:spacing w:after="0" w:line="240" w:lineRule="auto"/>
              <w:rPr>
                <w:rFonts w:cs="Arial"/>
                <w:color w:val="000000"/>
                <w:szCs w:val="20"/>
              </w:rPr>
            </w:pPr>
          </w:p>
        </w:tc>
        <w:tc>
          <w:tcPr>
            <w:tcW w:w="2064" w:type="dxa"/>
            <w:shd w:val="clear" w:color="auto" w:fill="auto"/>
            <w:tcMar>
              <w:top w:w="0" w:type="dxa"/>
              <w:bottom w:w="0" w:type="dxa"/>
            </w:tcMar>
            <w:vAlign w:val="center"/>
          </w:tcPr>
          <w:p w14:paraId="7805521F" w14:textId="77777777" w:rsidR="00C17A51" w:rsidRPr="00FE69BE" w:rsidRDefault="00C17A51">
            <w:pPr>
              <w:spacing w:after="0" w:line="240" w:lineRule="auto"/>
              <w:jc w:val="center"/>
              <w:rPr>
                <w:rFonts w:cs="Arial"/>
                <w:color w:val="000000"/>
                <w:szCs w:val="20"/>
              </w:rPr>
            </w:pPr>
            <w:r w:rsidRPr="00FE69BE">
              <w:rPr>
                <w:rFonts w:cs="Arial"/>
                <w:color w:val="000000"/>
                <w:szCs w:val="20"/>
              </w:rPr>
              <w:t>10615472/1</w:t>
            </w:r>
          </w:p>
        </w:tc>
        <w:tc>
          <w:tcPr>
            <w:tcW w:w="1617" w:type="dxa"/>
            <w:vMerge/>
            <w:tcMar>
              <w:top w:w="0" w:type="dxa"/>
              <w:bottom w:w="0" w:type="dxa"/>
            </w:tcMar>
            <w:vAlign w:val="center"/>
          </w:tcPr>
          <w:p w14:paraId="7F2C6E09" w14:textId="77777777" w:rsidR="00C17A51" w:rsidRPr="00FE69BE" w:rsidRDefault="00C17A51">
            <w:pPr>
              <w:spacing w:after="0" w:line="240" w:lineRule="auto"/>
              <w:jc w:val="center"/>
              <w:rPr>
                <w:rFonts w:cs="Arial"/>
                <w:color w:val="000000"/>
                <w:szCs w:val="20"/>
              </w:rPr>
            </w:pPr>
          </w:p>
        </w:tc>
        <w:tc>
          <w:tcPr>
            <w:tcW w:w="1877" w:type="dxa"/>
            <w:shd w:val="clear" w:color="auto" w:fill="auto"/>
            <w:tcMar>
              <w:top w:w="0" w:type="dxa"/>
              <w:bottom w:w="0" w:type="dxa"/>
            </w:tcMar>
            <w:vAlign w:val="center"/>
          </w:tcPr>
          <w:p w14:paraId="66865C5C" w14:textId="4DD3EDEE" w:rsidR="00C17A51" w:rsidRPr="00FE69BE" w:rsidRDefault="00C17A51">
            <w:pPr>
              <w:spacing w:after="0" w:line="240" w:lineRule="auto"/>
              <w:jc w:val="center"/>
              <w:rPr>
                <w:rFonts w:cs="Arial"/>
                <w:color w:val="000000"/>
                <w:szCs w:val="20"/>
              </w:rPr>
            </w:pPr>
            <w:r w:rsidRPr="00FE69BE">
              <w:rPr>
                <w:rFonts w:cs="Arial"/>
                <w:szCs w:val="20"/>
              </w:rPr>
              <w:t>3765</w:t>
            </w:r>
            <w:r w:rsidR="00151B87">
              <w:t>–</w:t>
            </w:r>
            <w:r w:rsidRPr="00FE69BE">
              <w:rPr>
                <w:rFonts w:cs="Arial"/>
                <w:szCs w:val="20"/>
              </w:rPr>
              <w:t>3770 MHz</w:t>
            </w:r>
          </w:p>
        </w:tc>
      </w:tr>
      <w:tr w:rsidR="00C17A51" w:rsidRPr="0003343D" w14:paraId="7FB77888" w14:textId="77777777" w:rsidTr="007F2B19">
        <w:tc>
          <w:tcPr>
            <w:tcW w:w="2300" w:type="dxa"/>
            <w:vMerge/>
            <w:noWrap/>
            <w:tcMar>
              <w:top w:w="0" w:type="dxa"/>
              <w:bottom w:w="0" w:type="dxa"/>
            </w:tcMar>
            <w:vAlign w:val="center"/>
          </w:tcPr>
          <w:p w14:paraId="3D8E4CF1" w14:textId="77777777" w:rsidR="00C17A51" w:rsidRPr="00FE69BE" w:rsidRDefault="00C17A51">
            <w:pPr>
              <w:spacing w:after="0" w:line="240" w:lineRule="auto"/>
              <w:rPr>
                <w:rFonts w:cs="Arial"/>
                <w:color w:val="000000"/>
                <w:szCs w:val="20"/>
              </w:rPr>
            </w:pPr>
          </w:p>
        </w:tc>
        <w:tc>
          <w:tcPr>
            <w:tcW w:w="2064" w:type="dxa"/>
            <w:shd w:val="clear" w:color="auto" w:fill="auto"/>
            <w:tcMar>
              <w:top w:w="0" w:type="dxa"/>
              <w:bottom w:w="0" w:type="dxa"/>
            </w:tcMar>
            <w:vAlign w:val="center"/>
          </w:tcPr>
          <w:p w14:paraId="172A9DBC" w14:textId="77777777" w:rsidR="00C17A51" w:rsidRPr="00FE69BE" w:rsidRDefault="00C17A51">
            <w:pPr>
              <w:spacing w:after="0" w:line="240" w:lineRule="auto"/>
              <w:jc w:val="center"/>
              <w:rPr>
                <w:rFonts w:cs="Arial"/>
                <w:color w:val="000000"/>
                <w:szCs w:val="20"/>
              </w:rPr>
            </w:pPr>
            <w:r w:rsidRPr="00FE69BE">
              <w:rPr>
                <w:rFonts w:cs="Arial"/>
                <w:color w:val="000000"/>
                <w:szCs w:val="20"/>
              </w:rPr>
              <w:t>10615473/1</w:t>
            </w:r>
          </w:p>
        </w:tc>
        <w:tc>
          <w:tcPr>
            <w:tcW w:w="1617" w:type="dxa"/>
            <w:vMerge/>
            <w:tcMar>
              <w:top w:w="0" w:type="dxa"/>
              <w:bottom w:w="0" w:type="dxa"/>
            </w:tcMar>
            <w:vAlign w:val="center"/>
          </w:tcPr>
          <w:p w14:paraId="58F1E327" w14:textId="77777777" w:rsidR="00C17A51" w:rsidRPr="00FE69BE" w:rsidRDefault="00C17A51">
            <w:pPr>
              <w:spacing w:after="0" w:line="240" w:lineRule="auto"/>
              <w:jc w:val="center"/>
              <w:rPr>
                <w:rFonts w:cs="Arial"/>
                <w:color w:val="000000"/>
                <w:szCs w:val="20"/>
              </w:rPr>
            </w:pPr>
          </w:p>
        </w:tc>
        <w:tc>
          <w:tcPr>
            <w:tcW w:w="1877" w:type="dxa"/>
            <w:shd w:val="clear" w:color="auto" w:fill="auto"/>
            <w:tcMar>
              <w:top w:w="0" w:type="dxa"/>
              <w:bottom w:w="0" w:type="dxa"/>
            </w:tcMar>
            <w:vAlign w:val="center"/>
          </w:tcPr>
          <w:p w14:paraId="52A42F4D" w14:textId="565B9AAD" w:rsidR="00C17A51" w:rsidRPr="00FE69BE" w:rsidRDefault="00C17A51">
            <w:pPr>
              <w:spacing w:after="0" w:line="240" w:lineRule="auto"/>
              <w:jc w:val="center"/>
              <w:rPr>
                <w:rFonts w:cs="Arial"/>
                <w:color w:val="000000"/>
                <w:szCs w:val="20"/>
              </w:rPr>
            </w:pPr>
            <w:r w:rsidRPr="00FE69BE">
              <w:rPr>
                <w:rFonts w:cs="Arial"/>
                <w:szCs w:val="20"/>
              </w:rPr>
              <w:t>3770</w:t>
            </w:r>
            <w:r w:rsidR="00151B87">
              <w:t>–</w:t>
            </w:r>
            <w:r w:rsidRPr="00FE69BE">
              <w:rPr>
                <w:rFonts w:cs="Arial"/>
                <w:szCs w:val="20"/>
              </w:rPr>
              <w:t>3775 MHz</w:t>
            </w:r>
          </w:p>
        </w:tc>
      </w:tr>
      <w:tr w:rsidR="00375256" w:rsidRPr="0003343D" w14:paraId="6B52069E" w14:textId="77777777" w:rsidTr="007F2B19">
        <w:tc>
          <w:tcPr>
            <w:tcW w:w="2300" w:type="dxa"/>
            <w:vMerge/>
            <w:noWrap/>
            <w:tcMar>
              <w:top w:w="0" w:type="dxa"/>
              <w:bottom w:w="0" w:type="dxa"/>
            </w:tcMar>
            <w:vAlign w:val="center"/>
          </w:tcPr>
          <w:p w14:paraId="3C97F843" w14:textId="77777777" w:rsidR="00375256" w:rsidRPr="00FE69BE" w:rsidRDefault="00375256">
            <w:pPr>
              <w:spacing w:after="0" w:line="240" w:lineRule="auto"/>
              <w:rPr>
                <w:rFonts w:cs="Arial"/>
                <w:color w:val="000000"/>
                <w:szCs w:val="20"/>
              </w:rPr>
            </w:pPr>
          </w:p>
        </w:tc>
        <w:tc>
          <w:tcPr>
            <w:tcW w:w="2064" w:type="dxa"/>
            <w:shd w:val="clear" w:color="auto" w:fill="auto"/>
            <w:tcMar>
              <w:top w:w="0" w:type="dxa"/>
              <w:bottom w:w="0" w:type="dxa"/>
            </w:tcMar>
            <w:vAlign w:val="center"/>
          </w:tcPr>
          <w:p w14:paraId="2D1BE9BF" w14:textId="77777777" w:rsidR="00375256" w:rsidRPr="00FE69BE" w:rsidRDefault="00375256">
            <w:pPr>
              <w:spacing w:after="0" w:line="240" w:lineRule="auto"/>
              <w:jc w:val="center"/>
              <w:rPr>
                <w:rFonts w:cs="Arial"/>
                <w:color w:val="000000"/>
                <w:szCs w:val="20"/>
              </w:rPr>
            </w:pPr>
            <w:r w:rsidRPr="00FE69BE">
              <w:rPr>
                <w:rFonts w:cs="Arial"/>
                <w:color w:val="000000"/>
                <w:szCs w:val="20"/>
              </w:rPr>
              <w:t>10615474/1</w:t>
            </w:r>
          </w:p>
        </w:tc>
        <w:tc>
          <w:tcPr>
            <w:tcW w:w="1617" w:type="dxa"/>
            <w:vMerge w:val="restart"/>
            <w:shd w:val="clear" w:color="auto" w:fill="auto"/>
            <w:tcMar>
              <w:top w:w="0" w:type="dxa"/>
              <w:bottom w:w="0" w:type="dxa"/>
            </w:tcMar>
            <w:vAlign w:val="center"/>
          </w:tcPr>
          <w:p w14:paraId="22E32233" w14:textId="77777777" w:rsidR="00375256" w:rsidRPr="00FE69BE" w:rsidRDefault="00375256">
            <w:pPr>
              <w:spacing w:after="0" w:line="240" w:lineRule="auto"/>
              <w:jc w:val="center"/>
              <w:rPr>
                <w:rFonts w:cs="Arial"/>
                <w:color w:val="000000"/>
                <w:szCs w:val="20"/>
              </w:rPr>
            </w:pPr>
            <w:r w:rsidRPr="00FE69BE">
              <w:rPr>
                <w:rFonts w:cs="Arial"/>
                <w:color w:val="000000"/>
                <w:szCs w:val="20"/>
              </w:rPr>
              <w:t>10014677</w:t>
            </w:r>
          </w:p>
        </w:tc>
        <w:tc>
          <w:tcPr>
            <w:tcW w:w="1877" w:type="dxa"/>
            <w:shd w:val="clear" w:color="auto" w:fill="auto"/>
            <w:tcMar>
              <w:top w:w="0" w:type="dxa"/>
              <w:bottom w:w="0" w:type="dxa"/>
            </w:tcMar>
            <w:vAlign w:val="center"/>
          </w:tcPr>
          <w:p w14:paraId="7EA3C1E2" w14:textId="1349C92D" w:rsidR="00375256" w:rsidRPr="00FE69BE" w:rsidRDefault="00375256">
            <w:pPr>
              <w:spacing w:after="0" w:line="240" w:lineRule="auto"/>
              <w:jc w:val="center"/>
              <w:rPr>
                <w:rFonts w:cs="Arial"/>
                <w:color w:val="000000"/>
                <w:szCs w:val="20"/>
              </w:rPr>
            </w:pPr>
            <w:r w:rsidRPr="00FE69BE">
              <w:rPr>
                <w:rFonts w:cs="Arial"/>
                <w:szCs w:val="20"/>
              </w:rPr>
              <w:t>3770</w:t>
            </w:r>
            <w:r w:rsidR="00151B87">
              <w:t>–</w:t>
            </w:r>
            <w:r w:rsidRPr="00FE69BE">
              <w:rPr>
                <w:rFonts w:cs="Arial"/>
                <w:szCs w:val="20"/>
              </w:rPr>
              <w:t>3775 MHz</w:t>
            </w:r>
          </w:p>
        </w:tc>
      </w:tr>
      <w:tr w:rsidR="00375256" w:rsidRPr="0003343D" w14:paraId="4EB25A07" w14:textId="77777777" w:rsidTr="007F2B19">
        <w:tc>
          <w:tcPr>
            <w:tcW w:w="2300" w:type="dxa"/>
            <w:vMerge/>
            <w:noWrap/>
            <w:tcMar>
              <w:top w:w="0" w:type="dxa"/>
              <w:bottom w:w="0" w:type="dxa"/>
            </w:tcMar>
            <w:vAlign w:val="center"/>
          </w:tcPr>
          <w:p w14:paraId="44D4BDA1" w14:textId="77777777" w:rsidR="00375256" w:rsidRPr="00FE69BE" w:rsidRDefault="00375256">
            <w:pPr>
              <w:spacing w:after="0" w:line="240" w:lineRule="auto"/>
              <w:rPr>
                <w:rFonts w:cs="Arial"/>
                <w:color w:val="000000"/>
                <w:szCs w:val="20"/>
              </w:rPr>
            </w:pPr>
          </w:p>
        </w:tc>
        <w:tc>
          <w:tcPr>
            <w:tcW w:w="2064" w:type="dxa"/>
            <w:shd w:val="clear" w:color="auto" w:fill="auto"/>
            <w:tcMar>
              <w:top w:w="0" w:type="dxa"/>
              <w:bottom w:w="0" w:type="dxa"/>
            </w:tcMar>
            <w:vAlign w:val="center"/>
          </w:tcPr>
          <w:p w14:paraId="307BA86C" w14:textId="77777777" w:rsidR="00375256" w:rsidRPr="00FE69BE" w:rsidRDefault="00375256">
            <w:pPr>
              <w:spacing w:after="0" w:line="240" w:lineRule="auto"/>
              <w:jc w:val="center"/>
              <w:rPr>
                <w:rFonts w:cs="Arial"/>
                <w:color w:val="000000"/>
                <w:szCs w:val="20"/>
              </w:rPr>
            </w:pPr>
            <w:r w:rsidRPr="00FE69BE">
              <w:rPr>
                <w:rFonts w:cs="Arial"/>
                <w:color w:val="000000"/>
                <w:szCs w:val="20"/>
              </w:rPr>
              <w:t>10615475/1</w:t>
            </w:r>
          </w:p>
        </w:tc>
        <w:tc>
          <w:tcPr>
            <w:tcW w:w="1617" w:type="dxa"/>
            <w:vMerge/>
            <w:tcMar>
              <w:top w:w="0" w:type="dxa"/>
              <w:bottom w:w="0" w:type="dxa"/>
            </w:tcMar>
            <w:vAlign w:val="center"/>
          </w:tcPr>
          <w:p w14:paraId="12F91665" w14:textId="77777777" w:rsidR="00375256" w:rsidRPr="00FE69BE" w:rsidRDefault="00375256">
            <w:pPr>
              <w:spacing w:after="0" w:line="240" w:lineRule="auto"/>
              <w:jc w:val="center"/>
              <w:rPr>
                <w:rFonts w:cs="Arial"/>
                <w:color w:val="000000"/>
                <w:szCs w:val="20"/>
              </w:rPr>
            </w:pPr>
          </w:p>
        </w:tc>
        <w:tc>
          <w:tcPr>
            <w:tcW w:w="1877" w:type="dxa"/>
            <w:shd w:val="clear" w:color="auto" w:fill="auto"/>
            <w:tcMar>
              <w:top w:w="0" w:type="dxa"/>
              <w:bottom w:w="0" w:type="dxa"/>
            </w:tcMar>
            <w:vAlign w:val="center"/>
          </w:tcPr>
          <w:p w14:paraId="78DCEE64" w14:textId="10B76D29" w:rsidR="00375256" w:rsidRPr="00FE69BE" w:rsidRDefault="00375256">
            <w:pPr>
              <w:spacing w:after="0" w:line="240" w:lineRule="auto"/>
              <w:jc w:val="center"/>
              <w:rPr>
                <w:rFonts w:cs="Arial"/>
                <w:color w:val="000000"/>
                <w:szCs w:val="20"/>
              </w:rPr>
            </w:pPr>
            <w:r w:rsidRPr="00FE69BE">
              <w:rPr>
                <w:rFonts w:cs="Arial"/>
                <w:szCs w:val="20"/>
              </w:rPr>
              <w:t>3775</w:t>
            </w:r>
            <w:r w:rsidR="00151B87">
              <w:t>–</w:t>
            </w:r>
            <w:r w:rsidRPr="00FE69BE">
              <w:rPr>
                <w:rFonts w:cs="Arial"/>
                <w:szCs w:val="20"/>
              </w:rPr>
              <w:t>3780 MHz</w:t>
            </w:r>
          </w:p>
        </w:tc>
      </w:tr>
      <w:tr w:rsidR="00375256" w:rsidRPr="0003343D" w14:paraId="2A7C6682" w14:textId="77777777" w:rsidTr="007F2B19">
        <w:tc>
          <w:tcPr>
            <w:tcW w:w="2300" w:type="dxa"/>
            <w:vMerge/>
            <w:noWrap/>
            <w:tcMar>
              <w:top w:w="0" w:type="dxa"/>
              <w:bottom w:w="0" w:type="dxa"/>
            </w:tcMar>
            <w:vAlign w:val="center"/>
          </w:tcPr>
          <w:p w14:paraId="2B34A75F" w14:textId="77777777" w:rsidR="00375256" w:rsidRPr="00FE69BE" w:rsidRDefault="00375256">
            <w:pPr>
              <w:spacing w:after="0" w:line="240" w:lineRule="auto"/>
              <w:rPr>
                <w:rFonts w:cs="Arial"/>
                <w:color w:val="000000"/>
                <w:szCs w:val="20"/>
              </w:rPr>
            </w:pPr>
          </w:p>
        </w:tc>
        <w:tc>
          <w:tcPr>
            <w:tcW w:w="2064" w:type="dxa"/>
            <w:shd w:val="clear" w:color="auto" w:fill="auto"/>
            <w:tcMar>
              <w:top w:w="0" w:type="dxa"/>
              <w:bottom w:w="0" w:type="dxa"/>
            </w:tcMar>
            <w:vAlign w:val="center"/>
          </w:tcPr>
          <w:p w14:paraId="1E059F69" w14:textId="77777777" w:rsidR="00375256" w:rsidRPr="00FE69BE" w:rsidRDefault="00375256">
            <w:pPr>
              <w:spacing w:after="0" w:line="240" w:lineRule="auto"/>
              <w:jc w:val="center"/>
              <w:rPr>
                <w:rFonts w:cs="Arial"/>
                <w:color w:val="000000"/>
                <w:szCs w:val="20"/>
              </w:rPr>
            </w:pPr>
            <w:r w:rsidRPr="00FE69BE">
              <w:rPr>
                <w:rFonts w:cs="Arial"/>
                <w:color w:val="000000"/>
                <w:szCs w:val="20"/>
              </w:rPr>
              <w:t>10615476/1</w:t>
            </w:r>
          </w:p>
        </w:tc>
        <w:tc>
          <w:tcPr>
            <w:tcW w:w="1617" w:type="dxa"/>
            <w:vMerge/>
            <w:tcMar>
              <w:top w:w="0" w:type="dxa"/>
              <w:bottom w:w="0" w:type="dxa"/>
            </w:tcMar>
            <w:vAlign w:val="center"/>
          </w:tcPr>
          <w:p w14:paraId="58C145F3" w14:textId="77777777" w:rsidR="00375256" w:rsidRPr="00FE69BE" w:rsidRDefault="00375256">
            <w:pPr>
              <w:spacing w:after="0" w:line="240" w:lineRule="auto"/>
              <w:jc w:val="center"/>
              <w:rPr>
                <w:rFonts w:cs="Arial"/>
                <w:color w:val="000000"/>
                <w:szCs w:val="20"/>
              </w:rPr>
            </w:pPr>
          </w:p>
        </w:tc>
        <w:tc>
          <w:tcPr>
            <w:tcW w:w="1877" w:type="dxa"/>
            <w:shd w:val="clear" w:color="auto" w:fill="auto"/>
            <w:tcMar>
              <w:top w:w="0" w:type="dxa"/>
              <w:bottom w:w="0" w:type="dxa"/>
            </w:tcMar>
            <w:vAlign w:val="center"/>
          </w:tcPr>
          <w:p w14:paraId="09A56E12" w14:textId="67E37F01" w:rsidR="00375256" w:rsidRPr="00FE69BE" w:rsidRDefault="00375256">
            <w:pPr>
              <w:spacing w:after="0" w:line="240" w:lineRule="auto"/>
              <w:jc w:val="center"/>
              <w:rPr>
                <w:rFonts w:cs="Arial"/>
                <w:color w:val="000000"/>
                <w:szCs w:val="20"/>
              </w:rPr>
            </w:pPr>
            <w:r w:rsidRPr="00FE69BE">
              <w:rPr>
                <w:rFonts w:cs="Arial"/>
                <w:szCs w:val="20"/>
              </w:rPr>
              <w:t>3770</w:t>
            </w:r>
            <w:r w:rsidR="00151B87">
              <w:t>–</w:t>
            </w:r>
            <w:r w:rsidRPr="00FE69BE">
              <w:rPr>
                <w:rFonts w:cs="Arial"/>
                <w:szCs w:val="20"/>
              </w:rPr>
              <w:t>3775 MHz</w:t>
            </w:r>
          </w:p>
        </w:tc>
      </w:tr>
      <w:tr w:rsidR="00375256" w:rsidRPr="0003343D" w14:paraId="2E6DE7C2" w14:textId="77777777" w:rsidTr="007F2B19">
        <w:tc>
          <w:tcPr>
            <w:tcW w:w="2300" w:type="dxa"/>
            <w:vMerge/>
            <w:noWrap/>
            <w:tcMar>
              <w:top w:w="0" w:type="dxa"/>
              <w:bottom w:w="0" w:type="dxa"/>
            </w:tcMar>
            <w:vAlign w:val="center"/>
          </w:tcPr>
          <w:p w14:paraId="01754506" w14:textId="77777777" w:rsidR="00375256" w:rsidRPr="00FE69BE" w:rsidRDefault="00375256">
            <w:pPr>
              <w:spacing w:after="0" w:line="240" w:lineRule="auto"/>
              <w:rPr>
                <w:rFonts w:cs="Arial"/>
                <w:color w:val="000000"/>
                <w:szCs w:val="20"/>
              </w:rPr>
            </w:pPr>
          </w:p>
        </w:tc>
        <w:tc>
          <w:tcPr>
            <w:tcW w:w="2064" w:type="dxa"/>
            <w:shd w:val="clear" w:color="auto" w:fill="auto"/>
            <w:tcMar>
              <w:top w:w="0" w:type="dxa"/>
              <w:bottom w:w="0" w:type="dxa"/>
            </w:tcMar>
            <w:vAlign w:val="center"/>
          </w:tcPr>
          <w:p w14:paraId="0AE5A8B6" w14:textId="77777777" w:rsidR="00375256" w:rsidRPr="00FE69BE" w:rsidRDefault="00375256">
            <w:pPr>
              <w:spacing w:after="0" w:line="240" w:lineRule="auto"/>
              <w:jc w:val="center"/>
              <w:rPr>
                <w:rFonts w:cs="Arial"/>
                <w:color w:val="000000"/>
                <w:szCs w:val="20"/>
              </w:rPr>
            </w:pPr>
            <w:r w:rsidRPr="00FE69BE">
              <w:rPr>
                <w:rFonts w:cs="Arial"/>
                <w:color w:val="000000"/>
                <w:szCs w:val="20"/>
              </w:rPr>
              <w:t>10615477/1</w:t>
            </w:r>
          </w:p>
        </w:tc>
        <w:tc>
          <w:tcPr>
            <w:tcW w:w="1617" w:type="dxa"/>
            <w:vMerge/>
            <w:tcMar>
              <w:top w:w="0" w:type="dxa"/>
              <w:bottom w:w="0" w:type="dxa"/>
            </w:tcMar>
            <w:vAlign w:val="center"/>
          </w:tcPr>
          <w:p w14:paraId="27860412" w14:textId="77777777" w:rsidR="00375256" w:rsidRPr="00FE69BE" w:rsidRDefault="00375256">
            <w:pPr>
              <w:spacing w:after="0" w:line="240" w:lineRule="auto"/>
              <w:jc w:val="center"/>
              <w:rPr>
                <w:rFonts w:cs="Arial"/>
                <w:color w:val="000000"/>
                <w:szCs w:val="20"/>
              </w:rPr>
            </w:pPr>
          </w:p>
        </w:tc>
        <w:tc>
          <w:tcPr>
            <w:tcW w:w="1877" w:type="dxa"/>
            <w:shd w:val="clear" w:color="auto" w:fill="auto"/>
            <w:tcMar>
              <w:top w:w="0" w:type="dxa"/>
              <w:bottom w:w="0" w:type="dxa"/>
            </w:tcMar>
            <w:vAlign w:val="center"/>
          </w:tcPr>
          <w:p w14:paraId="5B56DD1F" w14:textId="1D8C43A6" w:rsidR="00375256" w:rsidRPr="00FE69BE" w:rsidRDefault="00375256">
            <w:pPr>
              <w:spacing w:after="0" w:line="240" w:lineRule="auto"/>
              <w:jc w:val="center"/>
              <w:rPr>
                <w:rFonts w:cs="Arial"/>
                <w:color w:val="000000"/>
                <w:szCs w:val="20"/>
              </w:rPr>
            </w:pPr>
            <w:r w:rsidRPr="00FE69BE">
              <w:rPr>
                <w:rFonts w:cs="Arial"/>
                <w:szCs w:val="20"/>
              </w:rPr>
              <w:t>3775</w:t>
            </w:r>
            <w:r w:rsidR="00151B87">
              <w:t>–</w:t>
            </w:r>
            <w:r w:rsidRPr="00FE69BE">
              <w:rPr>
                <w:rFonts w:cs="Arial"/>
                <w:szCs w:val="20"/>
              </w:rPr>
              <w:t>3780 MHz</w:t>
            </w:r>
          </w:p>
        </w:tc>
      </w:tr>
      <w:tr w:rsidR="00375256" w:rsidRPr="0003343D" w14:paraId="0D124D5D" w14:textId="77777777" w:rsidTr="007F2B19">
        <w:tc>
          <w:tcPr>
            <w:tcW w:w="2300" w:type="dxa"/>
            <w:vMerge/>
            <w:noWrap/>
            <w:tcMar>
              <w:top w:w="0" w:type="dxa"/>
              <w:bottom w:w="0" w:type="dxa"/>
            </w:tcMar>
            <w:vAlign w:val="center"/>
          </w:tcPr>
          <w:p w14:paraId="4960D870" w14:textId="77777777" w:rsidR="00375256" w:rsidRPr="00FE69BE" w:rsidRDefault="00375256">
            <w:pPr>
              <w:spacing w:after="0" w:line="240" w:lineRule="auto"/>
              <w:rPr>
                <w:rFonts w:cs="Arial"/>
                <w:color w:val="000000"/>
                <w:szCs w:val="20"/>
              </w:rPr>
            </w:pPr>
          </w:p>
        </w:tc>
        <w:tc>
          <w:tcPr>
            <w:tcW w:w="2064" w:type="dxa"/>
            <w:shd w:val="clear" w:color="auto" w:fill="auto"/>
            <w:tcMar>
              <w:top w:w="0" w:type="dxa"/>
              <w:bottom w:w="0" w:type="dxa"/>
            </w:tcMar>
            <w:vAlign w:val="center"/>
          </w:tcPr>
          <w:p w14:paraId="235C2E29" w14:textId="77777777" w:rsidR="00375256" w:rsidRPr="00FE69BE" w:rsidRDefault="00375256">
            <w:pPr>
              <w:spacing w:after="0" w:line="240" w:lineRule="auto"/>
              <w:jc w:val="center"/>
              <w:rPr>
                <w:rFonts w:cs="Arial"/>
                <w:color w:val="000000"/>
                <w:szCs w:val="20"/>
              </w:rPr>
            </w:pPr>
            <w:r w:rsidRPr="00FE69BE">
              <w:rPr>
                <w:rFonts w:cs="Arial"/>
                <w:color w:val="000000"/>
                <w:szCs w:val="20"/>
              </w:rPr>
              <w:t>10615478/1</w:t>
            </w:r>
          </w:p>
        </w:tc>
        <w:tc>
          <w:tcPr>
            <w:tcW w:w="1617" w:type="dxa"/>
            <w:vMerge w:val="restart"/>
            <w:shd w:val="clear" w:color="auto" w:fill="auto"/>
            <w:tcMar>
              <w:top w:w="0" w:type="dxa"/>
              <w:bottom w:w="0" w:type="dxa"/>
            </w:tcMar>
            <w:vAlign w:val="center"/>
          </w:tcPr>
          <w:p w14:paraId="22639CD5" w14:textId="77777777" w:rsidR="00375256" w:rsidRPr="00FE69BE" w:rsidRDefault="00375256">
            <w:pPr>
              <w:spacing w:after="0" w:line="240" w:lineRule="auto"/>
              <w:jc w:val="center"/>
              <w:rPr>
                <w:rFonts w:cs="Arial"/>
                <w:color w:val="000000"/>
                <w:szCs w:val="20"/>
              </w:rPr>
            </w:pPr>
            <w:r w:rsidRPr="00FE69BE">
              <w:rPr>
                <w:rFonts w:cs="Arial"/>
                <w:color w:val="000000"/>
                <w:szCs w:val="20"/>
              </w:rPr>
              <w:t>10014667</w:t>
            </w:r>
          </w:p>
        </w:tc>
        <w:tc>
          <w:tcPr>
            <w:tcW w:w="1877" w:type="dxa"/>
            <w:shd w:val="clear" w:color="auto" w:fill="auto"/>
            <w:tcMar>
              <w:top w:w="0" w:type="dxa"/>
              <w:bottom w:w="0" w:type="dxa"/>
            </w:tcMar>
            <w:vAlign w:val="center"/>
          </w:tcPr>
          <w:p w14:paraId="62846B39" w14:textId="290BFB91" w:rsidR="00375256" w:rsidRPr="00FE69BE" w:rsidRDefault="00375256">
            <w:pPr>
              <w:spacing w:after="0" w:line="240" w:lineRule="auto"/>
              <w:jc w:val="center"/>
              <w:rPr>
                <w:rFonts w:cs="Arial"/>
                <w:color w:val="000000"/>
                <w:szCs w:val="20"/>
              </w:rPr>
            </w:pPr>
            <w:r w:rsidRPr="00FE69BE">
              <w:rPr>
                <w:rFonts w:cs="Arial"/>
                <w:szCs w:val="20"/>
              </w:rPr>
              <w:t>3775</w:t>
            </w:r>
            <w:r w:rsidR="00151B87">
              <w:t>–</w:t>
            </w:r>
            <w:r w:rsidRPr="00FE69BE">
              <w:rPr>
                <w:rFonts w:cs="Arial"/>
                <w:szCs w:val="20"/>
              </w:rPr>
              <w:t>3780 MHz</w:t>
            </w:r>
          </w:p>
        </w:tc>
      </w:tr>
      <w:tr w:rsidR="00375256" w:rsidRPr="0003343D" w14:paraId="625B8A5B" w14:textId="77777777" w:rsidTr="007F2B19">
        <w:tc>
          <w:tcPr>
            <w:tcW w:w="2300" w:type="dxa"/>
            <w:vMerge/>
            <w:noWrap/>
            <w:tcMar>
              <w:top w:w="0" w:type="dxa"/>
              <w:bottom w:w="0" w:type="dxa"/>
            </w:tcMar>
            <w:vAlign w:val="center"/>
          </w:tcPr>
          <w:p w14:paraId="122EB298" w14:textId="77777777" w:rsidR="00375256" w:rsidRPr="00FE69BE" w:rsidRDefault="00375256">
            <w:pPr>
              <w:spacing w:after="0" w:line="240" w:lineRule="auto"/>
              <w:rPr>
                <w:rFonts w:cs="Arial"/>
                <w:color w:val="000000"/>
                <w:szCs w:val="20"/>
              </w:rPr>
            </w:pPr>
          </w:p>
        </w:tc>
        <w:tc>
          <w:tcPr>
            <w:tcW w:w="2064" w:type="dxa"/>
            <w:shd w:val="clear" w:color="auto" w:fill="auto"/>
            <w:tcMar>
              <w:top w:w="0" w:type="dxa"/>
              <w:bottom w:w="0" w:type="dxa"/>
            </w:tcMar>
            <w:vAlign w:val="center"/>
          </w:tcPr>
          <w:p w14:paraId="24862179" w14:textId="77777777" w:rsidR="00375256" w:rsidRPr="00FE69BE" w:rsidRDefault="00375256">
            <w:pPr>
              <w:spacing w:after="0" w:line="240" w:lineRule="auto"/>
              <w:jc w:val="center"/>
              <w:rPr>
                <w:rFonts w:cs="Arial"/>
                <w:color w:val="000000"/>
                <w:szCs w:val="20"/>
              </w:rPr>
            </w:pPr>
            <w:r w:rsidRPr="00FE69BE">
              <w:rPr>
                <w:rFonts w:cs="Arial"/>
                <w:color w:val="000000"/>
                <w:szCs w:val="20"/>
              </w:rPr>
              <w:t>10615479/1</w:t>
            </w:r>
          </w:p>
        </w:tc>
        <w:tc>
          <w:tcPr>
            <w:tcW w:w="1617" w:type="dxa"/>
            <w:vMerge/>
            <w:tcMar>
              <w:top w:w="0" w:type="dxa"/>
              <w:bottom w:w="0" w:type="dxa"/>
            </w:tcMar>
            <w:vAlign w:val="center"/>
          </w:tcPr>
          <w:p w14:paraId="48BEF7E6" w14:textId="77777777" w:rsidR="00375256" w:rsidRPr="00FE69BE" w:rsidRDefault="00375256">
            <w:pPr>
              <w:spacing w:after="0" w:line="240" w:lineRule="auto"/>
              <w:jc w:val="center"/>
              <w:rPr>
                <w:rFonts w:cs="Arial"/>
                <w:color w:val="000000"/>
                <w:szCs w:val="20"/>
              </w:rPr>
            </w:pPr>
          </w:p>
        </w:tc>
        <w:tc>
          <w:tcPr>
            <w:tcW w:w="1877" w:type="dxa"/>
            <w:shd w:val="clear" w:color="auto" w:fill="auto"/>
            <w:tcMar>
              <w:top w:w="0" w:type="dxa"/>
              <w:bottom w:w="0" w:type="dxa"/>
            </w:tcMar>
            <w:vAlign w:val="center"/>
          </w:tcPr>
          <w:p w14:paraId="6138FD55" w14:textId="4BBEAF5C" w:rsidR="00375256" w:rsidRPr="00FE69BE" w:rsidRDefault="00375256">
            <w:pPr>
              <w:spacing w:after="0" w:line="240" w:lineRule="auto"/>
              <w:jc w:val="center"/>
              <w:rPr>
                <w:rFonts w:cs="Arial"/>
                <w:color w:val="000000"/>
                <w:szCs w:val="20"/>
              </w:rPr>
            </w:pPr>
            <w:r w:rsidRPr="00FE69BE">
              <w:rPr>
                <w:rFonts w:cs="Arial"/>
                <w:szCs w:val="20"/>
              </w:rPr>
              <w:t>3765</w:t>
            </w:r>
            <w:r w:rsidR="00151B87">
              <w:t>–</w:t>
            </w:r>
            <w:r w:rsidRPr="00FE69BE">
              <w:rPr>
                <w:rFonts w:cs="Arial"/>
                <w:szCs w:val="20"/>
              </w:rPr>
              <w:t>3770 MHz</w:t>
            </w:r>
          </w:p>
        </w:tc>
      </w:tr>
      <w:tr w:rsidR="00375256" w:rsidRPr="0003343D" w14:paraId="3BEBD91B" w14:textId="77777777" w:rsidTr="007F2B19">
        <w:tc>
          <w:tcPr>
            <w:tcW w:w="2300" w:type="dxa"/>
            <w:vMerge/>
            <w:noWrap/>
            <w:tcMar>
              <w:top w:w="0" w:type="dxa"/>
              <w:bottom w:w="0" w:type="dxa"/>
            </w:tcMar>
            <w:vAlign w:val="center"/>
          </w:tcPr>
          <w:p w14:paraId="6CD7B526" w14:textId="77777777" w:rsidR="00375256" w:rsidRPr="00FE69BE" w:rsidRDefault="00375256">
            <w:pPr>
              <w:spacing w:after="0" w:line="240" w:lineRule="auto"/>
              <w:rPr>
                <w:rFonts w:cs="Arial"/>
                <w:color w:val="000000"/>
                <w:szCs w:val="20"/>
              </w:rPr>
            </w:pPr>
          </w:p>
        </w:tc>
        <w:tc>
          <w:tcPr>
            <w:tcW w:w="2064" w:type="dxa"/>
            <w:shd w:val="clear" w:color="auto" w:fill="auto"/>
            <w:tcMar>
              <w:top w:w="0" w:type="dxa"/>
              <w:bottom w:w="0" w:type="dxa"/>
            </w:tcMar>
            <w:vAlign w:val="center"/>
          </w:tcPr>
          <w:p w14:paraId="2A4D68D2" w14:textId="77777777" w:rsidR="00375256" w:rsidRPr="00FE69BE" w:rsidRDefault="00375256">
            <w:pPr>
              <w:spacing w:after="0" w:line="240" w:lineRule="auto"/>
              <w:jc w:val="center"/>
              <w:rPr>
                <w:rFonts w:cs="Arial"/>
                <w:color w:val="000000"/>
                <w:szCs w:val="20"/>
              </w:rPr>
            </w:pPr>
            <w:r w:rsidRPr="00FE69BE">
              <w:rPr>
                <w:rFonts w:cs="Arial"/>
                <w:color w:val="000000"/>
                <w:szCs w:val="20"/>
              </w:rPr>
              <w:t>10615480/1</w:t>
            </w:r>
          </w:p>
        </w:tc>
        <w:tc>
          <w:tcPr>
            <w:tcW w:w="1617" w:type="dxa"/>
            <w:vMerge/>
            <w:tcMar>
              <w:top w:w="0" w:type="dxa"/>
              <w:bottom w:w="0" w:type="dxa"/>
            </w:tcMar>
            <w:vAlign w:val="center"/>
          </w:tcPr>
          <w:p w14:paraId="76BAF70F" w14:textId="77777777" w:rsidR="00375256" w:rsidRPr="00FE69BE" w:rsidRDefault="00375256">
            <w:pPr>
              <w:spacing w:after="0" w:line="240" w:lineRule="auto"/>
              <w:jc w:val="center"/>
              <w:rPr>
                <w:rFonts w:cs="Arial"/>
                <w:color w:val="000000"/>
                <w:szCs w:val="20"/>
              </w:rPr>
            </w:pPr>
          </w:p>
        </w:tc>
        <w:tc>
          <w:tcPr>
            <w:tcW w:w="1877" w:type="dxa"/>
            <w:shd w:val="clear" w:color="auto" w:fill="auto"/>
            <w:tcMar>
              <w:top w:w="0" w:type="dxa"/>
              <w:bottom w:w="0" w:type="dxa"/>
            </w:tcMar>
            <w:vAlign w:val="center"/>
          </w:tcPr>
          <w:p w14:paraId="7DA4F22E" w14:textId="6D5A3369" w:rsidR="00375256" w:rsidRPr="00FE69BE" w:rsidRDefault="00375256">
            <w:pPr>
              <w:spacing w:after="0" w:line="240" w:lineRule="auto"/>
              <w:jc w:val="center"/>
              <w:rPr>
                <w:rFonts w:cs="Arial"/>
                <w:color w:val="000000"/>
                <w:szCs w:val="20"/>
              </w:rPr>
            </w:pPr>
            <w:r w:rsidRPr="00FE69BE">
              <w:rPr>
                <w:rFonts w:cs="Arial"/>
                <w:szCs w:val="20"/>
              </w:rPr>
              <w:t>3775</w:t>
            </w:r>
            <w:r w:rsidR="00151B87">
              <w:t>–</w:t>
            </w:r>
            <w:r w:rsidRPr="00FE69BE">
              <w:rPr>
                <w:rFonts w:cs="Arial"/>
                <w:szCs w:val="20"/>
              </w:rPr>
              <w:t>3780 MHz</w:t>
            </w:r>
          </w:p>
        </w:tc>
      </w:tr>
      <w:tr w:rsidR="00375256" w:rsidRPr="0003343D" w14:paraId="0C9ED55D" w14:textId="77777777" w:rsidTr="007F2B19">
        <w:tc>
          <w:tcPr>
            <w:tcW w:w="2300" w:type="dxa"/>
            <w:vMerge/>
            <w:noWrap/>
            <w:tcMar>
              <w:top w:w="0" w:type="dxa"/>
              <w:bottom w:w="0" w:type="dxa"/>
            </w:tcMar>
            <w:vAlign w:val="center"/>
          </w:tcPr>
          <w:p w14:paraId="61F4A72A" w14:textId="77777777" w:rsidR="00375256" w:rsidRPr="00FE69BE" w:rsidRDefault="00375256">
            <w:pPr>
              <w:spacing w:after="0" w:line="240" w:lineRule="auto"/>
              <w:rPr>
                <w:rFonts w:cs="Arial"/>
                <w:color w:val="000000"/>
                <w:szCs w:val="20"/>
              </w:rPr>
            </w:pPr>
          </w:p>
        </w:tc>
        <w:tc>
          <w:tcPr>
            <w:tcW w:w="2064" w:type="dxa"/>
            <w:shd w:val="clear" w:color="auto" w:fill="auto"/>
            <w:tcMar>
              <w:top w:w="0" w:type="dxa"/>
              <w:bottom w:w="0" w:type="dxa"/>
            </w:tcMar>
            <w:vAlign w:val="center"/>
          </w:tcPr>
          <w:p w14:paraId="01BDE59B" w14:textId="77777777" w:rsidR="00375256" w:rsidRPr="00FE69BE" w:rsidRDefault="00375256">
            <w:pPr>
              <w:spacing w:after="0" w:line="240" w:lineRule="auto"/>
              <w:jc w:val="center"/>
              <w:rPr>
                <w:rFonts w:cs="Arial"/>
                <w:color w:val="000000"/>
                <w:szCs w:val="20"/>
              </w:rPr>
            </w:pPr>
            <w:r w:rsidRPr="00FE69BE">
              <w:rPr>
                <w:rFonts w:cs="Arial"/>
                <w:color w:val="000000"/>
                <w:szCs w:val="20"/>
              </w:rPr>
              <w:t>10615481/1</w:t>
            </w:r>
          </w:p>
        </w:tc>
        <w:tc>
          <w:tcPr>
            <w:tcW w:w="1617" w:type="dxa"/>
            <w:vMerge/>
            <w:tcMar>
              <w:top w:w="0" w:type="dxa"/>
              <w:bottom w:w="0" w:type="dxa"/>
            </w:tcMar>
            <w:vAlign w:val="center"/>
          </w:tcPr>
          <w:p w14:paraId="6D1E1BA3" w14:textId="77777777" w:rsidR="00375256" w:rsidRPr="00FE69BE" w:rsidRDefault="00375256">
            <w:pPr>
              <w:spacing w:after="0" w:line="240" w:lineRule="auto"/>
              <w:jc w:val="center"/>
              <w:rPr>
                <w:rFonts w:cs="Arial"/>
                <w:color w:val="000000"/>
                <w:szCs w:val="20"/>
              </w:rPr>
            </w:pPr>
          </w:p>
        </w:tc>
        <w:tc>
          <w:tcPr>
            <w:tcW w:w="1877" w:type="dxa"/>
            <w:shd w:val="clear" w:color="auto" w:fill="auto"/>
            <w:tcMar>
              <w:top w:w="0" w:type="dxa"/>
              <w:bottom w:w="0" w:type="dxa"/>
            </w:tcMar>
            <w:vAlign w:val="center"/>
          </w:tcPr>
          <w:p w14:paraId="37171C20" w14:textId="052454DA" w:rsidR="00375256" w:rsidRPr="00FE69BE" w:rsidRDefault="00375256">
            <w:pPr>
              <w:spacing w:after="0" w:line="240" w:lineRule="auto"/>
              <w:jc w:val="center"/>
              <w:rPr>
                <w:rFonts w:cs="Arial"/>
                <w:color w:val="000000"/>
                <w:szCs w:val="20"/>
              </w:rPr>
            </w:pPr>
            <w:r w:rsidRPr="00FE69BE">
              <w:rPr>
                <w:rFonts w:cs="Arial"/>
                <w:szCs w:val="20"/>
              </w:rPr>
              <w:t>3765</w:t>
            </w:r>
            <w:r w:rsidR="00151B87">
              <w:t>–</w:t>
            </w:r>
            <w:r w:rsidRPr="00FE69BE">
              <w:rPr>
                <w:rFonts w:cs="Arial"/>
                <w:szCs w:val="20"/>
              </w:rPr>
              <w:t>3770 MHz</w:t>
            </w:r>
          </w:p>
        </w:tc>
      </w:tr>
      <w:tr w:rsidR="00375256" w:rsidRPr="0003343D" w14:paraId="78DEE9AC" w14:textId="77777777" w:rsidTr="007F2B19">
        <w:tc>
          <w:tcPr>
            <w:tcW w:w="2300" w:type="dxa"/>
            <w:vMerge/>
            <w:noWrap/>
            <w:tcMar>
              <w:top w:w="0" w:type="dxa"/>
              <w:bottom w:w="0" w:type="dxa"/>
            </w:tcMar>
            <w:vAlign w:val="center"/>
          </w:tcPr>
          <w:p w14:paraId="446C0D2D" w14:textId="77777777" w:rsidR="00375256" w:rsidRPr="00FE69BE" w:rsidRDefault="00375256">
            <w:pPr>
              <w:spacing w:after="0" w:line="240" w:lineRule="auto"/>
              <w:rPr>
                <w:rFonts w:cs="Arial"/>
                <w:color w:val="000000"/>
                <w:szCs w:val="20"/>
              </w:rPr>
            </w:pPr>
          </w:p>
        </w:tc>
        <w:tc>
          <w:tcPr>
            <w:tcW w:w="2064" w:type="dxa"/>
            <w:shd w:val="clear" w:color="auto" w:fill="auto"/>
            <w:tcMar>
              <w:top w:w="0" w:type="dxa"/>
              <w:bottom w:w="0" w:type="dxa"/>
            </w:tcMar>
            <w:vAlign w:val="center"/>
          </w:tcPr>
          <w:p w14:paraId="004260A0" w14:textId="77777777" w:rsidR="00375256" w:rsidRPr="00FE69BE" w:rsidRDefault="00375256">
            <w:pPr>
              <w:spacing w:after="0" w:line="240" w:lineRule="auto"/>
              <w:jc w:val="center"/>
              <w:rPr>
                <w:rFonts w:cs="Arial"/>
                <w:color w:val="000000"/>
                <w:szCs w:val="20"/>
              </w:rPr>
            </w:pPr>
            <w:r w:rsidRPr="00FE69BE">
              <w:rPr>
                <w:rFonts w:cs="Arial"/>
                <w:color w:val="000000"/>
                <w:szCs w:val="20"/>
              </w:rPr>
              <w:t>10615482/1</w:t>
            </w:r>
          </w:p>
        </w:tc>
        <w:tc>
          <w:tcPr>
            <w:tcW w:w="1617" w:type="dxa"/>
            <w:vMerge w:val="restart"/>
            <w:shd w:val="clear" w:color="auto" w:fill="auto"/>
            <w:tcMar>
              <w:top w:w="0" w:type="dxa"/>
              <w:bottom w:w="0" w:type="dxa"/>
            </w:tcMar>
            <w:vAlign w:val="center"/>
          </w:tcPr>
          <w:p w14:paraId="0D819579" w14:textId="77777777" w:rsidR="00375256" w:rsidRPr="00FE69BE" w:rsidRDefault="00375256">
            <w:pPr>
              <w:spacing w:after="0" w:line="240" w:lineRule="auto"/>
              <w:jc w:val="center"/>
              <w:rPr>
                <w:rFonts w:cs="Arial"/>
                <w:color w:val="000000"/>
                <w:szCs w:val="20"/>
              </w:rPr>
            </w:pPr>
            <w:r w:rsidRPr="00FE69BE">
              <w:rPr>
                <w:rFonts w:cs="Arial"/>
                <w:color w:val="000000"/>
                <w:szCs w:val="20"/>
              </w:rPr>
              <w:t>10014669</w:t>
            </w:r>
          </w:p>
        </w:tc>
        <w:tc>
          <w:tcPr>
            <w:tcW w:w="1877" w:type="dxa"/>
            <w:shd w:val="clear" w:color="auto" w:fill="auto"/>
            <w:tcMar>
              <w:top w:w="0" w:type="dxa"/>
              <w:bottom w:w="0" w:type="dxa"/>
            </w:tcMar>
            <w:vAlign w:val="center"/>
          </w:tcPr>
          <w:p w14:paraId="3F4FF10A" w14:textId="5DD7DEA0" w:rsidR="00375256" w:rsidRPr="00FE69BE" w:rsidRDefault="00375256">
            <w:pPr>
              <w:spacing w:after="0" w:line="240" w:lineRule="auto"/>
              <w:jc w:val="center"/>
              <w:rPr>
                <w:rFonts w:cs="Arial"/>
                <w:color w:val="000000"/>
                <w:szCs w:val="20"/>
              </w:rPr>
            </w:pPr>
            <w:r w:rsidRPr="00FE69BE">
              <w:rPr>
                <w:rFonts w:cs="Arial"/>
                <w:szCs w:val="20"/>
              </w:rPr>
              <w:t>3765</w:t>
            </w:r>
            <w:r w:rsidR="00151B87">
              <w:t>–</w:t>
            </w:r>
            <w:r w:rsidRPr="00FE69BE">
              <w:rPr>
                <w:rFonts w:cs="Arial"/>
                <w:szCs w:val="20"/>
              </w:rPr>
              <w:t>3770 MHz</w:t>
            </w:r>
          </w:p>
        </w:tc>
      </w:tr>
      <w:tr w:rsidR="00375256" w:rsidRPr="0003343D" w14:paraId="738AB185" w14:textId="77777777" w:rsidTr="007F2B19">
        <w:tc>
          <w:tcPr>
            <w:tcW w:w="2300" w:type="dxa"/>
            <w:vMerge/>
            <w:noWrap/>
            <w:tcMar>
              <w:top w:w="0" w:type="dxa"/>
              <w:bottom w:w="0" w:type="dxa"/>
            </w:tcMar>
            <w:vAlign w:val="center"/>
          </w:tcPr>
          <w:p w14:paraId="1AB7641F" w14:textId="77777777" w:rsidR="00375256" w:rsidRPr="00FE69BE" w:rsidRDefault="00375256">
            <w:pPr>
              <w:spacing w:after="0" w:line="240" w:lineRule="auto"/>
              <w:rPr>
                <w:rFonts w:cs="Arial"/>
                <w:color w:val="000000"/>
                <w:szCs w:val="20"/>
              </w:rPr>
            </w:pPr>
          </w:p>
        </w:tc>
        <w:tc>
          <w:tcPr>
            <w:tcW w:w="2064" w:type="dxa"/>
            <w:shd w:val="clear" w:color="auto" w:fill="auto"/>
            <w:tcMar>
              <w:top w:w="0" w:type="dxa"/>
              <w:bottom w:w="0" w:type="dxa"/>
            </w:tcMar>
            <w:vAlign w:val="center"/>
          </w:tcPr>
          <w:p w14:paraId="0888BDD3" w14:textId="77777777" w:rsidR="00375256" w:rsidRPr="00FE69BE" w:rsidRDefault="00375256">
            <w:pPr>
              <w:spacing w:after="0" w:line="240" w:lineRule="auto"/>
              <w:jc w:val="center"/>
              <w:rPr>
                <w:rFonts w:cs="Arial"/>
                <w:color w:val="000000"/>
                <w:szCs w:val="20"/>
              </w:rPr>
            </w:pPr>
            <w:r w:rsidRPr="00FE69BE">
              <w:rPr>
                <w:rFonts w:cs="Arial"/>
                <w:color w:val="000000"/>
                <w:szCs w:val="20"/>
              </w:rPr>
              <w:t>10615483/1</w:t>
            </w:r>
          </w:p>
        </w:tc>
        <w:tc>
          <w:tcPr>
            <w:tcW w:w="1617" w:type="dxa"/>
            <w:vMerge/>
            <w:tcMar>
              <w:top w:w="0" w:type="dxa"/>
              <w:bottom w:w="0" w:type="dxa"/>
            </w:tcMar>
            <w:vAlign w:val="center"/>
          </w:tcPr>
          <w:p w14:paraId="00E702DA" w14:textId="77777777" w:rsidR="00375256" w:rsidRPr="00FE69BE" w:rsidRDefault="00375256">
            <w:pPr>
              <w:spacing w:after="0" w:line="240" w:lineRule="auto"/>
              <w:jc w:val="center"/>
              <w:rPr>
                <w:rFonts w:cs="Arial"/>
                <w:color w:val="000000"/>
                <w:szCs w:val="20"/>
              </w:rPr>
            </w:pPr>
          </w:p>
        </w:tc>
        <w:tc>
          <w:tcPr>
            <w:tcW w:w="1877" w:type="dxa"/>
            <w:shd w:val="clear" w:color="auto" w:fill="auto"/>
            <w:tcMar>
              <w:top w:w="0" w:type="dxa"/>
              <w:bottom w:w="0" w:type="dxa"/>
            </w:tcMar>
            <w:vAlign w:val="center"/>
          </w:tcPr>
          <w:p w14:paraId="39650557" w14:textId="3D847924" w:rsidR="00375256" w:rsidRPr="00FE69BE" w:rsidRDefault="00375256">
            <w:pPr>
              <w:spacing w:after="0" w:line="240" w:lineRule="auto"/>
              <w:jc w:val="center"/>
              <w:rPr>
                <w:rFonts w:cs="Arial"/>
                <w:color w:val="000000"/>
                <w:szCs w:val="20"/>
              </w:rPr>
            </w:pPr>
            <w:r w:rsidRPr="00FE69BE">
              <w:rPr>
                <w:rFonts w:cs="Arial"/>
                <w:szCs w:val="20"/>
              </w:rPr>
              <w:t>3770</w:t>
            </w:r>
            <w:r w:rsidR="00151B87">
              <w:t>–</w:t>
            </w:r>
            <w:r w:rsidRPr="00FE69BE">
              <w:rPr>
                <w:rFonts w:cs="Arial"/>
                <w:szCs w:val="20"/>
              </w:rPr>
              <w:t>3775 MHz</w:t>
            </w:r>
          </w:p>
        </w:tc>
      </w:tr>
      <w:tr w:rsidR="00375256" w:rsidRPr="0003343D" w14:paraId="375140BA" w14:textId="77777777" w:rsidTr="007F2B19">
        <w:tc>
          <w:tcPr>
            <w:tcW w:w="2300" w:type="dxa"/>
            <w:vMerge/>
            <w:noWrap/>
            <w:tcMar>
              <w:top w:w="0" w:type="dxa"/>
              <w:bottom w:w="0" w:type="dxa"/>
            </w:tcMar>
            <w:vAlign w:val="center"/>
          </w:tcPr>
          <w:p w14:paraId="2AC93B98" w14:textId="77777777" w:rsidR="00375256" w:rsidRPr="00FE69BE" w:rsidRDefault="00375256">
            <w:pPr>
              <w:spacing w:after="0" w:line="240" w:lineRule="auto"/>
              <w:rPr>
                <w:rFonts w:cs="Arial"/>
                <w:color w:val="000000"/>
                <w:szCs w:val="20"/>
              </w:rPr>
            </w:pPr>
          </w:p>
        </w:tc>
        <w:tc>
          <w:tcPr>
            <w:tcW w:w="2064" w:type="dxa"/>
            <w:shd w:val="clear" w:color="auto" w:fill="auto"/>
            <w:tcMar>
              <w:top w:w="0" w:type="dxa"/>
              <w:bottom w:w="0" w:type="dxa"/>
            </w:tcMar>
            <w:vAlign w:val="center"/>
          </w:tcPr>
          <w:p w14:paraId="05000EDD" w14:textId="77777777" w:rsidR="00375256" w:rsidRPr="00FE69BE" w:rsidRDefault="00375256">
            <w:pPr>
              <w:spacing w:after="0" w:line="240" w:lineRule="auto"/>
              <w:jc w:val="center"/>
              <w:rPr>
                <w:rFonts w:cs="Arial"/>
                <w:color w:val="000000"/>
                <w:szCs w:val="20"/>
              </w:rPr>
            </w:pPr>
            <w:r w:rsidRPr="00FE69BE">
              <w:rPr>
                <w:rFonts w:cs="Arial"/>
                <w:color w:val="000000"/>
                <w:szCs w:val="20"/>
              </w:rPr>
              <w:t>10615484/1</w:t>
            </w:r>
          </w:p>
        </w:tc>
        <w:tc>
          <w:tcPr>
            <w:tcW w:w="1617" w:type="dxa"/>
            <w:vMerge/>
            <w:tcMar>
              <w:top w:w="0" w:type="dxa"/>
              <w:bottom w:w="0" w:type="dxa"/>
            </w:tcMar>
            <w:vAlign w:val="center"/>
          </w:tcPr>
          <w:p w14:paraId="6E46E330" w14:textId="77777777" w:rsidR="00375256" w:rsidRPr="00FE69BE" w:rsidRDefault="00375256">
            <w:pPr>
              <w:spacing w:after="0" w:line="240" w:lineRule="auto"/>
              <w:jc w:val="center"/>
              <w:rPr>
                <w:rFonts w:cs="Arial"/>
                <w:color w:val="000000"/>
                <w:szCs w:val="20"/>
              </w:rPr>
            </w:pPr>
          </w:p>
        </w:tc>
        <w:tc>
          <w:tcPr>
            <w:tcW w:w="1877" w:type="dxa"/>
            <w:shd w:val="clear" w:color="auto" w:fill="auto"/>
            <w:tcMar>
              <w:top w:w="0" w:type="dxa"/>
              <w:bottom w:w="0" w:type="dxa"/>
            </w:tcMar>
            <w:vAlign w:val="center"/>
          </w:tcPr>
          <w:p w14:paraId="30869D67" w14:textId="1E282BD4" w:rsidR="00375256" w:rsidRPr="00FE69BE" w:rsidRDefault="00375256">
            <w:pPr>
              <w:spacing w:after="0" w:line="240" w:lineRule="auto"/>
              <w:jc w:val="center"/>
              <w:rPr>
                <w:rFonts w:cs="Arial"/>
                <w:color w:val="000000"/>
                <w:szCs w:val="20"/>
              </w:rPr>
            </w:pPr>
            <w:r w:rsidRPr="00FE69BE">
              <w:rPr>
                <w:rFonts w:cs="Arial"/>
                <w:szCs w:val="20"/>
              </w:rPr>
              <w:t>3765</w:t>
            </w:r>
            <w:r w:rsidR="00151B87">
              <w:t>–</w:t>
            </w:r>
            <w:r w:rsidRPr="00FE69BE">
              <w:rPr>
                <w:rFonts w:cs="Arial"/>
                <w:szCs w:val="20"/>
              </w:rPr>
              <w:t>3770 MHz</w:t>
            </w:r>
          </w:p>
        </w:tc>
      </w:tr>
      <w:tr w:rsidR="00375256" w:rsidRPr="0003343D" w14:paraId="49706C00" w14:textId="77777777" w:rsidTr="007F2B19">
        <w:tc>
          <w:tcPr>
            <w:tcW w:w="2300" w:type="dxa"/>
            <w:vMerge/>
            <w:noWrap/>
            <w:tcMar>
              <w:top w:w="0" w:type="dxa"/>
              <w:bottom w:w="0" w:type="dxa"/>
            </w:tcMar>
            <w:vAlign w:val="center"/>
          </w:tcPr>
          <w:p w14:paraId="432CDDE9" w14:textId="77777777" w:rsidR="00375256" w:rsidRPr="00FE69BE" w:rsidRDefault="00375256">
            <w:pPr>
              <w:spacing w:after="0" w:line="240" w:lineRule="auto"/>
              <w:rPr>
                <w:rFonts w:cs="Arial"/>
                <w:color w:val="000000"/>
                <w:szCs w:val="20"/>
              </w:rPr>
            </w:pPr>
          </w:p>
        </w:tc>
        <w:tc>
          <w:tcPr>
            <w:tcW w:w="2064" w:type="dxa"/>
            <w:shd w:val="clear" w:color="auto" w:fill="auto"/>
            <w:tcMar>
              <w:top w:w="0" w:type="dxa"/>
              <w:bottom w:w="0" w:type="dxa"/>
            </w:tcMar>
            <w:vAlign w:val="center"/>
          </w:tcPr>
          <w:p w14:paraId="2B4A1248" w14:textId="77777777" w:rsidR="00375256" w:rsidRPr="00FE69BE" w:rsidRDefault="00375256">
            <w:pPr>
              <w:spacing w:after="0" w:line="240" w:lineRule="auto"/>
              <w:jc w:val="center"/>
              <w:rPr>
                <w:rFonts w:cs="Arial"/>
                <w:color w:val="000000"/>
                <w:szCs w:val="20"/>
              </w:rPr>
            </w:pPr>
            <w:r w:rsidRPr="00FE69BE">
              <w:rPr>
                <w:rFonts w:cs="Arial"/>
                <w:color w:val="000000"/>
                <w:szCs w:val="20"/>
              </w:rPr>
              <w:t>10615485/1</w:t>
            </w:r>
          </w:p>
        </w:tc>
        <w:tc>
          <w:tcPr>
            <w:tcW w:w="1617" w:type="dxa"/>
            <w:vMerge/>
            <w:tcMar>
              <w:top w:w="0" w:type="dxa"/>
              <w:bottom w:w="0" w:type="dxa"/>
            </w:tcMar>
            <w:vAlign w:val="center"/>
          </w:tcPr>
          <w:p w14:paraId="53AC1771" w14:textId="77777777" w:rsidR="00375256" w:rsidRPr="00FE69BE" w:rsidRDefault="00375256">
            <w:pPr>
              <w:spacing w:after="0" w:line="240" w:lineRule="auto"/>
              <w:jc w:val="center"/>
              <w:rPr>
                <w:rFonts w:cs="Arial"/>
                <w:color w:val="000000"/>
                <w:szCs w:val="20"/>
              </w:rPr>
            </w:pPr>
          </w:p>
        </w:tc>
        <w:tc>
          <w:tcPr>
            <w:tcW w:w="1877" w:type="dxa"/>
            <w:shd w:val="clear" w:color="auto" w:fill="auto"/>
            <w:tcMar>
              <w:top w:w="0" w:type="dxa"/>
              <w:bottom w:w="0" w:type="dxa"/>
            </w:tcMar>
            <w:vAlign w:val="center"/>
          </w:tcPr>
          <w:p w14:paraId="0C0C283D" w14:textId="06261E04" w:rsidR="00375256" w:rsidRPr="00FE69BE" w:rsidRDefault="00375256">
            <w:pPr>
              <w:spacing w:after="0" w:line="240" w:lineRule="auto"/>
              <w:jc w:val="center"/>
              <w:rPr>
                <w:rFonts w:cs="Arial"/>
                <w:color w:val="000000"/>
                <w:szCs w:val="20"/>
              </w:rPr>
            </w:pPr>
            <w:r w:rsidRPr="00FE69BE">
              <w:rPr>
                <w:rFonts w:cs="Arial"/>
                <w:szCs w:val="20"/>
              </w:rPr>
              <w:t>3770</w:t>
            </w:r>
            <w:r w:rsidR="00151B87">
              <w:t>–</w:t>
            </w:r>
            <w:r w:rsidRPr="00FE69BE">
              <w:rPr>
                <w:rFonts w:cs="Arial"/>
                <w:szCs w:val="20"/>
              </w:rPr>
              <w:t>3775 MHz</w:t>
            </w:r>
          </w:p>
        </w:tc>
      </w:tr>
      <w:tr w:rsidR="00375256" w:rsidRPr="0003343D" w14:paraId="4AE02640" w14:textId="77777777" w:rsidTr="00FE69BE">
        <w:tc>
          <w:tcPr>
            <w:tcW w:w="2300" w:type="dxa"/>
            <w:shd w:val="clear" w:color="auto" w:fill="F2F2F2" w:themeFill="background1" w:themeFillShade="F2"/>
            <w:noWrap/>
            <w:tcMar>
              <w:top w:w="0" w:type="dxa"/>
              <w:bottom w:w="0" w:type="dxa"/>
            </w:tcMar>
            <w:vAlign w:val="center"/>
          </w:tcPr>
          <w:p w14:paraId="78EC0C8B" w14:textId="77777777" w:rsidR="00375256" w:rsidRPr="00FE69BE" w:rsidRDefault="00375256">
            <w:pPr>
              <w:spacing w:after="0" w:line="240" w:lineRule="auto"/>
              <w:rPr>
                <w:rFonts w:cs="Arial"/>
                <w:color w:val="000000"/>
                <w:szCs w:val="20"/>
              </w:rPr>
            </w:pPr>
            <w:r w:rsidRPr="00FE69BE">
              <w:rPr>
                <w:rFonts w:cs="Arial"/>
                <w:szCs w:val="20"/>
              </w:rPr>
              <w:t>Loy Yang Power Management Pty Ltd</w:t>
            </w:r>
          </w:p>
        </w:tc>
        <w:tc>
          <w:tcPr>
            <w:tcW w:w="2064" w:type="dxa"/>
            <w:shd w:val="clear" w:color="auto" w:fill="F2F2F2" w:themeFill="background1" w:themeFillShade="F2"/>
            <w:tcMar>
              <w:top w:w="0" w:type="dxa"/>
              <w:bottom w:w="0" w:type="dxa"/>
            </w:tcMar>
            <w:vAlign w:val="center"/>
          </w:tcPr>
          <w:p w14:paraId="12AA3AD1" w14:textId="77777777" w:rsidR="00375256" w:rsidRPr="00FE69BE" w:rsidRDefault="00375256">
            <w:pPr>
              <w:spacing w:after="0" w:line="240" w:lineRule="auto"/>
              <w:jc w:val="center"/>
              <w:rPr>
                <w:rFonts w:cs="Arial"/>
                <w:color w:val="000000"/>
                <w:szCs w:val="20"/>
              </w:rPr>
            </w:pPr>
            <w:r w:rsidRPr="00FE69BE">
              <w:rPr>
                <w:rFonts w:cs="Arial"/>
                <w:szCs w:val="20"/>
              </w:rPr>
              <w:t>10501450/1</w:t>
            </w:r>
          </w:p>
        </w:tc>
        <w:tc>
          <w:tcPr>
            <w:tcW w:w="1617" w:type="dxa"/>
            <w:shd w:val="clear" w:color="auto" w:fill="F2F2F2" w:themeFill="background1" w:themeFillShade="F2"/>
            <w:tcMar>
              <w:top w:w="0" w:type="dxa"/>
              <w:bottom w:w="0" w:type="dxa"/>
            </w:tcMar>
            <w:vAlign w:val="center"/>
          </w:tcPr>
          <w:p w14:paraId="279F2364" w14:textId="77777777" w:rsidR="00375256" w:rsidRPr="00FE69BE" w:rsidRDefault="00375256">
            <w:pPr>
              <w:spacing w:after="0" w:line="240" w:lineRule="auto"/>
              <w:jc w:val="center"/>
              <w:rPr>
                <w:rFonts w:cs="Arial"/>
                <w:color w:val="000000"/>
                <w:szCs w:val="20"/>
              </w:rPr>
            </w:pPr>
            <w:r w:rsidRPr="00FE69BE">
              <w:rPr>
                <w:rFonts w:cs="Arial"/>
                <w:szCs w:val="20"/>
              </w:rPr>
              <w:t>52625</w:t>
            </w:r>
          </w:p>
        </w:tc>
        <w:tc>
          <w:tcPr>
            <w:tcW w:w="1877" w:type="dxa"/>
            <w:shd w:val="clear" w:color="auto" w:fill="F2F2F2" w:themeFill="background1" w:themeFillShade="F2"/>
            <w:tcMar>
              <w:top w:w="0" w:type="dxa"/>
              <w:bottom w:w="0" w:type="dxa"/>
            </w:tcMar>
            <w:vAlign w:val="center"/>
          </w:tcPr>
          <w:p w14:paraId="1F1D8766" w14:textId="7F5A2331" w:rsidR="00375256" w:rsidRPr="00FE69BE" w:rsidRDefault="00375256">
            <w:pPr>
              <w:spacing w:after="0" w:line="240" w:lineRule="auto"/>
              <w:jc w:val="center"/>
              <w:rPr>
                <w:rFonts w:cs="Arial"/>
                <w:color w:val="000000"/>
                <w:szCs w:val="20"/>
              </w:rPr>
            </w:pPr>
            <w:r w:rsidRPr="00FE69BE">
              <w:rPr>
                <w:rFonts w:cs="Arial"/>
                <w:szCs w:val="20"/>
              </w:rPr>
              <w:t>3815</w:t>
            </w:r>
            <w:r w:rsidR="00151B87">
              <w:t>–</w:t>
            </w:r>
            <w:r w:rsidRPr="00FE69BE">
              <w:rPr>
                <w:rFonts w:cs="Arial"/>
                <w:szCs w:val="20"/>
              </w:rPr>
              <w:t>3825 MHz</w:t>
            </w:r>
          </w:p>
        </w:tc>
      </w:tr>
      <w:tr w:rsidR="00375256" w:rsidRPr="0003343D" w14:paraId="4E81F58D" w14:textId="77777777" w:rsidTr="007F2B19">
        <w:tc>
          <w:tcPr>
            <w:tcW w:w="2300" w:type="dxa"/>
            <w:vMerge w:val="restart"/>
            <w:shd w:val="clear" w:color="auto" w:fill="auto"/>
            <w:noWrap/>
            <w:tcMar>
              <w:top w:w="0" w:type="dxa"/>
              <w:bottom w:w="0" w:type="dxa"/>
            </w:tcMar>
            <w:vAlign w:val="center"/>
          </w:tcPr>
          <w:p w14:paraId="1428490F" w14:textId="6CD9B853" w:rsidR="00375256" w:rsidRPr="00FE69BE" w:rsidRDefault="00CB22A7">
            <w:pPr>
              <w:spacing w:after="0" w:line="240" w:lineRule="auto"/>
              <w:rPr>
                <w:rFonts w:cs="Arial"/>
                <w:color w:val="000000"/>
                <w:szCs w:val="20"/>
              </w:rPr>
            </w:pPr>
            <w:r w:rsidRPr="00FE69BE">
              <w:rPr>
                <w:rFonts w:cs="Arial"/>
                <w:szCs w:val="20"/>
              </w:rPr>
              <w:t xml:space="preserve">Mach Mount Pleasant Operations </w:t>
            </w:r>
            <w:r w:rsidR="00C16818" w:rsidRPr="00FE69BE">
              <w:rPr>
                <w:rFonts w:cs="Arial"/>
                <w:szCs w:val="20"/>
              </w:rPr>
              <w:t>Pty Ltd</w:t>
            </w:r>
          </w:p>
        </w:tc>
        <w:tc>
          <w:tcPr>
            <w:tcW w:w="2064" w:type="dxa"/>
            <w:shd w:val="clear" w:color="auto" w:fill="auto"/>
            <w:tcMar>
              <w:top w:w="0" w:type="dxa"/>
              <w:bottom w:w="0" w:type="dxa"/>
            </w:tcMar>
            <w:vAlign w:val="center"/>
          </w:tcPr>
          <w:p w14:paraId="688775D3" w14:textId="77777777" w:rsidR="00375256" w:rsidRPr="00FE69BE" w:rsidRDefault="00375256">
            <w:pPr>
              <w:spacing w:after="0" w:line="240" w:lineRule="auto"/>
              <w:jc w:val="center"/>
              <w:rPr>
                <w:rFonts w:cs="Arial"/>
                <w:color w:val="000000"/>
                <w:szCs w:val="20"/>
              </w:rPr>
            </w:pPr>
            <w:r w:rsidRPr="00FE69BE">
              <w:rPr>
                <w:rFonts w:cs="Arial"/>
                <w:color w:val="000000"/>
                <w:szCs w:val="20"/>
              </w:rPr>
              <w:t>10397784/4</w:t>
            </w:r>
          </w:p>
        </w:tc>
        <w:tc>
          <w:tcPr>
            <w:tcW w:w="1617" w:type="dxa"/>
            <w:shd w:val="clear" w:color="auto" w:fill="auto"/>
            <w:tcMar>
              <w:top w:w="0" w:type="dxa"/>
              <w:bottom w:w="0" w:type="dxa"/>
            </w:tcMar>
            <w:vAlign w:val="center"/>
          </w:tcPr>
          <w:p w14:paraId="2FC01464" w14:textId="77777777" w:rsidR="00375256" w:rsidRPr="00FE69BE" w:rsidRDefault="00375256">
            <w:pPr>
              <w:spacing w:after="0" w:line="240" w:lineRule="auto"/>
              <w:jc w:val="center"/>
              <w:rPr>
                <w:rFonts w:cs="Arial"/>
                <w:color w:val="000000"/>
                <w:szCs w:val="20"/>
              </w:rPr>
            </w:pPr>
            <w:r w:rsidRPr="00FE69BE">
              <w:rPr>
                <w:rFonts w:cs="Arial"/>
                <w:color w:val="000000"/>
                <w:szCs w:val="20"/>
              </w:rPr>
              <w:t>10008121</w:t>
            </w:r>
          </w:p>
        </w:tc>
        <w:tc>
          <w:tcPr>
            <w:tcW w:w="1877" w:type="dxa"/>
            <w:shd w:val="clear" w:color="auto" w:fill="auto"/>
            <w:tcMar>
              <w:top w:w="0" w:type="dxa"/>
              <w:bottom w:w="0" w:type="dxa"/>
            </w:tcMar>
            <w:vAlign w:val="center"/>
          </w:tcPr>
          <w:p w14:paraId="76DB1A04" w14:textId="4005014B" w:rsidR="00375256" w:rsidRPr="00FE69BE" w:rsidRDefault="00375256">
            <w:pPr>
              <w:spacing w:after="0" w:line="240" w:lineRule="auto"/>
              <w:jc w:val="center"/>
              <w:rPr>
                <w:rFonts w:cs="Arial"/>
                <w:color w:val="000000"/>
                <w:szCs w:val="20"/>
              </w:rPr>
            </w:pPr>
            <w:r w:rsidRPr="00FE69BE">
              <w:rPr>
                <w:rFonts w:cs="Arial"/>
                <w:szCs w:val="20"/>
              </w:rPr>
              <w:t>3815</w:t>
            </w:r>
            <w:r w:rsidR="00151B87">
              <w:t>–</w:t>
            </w:r>
            <w:r w:rsidRPr="00FE69BE">
              <w:rPr>
                <w:rFonts w:cs="Arial"/>
                <w:szCs w:val="20"/>
              </w:rPr>
              <w:t>3835 MHz</w:t>
            </w:r>
          </w:p>
        </w:tc>
      </w:tr>
      <w:tr w:rsidR="00375256" w:rsidRPr="0003343D" w14:paraId="32A90623" w14:textId="77777777" w:rsidTr="007F2B19">
        <w:tc>
          <w:tcPr>
            <w:tcW w:w="2300" w:type="dxa"/>
            <w:vMerge/>
            <w:noWrap/>
            <w:tcMar>
              <w:top w:w="0" w:type="dxa"/>
              <w:bottom w:w="0" w:type="dxa"/>
            </w:tcMar>
            <w:vAlign w:val="center"/>
          </w:tcPr>
          <w:p w14:paraId="6AB603DA" w14:textId="77777777" w:rsidR="00375256" w:rsidRPr="00FE69BE" w:rsidRDefault="00375256">
            <w:pPr>
              <w:spacing w:after="0" w:line="240" w:lineRule="auto"/>
              <w:rPr>
                <w:rFonts w:cs="Arial"/>
                <w:color w:val="000000"/>
                <w:szCs w:val="20"/>
              </w:rPr>
            </w:pPr>
          </w:p>
        </w:tc>
        <w:tc>
          <w:tcPr>
            <w:tcW w:w="2064" w:type="dxa"/>
            <w:shd w:val="clear" w:color="auto" w:fill="auto"/>
            <w:tcMar>
              <w:top w:w="0" w:type="dxa"/>
              <w:bottom w:w="0" w:type="dxa"/>
            </w:tcMar>
            <w:vAlign w:val="center"/>
          </w:tcPr>
          <w:p w14:paraId="63BEB608" w14:textId="77777777" w:rsidR="00375256" w:rsidRPr="00FE69BE" w:rsidRDefault="00375256">
            <w:pPr>
              <w:spacing w:after="0" w:line="240" w:lineRule="auto"/>
              <w:jc w:val="center"/>
              <w:rPr>
                <w:rFonts w:cs="Arial"/>
                <w:color w:val="000000"/>
                <w:szCs w:val="20"/>
              </w:rPr>
            </w:pPr>
            <w:r w:rsidRPr="00FE69BE">
              <w:rPr>
                <w:rFonts w:cs="Arial"/>
                <w:color w:val="000000"/>
                <w:szCs w:val="20"/>
              </w:rPr>
              <w:t>10397786/4</w:t>
            </w:r>
          </w:p>
        </w:tc>
        <w:tc>
          <w:tcPr>
            <w:tcW w:w="1617" w:type="dxa"/>
            <w:shd w:val="clear" w:color="auto" w:fill="auto"/>
            <w:tcMar>
              <w:top w:w="0" w:type="dxa"/>
              <w:bottom w:w="0" w:type="dxa"/>
            </w:tcMar>
            <w:vAlign w:val="center"/>
          </w:tcPr>
          <w:p w14:paraId="265A4A11" w14:textId="77777777" w:rsidR="00375256" w:rsidRPr="00FE69BE" w:rsidRDefault="00375256">
            <w:pPr>
              <w:spacing w:after="0" w:line="240" w:lineRule="auto"/>
              <w:jc w:val="center"/>
              <w:rPr>
                <w:rFonts w:cs="Arial"/>
                <w:color w:val="000000"/>
                <w:szCs w:val="20"/>
              </w:rPr>
            </w:pPr>
            <w:r w:rsidRPr="00FE69BE">
              <w:rPr>
                <w:rFonts w:cs="Arial"/>
                <w:color w:val="000000"/>
                <w:szCs w:val="20"/>
              </w:rPr>
              <w:t>10008122</w:t>
            </w:r>
          </w:p>
        </w:tc>
        <w:tc>
          <w:tcPr>
            <w:tcW w:w="1877" w:type="dxa"/>
            <w:shd w:val="clear" w:color="auto" w:fill="auto"/>
            <w:tcMar>
              <w:top w:w="0" w:type="dxa"/>
              <w:bottom w:w="0" w:type="dxa"/>
            </w:tcMar>
            <w:vAlign w:val="center"/>
          </w:tcPr>
          <w:p w14:paraId="70D83CFF" w14:textId="1B0F62B4" w:rsidR="00375256" w:rsidRPr="00FE69BE" w:rsidRDefault="00375256">
            <w:pPr>
              <w:spacing w:after="0" w:line="240" w:lineRule="auto"/>
              <w:jc w:val="center"/>
              <w:rPr>
                <w:rFonts w:cs="Arial"/>
                <w:color w:val="000000"/>
                <w:szCs w:val="20"/>
              </w:rPr>
            </w:pPr>
            <w:r w:rsidRPr="00FE69BE">
              <w:rPr>
                <w:rFonts w:cs="Arial"/>
                <w:szCs w:val="20"/>
              </w:rPr>
              <w:t>3815</w:t>
            </w:r>
            <w:r w:rsidR="00151B87">
              <w:t>–</w:t>
            </w:r>
            <w:r w:rsidRPr="00FE69BE">
              <w:rPr>
                <w:rFonts w:cs="Arial"/>
                <w:szCs w:val="20"/>
              </w:rPr>
              <w:t>3835 MHz</w:t>
            </w:r>
          </w:p>
        </w:tc>
      </w:tr>
      <w:tr w:rsidR="00375256" w:rsidRPr="0003343D" w14:paraId="5F3FD14C" w14:textId="77777777" w:rsidTr="007F2B19">
        <w:tc>
          <w:tcPr>
            <w:tcW w:w="2300" w:type="dxa"/>
            <w:vMerge/>
            <w:noWrap/>
            <w:tcMar>
              <w:top w:w="0" w:type="dxa"/>
              <w:bottom w:w="0" w:type="dxa"/>
            </w:tcMar>
            <w:vAlign w:val="center"/>
          </w:tcPr>
          <w:p w14:paraId="195D3E2A" w14:textId="77777777" w:rsidR="00375256" w:rsidRPr="00FE69BE" w:rsidRDefault="00375256">
            <w:pPr>
              <w:spacing w:after="0" w:line="240" w:lineRule="auto"/>
              <w:rPr>
                <w:rFonts w:cs="Arial"/>
                <w:color w:val="000000"/>
                <w:szCs w:val="20"/>
              </w:rPr>
            </w:pPr>
          </w:p>
        </w:tc>
        <w:tc>
          <w:tcPr>
            <w:tcW w:w="2064" w:type="dxa"/>
            <w:shd w:val="clear" w:color="auto" w:fill="auto"/>
            <w:tcMar>
              <w:top w:w="0" w:type="dxa"/>
              <w:bottom w:w="0" w:type="dxa"/>
            </w:tcMar>
            <w:vAlign w:val="center"/>
          </w:tcPr>
          <w:p w14:paraId="292695BE" w14:textId="77777777" w:rsidR="00375256" w:rsidRPr="00FE69BE" w:rsidRDefault="00375256">
            <w:pPr>
              <w:spacing w:after="0" w:line="240" w:lineRule="auto"/>
              <w:jc w:val="center"/>
              <w:rPr>
                <w:rFonts w:cs="Arial"/>
                <w:color w:val="000000"/>
                <w:szCs w:val="20"/>
              </w:rPr>
            </w:pPr>
            <w:r w:rsidRPr="00FE69BE">
              <w:rPr>
                <w:rFonts w:cs="Arial"/>
                <w:color w:val="000000"/>
                <w:szCs w:val="20"/>
              </w:rPr>
              <w:t>10397788/4</w:t>
            </w:r>
          </w:p>
        </w:tc>
        <w:tc>
          <w:tcPr>
            <w:tcW w:w="1617" w:type="dxa"/>
            <w:shd w:val="clear" w:color="auto" w:fill="auto"/>
            <w:tcMar>
              <w:top w:w="0" w:type="dxa"/>
              <w:bottom w:w="0" w:type="dxa"/>
            </w:tcMar>
            <w:vAlign w:val="center"/>
          </w:tcPr>
          <w:p w14:paraId="484B749D" w14:textId="77777777" w:rsidR="00375256" w:rsidRPr="00FE69BE" w:rsidRDefault="00375256">
            <w:pPr>
              <w:spacing w:after="0" w:line="240" w:lineRule="auto"/>
              <w:jc w:val="center"/>
              <w:rPr>
                <w:rFonts w:cs="Arial"/>
                <w:color w:val="000000"/>
                <w:szCs w:val="20"/>
              </w:rPr>
            </w:pPr>
            <w:r w:rsidRPr="00FE69BE">
              <w:rPr>
                <w:rFonts w:cs="Arial"/>
                <w:color w:val="000000"/>
                <w:szCs w:val="20"/>
              </w:rPr>
              <w:t>10008120</w:t>
            </w:r>
          </w:p>
        </w:tc>
        <w:tc>
          <w:tcPr>
            <w:tcW w:w="1877" w:type="dxa"/>
            <w:shd w:val="clear" w:color="auto" w:fill="auto"/>
            <w:tcMar>
              <w:top w:w="0" w:type="dxa"/>
              <w:bottom w:w="0" w:type="dxa"/>
            </w:tcMar>
            <w:vAlign w:val="center"/>
          </w:tcPr>
          <w:p w14:paraId="11C575AB" w14:textId="384A5FAB" w:rsidR="00375256" w:rsidRPr="00FE69BE" w:rsidRDefault="00375256">
            <w:pPr>
              <w:spacing w:after="0" w:line="240" w:lineRule="auto"/>
              <w:jc w:val="center"/>
              <w:rPr>
                <w:rFonts w:cs="Arial"/>
                <w:color w:val="000000"/>
                <w:szCs w:val="20"/>
              </w:rPr>
            </w:pPr>
            <w:r w:rsidRPr="00FE69BE">
              <w:rPr>
                <w:rFonts w:cs="Arial"/>
                <w:szCs w:val="20"/>
              </w:rPr>
              <w:t>3815</w:t>
            </w:r>
            <w:r w:rsidR="00151B87">
              <w:t>–</w:t>
            </w:r>
            <w:r w:rsidRPr="00FE69BE">
              <w:rPr>
                <w:rFonts w:cs="Arial"/>
                <w:szCs w:val="20"/>
              </w:rPr>
              <w:t>3835 MHz</w:t>
            </w:r>
          </w:p>
        </w:tc>
      </w:tr>
      <w:tr w:rsidR="00375256" w:rsidRPr="0003343D" w14:paraId="52FEA2C4" w14:textId="77777777" w:rsidTr="00FE69BE">
        <w:tc>
          <w:tcPr>
            <w:tcW w:w="2300" w:type="dxa"/>
            <w:vMerge w:val="restart"/>
            <w:shd w:val="clear" w:color="auto" w:fill="F2F2F2" w:themeFill="background1" w:themeFillShade="F2"/>
            <w:noWrap/>
            <w:tcMar>
              <w:top w:w="0" w:type="dxa"/>
              <w:bottom w:w="0" w:type="dxa"/>
            </w:tcMar>
            <w:vAlign w:val="center"/>
          </w:tcPr>
          <w:p w14:paraId="2E4D48F2" w14:textId="77777777" w:rsidR="00375256" w:rsidRPr="00FE69BE" w:rsidRDefault="00375256">
            <w:pPr>
              <w:spacing w:after="0" w:line="240" w:lineRule="auto"/>
              <w:rPr>
                <w:rFonts w:cs="Arial"/>
                <w:color w:val="000000"/>
                <w:szCs w:val="20"/>
              </w:rPr>
            </w:pPr>
            <w:r w:rsidRPr="00FE69BE">
              <w:rPr>
                <w:rFonts w:cs="Arial"/>
                <w:szCs w:val="20"/>
              </w:rPr>
              <w:t>March IT Pty Ltd</w:t>
            </w:r>
          </w:p>
        </w:tc>
        <w:tc>
          <w:tcPr>
            <w:tcW w:w="2064" w:type="dxa"/>
            <w:shd w:val="clear" w:color="auto" w:fill="F2F2F2" w:themeFill="background1" w:themeFillShade="F2"/>
            <w:tcMar>
              <w:top w:w="0" w:type="dxa"/>
              <w:bottom w:w="0" w:type="dxa"/>
            </w:tcMar>
            <w:vAlign w:val="center"/>
          </w:tcPr>
          <w:p w14:paraId="65F43AD0" w14:textId="77777777" w:rsidR="00375256" w:rsidRPr="00FE69BE" w:rsidRDefault="00375256">
            <w:pPr>
              <w:spacing w:after="0" w:line="240" w:lineRule="auto"/>
              <w:jc w:val="center"/>
              <w:rPr>
                <w:rFonts w:cs="Arial"/>
                <w:color w:val="000000"/>
                <w:szCs w:val="20"/>
              </w:rPr>
            </w:pPr>
            <w:r w:rsidRPr="00FE69BE">
              <w:rPr>
                <w:rFonts w:cs="Arial"/>
                <w:color w:val="000000"/>
                <w:szCs w:val="20"/>
              </w:rPr>
              <w:t>11017396/1</w:t>
            </w:r>
          </w:p>
        </w:tc>
        <w:tc>
          <w:tcPr>
            <w:tcW w:w="1617" w:type="dxa"/>
            <w:shd w:val="clear" w:color="auto" w:fill="F2F2F2" w:themeFill="background1" w:themeFillShade="F2"/>
            <w:tcMar>
              <w:top w:w="0" w:type="dxa"/>
              <w:bottom w:w="0" w:type="dxa"/>
            </w:tcMar>
            <w:vAlign w:val="center"/>
          </w:tcPr>
          <w:p w14:paraId="658121AA" w14:textId="77777777" w:rsidR="00375256" w:rsidRPr="00FE69BE" w:rsidRDefault="00375256">
            <w:pPr>
              <w:spacing w:after="0" w:line="240" w:lineRule="auto"/>
              <w:jc w:val="center"/>
              <w:rPr>
                <w:rFonts w:cs="Arial"/>
                <w:color w:val="000000"/>
                <w:szCs w:val="20"/>
              </w:rPr>
            </w:pPr>
            <w:r w:rsidRPr="00FE69BE">
              <w:rPr>
                <w:rFonts w:cs="Arial"/>
                <w:color w:val="000000"/>
                <w:szCs w:val="20"/>
              </w:rPr>
              <w:t>136455</w:t>
            </w:r>
          </w:p>
        </w:tc>
        <w:tc>
          <w:tcPr>
            <w:tcW w:w="1877" w:type="dxa"/>
            <w:shd w:val="clear" w:color="auto" w:fill="F2F2F2" w:themeFill="background1" w:themeFillShade="F2"/>
            <w:tcMar>
              <w:top w:w="0" w:type="dxa"/>
              <w:bottom w:w="0" w:type="dxa"/>
            </w:tcMar>
            <w:vAlign w:val="center"/>
          </w:tcPr>
          <w:p w14:paraId="25F56A60" w14:textId="1844F984" w:rsidR="00375256" w:rsidRPr="00FE69BE" w:rsidRDefault="00375256">
            <w:pPr>
              <w:spacing w:after="0" w:line="240" w:lineRule="auto"/>
              <w:jc w:val="center"/>
              <w:rPr>
                <w:rFonts w:cs="Arial"/>
                <w:color w:val="000000"/>
                <w:szCs w:val="20"/>
              </w:rPr>
            </w:pPr>
            <w:r w:rsidRPr="00FE69BE">
              <w:rPr>
                <w:rFonts w:cs="Arial"/>
                <w:szCs w:val="20"/>
              </w:rPr>
              <w:t>3780</w:t>
            </w:r>
            <w:r w:rsidR="00151B87">
              <w:t>–</w:t>
            </w:r>
            <w:r w:rsidRPr="00FE69BE">
              <w:rPr>
                <w:rFonts w:cs="Arial"/>
                <w:szCs w:val="20"/>
              </w:rPr>
              <w:t>3795 MHz</w:t>
            </w:r>
          </w:p>
        </w:tc>
      </w:tr>
      <w:tr w:rsidR="00375256" w:rsidRPr="0003343D" w14:paraId="61A36C78" w14:textId="77777777" w:rsidTr="00FE69BE">
        <w:tc>
          <w:tcPr>
            <w:tcW w:w="2300" w:type="dxa"/>
            <w:vMerge/>
            <w:shd w:val="clear" w:color="auto" w:fill="F2F2F2" w:themeFill="background1" w:themeFillShade="F2"/>
            <w:noWrap/>
            <w:tcMar>
              <w:top w:w="0" w:type="dxa"/>
              <w:bottom w:w="0" w:type="dxa"/>
            </w:tcMar>
            <w:vAlign w:val="center"/>
          </w:tcPr>
          <w:p w14:paraId="0DB71465" w14:textId="77777777" w:rsidR="00375256" w:rsidRPr="00FE69BE" w:rsidRDefault="00375256">
            <w:pPr>
              <w:spacing w:after="0" w:line="240" w:lineRule="auto"/>
              <w:rPr>
                <w:rFonts w:cs="Arial"/>
                <w:color w:val="000000"/>
                <w:szCs w:val="20"/>
              </w:rPr>
            </w:pPr>
          </w:p>
        </w:tc>
        <w:tc>
          <w:tcPr>
            <w:tcW w:w="2064" w:type="dxa"/>
            <w:shd w:val="clear" w:color="auto" w:fill="F2F2F2" w:themeFill="background1" w:themeFillShade="F2"/>
            <w:tcMar>
              <w:top w:w="0" w:type="dxa"/>
              <w:bottom w:w="0" w:type="dxa"/>
            </w:tcMar>
            <w:vAlign w:val="center"/>
          </w:tcPr>
          <w:p w14:paraId="43961C57" w14:textId="77777777" w:rsidR="00375256" w:rsidRPr="00FE69BE" w:rsidRDefault="00375256">
            <w:pPr>
              <w:spacing w:after="0" w:line="240" w:lineRule="auto"/>
              <w:jc w:val="center"/>
              <w:rPr>
                <w:rFonts w:cs="Arial"/>
                <w:color w:val="000000"/>
                <w:szCs w:val="20"/>
              </w:rPr>
            </w:pPr>
            <w:r w:rsidRPr="00FE69BE">
              <w:rPr>
                <w:rFonts w:cs="Arial"/>
                <w:color w:val="000000"/>
                <w:szCs w:val="20"/>
              </w:rPr>
              <w:t>10526824/1</w:t>
            </w:r>
          </w:p>
        </w:tc>
        <w:tc>
          <w:tcPr>
            <w:tcW w:w="1617" w:type="dxa"/>
            <w:shd w:val="clear" w:color="auto" w:fill="F2F2F2" w:themeFill="background1" w:themeFillShade="F2"/>
            <w:tcMar>
              <w:top w:w="0" w:type="dxa"/>
              <w:bottom w:w="0" w:type="dxa"/>
            </w:tcMar>
            <w:vAlign w:val="center"/>
          </w:tcPr>
          <w:p w14:paraId="70CA118A" w14:textId="77777777" w:rsidR="00375256" w:rsidRPr="00FE69BE" w:rsidRDefault="00375256">
            <w:pPr>
              <w:spacing w:after="0" w:line="240" w:lineRule="auto"/>
              <w:jc w:val="center"/>
              <w:rPr>
                <w:rFonts w:cs="Arial"/>
                <w:color w:val="000000"/>
                <w:szCs w:val="20"/>
              </w:rPr>
            </w:pPr>
            <w:r w:rsidRPr="00FE69BE">
              <w:rPr>
                <w:rFonts w:cs="Arial"/>
                <w:color w:val="000000"/>
                <w:szCs w:val="20"/>
              </w:rPr>
              <w:t>9025962</w:t>
            </w:r>
          </w:p>
        </w:tc>
        <w:tc>
          <w:tcPr>
            <w:tcW w:w="1877" w:type="dxa"/>
            <w:shd w:val="clear" w:color="auto" w:fill="F2F2F2" w:themeFill="background1" w:themeFillShade="F2"/>
            <w:tcMar>
              <w:top w:w="0" w:type="dxa"/>
              <w:bottom w:w="0" w:type="dxa"/>
            </w:tcMar>
            <w:vAlign w:val="center"/>
          </w:tcPr>
          <w:p w14:paraId="130FD678" w14:textId="292500FD" w:rsidR="00375256" w:rsidRPr="00FE69BE" w:rsidRDefault="00375256">
            <w:pPr>
              <w:spacing w:after="0" w:line="240" w:lineRule="auto"/>
              <w:jc w:val="center"/>
              <w:rPr>
                <w:rFonts w:cs="Arial"/>
                <w:color w:val="000000"/>
                <w:szCs w:val="20"/>
              </w:rPr>
            </w:pPr>
            <w:r w:rsidRPr="00FE69BE">
              <w:rPr>
                <w:rFonts w:cs="Arial"/>
                <w:szCs w:val="20"/>
              </w:rPr>
              <w:t>3765</w:t>
            </w:r>
            <w:r w:rsidR="00151B87">
              <w:t>–</w:t>
            </w:r>
            <w:r w:rsidRPr="00FE69BE">
              <w:rPr>
                <w:rFonts w:cs="Arial"/>
                <w:szCs w:val="20"/>
              </w:rPr>
              <w:t>3780 MHz</w:t>
            </w:r>
          </w:p>
        </w:tc>
      </w:tr>
      <w:tr w:rsidR="00375256" w:rsidRPr="0003343D" w14:paraId="36CB0F6B" w14:textId="77777777" w:rsidTr="00FE69BE">
        <w:tc>
          <w:tcPr>
            <w:tcW w:w="2300" w:type="dxa"/>
            <w:vMerge/>
            <w:shd w:val="clear" w:color="auto" w:fill="F2F2F2" w:themeFill="background1" w:themeFillShade="F2"/>
            <w:noWrap/>
            <w:tcMar>
              <w:top w:w="0" w:type="dxa"/>
              <w:bottom w:w="0" w:type="dxa"/>
            </w:tcMar>
            <w:vAlign w:val="center"/>
          </w:tcPr>
          <w:p w14:paraId="55851E3F" w14:textId="77777777" w:rsidR="00375256" w:rsidRPr="00FE69BE" w:rsidRDefault="00375256">
            <w:pPr>
              <w:spacing w:after="0" w:line="240" w:lineRule="auto"/>
              <w:rPr>
                <w:rFonts w:cs="Arial"/>
                <w:color w:val="000000"/>
                <w:szCs w:val="20"/>
              </w:rPr>
            </w:pPr>
          </w:p>
        </w:tc>
        <w:tc>
          <w:tcPr>
            <w:tcW w:w="2064" w:type="dxa"/>
            <w:shd w:val="clear" w:color="auto" w:fill="F2F2F2" w:themeFill="background1" w:themeFillShade="F2"/>
            <w:tcMar>
              <w:top w:w="0" w:type="dxa"/>
              <w:bottom w:w="0" w:type="dxa"/>
            </w:tcMar>
            <w:vAlign w:val="center"/>
          </w:tcPr>
          <w:p w14:paraId="6EE62AE1" w14:textId="77777777" w:rsidR="00375256" w:rsidRPr="00FE69BE" w:rsidRDefault="00375256">
            <w:pPr>
              <w:spacing w:after="0" w:line="240" w:lineRule="auto"/>
              <w:jc w:val="center"/>
              <w:rPr>
                <w:rFonts w:cs="Arial"/>
                <w:color w:val="000000"/>
                <w:szCs w:val="20"/>
              </w:rPr>
            </w:pPr>
            <w:r w:rsidRPr="00FE69BE">
              <w:rPr>
                <w:rFonts w:cs="Arial"/>
                <w:color w:val="000000"/>
                <w:szCs w:val="20"/>
              </w:rPr>
              <w:t>11017397/1</w:t>
            </w:r>
          </w:p>
        </w:tc>
        <w:tc>
          <w:tcPr>
            <w:tcW w:w="1617" w:type="dxa"/>
            <w:shd w:val="clear" w:color="auto" w:fill="F2F2F2" w:themeFill="background1" w:themeFillShade="F2"/>
            <w:tcMar>
              <w:top w:w="0" w:type="dxa"/>
              <w:bottom w:w="0" w:type="dxa"/>
            </w:tcMar>
            <w:vAlign w:val="center"/>
          </w:tcPr>
          <w:p w14:paraId="0F07EB55" w14:textId="77777777" w:rsidR="00375256" w:rsidRPr="00FE69BE" w:rsidRDefault="00375256">
            <w:pPr>
              <w:spacing w:after="0" w:line="240" w:lineRule="auto"/>
              <w:jc w:val="center"/>
              <w:rPr>
                <w:rFonts w:cs="Arial"/>
                <w:color w:val="000000"/>
                <w:szCs w:val="20"/>
              </w:rPr>
            </w:pPr>
            <w:r w:rsidRPr="00FE69BE">
              <w:rPr>
                <w:rFonts w:cs="Arial"/>
                <w:color w:val="000000"/>
                <w:szCs w:val="20"/>
              </w:rPr>
              <w:t>9025962</w:t>
            </w:r>
          </w:p>
        </w:tc>
        <w:tc>
          <w:tcPr>
            <w:tcW w:w="1877" w:type="dxa"/>
            <w:shd w:val="clear" w:color="auto" w:fill="F2F2F2" w:themeFill="background1" w:themeFillShade="F2"/>
            <w:tcMar>
              <w:top w:w="0" w:type="dxa"/>
              <w:bottom w:w="0" w:type="dxa"/>
            </w:tcMar>
            <w:vAlign w:val="center"/>
          </w:tcPr>
          <w:p w14:paraId="3DDBDD71" w14:textId="0BA3C10E" w:rsidR="00375256" w:rsidRPr="00FE69BE" w:rsidRDefault="00375256">
            <w:pPr>
              <w:spacing w:after="0" w:line="240" w:lineRule="auto"/>
              <w:jc w:val="center"/>
              <w:rPr>
                <w:rFonts w:cs="Arial"/>
                <w:color w:val="000000"/>
                <w:szCs w:val="20"/>
              </w:rPr>
            </w:pPr>
            <w:r w:rsidRPr="00FE69BE">
              <w:rPr>
                <w:rFonts w:cs="Arial"/>
                <w:szCs w:val="20"/>
              </w:rPr>
              <w:t>3780</w:t>
            </w:r>
            <w:r w:rsidR="00151B87">
              <w:t>–</w:t>
            </w:r>
            <w:r w:rsidRPr="00FE69BE">
              <w:rPr>
                <w:rFonts w:cs="Arial"/>
                <w:szCs w:val="20"/>
              </w:rPr>
              <w:t>3795 MHz</w:t>
            </w:r>
          </w:p>
        </w:tc>
      </w:tr>
      <w:tr w:rsidR="00375256" w:rsidRPr="0003343D" w14:paraId="7048552B" w14:textId="77777777" w:rsidTr="00FE69BE">
        <w:tc>
          <w:tcPr>
            <w:tcW w:w="2300" w:type="dxa"/>
            <w:vMerge/>
            <w:shd w:val="clear" w:color="auto" w:fill="F2F2F2" w:themeFill="background1" w:themeFillShade="F2"/>
            <w:noWrap/>
            <w:tcMar>
              <w:top w:w="0" w:type="dxa"/>
              <w:bottom w:w="0" w:type="dxa"/>
            </w:tcMar>
            <w:vAlign w:val="center"/>
          </w:tcPr>
          <w:p w14:paraId="271B4DC5" w14:textId="77777777" w:rsidR="00375256" w:rsidRPr="00FE69BE" w:rsidRDefault="00375256">
            <w:pPr>
              <w:spacing w:after="0" w:line="240" w:lineRule="auto"/>
              <w:rPr>
                <w:rFonts w:cs="Arial"/>
                <w:color w:val="000000"/>
                <w:szCs w:val="20"/>
              </w:rPr>
            </w:pPr>
          </w:p>
        </w:tc>
        <w:tc>
          <w:tcPr>
            <w:tcW w:w="2064" w:type="dxa"/>
            <w:shd w:val="clear" w:color="auto" w:fill="F2F2F2" w:themeFill="background1" w:themeFillShade="F2"/>
            <w:tcMar>
              <w:top w:w="0" w:type="dxa"/>
              <w:bottom w:w="0" w:type="dxa"/>
            </w:tcMar>
            <w:vAlign w:val="center"/>
          </w:tcPr>
          <w:p w14:paraId="5D83467F" w14:textId="77777777" w:rsidR="00375256" w:rsidRPr="00FE69BE" w:rsidRDefault="00375256">
            <w:pPr>
              <w:spacing w:after="0" w:line="240" w:lineRule="auto"/>
              <w:jc w:val="center"/>
              <w:rPr>
                <w:rFonts w:cs="Arial"/>
                <w:color w:val="000000"/>
                <w:szCs w:val="20"/>
              </w:rPr>
            </w:pPr>
            <w:r w:rsidRPr="00FE69BE">
              <w:rPr>
                <w:rFonts w:cs="Arial"/>
                <w:color w:val="000000"/>
                <w:szCs w:val="20"/>
              </w:rPr>
              <w:t>10526825/1</w:t>
            </w:r>
          </w:p>
        </w:tc>
        <w:tc>
          <w:tcPr>
            <w:tcW w:w="1617" w:type="dxa"/>
            <w:shd w:val="clear" w:color="auto" w:fill="F2F2F2" w:themeFill="background1" w:themeFillShade="F2"/>
            <w:tcMar>
              <w:top w:w="0" w:type="dxa"/>
              <w:bottom w:w="0" w:type="dxa"/>
            </w:tcMar>
            <w:vAlign w:val="center"/>
          </w:tcPr>
          <w:p w14:paraId="10345E5D" w14:textId="77777777" w:rsidR="00375256" w:rsidRPr="00FE69BE" w:rsidRDefault="00375256">
            <w:pPr>
              <w:spacing w:after="0" w:line="240" w:lineRule="auto"/>
              <w:jc w:val="center"/>
              <w:rPr>
                <w:rFonts w:cs="Arial"/>
                <w:color w:val="000000"/>
                <w:szCs w:val="20"/>
              </w:rPr>
            </w:pPr>
            <w:r w:rsidRPr="00FE69BE">
              <w:rPr>
                <w:rFonts w:cs="Arial"/>
                <w:color w:val="000000"/>
                <w:szCs w:val="20"/>
              </w:rPr>
              <w:t>10010747</w:t>
            </w:r>
          </w:p>
        </w:tc>
        <w:tc>
          <w:tcPr>
            <w:tcW w:w="1877" w:type="dxa"/>
            <w:shd w:val="clear" w:color="auto" w:fill="F2F2F2" w:themeFill="background1" w:themeFillShade="F2"/>
            <w:tcMar>
              <w:top w:w="0" w:type="dxa"/>
              <w:bottom w:w="0" w:type="dxa"/>
            </w:tcMar>
            <w:vAlign w:val="center"/>
          </w:tcPr>
          <w:p w14:paraId="4414E2A9" w14:textId="2431F314" w:rsidR="00375256" w:rsidRPr="00FE69BE" w:rsidRDefault="00375256">
            <w:pPr>
              <w:spacing w:after="0" w:line="240" w:lineRule="auto"/>
              <w:jc w:val="center"/>
              <w:rPr>
                <w:rFonts w:cs="Arial"/>
                <w:color w:val="000000"/>
                <w:szCs w:val="20"/>
              </w:rPr>
            </w:pPr>
            <w:r w:rsidRPr="00FE69BE">
              <w:rPr>
                <w:rFonts w:cs="Arial"/>
                <w:szCs w:val="20"/>
              </w:rPr>
              <w:t>3765</w:t>
            </w:r>
            <w:r w:rsidR="00151B87">
              <w:t>–</w:t>
            </w:r>
            <w:r w:rsidRPr="00FE69BE">
              <w:rPr>
                <w:rFonts w:cs="Arial"/>
                <w:szCs w:val="20"/>
              </w:rPr>
              <w:t>3780 MHz</w:t>
            </w:r>
          </w:p>
        </w:tc>
      </w:tr>
      <w:tr w:rsidR="00375256" w:rsidRPr="0003343D" w14:paraId="25AA943A" w14:textId="77777777" w:rsidTr="00FE69BE">
        <w:tc>
          <w:tcPr>
            <w:tcW w:w="2300" w:type="dxa"/>
            <w:vMerge/>
            <w:shd w:val="clear" w:color="auto" w:fill="F2F2F2" w:themeFill="background1" w:themeFillShade="F2"/>
            <w:noWrap/>
            <w:tcMar>
              <w:top w:w="0" w:type="dxa"/>
              <w:bottom w:w="0" w:type="dxa"/>
            </w:tcMar>
            <w:vAlign w:val="center"/>
          </w:tcPr>
          <w:p w14:paraId="21F8426B" w14:textId="77777777" w:rsidR="00375256" w:rsidRPr="00FE69BE" w:rsidRDefault="00375256">
            <w:pPr>
              <w:spacing w:after="0" w:line="240" w:lineRule="auto"/>
              <w:rPr>
                <w:rFonts w:cs="Arial"/>
                <w:color w:val="000000"/>
                <w:szCs w:val="20"/>
              </w:rPr>
            </w:pPr>
          </w:p>
        </w:tc>
        <w:tc>
          <w:tcPr>
            <w:tcW w:w="2064" w:type="dxa"/>
            <w:shd w:val="clear" w:color="auto" w:fill="F2F2F2" w:themeFill="background1" w:themeFillShade="F2"/>
            <w:tcMar>
              <w:top w:w="0" w:type="dxa"/>
              <w:bottom w:w="0" w:type="dxa"/>
            </w:tcMar>
            <w:vAlign w:val="center"/>
          </w:tcPr>
          <w:p w14:paraId="4C18B6A5" w14:textId="77777777" w:rsidR="00375256" w:rsidRPr="00FE69BE" w:rsidRDefault="00375256">
            <w:pPr>
              <w:spacing w:after="0" w:line="240" w:lineRule="auto"/>
              <w:jc w:val="center"/>
              <w:rPr>
                <w:rFonts w:cs="Arial"/>
                <w:color w:val="000000"/>
                <w:szCs w:val="20"/>
              </w:rPr>
            </w:pPr>
            <w:r w:rsidRPr="00FE69BE">
              <w:rPr>
                <w:rFonts w:cs="Arial"/>
                <w:color w:val="000000"/>
                <w:szCs w:val="20"/>
              </w:rPr>
              <w:t>10675863/1</w:t>
            </w:r>
          </w:p>
        </w:tc>
        <w:tc>
          <w:tcPr>
            <w:tcW w:w="1617" w:type="dxa"/>
            <w:shd w:val="clear" w:color="auto" w:fill="F2F2F2" w:themeFill="background1" w:themeFillShade="F2"/>
            <w:tcMar>
              <w:top w:w="0" w:type="dxa"/>
              <w:bottom w:w="0" w:type="dxa"/>
            </w:tcMar>
            <w:vAlign w:val="center"/>
          </w:tcPr>
          <w:p w14:paraId="6B23C57C" w14:textId="77777777" w:rsidR="00375256" w:rsidRPr="00FE69BE" w:rsidRDefault="00375256">
            <w:pPr>
              <w:spacing w:after="0" w:line="240" w:lineRule="auto"/>
              <w:jc w:val="center"/>
              <w:rPr>
                <w:rFonts w:cs="Arial"/>
                <w:color w:val="000000"/>
                <w:szCs w:val="20"/>
              </w:rPr>
            </w:pPr>
            <w:r w:rsidRPr="00FE69BE">
              <w:rPr>
                <w:rFonts w:cs="Arial"/>
                <w:color w:val="000000"/>
                <w:szCs w:val="20"/>
              </w:rPr>
              <w:t>10016795</w:t>
            </w:r>
          </w:p>
        </w:tc>
        <w:tc>
          <w:tcPr>
            <w:tcW w:w="1877" w:type="dxa"/>
            <w:shd w:val="clear" w:color="auto" w:fill="F2F2F2" w:themeFill="background1" w:themeFillShade="F2"/>
            <w:tcMar>
              <w:top w:w="0" w:type="dxa"/>
              <w:bottom w:w="0" w:type="dxa"/>
            </w:tcMar>
            <w:vAlign w:val="center"/>
          </w:tcPr>
          <w:p w14:paraId="565C1550" w14:textId="2B471A90" w:rsidR="00375256" w:rsidRPr="00FE69BE" w:rsidRDefault="00375256">
            <w:pPr>
              <w:spacing w:after="0" w:line="240" w:lineRule="auto"/>
              <w:jc w:val="center"/>
              <w:rPr>
                <w:rFonts w:cs="Arial"/>
                <w:color w:val="000000"/>
                <w:szCs w:val="20"/>
              </w:rPr>
            </w:pPr>
            <w:r w:rsidRPr="00FE69BE">
              <w:rPr>
                <w:rFonts w:cs="Arial"/>
                <w:szCs w:val="20"/>
              </w:rPr>
              <w:t>3765</w:t>
            </w:r>
            <w:r w:rsidR="00151B87">
              <w:t>–</w:t>
            </w:r>
            <w:r w:rsidRPr="00FE69BE">
              <w:rPr>
                <w:rFonts w:cs="Arial"/>
                <w:szCs w:val="20"/>
              </w:rPr>
              <w:t>3775 MHz</w:t>
            </w:r>
          </w:p>
        </w:tc>
      </w:tr>
      <w:tr w:rsidR="00375256" w:rsidRPr="0003343D" w14:paraId="793B647E" w14:textId="77777777" w:rsidTr="00FE69BE">
        <w:tc>
          <w:tcPr>
            <w:tcW w:w="2300" w:type="dxa"/>
            <w:vMerge/>
            <w:shd w:val="clear" w:color="auto" w:fill="F2F2F2" w:themeFill="background1" w:themeFillShade="F2"/>
            <w:noWrap/>
            <w:tcMar>
              <w:top w:w="0" w:type="dxa"/>
              <w:bottom w:w="0" w:type="dxa"/>
            </w:tcMar>
            <w:vAlign w:val="center"/>
          </w:tcPr>
          <w:p w14:paraId="1C0539B5" w14:textId="77777777" w:rsidR="00375256" w:rsidRPr="00FE69BE" w:rsidRDefault="00375256">
            <w:pPr>
              <w:spacing w:after="0" w:line="240" w:lineRule="auto"/>
              <w:rPr>
                <w:rFonts w:cs="Arial"/>
                <w:color w:val="000000"/>
                <w:szCs w:val="20"/>
              </w:rPr>
            </w:pPr>
          </w:p>
        </w:tc>
        <w:tc>
          <w:tcPr>
            <w:tcW w:w="2064" w:type="dxa"/>
            <w:shd w:val="clear" w:color="auto" w:fill="F2F2F2" w:themeFill="background1" w:themeFillShade="F2"/>
            <w:tcMar>
              <w:top w:w="0" w:type="dxa"/>
              <w:bottom w:w="0" w:type="dxa"/>
            </w:tcMar>
            <w:vAlign w:val="center"/>
          </w:tcPr>
          <w:p w14:paraId="0F8396EB" w14:textId="77777777" w:rsidR="00375256" w:rsidRPr="00FE69BE" w:rsidRDefault="00375256">
            <w:pPr>
              <w:spacing w:after="0" w:line="240" w:lineRule="auto"/>
              <w:jc w:val="center"/>
              <w:rPr>
                <w:rFonts w:cs="Arial"/>
                <w:color w:val="000000"/>
                <w:szCs w:val="20"/>
              </w:rPr>
            </w:pPr>
            <w:r w:rsidRPr="00FE69BE">
              <w:rPr>
                <w:rFonts w:cs="Arial"/>
                <w:color w:val="000000"/>
                <w:szCs w:val="20"/>
              </w:rPr>
              <w:t>10682649/1</w:t>
            </w:r>
          </w:p>
        </w:tc>
        <w:tc>
          <w:tcPr>
            <w:tcW w:w="1617" w:type="dxa"/>
            <w:shd w:val="clear" w:color="auto" w:fill="F2F2F2" w:themeFill="background1" w:themeFillShade="F2"/>
            <w:tcMar>
              <w:top w:w="0" w:type="dxa"/>
              <w:bottom w:w="0" w:type="dxa"/>
            </w:tcMar>
            <w:vAlign w:val="center"/>
          </w:tcPr>
          <w:p w14:paraId="464177C2" w14:textId="77777777" w:rsidR="00375256" w:rsidRPr="00FE69BE" w:rsidRDefault="00375256">
            <w:pPr>
              <w:spacing w:after="0" w:line="240" w:lineRule="auto"/>
              <w:jc w:val="center"/>
              <w:rPr>
                <w:rFonts w:cs="Arial"/>
                <w:color w:val="000000"/>
                <w:szCs w:val="20"/>
              </w:rPr>
            </w:pPr>
            <w:r w:rsidRPr="00FE69BE">
              <w:rPr>
                <w:rFonts w:cs="Arial"/>
                <w:color w:val="000000"/>
                <w:szCs w:val="20"/>
              </w:rPr>
              <w:t>10016944</w:t>
            </w:r>
          </w:p>
        </w:tc>
        <w:tc>
          <w:tcPr>
            <w:tcW w:w="1877" w:type="dxa"/>
            <w:shd w:val="clear" w:color="auto" w:fill="F2F2F2" w:themeFill="background1" w:themeFillShade="F2"/>
            <w:tcMar>
              <w:top w:w="0" w:type="dxa"/>
              <w:bottom w:w="0" w:type="dxa"/>
            </w:tcMar>
            <w:vAlign w:val="center"/>
          </w:tcPr>
          <w:p w14:paraId="589C24C4" w14:textId="61D2C70C" w:rsidR="00375256" w:rsidRPr="00FE69BE" w:rsidRDefault="00375256">
            <w:pPr>
              <w:spacing w:after="0" w:line="240" w:lineRule="auto"/>
              <w:jc w:val="center"/>
              <w:rPr>
                <w:rFonts w:cs="Arial"/>
                <w:color w:val="000000"/>
                <w:szCs w:val="20"/>
              </w:rPr>
            </w:pPr>
            <w:r w:rsidRPr="00FE69BE">
              <w:rPr>
                <w:rFonts w:cs="Arial"/>
                <w:szCs w:val="20"/>
              </w:rPr>
              <w:t>3765</w:t>
            </w:r>
            <w:r w:rsidR="00151B87">
              <w:t>–</w:t>
            </w:r>
            <w:r w:rsidRPr="00FE69BE">
              <w:rPr>
                <w:rFonts w:cs="Arial"/>
                <w:szCs w:val="20"/>
              </w:rPr>
              <w:t>3780 MHz</w:t>
            </w:r>
          </w:p>
        </w:tc>
      </w:tr>
      <w:tr w:rsidR="00375256" w:rsidRPr="0003343D" w14:paraId="44EAE3FF" w14:textId="77777777" w:rsidTr="00FE69BE">
        <w:tc>
          <w:tcPr>
            <w:tcW w:w="2300" w:type="dxa"/>
            <w:vMerge/>
            <w:shd w:val="clear" w:color="auto" w:fill="F2F2F2" w:themeFill="background1" w:themeFillShade="F2"/>
            <w:noWrap/>
            <w:tcMar>
              <w:top w:w="0" w:type="dxa"/>
              <w:bottom w:w="0" w:type="dxa"/>
            </w:tcMar>
            <w:vAlign w:val="center"/>
          </w:tcPr>
          <w:p w14:paraId="768B2830" w14:textId="77777777" w:rsidR="00375256" w:rsidRPr="00FE69BE" w:rsidRDefault="00375256">
            <w:pPr>
              <w:spacing w:after="0" w:line="240" w:lineRule="auto"/>
              <w:rPr>
                <w:rFonts w:cs="Arial"/>
                <w:color w:val="000000"/>
                <w:szCs w:val="20"/>
              </w:rPr>
            </w:pPr>
          </w:p>
        </w:tc>
        <w:tc>
          <w:tcPr>
            <w:tcW w:w="2064" w:type="dxa"/>
            <w:shd w:val="clear" w:color="auto" w:fill="F2F2F2" w:themeFill="background1" w:themeFillShade="F2"/>
            <w:tcMar>
              <w:top w:w="0" w:type="dxa"/>
              <w:bottom w:w="0" w:type="dxa"/>
            </w:tcMar>
            <w:vAlign w:val="center"/>
          </w:tcPr>
          <w:p w14:paraId="5391A15D" w14:textId="77777777" w:rsidR="00375256" w:rsidRPr="00FE69BE" w:rsidRDefault="00375256">
            <w:pPr>
              <w:spacing w:after="0" w:line="240" w:lineRule="auto"/>
              <w:jc w:val="center"/>
              <w:rPr>
                <w:rFonts w:cs="Arial"/>
                <w:color w:val="000000"/>
                <w:szCs w:val="20"/>
              </w:rPr>
            </w:pPr>
            <w:r w:rsidRPr="00FE69BE">
              <w:rPr>
                <w:rFonts w:cs="Arial"/>
                <w:color w:val="000000"/>
                <w:szCs w:val="20"/>
              </w:rPr>
              <w:t>10773862/1</w:t>
            </w:r>
          </w:p>
        </w:tc>
        <w:tc>
          <w:tcPr>
            <w:tcW w:w="1617" w:type="dxa"/>
            <w:shd w:val="clear" w:color="auto" w:fill="F2F2F2" w:themeFill="background1" w:themeFillShade="F2"/>
            <w:tcMar>
              <w:top w:w="0" w:type="dxa"/>
              <w:bottom w:w="0" w:type="dxa"/>
            </w:tcMar>
            <w:vAlign w:val="center"/>
          </w:tcPr>
          <w:p w14:paraId="14E8443B" w14:textId="77777777" w:rsidR="00375256" w:rsidRPr="00FE69BE" w:rsidRDefault="00375256">
            <w:pPr>
              <w:spacing w:after="0" w:line="240" w:lineRule="auto"/>
              <w:jc w:val="center"/>
              <w:rPr>
                <w:rFonts w:cs="Arial"/>
                <w:color w:val="000000"/>
                <w:szCs w:val="20"/>
              </w:rPr>
            </w:pPr>
            <w:r w:rsidRPr="00FE69BE">
              <w:rPr>
                <w:rFonts w:cs="Arial"/>
                <w:color w:val="000000"/>
                <w:szCs w:val="20"/>
              </w:rPr>
              <w:t>10017871</w:t>
            </w:r>
          </w:p>
        </w:tc>
        <w:tc>
          <w:tcPr>
            <w:tcW w:w="1877" w:type="dxa"/>
            <w:shd w:val="clear" w:color="auto" w:fill="F2F2F2" w:themeFill="background1" w:themeFillShade="F2"/>
            <w:tcMar>
              <w:top w:w="0" w:type="dxa"/>
              <w:bottom w:w="0" w:type="dxa"/>
            </w:tcMar>
            <w:vAlign w:val="center"/>
          </w:tcPr>
          <w:p w14:paraId="2D8E3DF0" w14:textId="42E19E6A" w:rsidR="00375256" w:rsidRPr="00FE69BE" w:rsidRDefault="00375256">
            <w:pPr>
              <w:spacing w:after="0" w:line="240" w:lineRule="auto"/>
              <w:jc w:val="center"/>
              <w:rPr>
                <w:rFonts w:cs="Arial"/>
                <w:color w:val="000000"/>
                <w:szCs w:val="20"/>
              </w:rPr>
            </w:pPr>
            <w:r w:rsidRPr="00FE69BE">
              <w:rPr>
                <w:rFonts w:cs="Arial"/>
                <w:szCs w:val="20"/>
              </w:rPr>
              <w:t>3765</w:t>
            </w:r>
            <w:r w:rsidR="00151B87">
              <w:t>–</w:t>
            </w:r>
            <w:r w:rsidRPr="00FE69BE">
              <w:rPr>
                <w:rFonts w:cs="Arial"/>
                <w:szCs w:val="20"/>
              </w:rPr>
              <w:t>3775 MHz</w:t>
            </w:r>
          </w:p>
        </w:tc>
      </w:tr>
      <w:tr w:rsidR="00375256" w:rsidRPr="0003343D" w14:paraId="50491329" w14:textId="77777777" w:rsidTr="007F2B19">
        <w:tc>
          <w:tcPr>
            <w:tcW w:w="2300" w:type="dxa"/>
            <w:vMerge w:val="restart"/>
            <w:shd w:val="clear" w:color="auto" w:fill="auto"/>
            <w:noWrap/>
            <w:tcMar>
              <w:top w:w="0" w:type="dxa"/>
              <w:bottom w:w="0" w:type="dxa"/>
            </w:tcMar>
            <w:vAlign w:val="center"/>
          </w:tcPr>
          <w:p w14:paraId="0239963E" w14:textId="7781474D" w:rsidR="00375256" w:rsidRPr="00FE69BE" w:rsidRDefault="00C16818">
            <w:pPr>
              <w:spacing w:after="0" w:line="240" w:lineRule="auto"/>
              <w:rPr>
                <w:rFonts w:cs="Arial"/>
                <w:color w:val="000000"/>
                <w:szCs w:val="20"/>
              </w:rPr>
            </w:pPr>
            <w:r w:rsidRPr="00FE69BE">
              <w:rPr>
                <w:rFonts w:cs="Arial"/>
                <w:szCs w:val="20"/>
              </w:rPr>
              <w:t>Maules Creek Coal</w:t>
            </w:r>
            <w:r w:rsidR="004074A2" w:rsidRPr="00FE69BE">
              <w:rPr>
                <w:rFonts w:cs="Arial"/>
                <w:szCs w:val="20"/>
              </w:rPr>
              <w:t xml:space="preserve"> Pty Ltd</w:t>
            </w:r>
          </w:p>
        </w:tc>
        <w:tc>
          <w:tcPr>
            <w:tcW w:w="2064" w:type="dxa"/>
            <w:shd w:val="clear" w:color="auto" w:fill="auto"/>
            <w:tcMar>
              <w:top w:w="0" w:type="dxa"/>
              <w:bottom w:w="0" w:type="dxa"/>
            </w:tcMar>
            <w:vAlign w:val="center"/>
          </w:tcPr>
          <w:p w14:paraId="76456B83" w14:textId="77777777" w:rsidR="00375256" w:rsidRPr="00FE69BE" w:rsidRDefault="00375256">
            <w:pPr>
              <w:spacing w:after="0" w:line="240" w:lineRule="auto"/>
              <w:jc w:val="center"/>
              <w:rPr>
                <w:rFonts w:cs="Arial"/>
                <w:color w:val="000000"/>
                <w:szCs w:val="20"/>
              </w:rPr>
            </w:pPr>
            <w:r w:rsidRPr="00FE69BE">
              <w:rPr>
                <w:rFonts w:cs="Arial"/>
                <w:color w:val="000000"/>
                <w:szCs w:val="20"/>
              </w:rPr>
              <w:t>10317309/1</w:t>
            </w:r>
          </w:p>
        </w:tc>
        <w:tc>
          <w:tcPr>
            <w:tcW w:w="1617" w:type="dxa"/>
            <w:shd w:val="clear" w:color="auto" w:fill="auto"/>
            <w:tcMar>
              <w:top w:w="0" w:type="dxa"/>
              <w:bottom w:w="0" w:type="dxa"/>
            </w:tcMar>
            <w:vAlign w:val="center"/>
          </w:tcPr>
          <w:p w14:paraId="603A7A20" w14:textId="77777777" w:rsidR="00375256" w:rsidRPr="00FE69BE" w:rsidRDefault="00375256">
            <w:pPr>
              <w:spacing w:after="0" w:line="240" w:lineRule="auto"/>
              <w:jc w:val="center"/>
              <w:rPr>
                <w:rFonts w:cs="Arial"/>
                <w:color w:val="000000"/>
                <w:szCs w:val="20"/>
              </w:rPr>
            </w:pPr>
            <w:r w:rsidRPr="00FE69BE">
              <w:rPr>
                <w:rFonts w:cs="Arial"/>
                <w:color w:val="000000"/>
                <w:szCs w:val="20"/>
              </w:rPr>
              <w:t>10005408</w:t>
            </w:r>
          </w:p>
        </w:tc>
        <w:tc>
          <w:tcPr>
            <w:tcW w:w="1877" w:type="dxa"/>
            <w:shd w:val="clear" w:color="auto" w:fill="auto"/>
            <w:tcMar>
              <w:top w:w="0" w:type="dxa"/>
              <w:bottom w:w="0" w:type="dxa"/>
            </w:tcMar>
            <w:vAlign w:val="center"/>
          </w:tcPr>
          <w:p w14:paraId="3E6C0002" w14:textId="4DEC433C" w:rsidR="00375256" w:rsidRPr="00FE69BE" w:rsidRDefault="00375256">
            <w:pPr>
              <w:spacing w:after="0" w:line="240" w:lineRule="auto"/>
              <w:jc w:val="center"/>
              <w:rPr>
                <w:rFonts w:cs="Arial"/>
                <w:color w:val="000000"/>
                <w:szCs w:val="20"/>
              </w:rPr>
            </w:pPr>
            <w:r w:rsidRPr="00FE69BE">
              <w:rPr>
                <w:rFonts w:cs="Arial"/>
                <w:szCs w:val="20"/>
              </w:rPr>
              <w:t>3765</w:t>
            </w:r>
            <w:r w:rsidR="00151B87">
              <w:t>–</w:t>
            </w:r>
            <w:r w:rsidRPr="00FE69BE">
              <w:rPr>
                <w:rFonts w:cs="Arial"/>
                <w:szCs w:val="20"/>
              </w:rPr>
              <w:t>3780 MHz</w:t>
            </w:r>
          </w:p>
        </w:tc>
      </w:tr>
      <w:tr w:rsidR="00375256" w:rsidRPr="0003343D" w14:paraId="317F747A" w14:textId="77777777" w:rsidTr="007F2B19">
        <w:tc>
          <w:tcPr>
            <w:tcW w:w="2300" w:type="dxa"/>
            <w:vMerge/>
            <w:noWrap/>
            <w:tcMar>
              <w:top w:w="0" w:type="dxa"/>
              <w:bottom w:w="0" w:type="dxa"/>
            </w:tcMar>
            <w:vAlign w:val="center"/>
          </w:tcPr>
          <w:p w14:paraId="1E70DBD8" w14:textId="77777777" w:rsidR="00375256" w:rsidRPr="00FE69BE" w:rsidRDefault="00375256">
            <w:pPr>
              <w:spacing w:after="0" w:line="240" w:lineRule="auto"/>
              <w:rPr>
                <w:rFonts w:cs="Arial"/>
                <w:color w:val="000000"/>
                <w:szCs w:val="20"/>
              </w:rPr>
            </w:pPr>
          </w:p>
        </w:tc>
        <w:tc>
          <w:tcPr>
            <w:tcW w:w="2064" w:type="dxa"/>
            <w:shd w:val="clear" w:color="auto" w:fill="auto"/>
            <w:tcMar>
              <w:top w:w="0" w:type="dxa"/>
              <w:bottom w:w="0" w:type="dxa"/>
            </w:tcMar>
            <w:vAlign w:val="center"/>
          </w:tcPr>
          <w:p w14:paraId="6AAEC00A" w14:textId="77777777" w:rsidR="00375256" w:rsidRPr="00FE69BE" w:rsidRDefault="00375256">
            <w:pPr>
              <w:spacing w:after="0" w:line="240" w:lineRule="auto"/>
              <w:jc w:val="center"/>
              <w:rPr>
                <w:rFonts w:cs="Arial"/>
                <w:color w:val="000000"/>
                <w:szCs w:val="20"/>
              </w:rPr>
            </w:pPr>
            <w:r w:rsidRPr="00FE69BE">
              <w:rPr>
                <w:rFonts w:cs="Arial"/>
                <w:color w:val="000000"/>
                <w:szCs w:val="20"/>
              </w:rPr>
              <w:t>10956247/1</w:t>
            </w:r>
          </w:p>
        </w:tc>
        <w:tc>
          <w:tcPr>
            <w:tcW w:w="1617" w:type="dxa"/>
            <w:shd w:val="clear" w:color="auto" w:fill="auto"/>
            <w:tcMar>
              <w:top w:w="0" w:type="dxa"/>
              <w:bottom w:w="0" w:type="dxa"/>
            </w:tcMar>
            <w:vAlign w:val="center"/>
          </w:tcPr>
          <w:p w14:paraId="4D0A1FEA" w14:textId="77777777" w:rsidR="00375256" w:rsidRPr="00FE69BE" w:rsidRDefault="00375256">
            <w:pPr>
              <w:spacing w:after="0" w:line="240" w:lineRule="auto"/>
              <w:jc w:val="center"/>
              <w:rPr>
                <w:rFonts w:cs="Arial"/>
                <w:color w:val="000000"/>
                <w:szCs w:val="20"/>
              </w:rPr>
            </w:pPr>
            <w:r w:rsidRPr="00FE69BE">
              <w:rPr>
                <w:rFonts w:cs="Arial"/>
                <w:color w:val="000000"/>
                <w:szCs w:val="20"/>
              </w:rPr>
              <w:t>10020288</w:t>
            </w:r>
          </w:p>
        </w:tc>
        <w:tc>
          <w:tcPr>
            <w:tcW w:w="1877" w:type="dxa"/>
            <w:shd w:val="clear" w:color="auto" w:fill="auto"/>
            <w:tcMar>
              <w:top w:w="0" w:type="dxa"/>
              <w:bottom w:w="0" w:type="dxa"/>
            </w:tcMar>
            <w:vAlign w:val="center"/>
          </w:tcPr>
          <w:p w14:paraId="18773D82" w14:textId="736D2BBC" w:rsidR="00375256" w:rsidRPr="00FE69BE" w:rsidRDefault="00375256">
            <w:pPr>
              <w:spacing w:after="0" w:line="240" w:lineRule="auto"/>
              <w:jc w:val="center"/>
              <w:rPr>
                <w:rFonts w:cs="Arial"/>
                <w:color w:val="000000"/>
                <w:szCs w:val="20"/>
              </w:rPr>
            </w:pPr>
            <w:r w:rsidRPr="00FE69BE">
              <w:rPr>
                <w:rFonts w:cs="Arial"/>
                <w:szCs w:val="20"/>
              </w:rPr>
              <w:t>3765</w:t>
            </w:r>
            <w:r w:rsidR="00151B87">
              <w:t>–</w:t>
            </w:r>
            <w:r w:rsidRPr="00FE69BE">
              <w:rPr>
                <w:rFonts w:cs="Arial"/>
                <w:szCs w:val="20"/>
              </w:rPr>
              <w:t>3800 MHz</w:t>
            </w:r>
          </w:p>
        </w:tc>
      </w:tr>
      <w:tr w:rsidR="00375256" w:rsidRPr="0003343D" w14:paraId="201DEEFB" w14:textId="77777777" w:rsidTr="00FE69BE">
        <w:tc>
          <w:tcPr>
            <w:tcW w:w="2300" w:type="dxa"/>
            <w:vMerge w:val="restart"/>
            <w:shd w:val="clear" w:color="auto" w:fill="F2F2F2" w:themeFill="background1" w:themeFillShade="F2"/>
            <w:noWrap/>
            <w:tcMar>
              <w:top w:w="0" w:type="dxa"/>
              <w:bottom w:w="0" w:type="dxa"/>
            </w:tcMar>
            <w:vAlign w:val="center"/>
          </w:tcPr>
          <w:p w14:paraId="01A43468" w14:textId="77777777" w:rsidR="00375256" w:rsidRPr="00FE69BE" w:rsidRDefault="00375256">
            <w:pPr>
              <w:spacing w:after="0" w:line="240" w:lineRule="auto"/>
              <w:rPr>
                <w:rFonts w:cs="Arial"/>
                <w:color w:val="000000"/>
                <w:szCs w:val="20"/>
              </w:rPr>
            </w:pPr>
            <w:r w:rsidRPr="00FE69BE">
              <w:rPr>
                <w:rFonts w:cs="Arial"/>
                <w:szCs w:val="20"/>
              </w:rPr>
              <w:t>Wujal Wujal Aboriginal Shire Council</w:t>
            </w:r>
          </w:p>
        </w:tc>
        <w:tc>
          <w:tcPr>
            <w:tcW w:w="2064" w:type="dxa"/>
            <w:shd w:val="clear" w:color="auto" w:fill="F2F2F2" w:themeFill="background1" w:themeFillShade="F2"/>
            <w:tcMar>
              <w:top w:w="0" w:type="dxa"/>
              <w:bottom w:w="0" w:type="dxa"/>
            </w:tcMar>
            <w:vAlign w:val="center"/>
          </w:tcPr>
          <w:p w14:paraId="137B2338" w14:textId="24EE24A0" w:rsidR="00375256" w:rsidRPr="00FE69BE" w:rsidRDefault="00C24158">
            <w:pPr>
              <w:spacing w:after="0" w:line="240" w:lineRule="auto"/>
              <w:jc w:val="center"/>
              <w:rPr>
                <w:rFonts w:cs="Arial"/>
                <w:color w:val="000000"/>
                <w:szCs w:val="20"/>
              </w:rPr>
            </w:pPr>
            <w:r w:rsidRPr="00FE69BE">
              <w:rPr>
                <w:rFonts w:cs="Arial"/>
                <w:szCs w:val="20"/>
              </w:rPr>
              <w:t>12030990/1</w:t>
            </w:r>
          </w:p>
        </w:tc>
        <w:tc>
          <w:tcPr>
            <w:tcW w:w="1617" w:type="dxa"/>
            <w:vMerge w:val="restart"/>
            <w:shd w:val="clear" w:color="auto" w:fill="F2F2F2" w:themeFill="background1" w:themeFillShade="F2"/>
            <w:tcMar>
              <w:top w:w="0" w:type="dxa"/>
              <w:bottom w:w="0" w:type="dxa"/>
            </w:tcMar>
            <w:vAlign w:val="center"/>
          </w:tcPr>
          <w:p w14:paraId="7602DFFA" w14:textId="77777777" w:rsidR="00375256" w:rsidRPr="00FE69BE" w:rsidRDefault="00375256">
            <w:pPr>
              <w:spacing w:after="0" w:line="240" w:lineRule="auto"/>
              <w:jc w:val="center"/>
              <w:rPr>
                <w:rFonts w:cs="Arial"/>
                <w:color w:val="000000"/>
                <w:szCs w:val="20"/>
              </w:rPr>
            </w:pPr>
            <w:r w:rsidRPr="00FE69BE">
              <w:rPr>
                <w:rFonts w:cs="Arial"/>
                <w:szCs w:val="20"/>
              </w:rPr>
              <w:t>10007599</w:t>
            </w:r>
          </w:p>
        </w:tc>
        <w:tc>
          <w:tcPr>
            <w:tcW w:w="1877" w:type="dxa"/>
            <w:shd w:val="clear" w:color="auto" w:fill="F2F2F2" w:themeFill="background1" w:themeFillShade="F2"/>
            <w:tcMar>
              <w:top w:w="0" w:type="dxa"/>
              <w:bottom w:w="0" w:type="dxa"/>
            </w:tcMar>
            <w:vAlign w:val="center"/>
          </w:tcPr>
          <w:p w14:paraId="67576DD8" w14:textId="359D14BE" w:rsidR="00375256" w:rsidRPr="00FE69BE" w:rsidRDefault="00375256">
            <w:pPr>
              <w:spacing w:after="0" w:line="240" w:lineRule="auto"/>
              <w:jc w:val="center"/>
              <w:rPr>
                <w:rFonts w:cs="Arial"/>
                <w:color w:val="000000"/>
                <w:szCs w:val="20"/>
              </w:rPr>
            </w:pPr>
            <w:r w:rsidRPr="00FE69BE">
              <w:rPr>
                <w:rFonts w:cs="Arial"/>
                <w:szCs w:val="20"/>
              </w:rPr>
              <w:t>3780</w:t>
            </w:r>
            <w:r w:rsidR="00151B87">
              <w:t>–</w:t>
            </w:r>
            <w:r w:rsidRPr="00FE69BE">
              <w:rPr>
                <w:rFonts w:cs="Arial"/>
                <w:szCs w:val="20"/>
              </w:rPr>
              <w:t>3795 MHz</w:t>
            </w:r>
          </w:p>
        </w:tc>
      </w:tr>
      <w:tr w:rsidR="00375256" w:rsidRPr="0003343D" w14:paraId="4F8E3E17" w14:textId="77777777" w:rsidTr="00FE69BE">
        <w:tc>
          <w:tcPr>
            <w:tcW w:w="2300" w:type="dxa"/>
            <w:vMerge/>
            <w:shd w:val="clear" w:color="auto" w:fill="F2F2F2" w:themeFill="background1" w:themeFillShade="F2"/>
            <w:noWrap/>
            <w:tcMar>
              <w:top w:w="0" w:type="dxa"/>
              <w:bottom w:w="0" w:type="dxa"/>
            </w:tcMar>
            <w:vAlign w:val="center"/>
          </w:tcPr>
          <w:p w14:paraId="3765E229" w14:textId="77777777" w:rsidR="00375256" w:rsidRPr="00FE69BE" w:rsidRDefault="00375256">
            <w:pPr>
              <w:spacing w:after="0" w:line="240" w:lineRule="auto"/>
              <w:rPr>
                <w:rFonts w:cs="Arial"/>
                <w:color w:val="000000"/>
                <w:szCs w:val="20"/>
              </w:rPr>
            </w:pPr>
          </w:p>
        </w:tc>
        <w:tc>
          <w:tcPr>
            <w:tcW w:w="2064" w:type="dxa"/>
            <w:shd w:val="clear" w:color="auto" w:fill="F2F2F2" w:themeFill="background1" w:themeFillShade="F2"/>
            <w:tcMar>
              <w:top w:w="0" w:type="dxa"/>
              <w:bottom w:w="0" w:type="dxa"/>
            </w:tcMar>
            <w:vAlign w:val="center"/>
          </w:tcPr>
          <w:p w14:paraId="5AA2039A" w14:textId="77777777" w:rsidR="00375256" w:rsidRPr="00FE69BE" w:rsidRDefault="00375256">
            <w:pPr>
              <w:spacing w:after="0" w:line="240" w:lineRule="auto"/>
              <w:jc w:val="center"/>
              <w:rPr>
                <w:rFonts w:cs="Arial"/>
                <w:color w:val="000000"/>
                <w:szCs w:val="20"/>
              </w:rPr>
            </w:pPr>
            <w:r w:rsidRPr="00FE69BE">
              <w:rPr>
                <w:rFonts w:cs="Arial"/>
                <w:color w:val="000000"/>
                <w:szCs w:val="20"/>
              </w:rPr>
              <w:t>10334477/2</w:t>
            </w:r>
          </w:p>
        </w:tc>
        <w:tc>
          <w:tcPr>
            <w:tcW w:w="1617" w:type="dxa"/>
            <w:vMerge/>
            <w:shd w:val="clear" w:color="auto" w:fill="F2F2F2" w:themeFill="background1" w:themeFillShade="F2"/>
            <w:tcMar>
              <w:top w:w="0" w:type="dxa"/>
              <w:bottom w:w="0" w:type="dxa"/>
            </w:tcMar>
            <w:vAlign w:val="center"/>
          </w:tcPr>
          <w:p w14:paraId="14711A71" w14:textId="77777777" w:rsidR="00375256" w:rsidRPr="00FE69BE" w:rsidRDefault="00375256">
            <w:pPr>
              <w:spacing w:after="0" w:line="240" w:lineRule="auto"/>
              <w:jc w:val="center"/>
              <w:rPr>
                <w:rFonts w:cs="Arial"/>
                <w:color w:val="000000"/>
                <w:szCs w:val="20"/>
              </w:rPr>
            </w:pPr>
          </w:p>
        </w:tc>
        <w:tc>
          <w:tcPr>
            <w:tcW w:w="1877" w:type="dxa"/>
            <w:shd w:val="clear" w:color="auto" w:fill="F2F2F2" w:themeFill="background1" w:themeFillShade="F2"/>
            <w:tcMar>
              <w:top w:w="0" w:type="dxa"/>
              <w:bottom w:w="0" w:type="dxa"/>
            </w:tcMar>
            <w:vAlign w:val="center"/>
          </w:tcPr>
          <w:p w14:paraId="52101F51" w14:textId="22A4956C" w:rsidR="00375256" w:rsidRPr="00FE69BE" w:rsidRDefault="00375256">
            <w:pPr>
              <w:spacing w:after="0" w:line="240" w:lineRule="auto"/>
              <w:jc w:val="center"/>
              <w:rPr>
                <w:rFonts w:cs="Arial"/>
                <w:color w:val="000000"/>
                <w:szCs w:val="20"/>
              </w:rPr>
            </w:pPr>
            <w:r w:rsidRPr="00FE69BE">
              <w:rPr>
                <w:rFonts w:cs="Arial"/>
                <w:szCs w:val="20"/>
              </w:rPr>
              <w:t>3765</w:t>
            </w:r>
            <w:r w:rsidR="00151B87">
              <w:t>–</w:t>
            </w:r>
            <w:r w:rsidRPr="00FE69BE">
              <w:rPr>
                <w:rFonts w:cs="Arial"/>
                <w:szCs w:val="20"/>
              </w:rPr>
              <w:t>3780 MHz</w:t>
            </w:r>
          </w:p>
        </w:tc>
      </w:tr>
    </w:tbl>
    <w:p w14:paraId="1EF0E621" w14:textId="53E2D20C" w:rsidR="00151B87" w:rsidRDefault="00151B87" w:rsidP="00375256">
      <w:pPr>
        <w:spacing w:after="160" w:line="259" w:lineRule="auto"/>
        <w:rPr>
          <w:rFonts w:eastAsia="Arial"/>
        </w:rPr>
      </w:pPr>
    </w:p>
    <w:p w14:paraId="3FA0EC9A" w14:textId="77777777" w:rsidR="00151B87" w:rsidRDefault="00151B87">
      <w:pPr>
        <w:spacing w:after="0" w:line="240" w:lineRule="auto"/>
        <w:rPr>
          <w:rFonts w:eastAsia="Arial"/>
        </w:rPr>
      </w:pPr>
      <w:r>
        <w:rPr>
          <w:rFonts w:eastAsia="Arial"/>
        </w:rPr>
        <w:br w:type="page"/>
      </w:r>
    </w:p>
    <w:p w14:paraId="529FB4AA" w14:textId="77777777" w:rsidR="00375256" w:rsidRDefault="00375256" w:rsidP="00375256">
      <w:pPr>
        <w:spacing w:after="160" w:line="259" w:lineRule="auto"/>
        <w:rPr>
          <w:rFonts w:eastAsia="Arial"/>
        </w:rPr>
      </w:pPr>
    </w:p>
    <w:p w14:paraId="3F89B03A" w14:textId="0D837C52" w:rsidR="00274433" w:rsidRPr="004074A2" w:rsidRDefault="00556EBD" w:rsidP="00FE69BE">
      <w:pPr>
        <w:pStyle w:val="ACMAFigureHeader"/>
      </w:pPr>
      <w:r w:rsidRPr="004074A2">
        <w:t xml:space="preserve">Location of </w:t>
      </w:r>
      <w:r w:rsidR="008F6939" w:rsidRPr="004074A2">
        <w:t xml:space="preserve">affected PMP licences operating in the </w:t>
      </w:r>
      <w:r w:rsidR="0028668B">
        <w:br/>
      </w:r>
      <w:r w:rsidR="008F6939" w:rsidRPr="004074A2">
        <w:t>3475</w:t>
      </w:r>
      <w:r w:rsidR="00151B87" w:rsidRPr="00151B87">
        <w:t>–</w:t>
      </w:r>
      <w:r w:rsidR="008F6939" w:rsidRPr="004074A2">
        <w:t>3520 MHz band</w:t>
      </w:r>
    </w:p>
    <w:p w14:paraId="6D8609D5" w14:textId="675BB260" w:rsidR="00274433" w:rsidRDefault="006A24F4" w:rsidP="00375256">
      <w:pPr>
        <w:spacing w:after="160" w:line="259" w:lineRule="auto"/>
        <w:rPr>
          <w:rFonts w:eastAsia="Arial"/>
        </w:rPr>
      </w:pPr>
      <w:r>
        <w:rPr>
          <w:noProof/>
        </w:rPr>
        <w:drawing>
          <wp:inline distT="0" distB="0" distL="0" distR="0" wp14:anchorId="75429438" wp14:editId="6F0545C8">
            <wp:extent cx="4871085" cy="6098540"/>
            <wp:effectExtent l="0" t="0" r="5715" b="0"/>
            <wp:docPr id="1" name="Picture 1" descr="Figure 2:  Location of affected PMP licences operating in the 3475–3520 MHz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  Location of affected PMP licences operating in the 3475–3520 MHz band"/>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4871085" cy="6098540"/>
                    </a:xfrm>
                    <a:prstGeom prst="rect">
                      <a:avLst/>
                    </a:prstGeom>
                    <a:noFill/>
                    <a:ln>
                      <a:noFill/>
                    </a:ln>
                  </pic:spPr>
                </pic:pic>
              </a:graphicData>
            </a:graphic>
          </wp:inline>
        </w:drawing>
      </w:r>
    </w:p>
    <w:p w14:paraId="59731174" w14:textId="3DBF95DC" w:rsidR="00151B87" w:rsidRPr="002345E0" w:rsidRDefault="00151B87" w:rsidP="00FE69BE">
      <w:pPr>
        <w:pStyle w:val="Tableorfigurenote"/>
        <w:rPr>
          <w:iCs/>
        </w:rPr>
      </w:pPr>
      <w:r w:rsidRPr="002345E0">
        <w:t>Green dots: PMP licences</w:t>
      </w:r>
      <w:r>
        <w:t>.</w:t>
      </w:r>
    </w:p>
    <w:p w14:paraId="2E716815" w14:textId="499A2513" w:rsidR="00151B87" w:rsidRPr="002345E0" w:rsidRDefault="00151B87" w:rsidP="00FE69BE">
      <w:pPr>
        <w:pStyle w:val="Tableorfigurenote"/>
      </w:pPr>
      <w:r w:rsidRPr="002345E0">
        <w:rPr>
          <w:iCs/>
        </w:rPr>
        <w:t>P</w:t>
      </w:r>
      <w:r w:rsidRPr="002345E0">
        <w:t xml:space="preserve">urple area: </w:t>
      </w:r>
      <w:r>
        <w:t>a</w:t>
      </w:r>
      <w:r w:rsidRPr="002345E0">
        <w:t>rea re-allocated for the issue of spectrum licences in the 3750</w:t>
      </w:r>
      <w:r w:rsidRPr="00151B87">
        <w:rPr>
          <w:b/>
          <w:bCs/>
        </w:rPr>
        <w:t>–</w:t>
      </w:r>
      <w:r w:rsidRPr="002345E0">
        <w:t xml:space="preserve">3800 MHz frequency range. </w:t>
      </w:r>
    </w:p>
    <w:p w14:paraId="68491889" w14:textId="05F8E52B" w:rsidR="00616726" w:rsidRPr="00151B87" w:rsidRDefault="00616726" w:rsidP="00151B87">
      <w:pPr>
        <w:pStyle w:val="Heading2"/>
      </w:pPr>
      <w:bookmarkStart w:id="19" w:name="_Toc137808609"/>
      <w:r w:rsidRPr="00151B87">
        <w:t>Future changes</w:t>
      </w:r>
      <w:bookmarkEnd w:id="19"/>
    </w:p>
    <w:p w14:paraId="16ED6E47" w14:textId="2A70C4F0" w:rsidR="00616726" w:rsidRDefault="00616726" w:rsidP="00FE69BE">
      <w:pPr>
        <w:pStyle w:val="Paragraphbeforelist"/>
        <w:rPr>
          <w:bCs/>
          <w:color w:val="323232"/>
          <w:kern w:val="32"/>
          <w:sz w:val="53"/>
          <w:szCs w:val="32"/>
        </w:rPr>
      </w:pPr>
      <w:r>
        <w:t xml:space="preserve">It is expected that </w:t>
      </w:r>
      <w:r w:rsidR="001929F1">
        <w:t>RALI MS47</w:t>
      </w:r>
      <w:r>
        <w:t xml:space="preserve"> will </w:t>
      </w:r>
      <w:r w:rsidR="00260287">
        <w:t xml:space="preserve">be </w:t>
      </w:r>
      <w:r w:rsidR="00421AD6">
        <w:t>further</w:t>
      </w:r>
      <w:r w:rsidR="00260287">
        <w:t xml:space="preserve"> updated </w:t>
      </w:r>
      <w:r w:rsidR="00316ED2">
        <w:t xml:space="preserve">after </w:t>
      </w:r>
      <w:r>
        <w:t xml:space="preserve">the </w:t>
      </w:r>
      <w:hyperlink r:id="rId44" w:history="1">
        <w:r w:rsidR="7AC97862" w:rsidRPr="50FD1BBB">
          <w:rPr>
            <w:rStyle w:val="Hyperlink"/>
          </w:rPr>
          <w:t>future proposed spectrum licensing allocation process</w:t>
        </w:r>
      </w:hyperlink>
      <w:r>
        <w:t xml:space="preserve"> in the band</w:t>
      </w:r>
      <w:r w:rsidR="00612D10">
        <w:t xml:space="preserve">. </w:t>
      </w:r>
      <w:r w:rsidR="024773F7">
        <w:t>Some elements</w:t>
      </w:r>
      <w:r w:rsidR="14BBA8B3">
        <w:t xml:space="preserve"> in RALI MS47</w:t>
      </w:r>
      <w:r w:rsidR="0671839D">
        <w:t xml:space="preserve">, such as section </w:t>
      </w:r>
      <w:r w:rsidR="14BBA8B3">
        <w:t>4.10,</w:t>
      </w:r>
      <w:r w:rsidR="024773F7">
        <w:t xml:space="preserve"> </w:t>
      </w:r>
      <w:r w:rsidR="332DC20E">
        <w:t xml:space="preserve">have been </w:t>
      </w:r>
      <w:r w:rsidR="67C9CF9F">
        <w:t>included</w:t>
      </w:r>
      <w:r w:rsidR="024773F7">
        <w:t xml:space="preserve"> temporarily until changes in the </w:t>
      </w:r>
      <w:hyperlink r:id="rId45" w:history="1">
        <w:r w:rsidR="7474761D" w:rsidRPr="00FE69BE">
          <w:rPr>
            <w:rStyle w:val="Hyperlink"/>
          </w:rPr>
          <w:t>Radiocommunications Advisory Guidelines (Managing Interference from Spectrum Licensed Transmitters</w:t>
        </w:r>
        <w:r w:rsidR="00D41C0E" w:rsidRPr="00D85C90">
          <w:rPr>
            <w:rStyle w:val="Hyperlink"/>
          </w:rPr>
          <w:t>–</w:t>
        </w:r>
        <w:r w:rsidR="7474761D" w:rsidRPr="00FE69BE">
          <w:rPr>
            <w:rStyle w:val="Hyperlink"/>
          </w:rPr>
          <w:t>3.4 GHz Band) 2015</w:t>
        </w:r>
      </w:hyperlink>
      <w:r w:rsidR="024773F7">
        <w:t xml:space="preserve"> </w:t>
      </w:r>
      <w:r w:rsidR="00BD3783">
        <w:t xml:space="preserve">are </w:t>
      </w:r>
      <w:r w:rsidR="024773F7">
        <w:t xml:space="preserve">updated. </w:t>
      </w:r>
      <w:r w:rsidR="009F6933">
        <w:t>Once that instrument is changed, relevant parts of MS47 will be amended to reference that instrument directly.</w:t>
      </w:r>
      <w:r>
        <w:br w:type="page"/>
      </w:r>
    </w:p>
    <w:p w14:paraId="23C9162C" w14:textId="3C7D1447" w:rsidR="00342759" w:rsidRPr="00085833" w:rsidRDefault="00342759" w:rsidP="00342759">
      <w:pPr>
        <w:pStyle w:val="Heading1"/>
      </w:pPr>
      <w:bookmarkStart w:id="20" w:name="_Allocation_process"/>
      <w:bookmarkStart w:id="21" w:name="_Toc137808610"/>
      <w:bookmarkEnd w:id="20"/>
      <w:r>
        <w:lastRenderedPageBreak/>
        <w:t xml:space="preserve">Tenure </w:t>
      </w:r>
      <w:r w:rsidRPr="008B1E8C">
        <w:t>and</w:t>
      </w:r>
      <w:r>
        <w:t xml:space="preserve"> renewal</w:t>
      </w:r>
      <w:bookmarkEnd w:id="21"/>
    </w:p>
    <w:p w14:paraId="74646914" w14:textId="728C1DBF" w:rsidR="00342759" w:rsidRPr="004349F9" w:rsidRDefault="00342759" w:rsidP="00342759">
      <w:r>
        <w:t>The ACMA proposes the following arrangements for tenure and renewal for</w:t>
      </w:r>
      <w:r w:rsidR="00E631CD">
        <w:t xml:space="preserve"> AWLs</w:t>
      </w:r>
      <w:r w:rsidR="00E216C1">
        <w:t xml:space="preserve"> in </w:t>
      </w:r>
      <w:r>
        <w:t xml:space="preserve">the 3.8 GHz </w:t>
      </w:r>
      <w:r w:rsidR="00E216C1">
        <w:t>band</w:t>
      </w:r>
      <w:r>
        <w:t>, which are broadly consistent with the approach proposed for the</w:t>
      </w:r>
      <w:r w:rsidR="00117FA1">
        <w:t xml:space="preserve"> 3.4</w:t>
      </w:r>
      <w:r>
        <w:t xml:space="preserve">–4.0 GHz remote allocation. </w:t>
      </w:r>
    </w:p>
    <w:p w14:paraId="4B200EF7" w14:textId="77777777" w:rsidR="00342759" w:rsidRPr="00426A1C" w:rsidRDefault="00342759" w:rsidP="00342759">
      <w:pPr>
        <w:pStyle w:val="Heading2"/>
      </w:pPr>
      <w:bookmarkStart w:id="22" w:name="_Toc137808611"/>
      <w:r w:rsidRPr="00B74A8E">
        <w:t>Licence duration</w:t>
      </w:r>
      <w:bookmarkEnd w:id="22"/>
    </w:p>
    <w:p w14:paraId="27EAE662" w14:textId="161AA3A3" w:rsidR="00342759" w:rsidRDefault="00342759" w:rsidP="00342759">
      <w:pPr>
        <w:pStyle w:val="Paragraph"/>
      </w:pPr>
      <w:r>
        <w:t>The</w:t>
      </w:r>
      <w:r w:rsidRPr="00C8351E">
        <w:t xml:space="preserve"> Act enable</w:t>
      </w:r>
      <w:r>
        <w:t>s</w:t>
      </w:r>
      <w:r w:rsidR="0070284F">
        <w:t xml:space="preserve"> the ACMA</w:t>
      </w:r>
      <w:r w:rsidRPr="00C8351E">
        <w:t xml:space="preserve"> to issue apparatus licences for a period of up to 20 years and </w:t>
      </w:r>
      <w:r>
        <w:t>includes</w:t>
      </w:r>
      <w:r w:rsidRPr="00C8351E">
        <w:t xml:space="preserve"> processes </w:t>
      </w:r>
      <w:r w:rsidR="00BB35AB">
        <w:t>for</w:t>
      </w:r>
      <w:r w:rsidRPr="00C8351E">
        <w:t xml:space="preserve"> the renewal of apparatus licences</w:t>
      </w:r>
      <w:r>
        <w:t xml:space="preserve"> (</w:t>
      </w:r>
      <w:r w:rsidRPr="00C8351E">
        <w:t>including renewal statements and public interest tests</w:t>
      </w:r>
      <w:r>
        <w:t>)</w:t>
      </w:r>
      <w:r w:rsidRPr="00C8351E">
        <w:t>.</w:t>
      </w:r>
      <w:r>
        <w:t xml:space="preserve"> Our </w:t>
      </w:r>
      <w:hyperlink r:id="rId46" w:history="1">
        <w:r w:rsidRPr="005F6AAA">
          <w:rPr>
            <w:rStyle w:val="Hyperlink"/>
          </w:rPr>
          <w:t>licensing and allocation information paper</w:t>
        </w:r>
      </w:hyperlink>
      <w:r>
        <w:t xml:space="preserve"> provides an overview of our approach to licence duration. </w:t>
      </w:r>
    </w:p>
    <w:p w14:paraId="79951078" w14:textId="074BE3C3" w:rsidR="00342759" w:rsidRDefault="00342759" w:rsidP="00342759">
      <w:pPr>
        <w:pStyle w:val="Paragraph"/>
      </w:pPr>
      <w:r>
        <w:t>Because a high number of users and mixed-use-cases is anticipated in the band, we consider that AWLs in the 3.8</w:t>
      </w:r>
      <w:r w:rsidR="005F28D4">
        <w:t xml:space="preserve"> </w:t>
      </w:r>
      <w:r>
        <w:t xml:space="preserve">GHz band best satisfy the criteria for medium term </w:t>
      </w:r>
      <w:r w:rsidRPr="00752046">
        <w:t xml:space="preserve">(up to </w:t>
      </w:r>
      <w:r>
        <w:t>5</w:t>
      </w:r>
      <w:r w:rsidR="00D41C0E">
        <w:t>–</w:t>
      </w:r>
      <w:r w:rsidRPr="00752046">
        <w:t xml:space="preserve">10 years) </w:t>
      </w:r>
      <w:r>
        <w:t xml:space="preserve">licence duration. This would also provide users </w:t>
      </w:r>
      <w:r w:rsidR="00E216C1">
        <w:t xml:space="preserve">with </w:t>
      </w:r>
      <w:r>
        <w:t xml:space="preserve">a higher degree of investment confidence in deploying equipment and utilising the spectrum (compared to short term licence duration), likely an important factor for encouraging </w:t>
      </w:r>
      <w:r w:rsidR="00284868">
        <w:t>user to deploy within the band</w:t>
      </w:r>
      <w:r>
        <w:t xml:space="preserve">. </w:t>
      </w:r>
    </w:p>
    <w:p w14:paraId="66A5C7BF" w14:textId="77777777" w:rsidR="00342759" w:rsidRDefault="00342759" w:rsidP="00342759">
      <w:pPr>
        <w:pStyle w:val="Paragraph"/>
      </w:pPr>
      <w:r>
        <w:t xml:space="preserve">By supporting investment certainty through tenure arrangements, we have also had regard to our allocation objectives. In particular, longer licence durations are useful in supporting investment in regional areas and deployment of new and innovative technology, by promoting investment confidence. This can encourage more efficient use of the spectrum. </w:t>
      </w:r>
    </w:p>
    <w:p w14:paraId="00ECE9D8" w14:textId="1582433B" w:rsidR="00342759" w:rsidRDefault="00342759" w:rsidP="00342759">
      <w:pPr>
        <w:pStyle w:val="Paragraph"/>
      </w:pPr>
      <w:r>
        <w:t>We propose</w:t>
      </w:r>
      <w:r w:rsidR="00342D49">
        <w:t xml:space="preserve"> generally</w:t>
      </w:r>
      <w:r>
        <w:t xml:space="preserve"> to </w:t>
      </w:r>
      <w:r w:rsidRPr="004D7288">
        <w:t xml:space="preserve">limit the </w:t>
      </w:r>
      <w:r>
        <w:t>duration</w:t>
      </w:r>
      <w:r w:rsidRPr="004D7288">
        <w:t xml:space="preserve"> for </w:t>
      </w:r>
      <w:r>
        <w:t xml:space="preserve">these </w:t>
      </w:r>
      <w:r w:rsidRPr="004D7288">
        <w:t xml:space="preserve">AWLs to </w:t>
      </w:r>
      <w:r w:rsidR="00F40B41">
        <w:t>13</w:t>
      </w:r>
      <w:r>
        <w:t xml:space="preserve"> </w:t>
      </w:r>
      <w:r w:rsidRPr="004D7288">
        <w:t xml:space="preserve">December 2030, aligning with the expiration of spectrum licences in </w:t>
      </w:r>
      <w:r>
        <w:t xml:space="preserve">the </w:t>
      </w:r>
      <w:r w:rsidRPr="004D7288">
        <w:t xml:space="preserve">3.4 GHz </w:t>
      </w:r>
      <w:r>
        <w:t>band</w:t>
      </w:r>
      <w:r w:rsidR="00162818">
        <w:t xml:space="preserve">, </w:t>
      </w:r>
      <w:r w:rsidR="00D41C0E">
        <w:t>to</w:t>
      </w:r>
      <w:r w:rsidRPr="004D7288">
        <w:t xml:space="preserve"> facilitate potential replanning or defragmentation activity</w:t>
      </w:r>
      <w:r>
        <w:t xml:space="preserve">, as well </w:t>
      </w:r>
      <w:r w:rsidR="00162818">
        <w:t xml:space="preserve">adopting a </w:t>
      </w:r>
      <w:r w:rsidR="00574055">
        <w:t xml:space="preserve">consistent approach with the </w:t>
      </w:r>
      <w:r w:rsidR="006F7136">
        <w:t xml:space="preserve">licences in </w:t>
      </w:r>
      <w:r>
        <w:t>the 3.4–4.0 GHz remote allocation</w:t>
      </w:r>
      <w:r w:rsidRPr="004D7288">
        <w:t>. This would limit the initial maximum duration of licences issued in 202</w:t>
      </w:r>
      <w:r>
        <w:t>4</w:t>
      </w:r>
      <w:r w:rsidRPr="004D7288">
        <w:t xml:space="preserve"> to </w:t>
      </w:r>
      <w:r>
        <w:t>approximately 6</w:t>
      </w:r>
      <w:r w:rsidRPr="004D7288">
        <w:t xml:space="preserve"> years</w:t>
      </w:r>
      <w:r>
        <w:t>;</w:t>
      </w:r>
      <w:r w:rsidRPr="004D7288">
        <w:t xml:space="preserve"> licences issued in 202</w:t>
      </w:r>
      <w:r>
        <w:t>5</w:t>
      </w:r>
      <w:r w:rsidRPr="004D7288">
        <w:t xml:space="preserve"> to </w:t>
      </w:r>
      <w:r>
        <w:t>approximately 5</w:t>
      </w:r>
      <w:r w:rsidRPr="004D7288">
        <w:t xml:space="preserve"> years, and so forth.</w:t>
      </w:r>
      <w:r>
        <w:t xml:space="preserve"> </w:t>
      </w:r>
      <w:r w:rsidRPr="00C15B58">
        <w:t xml:space="preserve">It will still be open for applicants to seek a licence of a shorter duration (for example, annual licences). However, such shorter duration licences would </w:t>
      </w:r>
      <w:r>
        <w:t xml:space="preserve">generally </w:t>
      </w:r>
      <w:r w:rsidRPr="00C15B58">
        <w:t>not be renewed beyond a date that align</w:t>
      </w:r>
      <w:r>
        <w:t>e</w:t>
      </w:r>
      <w:r w:rsidRPr="00C15B58">
        <w:t>d with replanning timeframes</w:t>
      </w:r>
      <w:r>
        <w:t>.</w:t>
      </w:r>
    </w:p>
    <w:p w14:paraId="3F8DB206" w14:textId="2170E716" w:rsidR="00342759" w:rsidRPr="00224B51" w:rsidRDefault="00342759" w:rsidP="00342759">
      <w:pPr>
        <w:pStyle w:val="Heading2"/>
      </w:pPr>
      <w:bookmarkStart w:id="23" w:name="_Toc137808612"/>
      <w:r>
        <w:t>Licence r</w:t>
      </w:r>
      <w:r w:rsidRPr="00C522B3">
        <w:t>enewal</w:t>
      </w:r>
      <w:bookmarkEnd w:id="23"/>
    </w:p>
    <w:p w14:paraId="39F3676F" w14:textId="75FEC001" w:rsidR="00342759" w:rsidRDefault="00342759" w:rsidP="00342759">
      <w:pPr>
        <w:pStyle w:val="Paragraph"/>
      </w:pPr>
      <w:r w:rsidRPr="00982124">
        <w:t xml:space="preserve">The Act also </w:t>
      </w:r>
      <w:r>
        <w:t>includes</w:t>
      </w:r>
      <w:r w:rsidRPr="00982124">
        <w:t xml:space="preserve"> processes </w:t>
      </w:r>
      <w:r w:rsidR="00D46EC4">
        <w:t>for</w:t>
      </w:r>
      <w:r>
        <w:t xml:space="preserve"> </w:t>
      </w:r>
      <w:r w:rsidRPr="00982124">
        <w:t>the renewal of apparatus licences</w:t>
      </w:r>
      <w:r>
        <w:t xml:space="preserve">, </w:t>
      </w:r>
      <w:r w:rsidR="00D46EC4">
        <w:t>such as by</w:t>
      </w:r>
      <w:r>
        <w:t xml:space="preserve"> including renewal statements and </w:t>
      </w:r>
      <w:r w:rsidR="00DA7187">
        <w:t xml:space="preserve">related statements </w:t>
      </w:r>
      <w:r w:rsidR="00806CFD">
        <w:t>on an apparatus licence</w:t>
      </w:r>
      <w:r>
        <w:t>.</w:t>
      </w:r>
      <w:r w:rsidR="00D26DD1">
        <w:t xml:space="preserve"> At this stage, w</w:t>
      </w:r>
      <w:r>
        <w:t xml:space="preserve">e do not </w:t>
      </w:r>
      <w:r w:rsidRPr="00D715D6">
        <w:t xml:space="preserve">propose to include renewal statements </w:t>
      </w:r>
      <w:r>
        <w:t xml:space="preserve">or </w:t>
      </w:r>
      <w:r w:rsidR="00EB3657">
        <w:t>related statements on</w:t>
      </w:r>
      <w:r>
        <w:t xml:space="preserve"> </w:t>
      </w:r>
      <w:r w:rsidRPr="00D715D6">
        <w:t>AWLs</w:t>
      </w:r>
      <w:r>
        <w:t>, and renewal will be at our discretion. We consider that there is limited additional utility and added complexities</w:t>
      </w:r>
      <w:r w:rsidR="00BA7321">
        <w:t xml:space="preserve"> </w:t>
      </w:r>
      <w:r w:rsidR="00470733">
        <w:t xml:space="preserve">meaning </w:t>
      </w:r>
      <w:r w:rsidR="00BA7321">
        <w:t xml:space="preserve">renewal </w:t>
      </w:r>
      <w:r w:rsidR="00F41FEB">
        <w:t xml:space="preserve">statements are not warranted </w:t>
      </w:r>
      <w:r w:rsidR="00543611">
        <w:t>for these licences</w:t>
      </w:r>
      <w:r w:rsidR="00916EA8">
        <w:t>.</w:t>
      </w:r>
    </w:p>
    <w:p w14:paraId="49D3E7FD" w14:textId="4C9F68D9" w:rsidR="00342759" w:rsidRDefault="00342759" w:rsidP="00342759">
      <w:pPr>
        <w:pStyle w:val="Paragraph"/>
      </w:pPr>
      <w:r>
        <w:rPr>
          <w:rStyle w:val="charsectno"/>
        </w:rPr>
        <w:t xml:space="preserve">The extent of demand for AWLs in the </w:t>
      </w:r>
      <w:r w:rsidR="00961605">
        <w:rPr>
          <w:rStyle w:val="charsectno"/>
        </w:rPr>
        <w:t>3.8 GHz</w:t>
      </w:r>
      <w:r>
        <w:rPr>
          <w:rStyle w:val="charsectno"/>
        </w:rPr>
        <w:t xml:space="preserve"> band remains uncertain </w:t>
      </w:r>
      <w:r w:rsidR="00D41C0E">
        <w:rPr>
          <w:rStyle w:val="charsectno"/>
        </w:rPr>
        <w:t>currently</w:t>
      </w:r>
      <w:r>
        <w:rPr>
          <w:rStyle w:val="charsectno"/>
        </w:rPr>
        <w:t>,</w:t>
      </w:r>
      <w:r w:rsidRPr="0B8AD955">
        <w:rPr>
          <w:rStyle w:val="charsectno"/>
        </w:rPr>
        <w:t xml:space="preserve"> reflecting the early </w:t>
      </w:r>
      <w:r w:rsidRPr="04B71916">
        <w:rPr>
          <w:rStyle w:val="charsectno"/>
        </w:rPr>
        <w:t xml:space="preserve">development of business cases for </w:t>
      </w:r>
      <w:r w:rsidRPr="3D8193EB">
        <w:rPr>
          <w:rStyle w:val="charsectno"/>
        </w:rPr>
        <w:t>service deployment.</w:t>
      </w:r>
      <w:r>
        <w:rPr>
          <w:rStyle w:val="charsectno"/>
        </w:rPr>
        <w:t xml:space="preserve"> </w:t>
      </w:r>
      <w:r w:rsidRPr="3D8193EB">
        <w:rPr>
          <w:rStyle w:val="charsectno"/>
        </w:rPr>
        <w:t>To</w:t>
      </w:r>
      <w:r w:rsidRPr="62CB9572">
        <w:rPr>
          <w:rStyle w:val="charsectno"/>
        </w:rPr>
        <w:t xml:space="preserve"> address the risk that </w:t>
      </w:r>
      <w:r w:rsidRPr="0599A6B2">
        <w:rPr>
          <w:rStyle w:val="charsectno"/>
        </w:rPr>
        <w:t xml:space="preserve">initial licence allocations may not </w:t>
      </w:r>
      <w:r w:rsidRPr="2B4A24A6">
        <w:rPr>
          <w:rStyle w:val="charsectno"/>
        </w:rPr>
        <w:t>ultimately be used as planned</w:t>
      </w:r>
      <w:r>
        <w:rPr>
          <w:rStyle w:val="charsectno"/>
        </w:rPr>
        <w:t>,</w:t>
      </w:r>
      <w:r w:rsidRPr="1FB8CC3A">
        <w:rPr>
          <w:rStyle w:val="charsectno"/>
        </w:rPr>
        <w:t xml:space="preserve"> and the </w:t>
      </w:r>
      <w:r w:rsidRPr="1B3BF89E">
        <w:rPr>
          <w:rStyle w:val="charsectno"/>
        </w:rPr>
        <w:t xml:space="preserve">potential that </w:t>
      </w:r>
      <w:r w:rsidR="00373BA0">
        <w:rPr>
          <w:rStyle w:val="charsectno"/>
        </w:rPr>
        <w:t>licen</w:t>
      </w:r>
      <w:r w:rsidR="00E61444">
        <w:rPr>
          <w:rStyle w:val="charsectno"/>
        </w:rPr>
        <w:t>sees</w:t>
      </w:r>
      <w:r w:rsidRPr="1B3BF89E">
        <w:rPr>
          <w:rStyle w:val="charsectno"/>
        </w:rPr>
        <w:t xml:space="preserve"> may not have adequate </w:t>
      </w:r>
      <w:r w:rsidRPr="593C6F30">
        <w:rPr>
          <w:rStyle w:val="charsectno"/>
        </w:rPr>
        <w:t xml:space="preserve">incentive to </w:t>
      </w:r>
      <w:r w:rsidR="00605730">
        <w:rPr>
          <w:rStyle w:val="charsectno"/>
        </w:rPr>
        <w:t>surrender</w:t>
      </w:r>
      <w:r w:rsidRPr="593C6F30">
        <w:rPr>
          <w:rStyle w:val="charsectno"/>
        </w:rPr>
        <w:t xml:space="preserve"> or </w:t>
      </w:r>
      <w:r w:rsidR="000079F2">
        <w:rPr>
          <w:rStyle w:val="charsectno"/>
        </w:rPr>
        <w:t>transfer</w:t>
      </w:r>
      <w:r w:rsidR="00605730" w:rsidRPr="593C6F30">
        <w:rPr>
          <w:rStyle w:val="charsectno"/>
        </w:rPr>
        <w:t xml:space="preserve"> </w:t>
      </w:r>
      <w:r w:rsidRPr="593C6F30">
        <w:rPr>
          <w:rStyle w:val="charsectno"/>
        </w:rPr>
        <w:t>unused</w:t>
      </w:r>
      <w:r w:rsidRPr="5ECBBCC7">
        <w:rPr>
          <w:rStyle w:val="charsectno"/>
        </w:rPr>
        <w:t xml:space="preserve"> licences to the </w:t>
      </w:r>
      <w:r w:rsidRPr="0A1BD3A5">
        <w:rPr>
          <w:rStyle w:val="charsectno"/>
        </w:rPr>
        <w:t>market</w:t>
      </w:r>
      <w:r>
        <w:rPr>
          <w:rStyle w:val="charsectno"/>
        </w:rPr>
        <w:t xml:space="preserve">, we are considering including an advisory note on each AWL that notes that when deciding whether to </w:t>
      </w:r>
      <w:r w:rsidRPr="00422921">
        <w:rPr>
          <w:rStyle w:val="charsectno"/>
        </w:rPr>
        <w:t>renew</w:t>
      </w:r>
      <w:r>
        <w:rPr>
          <w:rStyle w:val="charsectno"/>
        </w:rPr>
        <w:t xml:space="preserve"> a</w:t>
      </w:r>
      <w:r w:rsidRPr="00422921">
        <w:rPr>
          <w:rStyle w:val="charsectno"/>
        </w:rPr>
        <w:t xml:space="preserve"> </w:t>
      </w:r>
      <w:r>
        <w:rPr>
          <w:rStyle w:val="charsectno"/>
        </w:rPr>
        <w:t>licence,</w:t>
      </w:r>
      <w:r w:rsidRPr="00422921">
        <w:rPr>
          <w:rStyle w:val="charsectno"/>
        </w:rPr>
        <w:t xml:space="preserve"> </w:t>
      </w:r>
      <w:r>
        <w:rPr>
          <w:rStyle w:val="charsectno"/>
        </w:rPr>
        <w:t xml:space="preserve">we may </w:t>
      </w:r>
      <w:r w:rsidRPr="00422921">
        <w:rPr>
          <w:rStyle w:val="charsectno"/>
        </w:rPr>
        <w:t>have regard to</w:t>
      </w:r>
      <w:r w:rsidRPr="00C811D8">
        <w:rPr>
          <w:rStyle w:val="charsectno"/>
        </w:rPr>
        <w:t xml:space="preserve"> whether</w:t>
      </w:r>
      <w:r>
        <w:rPr>
          <w:rStyle w:val="charsectno"/>
        </w:rPr>
        <w:t xml:space="preserve"> </w:t>
      </w:r>
      <w:r w:rsidRPr="00C811D8">
        <w:rPr>
          <w:rStyle w:val="charsectno"/>
        </w:rPr>
        <w:t>the spectrum has been used</w:t>
      </w:r>
      <w:r>
        <w:rPr>
          <w:rStyle w:val="charsectno"/>
        </w:rPr>
        <w:t xml:space="preserve"> and </w:t>
      </w:r>
      <w:r w:rsidR="00C6624A">
        <w:rPr>
          <w:rStyle w:val="charsectno"/>
        </w:rPr>
        <w:t>whether</w:t>
      </w:r>
      <w:r>
        <w:rPr>
          <w:rStyle w:val="charsectno"/>
        </w:rPr>
        <w:t xml:space="preserve"> </w:t>
      </w:r>
      <w:r w:rsidRPr="00A028B0">
        <w:t xml:space="preserve">there is unmet demand </w:t>
      </w:r>
      <w:r w:rsidR="00A1222B">
        <w:t>for spectrum</w:t>
      </w:r>
      <w:r w:rsidRPr="00A028B0">
        <w:t xml:space="preserve"> in the </w:t>
      </w:r>
      <w:r>
        <w:t>3.4–4.0 GHz</w:t>
      </w:r>
      <w:r w:rsidRPr="00A028B0">
        <w:t xml:space="preserve"> band</w:t>
      </w:r>
      <w:r>
        <w:t>.</w:t>
      </w:r>
    </w:p>
    <w:p w14:paraId="463B9BA6" w14:textId="64DDD858" w:rsidR="00342759" w:rsidRDefault="007519CB" w:rsidP="00342759">
      <w:pPr>
        <w:pStyle w:val="Paragraph"/>
      </w:pPr>
      <w:r>
        <w:rPr>
          <w:rStyle w:val="charsectno"/>
          <w:szCs w:val="20"/>
        </w:rPr>
        <w:lastRenderedPageBreak/>
        <w:t>On application for renewal, w</w:t>
      </w:r>
      <w:r w:rsidRPr="00F51D40">
        <w:rPr>
          <w:rStyle w:val="charsectno"/>
          <w:szCs w:val="20"/>
        </w:rPr>
        <w:t xml:space="preserve">e may decide not to renew an </w:t>
      </w:r>
      <w:r>
        <w:rPr>
          <w:rStyle w:val="charsectno"/>
          <w:szCs w:val="20"/>
        </w:rPr>
        <w:t>AWL</w:t>
      </w:r>
      <w:r w:rsidRPr="00F51D40">
        <w:rPr>
          <w:rStyle w:val="charsectno"/>
          <w:szCs w:val="20"/>
        </w:rPr>
        <w:t>, or to renew the licence with different conditions (including a reduced quantum of spectrum</w:t>
      </w:r>
      <w:r>
        <w:rPr>
          <w:rStyle w:val="charsectno"/>
          <w:szCs w:val="20"/>
        </w:rPr>
        <w:t xml:space="preserve"> within which the operation of radiocommunications transmitters is authorised</w:t>
      </w:r>
      <w:r w:rsidRPr="00F51D40">
        <w:rPr>
          <w:rStyle w:val="charsectno"/>
          <w:szCs w:val="20"/>
        </w:rPr>
        <w:t>).</w:t>
      </w:r>
      <w:r>
        <w:rPr>
          <w:rStyle w:val="charsectno"/>
          <w:szCs w:val="20"/>
        </w:rPr>
        <w:t xml:space="preserve"> </w:t>
      </w:r>
      <w:r w:rsidR="00331F51" w:rsidRPr="00F51D40">
        <w:t>We</w:t>
      </w:r>
      <w:r w:rsidR="00331F51">
        <w:t xml:space="preserve"> will monitor allocation and use of the band over time. If we </w:t>
      </w:r>
      <w:r w:rsidR="00C83AB9">
        <w:t>identify</w:t>
      </w:r>
      <w:r w:rsidR="00331F51">
        <w:t xml:space="preserve"> that </w:t>
      </w:r>
      <w:r w:rsidR="00C83AB9">
        <w:t xml:space="preserve">there is continued </w:t>
      </w:r>
      <w:r w:rsidR="00331F51">
        <w:t>unmet demand in 3.</w:t>
      </w:r>
      <w:r w:rsidR="00FF7272">
        <w:t>75</w:t>
      </w:r>
      <w:r w:rsidR="00331F51">
        <w:t xml:space="preserve">–3.95 GHz in metropolitan and regional areas </w:t>
      </w:r>
      <w:r w:rsidR="002F65E9">
        <w:t xml:space="preserve">that </w:t>
      </w:r>
      <w:r w:rsidR="00331F51">
        <w:t xml:space="preserve">will require a consideration of spectrum use at renewal, we propose to communicate this to licensees no less than </w:t>
      </w:r>
      <w:r w:rsidR="003C4D79">
        <w:t xml:space="preserve">6 </w:t>
      </w:r>
      <w:r w:rsidR="00331F51">
        <w:t xml:space="preserve">months before the expiry date of the licence. </w:t>
      </w:r>
      <w:r w:rsidR="00342759" w:rsidRPr="00F51D40">
        <w:t xml:space="preserve">Our policy will be to not renew a licence for any period that would take the licence term beyond </w:t>
      </w:r>
      <w:r w:rsidR="00331F51">
        <w:t xml:space="preserve">13 December </w:t>
      </w:r>
      <w:r w:rsidR="00342759" w:rsidRPr="00F51D40">
        <w:t>2030 for metropolitan and regional AWLs. This policy will apply until planning and licensing decisions regarding spectrum licences in the 3.4</w:t>
      </w:r>
      <w:r w:rsidR="00D41C0E">
        <w:t>–</w:t>
      </w:r>
      <w:r w:rsidR="00342759" w:rsidRPr="00F51D40">
        <w:t xml:space="preserve">4.0 GHz </w:t>
      </w:r>
      <w:r w:rsidR="006F1831">
        <w:t>(</w:t>
      </w:r>
      <w:r w:rsidR="00342759" w:rsidRPr="00F51D40">
        <w:t>which are due to expire in 2030</w:t>
      </w:r>
      <w:r w:rsidR="006F1831">
        <w:t>)</w:t>
      </w:r>
      <w:r w:rsidR="00342759" w:rsidRPr="00F51D40">
        <w:t xml:space="preserve"> are known. </w:t>
      </w:r>
    </w:p>
    <w:p w14:paraId="5B7F2F0B" w14:textId="77777777" w:rsidR="00342759" w:rsidRDefault="00342759" w:rsidP="00342759">
      <w:pPr>
        <w:pStyle w:val="Paragraphbeforelist"/>
        <w:spacing w:after="240"/>
      </w:pPr>
      <w:r>
        <w:t xml:space="preserve">More information about </w:t>
      </w:r>
      <w:hyperlink r:id="rId47" w:history="1">
        <w:r w:rsidRPr="00D43073">
          <w:rPr>
            <w:rStyle w:val="Hyperlink"/>
          </w:rPr>
          <w:t>apparatus licence renewal</w:t>
        </w:r>
      </w:hyperlink>
      <w:r>
        <w:t xml:space="preserve"> is available on our website.</w:t>
      </w:r>
    </w:p>
    <w:p w14:paraId="393CAF02" w14:textId="77777777" w:rsidR="00342759" w:rsidRPr="00D326B8" w:rsidRDefault="00342759" w:rsidP="00342759">
      <w:r>
        <w:t xml:space="preserve">We are proposing to </w:t>
      </w:r>
      <w:r w:rsidRPr="00D326B8">
        <w:t>apply the default renewal application and decision-making periods</w:t>
      </w:r>
      <w:r>
        <w:t xml:space="preserve">. The </w:t>
      </w:r>
      <w:r w:rsidRPr="00D326B8">
        <w:t>default renewal application period for apparatus licences begins 6 months from expiry and ends 60 days after the licence expires</w:t>
      </w:r>
      <w:r>
        <w:t xml:space="preserve">. The default </w:t>
      </w:r>
      <w:r w:rsidRPr="00D326B8">
        <w:t>decision</w:t>
      </w:r>
      <w:r>
        <w:t>-</w:t>
      </w:r>
      <w:r w:rsidRPr="00D326B8">
        <w:t>making period</w:t>
      </w:r>
      <w:r>
        <w:t xml:space="preserve"> is 90 days</w:t>
      </w:r>
      <w:r w:rsidRPr="00D326B8">
        <w:t>.</w:t>
      </w:r>
    </w:p>
    <w:p w14:paraId="48478B98" w14:textId="77777777" w:rsidR="00342759" w:rsidRDefault="00342759">
      <w:pPr>
        <w:spacing w:after="0" w:line="240" w:lineRule="auto"/>
        <w:rPr>
          <w:rFonts w:cs="Arial"/>
          <w:bCs/>
          <w:color w:val="323232"/>
          <w:kern w:val="32"/>
          <w:sz w:val="53"/>
          <w:szCs w:val="32"/>
        </w:rPr>
      </w:pPr>
      <w:r>
        <w:br w:type="page"/>
      </w:r>
    </w:p>
    <w:p w14:paraId="51673033" w14:textId="42295FA8" w:rsidR="00DF7731" w:rsidRPr="00D41C0E" w:rsidRDefault="00DF7731" w:rsidP="00D41C0E">
      <w:pPr>
        <w:pStyle w:val="Heading1"/>
      </w:pPr>
      <w:bookmarkStart w:id="24" w:name="_Toc137808613"/>
      <w:r w:rsidRPr="00D41C0E">
        <w:lastRenderedPageBreak/>
        <w:t>Allocation process</w:t>
      </w:r>
      <w:bookmarkEnd w:id="24"/>
    </w:p>
    <w:p w14:paraId="0C85D115" w14:textId="243C64C1" w:rsidR="00113D8C" w:rsidRDefault="00664369" w:rsidP="00113D8C">
      <w:r>
        <w:t>T</w:t>
      </w:r>
      <w:r w:rsidR="003416A9">
        <w:t xml:space="preserve">he ACMA can allocate apparatus licences via </w:t>
      </w:r>
      <w:r w:rsidR="0028186C">
        <w:t xml:space="preserve">either </w:t>
      </w:r>
      <w:r w:rsidR="008714BC">
        <w:t>a</w:t>
      </w:r>
      <w:r w:rsidR="0028186C">
        <w:t xml:space="preserve"> price-based allocation </w:t>
      </w:r>
      <w:r w:rsidR="00CF0FBA">
        <w:t xml:space="preserve">process </w:t>
      </w:r>
      <w:r w:rsidR="0028186C">
        <w:t xml:space="preserve">(for example, an auction), or via administrative </w:t>
      </w:r>
      <w:r w:rsidR="2EBA1863">
        <w:t>allocation</w:t>
      </w:r>
      <w:r w:rsidR="0028186C">
        <w:t>.</w:t>
      </w:r>
      <w:r w:rsidR="00690BD3">
        <w:t xml:space="preserve"> Where </w:t>
      </w:r>
      <w:r w:rsidR="002B4DBC">
        <w:t>we expect</w:t>
      </w:r>
      <w:r w:rsidR="00690BD3">
        <w:t xml:space="preserve"> significant excess demand</w:t>
      </w:r>
      <w:r w:rsidR="006D0B7A">
        <w:t xml:space="preserve"> for spectrum</w:t>
      </w:r>
      <w:r w:rsidR="00690BD3">
        <w:t xml:space="preserve">, as is often the case for spectrum licences, we tend to </w:t>
      </w:r>
      <w:r w:rsidR="0035180F">
        <w:t xml:space="preserve">allocate </w:t>
      </w:r>
      <w:r w:rsidR="005D0FB8">
        <w:t xml:space="preserve">the spectrum </w:t>
      </w:r>
      <w:r w:rsidR="0035180F">
        <w:t xml:space="preserve">via </w:t>
      </w:r>
      <w:r w:rsidR="00690BD3">
        <w:t>auction</w:t>
      </w:r>
      <w:r w:rsidR="0035180F">
        <w:t xml:space="preserve">. However, </w:t>
      </w:r>
      <w:r w:rsidR="006F4C5A">
        <w:t xml:space="preserve">allocation via auction requires </w:t>
      </w:r>
      <w:r w:rsidR="00522845">
        <w:t xml:space="preserve">the spectrum to be configured into </w:t>
      </w:r>
      <w:r w:rsidR="00F8022A">
        <w:t>lots</w:t>
      </w:r>
      <w:r w:rsidR="00862635">
        <w:t xml:space="preserve">, with </w:t>
      </w:r>
      <w:r w:rsidR="00811CD1">
        <w:t>specific geographic</w:t>
      </w:r>
      <w:r w:rsidR="00FD7DFE">
        <w:t xml:space="preserve"> and frequency dimensions</w:t>
      </w:r>
      <w:r w:rsidR="00522845">
        <w:t>, that may not be consistent with the demand arising from all market sectors.</w:t>
      </w:r>
      <w:r w:rsidR="00DA5137">
        <w:t xml:space="preserve"> </w:t>
      </w:r>
    </w:p>
    <w:p w14:paraId="6C7C7F43" w14:textId="46A720C5" w:rsidR="00F106E6" w:rsidRDefault="000C088D" w:rsidP="00113D8C">
      <w:r w:rsidRPr="000C088D">
        <w:t xml:space="preserve">The ACMA generally issues apparatus licences </w:t>
      </w:r>
      <w:r w:rsidR="00300703">
        <w:t>administratively</w:t>
      </w:r>
      <w:r w:rsidRPr="000C088D">
        <w:t>. Usually,</w:t>
      </w:r>
      <w:r w:rsidR="001665C6">
        <w:t xml:space="preserve"> in instances where </w:t>
      </w:r>
      <w:r w:rsidR="00EE2854">
        <w:t>supply</w:t>
      </w:r>
      <w:r w:rsidR="001665C6">
        <w:t xml:space="preserve"> is expected to exceed demand</w:t>
      </w:r>
      <w:r w:rsidRPr="000C088D">
        <w:t>, the ACMA uses a first-in-time approach</w:t>
      </w:r>
      <w:r w:rsidR="00DA0056">
        <w:t xml:space="preserve">, where interested parties </w:t>
      </w:r>
      <w:r w:rsidR="009D26DA">
        <w:t>apply to</w:t>
      </w:r>
      <w:r w:rsidR="00DA0056">
        <w:t xml:space="preserve"> the ACMA</w:t>
      </w:r>
      <w:r w:rsidR="002D080D">
        <w:t xml:space="preserve"> and </w:t>
      </w:r>
      <w:r w:rsidR="006554EB">
        <w:t xml:space="preserve">the </w:t>
      </w:r>
      <w:r w:rsidR="00E809E3">
        <w:t>application</w:t>
      </w:r>
      <w:r w:rsidR="00995726">
        <w:t xml:space="preserve"> that is</w:t>
      </w:r>
      <w:r w:rsidR="00E809E3">
        <w:t xml:space="preserve"> received first</w:t>
      </w:r>
      <w:r w:rsidR="008637BD">
        <w:t xml:space="preserve"> </w:t>
      </w:r>
      <w:r w:rsidR="00EF10C2">
        <w:t>is conside</w:t>
      </w:r>
      <w:r w:rsidR="00561397">
        <w:t>red be</w:t>
      </w:r>
      <w:r w:rsidR="009B374A">
        <w:t xml:space="preserve">fore subsequent </w:t>
      </w:r>
      <w:r w:rsidR="001517F1">
        <w:t>applications</w:t>
      </w:r>
      <w:r w:rsidR="00E809E3">
        <w:t>.</w:t>
      </w:r>
      <w:r w:rsidR="001219A0">
        <w:t xml:space="preserve"> </w:t>
      </w:r>
      <w:r w:rsidR="001F47BA">
        <w:t>W</w:t>
      </w:r>
      <w:r w:rsidR="001F47BA" w:rsidRPr="001F47BA">
        <w:t>e have</w:t>
      </w:r>
      <w:r w:rsidR="001F47BA" w:rsidRPr="001F47BA" w:rsidDel="00200A9E">
        <w:rPr>
          <w:bCs/>
        </w:rPr>
        <w:t xml:space="preserve"> </w:t>
      </w:r>
      <w:r w:rsidR="001F47BA" w:rsidRPr="001F47BA">
        <w:t xml:space="preserve">also allocated apparatus licences via an ‘allocation window’ approach, where applications are </w:t>
      </w:r>
      <w:r w:rsidR="00291485">
        <w:t>called for</w:t>
      </w:r>
      <w:r w:rsidR="001F47BA" w:rsidRPr="001F47BA">
        <w:t xml:space="preserve"> during an </w:t>
      </w:r>
      <w:r w:rsidR="00167600">
        <w:t>‘</w:t>
      </w:r>
      <w:r w:rsidR="001F47BA" w:rsidRPr="001F47BA">
        <w:t xml:space="preserve">application </w:t>
      </w:r>
      <w:r w:rsidR="00291485">
        <w:t>window</w:t>
      </w:r>
      <w:r w:rsidR="00167600">
        <w:t>’</w:t>
      </w:r>
      <w:r w:rsidR="001F47BA" w:rsidRPr="001F47BA">
        <w:t xml:space="preserve"> and </w:t>
      </w:r>
      <w:r w:rsidR="00C26EA9">
        <w:t>all a</w:t>
      </w:r>
      <w:r w:rsidR="00A27AE3">
        <w:t>pplications</w:t>
      </w:r>
      <w:r w:rsidR="00FC6767">
        <w:t xml:space="preserve"> made during that </w:t>
      </w:r>
      <w:r w:rsidR="001F47BA" w:rsidRPr="001F47BA">
        <w:t xml:space="preserve">period </w:t>
      </w:r>
      <w:r w:rsidR="00B44ECF">
        <w:t>are</w:t>
      </w:r>
      <w:r w:rsidR="00BA7095">
        <w:t xml:space="preserve"> </w:t>
      </w:r>
      <w:r w:rsidR="001F47BA" w:rsidRPr="001F47BA">
        <w:t xml:space="preserve">assessed against decision-making principles after the end of the application </w:t>
      </w:r>
      <w:r w:rsidR="00644E64">
        <w:t>window</w:t>
      </w:r>
      <w:r w:rsidR="001F47BA" w:rsidRPr="001F47BA">
        <w:t xml:space="preserve">. </w:t>
      </w:r>
    </w:p>
    <w:p w14:paraId="78AF2DE8" w14:textId="52CA4562" w:rsidR="00B54D5A" w:rsidRDefault="001F47BA" w:rsidP="002345E0">
      <w:pPr>
        <w:rPr>
          <w:szCs w:val="20"/>
        </w:rPr>
      </w:pPr>
      <w:r w:rsidRPr="001F47BA">
        <w:t>Th</w:t>
      </w:r>
      <w:r w:rsidR="00D73D32">
        <w:t>e</w:t>
      </w:r>
      <w:r w:rsidRPr="001F47BA">
        <w:t xml:space="preserve"> allocation window approach is suitable where demand may exceed supply in some frequencies or geographies</w:t>
      </w:r>
      <w:r w:rsidR="00F24E01">
        <w:t xml:space="preserve">. </w:t>
      </w:r>
      <w:r w:rsidR="00F24E01" w:rsidRPr="00181AA0">
        <w:rPr>
          <w:szCs w:val="20"/>
        </w:rPr>
        <w:t xml:space="preserve">A first-in-time approach </w:t>
      </w:r>
      <w:r w:rsidR="00324FAB">
        <w:rPr>
          <w:szCs w:val="20"/>
        </w:rPr>
        <w:t>in a high demand setting</w:t>
      </w:r>
      <w:r w:rsidR="00F24E01" w:rsidRPr="00181AA0">
        <w:rPr>
          <w:szCs w:val="20"/>
        </w:rPr>
        <w:t xml:space="preserve"> would</w:t>
      </w:r>
      <w:r w:rsidR="00F24E01">
        <w:rPr>
          <w:szCs w:val="20"/>
        </w:rPr>
        <w:t xml:space="preserve"> involve </w:t>
      </w:r>
      <w:r w:rsidR="00F24E01" w:rsidRPr="001F47BA">
        <w:t xml:space="preserve">the risk </w:t>
      </w:r>
      <w:r w:rsidR="00F24E01" w:rsidRPr="00181AA0">
        <w:rPr>
          <w:szCs w:val="20"/>
        </w:rPr>
        <w:t xml:space="preserve">that the allocation outcome </w:t>
      </w:r>
      <w:r w:rsidR="00F96D29">
        <w:rPr>
          <w:szCs w:val="20"/>
        </w:rPr>
        <w:t>depends on</w:t>
      </w:r>
      <w:r w:rsidR="00F24E01" w:rsidRPr="00181AA0">
        <w:rPr>
          <w:szCs w:val="20"/>
        </w:rPr>
        <w:t xml:space="preserve"> </w:t>
      </w:r>
      <w:r w:rsidR="00F24E01">
        <w:rPr>
          <w:szCs w:val="20"/>
        </w:rPr>
        <w:t xml:space="preserve">the sequence of </w:t>
      </w:r>
      <w:r w:rsidR="00F24E01" w:rsidRPr="00181AA0">
        <w:rPr>
          <w:szCs w:val="20"/>
        </w:rPr>
        <w:t>application</w:t>
      </w:r>
      <w:r w:rsidR="00F24E01">
        <w:rPr>
          <w:szCs w:val="20"/>
        </w:rPr>
        <w:t>s</w:t>
      </w:r>
      <w:r w:rsidR="00F24E01" w:rsidRPr="00181AA0">
        <w:rPr>
          <w:szCs w:val="20"/>
        </w:rPr>
        <w:t>.</w:t>
      </w:r>
      <w:r w:rsidR="00B54D5A">
        <w:rPr>
          <w:szCs w:val="20"/>
        </w:rPr>
        <w:t xml:space="preserve"> The </w:t>
      </w:r>
      <w:r w:rsidR="00B54D5A" w:rsidRPr="00E44B49">
        <w:rPr>
          <w:szCs w:val="20"/>
        </w:rPr>
        <w:t xml:space="preserve">allocation window </w:t>
      </w:r>
      <w:r w:rsidR="00B54D5A">
        <w:rPr>
          <w:szCs w:val="20"/>
        </w:rPr>
        <w:t>approach</w:t>
      </w:r>
      <w:r w:rsidR="00F511C4">
        <w:rPr>
          <w:szCs w:val="20"/>
        </w:rPr>
        <w:t xml:space="preserve">, </w:t>
      </w:r>
      <w:r w:rsidR="000E481F">
        <w:rPr>
          <w:szCs w:val="20"/>
        </w:rPr>
        <w:t xml:space="preserve">potentially </w:t>
      </w:r>
      <w:r w:rsidR="00F511C4">
        <w:rPr>
          <w:szCs w:val="20"/>
        </w:rPr>
        <w:t>coupled with</w:t>
      </w:r>
      <w:r w:rsidR="000E481F">
        <w:rPr>
          <w:szCs w:val="20"/>
        </w:rPr>
        <w:t xml:space="preserve"> </w:t>
      </w:r>
      <w:r w:rsidR="00E07F5C">
        <w:rPr>
          <w:szCs w:val="20"/>
        </w:rPr>
        <w:t>targeted</w:t>
      </w:r>
      <w:r w:rsidR="002A36E4">
        <w:rPr>
          <w:szCs w:val="20"/>
        </w:rPr>
        <w:t xml:space="preserve"> </w:t>
      </w:r>
      <w:r w:rsidR="00995F52">
        <w:rPr>
          <w:szCs w:val="20"/>
        </w:rPr>
        <w:t xml:space="preserve">allocation limits </w:t>
      </w:r>
      <w:r w:rsidR="00E07F5C">
        <w:rPr>
          <w:szCs w:val="20"/>
        </w:rPr>
        <w:t>and policies</w:t>
      </w:r>
      <w:r w:rsidR="004142A3">
        <w:rPr>
          <w:szCs w:val="20"/>
        </w:rPr>
        <w:t>,</w:t>
      </w:r>
      <w:r w:rsidR="00B54D5A">
        <w:rPr>
          <w:szCs w:val="20"/>
        </w:rPr>
        <w:t xml:space="preserve"> ultimately </w:t>
      </w:r>
      <w:r w:rsidR="00B54D5A" w:rsidRPr="00E44B49">
        <w:rPr>
          <w:szCs w:val="20"/>
        </w:rPr>
        <w:t xml:space="preserve">provides for a staged </w:t>
      </w:r>
      <w:r w:rsidR="00AF313A">
        <w:rPr>
          <w:szCs w:val="20"/>
        </w:rPr>
        <w:t xml:space="preserve">or </w:t>
      </w:r>
      <w:r w:rsidR="007D4DDB">
        <w:rPr>
          <w:szCs w:val="20"/>
        </w:rPr>
        <w:t xml:space="preserve">managed </w:t>
      </w:r>
      <w:r w:rsidR="00B54D5A" w:rsidRPr="00E44B49">
        <w:rPr>
          <w:szCs w:val="20"/>
        </w:rPr>
        <w:t xml:space="preserve">approach to considering applications, </w:t>
      </w:r>
      <w:r w:rsidR="00300703">
        <w:rPr>
          <w:szCs w:val="20"/>
        </w:rPr>
        <w:t xml:space="preserve">where </w:t>
      </w:r>
      <w:r w:rsidR="00300703" w:rsidRPr="00E44B49">
        <w:rPr>
          <w:szCs w:val="20"/>
        </w:rPr>
        <w:t>there</w:t>
      </w:r>
      <w:r w:rsidR="00B54D5A" w:rsidRPr="00E44B49">
        <w:rPr>
          <w:szCs w:val="20"/>
        </w:rPr>
        <w:t xml:space="preserve"> are competing applications and</w:t>
      </w:r>
      <w:r w:rsidR="005A7CB8">
        <w:rPr>
          <w:szCs w:val="20"/>
        </w:rPr>
        <w:t>/or</w:t>
      </w:r>
      <w:r w:rsidR="00B54D5A" w:rsidRPr="00E44B49">
        <w:rPr>
          <w:szCs w:val="20"/>
        </w:rPr>
        <w:t xml:space="preserve"> </w:t>
      </w:r>
      <w:r w:rsidR="005A7CB8">
        <w:rPr>
          <w:szCs w:val="20"/>
        </w:rPr>
        <w:t>in</w:t>
      </w:r>
      <w:r w:rsidR="00B54D5A" w:rsidRPr="00E44B49">
        <w:rPr>
          <w:szCs w:val="20"/>
        </w:rPr>
        <w:t xml:space="preserve">sufficient spectrum to </w:t>
      </w:r>
      <w:r w:rsidR="00AB78C7">
        <w:rPr>
          <w:szCs w:val="20"/>
        </w:rPr>
        <w:t>issue all licences applied for</w:t>
      </w:r>
      <w:r w:rsidR="00B54D5A" w:rsidRPr="00E44B49">
        <w:rPr>
          <w:szCs w:val="20"/>
        </w:rPr>
        <w:t>.</w:t>
      </w:r>
    </w:p>
    <w:p w14:paraId="73811BFB" w14:textId="713F8944" w:rsidR="00B54D5A" w:rsidRDefault="002C008C" w:rsidP="00B54D5A">
      <w:pPr>
        <w:pStyle w:val="Paragraph"/>
      </w:pPr>
      <w:r>
        <w:t>Under the allocation window approach, w</w:t>
      </w:r>
      <w:r w:rsidR="00B54D5A">
        <w:t xml:space="preserve">here the ACMA receives applications for </w:t>
      </w:r>
      <w:r w:rsidR="00A30742">
        <w:t>licen</w:t>
      </w:r>
      <w:r w:rsidR="001D0DAA">
        <w:t>c</w:t>
      </w:r>
      <w:r w:rsidR="00A30742">
        <w:t>es</w:t>
      </w:r>
      <w:r w:rsidR="00B54D5A">
        <w:t xml:space="preserve"> that do not exceed the available supply</w:t>
      </w:r>
      <w:r w:rsidR="00A30742">
        <w:t xml:space="preserve"> of spectrum</w:t>
      </w:r>
      <w:r w:rsidR="00B54D5A">
        <w:t xml:space="preserve">, a licence will generally be issued to the respective applicants (subject to any allocation policies and/or limits). Where the ACMA receives applications for AWLs and the aggregate quantum of spectrum </w:t>
      </w:r>
      <w:r w:rsidR="00BE05FD">
        <w:t>covered by the licenc</w:t>
      </w:r>
      <w:r w:rsidR="007A1202">
        <w:t>es</w:t>
      </w:r>
      <w:r w:rsidR="00B54D5A">
        <w:t xml:space="preserve"> applied for exceeds the available supply </w:t>
      </w:r>
      <w:r w:rsidR="007A1202">
        <w:t>of spectrum</w:t>
      </w:r>
      <w:r w:rsidR="00B54D5A">
        <w:t xml:space="preserve"> in a particular geographic area, we will generally decide which applicants are issued AWLs, and the quantum of spectrum covered by the AWLs</w:t>
      </w:r>
      <w:r w:rsidR="00904C2D">
        <w:t xml:space="preserve">. The decision </w:t>
      </w:r>
      <w:r w:rsidR="00EC1C5C">
        <w:t>making</w:t>
      </w:r>
      <w:r w:rsidR="00904C2D">
        <w:t xml:space="preserve"> will </w:t>
      </w:r>
      <w:r w:rsidR="00C46A0E">
        <w:t xml:space="preserve">have </w:t>
      </w:r>
      <w:r w:rsidR="009316E7">
        <w:t>regard to matters required by the Act as well as</w:t>
      </w:r>
      <w:r w:rsidR="00904C2D">
        <w:t xml:space="preserve"> be</w:t>
      </w:r>
      <w:r w:rsidR="009316E7">
        <w:t>ing</w:t>
      </w:r>
      <w:r w:rsidR="00B54D5A">
        <w:t xml:space="preserve"> based on</w:t>
      </w:r>
      <w:r w:rsidR="00101497">
        <w:t xml:space="preserve"> the</w:t>
      </w:r>
      <w:r w:rsidR="00B54D5A">
        <w:t xml:space="preserve"> assessment of applications</w:t>
      </w:r>
      <w:r w:rsidR="005810B4">
        <w:t xml:space="preserve"> against </w:t>
      </w:r>
      <w:r w:rsidR="0005000D">
        <w:t>the decision-making principles</w:t>
      </w:r>
      <w:r w:rsidR="002C606D">
        <w:t xml:space="preserve"> alongside other matters such as technical arrangements</w:t>
      </w:r>
      <w:r w:rsidR="00E83BC3">
        <w:t xml:space="preserve"> outlined in the </w:t>
      </w:r>
      <w:r w:rsidR="008F3AEC">
        <w:t>applicant information pack that will be published before the allocation opens</w:t>
      </w:r>
      <w:r w:rsidR="00E83BC3">
        <w:t>.</w:t>
      </w:r>
      <w:r w:rsidR="002C606D">
        <w:rPr>
          <w:rStyle w:val="FootnoteReference"/>
        </w:rPr>
        <w:footnoteReference w:id="4"/>
      </w:r>
      <w:r w:rsidR="00E83BC3">
        <w:t xml:space="preserve"> </w:t>
      </w:r>
    </w:p>
    <w:p w14:paraId="36AD1526" w14:textId="2DC19B82" w:rsidR="00B20AD1" w:rsidRDefault="00497FCB" w:rsidP="00B20AD1">
      <w:pPr>
        <w:pStyle w:val="Paragraph"/>
      </w:pPr>
      <w:r>
        <w:t>An administrative allocation of AWLs</w:t>
      </w:r>
      <w:r w:rsidDel="003C2346">
        <w:t xml:space="preserve"> </w:t>
      </w:r>
      <w:r>
        <w:t xml:space="preserve">provides a level of flexibility that enabled aspirant licensees, particularly smaller use cases, to tailor their licences to more bespoke applications. </w:t>
      </w:r>
      <w:r w:rsidR="00B20AD1">
        <w:t xml:space="preserve">The AWL </w:t>
      </w:r>
      <w:r w:rsidR="00B20AD1" w:rsidRPr="00C76322">
        <w:t>type</w:t>
      </w:r>
      <w:r w:rsidR="00B20AD1">
        <w:t xml:space="preserve"> is intended to be a highly flexible licence type that is adaptable to licensee needs. </w:t>
      </w:r>
      <w:r w:rsidR="002F667E">
        <w:t xml:space="preserve">It </w:t>
      </w:r>
      <w:r w:rsidR="00B20AD1">
        <w:t>is intended to provide licensees with ‘building blocks’</w:t>
      </w:r>
      <w:r w:rsidR="00D41C0E">
        <w:t xml:space="preserve"> </w:t>
      </w:r>
      <w:r w:rsidR="00D41C0E" w:rsidRPr="0072341B">
        <w:t>–</w:t>
      </w:r>
      <w:r w:rsidR="00D41C0E">
        <w:t xml:space="preserve"> </w:t>
      </w:r>
      <w:r w:rsidR="00B20AD1">
        <w:t xml:space="preserve">aggregate frequency and area blocks in a single licence, which can meet a range of network sizes or topographies and can be service or technology neutral, as long as the standard licence conditions </w:t>
      </w:r>
      <w:r w:rsidR="00013690">
        <w:t>and technical framework requirements</w:t>
      </w:r>
      <w:r w:rsidR="00B20AD1">
        <w:t xml:space="preserve"> for the relevant band are met. The AWL type can </w:t>
      </w:r>
      <w:r w:rsidR="00B20AD1" w:rsidRPr="00BF0FB4">
        <w:t xml:space="preserve">authorise the operation of one or more radiocommunications </w:t>
      </w:r>
      <w:r w:rsidR="0001027B">
        <w:t>transmitters</w:t>
      </w:r>
      <w:r w:rsidR="00B20AD1" w:rsidRPr="00BF0FB4">
        <w:t xml:space="preserve"> within a defined geographic area at a frequency or frequencies specified on the licence, subject to the conditions included </w:t>
      </w:r>
      <w:r w:rsidR="00B20AD1">
        <w:t>i</w:t>
      </w:r>
      <w:r w:rsidR="00B20AD1" w:rsidRPr="00BF0FB4">
        <w:t>n the licence.</w:t>
      </w:r>
      <w:r w:rsidR="0071710D">
        <w:t xml:space="preserve"> The allocation window </w:t>
      </w:r>
      <w:r w:rsidR="006A365E">
        <w:t xml:space="preserve">approach to allocating licences </w:t>
      </w:r>
      <w:r w:rsidR="0071710D">
        <w:t>is suitable</w:t>
      </w:r>
      <w:r w:rsidR="006A365E">
        <w:t xml:space="preserve"> for </w:t>
      </w:r>
      <w:r w:rsidR="00EB6320">
        <w:t xml:space="preserve">the allocation of </w:t>
      </w:r>
      <w:r w:rsidR="006A365E">
        <w:t>AWLs.</w:t>
      </w:r>
    </w:p>
    <w:p w14:paraId="1B5AD733" w14:textId="7777A782" w:rsidR="008B4079" w:rsidRDefault="00A73947" w:rsidP="00B20AD1">
      <w:pPr>
        <w:pStyle w:val="Paragraph"/>
      </w:pPr>
      <w:r>
        <w:lastRenderedPageBreak/>
        <w:t xml:space="preserve">In addition to </w:t>
      </w:r>
      <w:r w:rsidR="0022533C">
        <w:t>AWLs in</w:t>
      </w:r>
      <w:r w:rsidR="00102A88">
        <w:t xml:space="preserve"> the band, the ACMA </w:t>
      </w:r>
      <w:r w:rsidR="00D77EDE">
        <w:t>acknowledges that the</w:t>
      </w:r>
      <w:r w:rsidR="00944510">
        <w:t xml:space="preserve">re are </w:t>
      </w:r>
      <w:r w:rsidR="00A66448">
        <w:t>also</w:t>
      </w:r>
      <w:r w:rsidR="00944510">
        <w:t xml:space="preserve"> a number of </w:t>
      </w:r>
      <w:r w:rsidR="00A66448">
        <w:t xml:space="preserve">receiver licences authorising </w:t>
      </w:r>
      <w:r w:rsidR="00D77A6A">
        <w:t xml:space="preserve">the operation of </w:t>
      </w:r>
      <w:r w:rsidR="00727C9D">
        <w:t>earth re</w:t>
      </w:r>
      <w:r w:rsidR="00AD1CEC">
        <w:t>ceive stations</w:t>
      </w:r>
      <w:r w:rsidR="00246A5C">
        <w:t xml:space="preserve"> for FSS</w:t>
      </w:r>
      <w:r w:rsidR="009F6F84">
        <w:t>.</w:t>
      </w:r>
      <w:r w:rsidR="00232A17">
        <w:t xml:space="preserve"> Applications for </w:t>
      </w:r>
      <w:r w:rsidR="00305AD8">
        <w:t xml:space="preserve">AWL rx </w:t>
      </w:r>
      <w:r w:rsidR="008B707B">
        <w:t xml:space="preserve">licences </w:t>
      </w:r>
      <w:r w:rsidR="00D06203">
        <w:t>can also be made</w:t>
      </w:r>
      <w:r w:rsidR="00D8151E">
        <w:t xml:space="preserve"> during the </w:t>
      </w:r>
      <w:r w:rsidR="00194B1F">
        <w:t>application window</w:t>
      </w:r>
      <w:r w:rsidR="009B39C6">
        <w:t>s</w:t>
      </w:r>
      <w:r w:rsidR="007E385A">
        <w:t xml:space="preserve">, and the applications </w:t>
      </w:r>
      <w:r w:rsidR="008B707B">
        <w:t xml:space="preserve">will be considered alongside </w:t>
      </w:r>
      <w:r w:rsidR="009A449C">
        <w:t xml:space="preserve">applications </w:t>
      </w:r>
      <w:r w:rsidR="0030622D">
        <w:t>for AWL</w:t>
      </w:r>
      <w:r w:rsidR="00042120">
        <w:t>s</w:t>
      </w:r>
      <w:r w:rsidR="00C86A1E">
        <w:t xml:space="preserve">, as </w:t>
      </w:r>
      <w:r w:rsidR="0025471E">
        <w:t xml:space="preserve">outlined under </w:t>
      </w:r>
      <w:r w:rsidR="00A26B69">
        <w:t>allocation</w:t>
      </w:r>
      <w:r w:rsidR="00F770A6">
        <w:t xml:space="preserve"> </w:t>
      </w:r>
      <w:r w:rsidR="00D41C0E">
        <w:t>O</w:t>
      </w:r>
      <w:r w:rsidR="00F770A6">
        <w:t xml:space="preserve">ptions 1 and 2 </w:t>
      </w:r>
      <w:r w:rsidR="007313DF">
        <w:t>set out</w:t>
      </w:r>
      <w:r w:rsidR="00F770A6">
        <w:t xml:space="preserve"> below</w:t>
      </w:r>
      <w:r w:rsidR="00A26B69">
        <w:t>.</w:t>
      </w:r>
      <w:r w:rsidR="00A66448">
        <w:t xml:space="preserve"> </w:t>
      </w:r>
    </w:p>
    <w:p w14:paraId="1AA5583B" w14:textId="49C306C1" w:rsidR="003C4AF2" w:rsidRDefault="00204A31" w:rsidP="00B54D5A">
      <w:pPr>
        <w:pStyle w:val="Paragraph"/>
      </w:pPr>
      <w:r>
        <w:t>W</w:t>
      </w:r>
      <w:r w:rsidR="00075728" w:rsidRPr="00075728">
        <w:t xml:space="preserve">e </w:t>
      </w:r>
      <w:r w:rsidR="00C50F99">
        <w:t xml:space="preserve">intend </w:t>
      </w:r>
      <w:r w:rsidR="00075728" w:rsidRPr="00075728">
        <w:t xml:space="preserve">to design allocation settings </w:t>
      </w:r>
      <w:r w:rsidR="00F36B5A">
        <w:t>that can</w:t>
      </w:r>
      <w:r w:rsidR="00E45E27">
        <w:t xml:space="preserve"> </w:t>
      </w:r>
      <w:r w:rsidR="00075728" w:rsidRPr="00075728">
        <w:t xml:space="preserve">manage demand for this spectrum in a way that provides for outcomes that are consistent with the </w:t>
      </w:r>
      <w:hyperlink w:anchor="_Legislative_context_and" w:history="1">
        <w:r w:rsidR="00D17885" w:rsidRPr="00D17885">
          <w:rPr>
            <w:rStyle w:val="Hyperlink"/>
          </w:rPr>
          <w:t xml:space="preserve">guiding policy objectives    </w:t>
        </w:r>
      </w:hyperlink>
      <w:r w:rsidR="00075728" w:rsidRPr="00756C95">
        <w:t xml:space="preserve"> listed above</w:t>
      </w:r>
      <w:r w:rsidR="00075728" w:rsidRPr="00075728">
        <w:t xml:space="preserve">. </w:t>
      </w:r>
      <w:r w:rsidR="003A10C2">
        <w:t>Accordingly, w</w:t>
      </w:r>
      <w:r w:rsidR="00E1101F">
        <w:t>e have identified</w:t>
      </w:r>
      <w:r w:rsidR="00D623AA">
        <w:t xml:space="preserve"> </w:t>
      </w:r>
      <w:r w:rsidR="00D41C0E">
        <w:t>2</w:t>
      </w:r>
      <w:r w:rsidR="00D623AA">
        <w:t xml:space="preserve"> options</w:t>
      </w:r>
      <w:r w:rsidR="004E79CF">
        <w:rPr>
          <w:rStyle w:val="FootnoteReference"/>
        </w:rPr>
        <w:footnoteReference w:id="5"/>
      </w:r>
      <w:r w:rsidR="00D623AA">
        <w:t xml:space="preserve"> </w:t>
      </w:r>
      <w:r w:rsidR="006A365E">
        <w:t>for allocating AWLs in this band:</w:t>
      </w:r>
    </w:p>
    <w:p w14:paraId="3ED34FAE" w14:textId="59E6FA2C" w:rsidR="00B70711" w:rsidRDefault="00595341" w:rsidP="00FE69BE">
      <w:pPr>
        <w:pStyle w:val="ListNumber"/>
        <w:numPr>
          <w:ilvl w:val="0"/>
          <w:numId w:val="85"/>
        </w:numPr>
      </w:pPr>
      <w:r>
        <w:t>6-month LA WBB priority period option</w:t>
      </w:r>
      <w:r w:rsidR="00B70711">
        <w:t xml:space="preserve"> including</w:t>
      </w:r>
      <w:r w:rsidR="00D85C90">
        <w:t>:</w:t>
      </w:r>
      <w:r w:rsidR="00B70711">
        <w:t xml:space="preserve"> </w:t>
      </w:r>
    </w:p>
    <w:p w14:paraId="2E46702D" w14:textId="1A20A033" w:rsidR="00B70711" w:rsidRDefault="00D41C0E" w:rsidP="00FE69BE">
      <w:pPr>
        <w:pStyle w:val="Bulletlevel2"/>
      </w:pPr>
      <w:r>
        <w:t>a</w:t>
      </w:r>
      <w:r w:rsidR="00B70711">
        <w:t xml:space="preserve">llocation </w:t>
      </w:r>
      <w:r w:rsidR="0063522F">
        <w:t>p</w:t>
      </w:r>
      <w:r w:rsidR="00B70711">
        <w:t>rinciples</w:t>
      </w:r>
      <w:r w:rsidR="4B1484D1">
        <w:t xml:space="preserve"> for the initial allocation window</w:t>
      </w:r>
    </w:p>
    <w:p w14:paraId="1F254EFC" w14:textId="70558EFF" w:rsidR="00B70711" w:rsidRDefault="00D85C90" w:rsidP="00FE69BE">
      <w:pPr>
        <w:pStyle w:val="Bulletlevel2"/>
      </w:pPr>
      <w:r>
        <w:t>a</w:t>
      </w:r>
      <w:r w:rsidR="00D41C0E">
        <w:t xml:space="preserve"> </w:t>
      </w:r>
      <w:r w:rsidR="0063522F">
        <w:t>n</w:t>
      </w:r>
      <w:r w:rsidR="00B70711">
        <w:t xml:space="preserve">il </w:t>
      </w:r>
      <w:r w:rsidR="00735222">
        <w:t>MHz</w:t>
      </w:r>
      <w:r w:rsidR="00B70711">
        <w:t xml:space="preserve"> </w:t>
      </w:r>
      <w:r w:rsidR="0063522F">
        <w:t>l</w:t>
      </w:r>
      <w:r w:rsidR="00B70711">
        <w:t>imit</w:t>
      </w:r>
      <w:r w:rsidR="00B620B2">
        <w:t xml:space="preserve"> applying to mobile network operators (MNOs) and NBN Co</w:t>
      </w:r>
      <w:r w:rsidR="00E40C6F">
        <w:t xml:space="preserve"> in the LA WBB priority period </w:t>
      </w:r>
      <w:r w:rsidR="00B24C0F">
        <w:t>window</w:t>
      </w:r>
      <w:r w:rsidR="00E40C6F" w:rsidDel="00E40C6F">
        <w:t xml:space="preserve"> </w:t>
      </w:r>
    </w:p>
    <w:p w14:paraId="69E4E108" w14:textId="1D5BD1F0" w:rsidR="00FC1D82" w:rsidRDefault="00D41C0E" w:rsidP="00FE69BE">
      <w:pPr>
        <w:pStyle w:val="Bulletlevel2"/>
      </w:pPr>
      <w:r>
        <w:t>a</w:t>
      </w:r>
      <w:r w:rsidR="00FC1D82">
        <w:t xml:space="preserve">n allocation quantum policy </w:t>
      </w:r>
      <w:r w:rsidR="00BC1D44">
        <w:t>for all other entities</w:t>
      </w:r>
      <w:r w:rsidR="00FC1D82">
        <w:t xml:space="preserve"> </w:t>
      </w:r>
    </w:p>
    <w:p w14:paraId="61A5DA52" w14:textId="7C169097" w:rsidR="00B70711" w:rsidRDefault="00D41C0E" w:rsidP="00FE69BE">
      <w:pPr>
        <w:pStyle w:val="Bulletlevel2"/>
      </w:pPr>
      <w:r>
        <w:t>t</w:t>
      </w:r>
      <w:r w:rsidR="00FC1D82">
        <w:t>hird</w:t>
      </w:r>
      <w:r w:rsidR="00D85C90">
        <w:t>-</w:t>
      </w:r>
      <w:r w:rsidR="00FC1D82">
        <w:t xml:space="preserve">party authorisation and licence trading restrictions </w:t>
      </w:r>
      <w:r w:rsidR="00BC1D44">
        <w:t>applying to MNOs and NBN Co</w:t>
      </w:r>
    </w:p>
    <w:p w14:paraId="3DE75C14" w14:textId="5FB9532B" w:rsidR="00B70711" w:rsidRDefault="00D41C0E" w:rsidP="00FE69BE">
      <w:pPr>
        <w:pStyle w:val="Bulletlevel2"/>
      </w:pPr>
      <w:r>
        <w:t>a</w:t>
      </w:r>
      <w:r w:rsidR="00FC1D82">
        <w:t xml:space="preserve"> cross-band limit</w:t>
      </w:r>
      <w:r w:rsidR="00BC1D44">
        <w:t xml:space="preserve"> </w:t>
      </w:r>
      <w:r w:rsidR="007A190D">
        <w:t>for all entities</w:t>
      </w:r>
      <w:r w:rsidR="00B24C0F">
        <w:t xml:space="preserve"> that carries through priority window and second allocation proces</w:t>
      </w:r>
      <w:r>
        <w:t>s</w:t>
      </w:r>
    </w:p>
    <w:p w14:paraId="1CE77049" w14:textId="3A337AB0" w:rsidR="617C05AB" w:rsidRDefault="00D41C0E" w:rsidP="00FE69BE">
      <w:pPr>
        <w:pStyle w:val="Bulletlevel2"/>
        <w:spacing w:after="240"/>
        <w:rPr>
          <w:szCs w:val="20"/>
        </w:rPr>
      </w:pPr>
      <w:r>
        <w:rPr>
          <w:szCs w:val="20"/>
        </w:rPr>
        <w:t>a</w:t>
      </w:r>
      <w:r w:rsidR="617C05AB" w:rsidRPr="15D31987">
        <w:rPr>
          <w:szCs w:val="20"/>
        </w:rPr>
        <w:t>llocation principles</w:t>
      </w:r>
      <w:r w:rsidR="49502D04" w:rsidRPr="15D31987">
        <w:rPr>
          <w:szCs w:val="20"/>
        </w:rPr>
        <w:t>/window</w:t>
      </w:r>
      <w:r w:rsidR="617C05AB" w:rsidRPr="15D31987">
        <w:rPr>
          <w:szCs w:val="20"/>
        </w:rPr>
        <w:t xml:space="preserve"> for the second allocation </w:t>
      </w:r>
      <w:r w:rsidR="505DA329" w:rsidRPr="15D31987">
        <w:rPr>
          <w:szCs w:val="20"/>
        </w:rPr>
        <w:t>process</w:t>
      </w:r>
      <w:r>
        <w:rPr>
          <w:szCs w:val="20"/>
        </w:rPr>
        <w:t>,</w:t>
      </w:r>
      <w:r w:rsidR="505DA329" w:rsidRPr="15D31987">
        <w:rPr>
          <w:szCs w:val="20"/>
        </w:rPr>
        <w:t xml:space="preserve"> </w:t>
      </w:r>
      <w:r>
        <w:rPr>
          <w:szCs w:val="20"/>
        </w:rPr>
        <w:t>or</w:t>
      </w:r>
      <w:r w:rsidR="617C05AB" w:rsidRPr="15D31987">
        <w:rPr>
          <w:szCs w:val="20"/>
        </w:rPr>
        <w:t xml:space="preserve"> a first-in-time approach</w:t>
      </w:r>
      <w:r w:rsidR="007A190D">
        <w:rPr>
          <w:szCs w:val="20"/>
        </w:rPr>
        <w:t>.</w:t>
      </w:r>
      <w:r w:rsidR="617C05AB" w:rsidRPr="15D31987">
        <w:rPr>
          <w:szCs w:val="20"/>
        </w:rPr>
        <w:t xml:space="preserve"> </w:t>
      </w:r>
    </w:p>
    <w:p w14:paraId="772F1C8B" w14:textId="63F69511" w:rsidR="00101903" w:rsidRDefault="00191270" w:rsidP="00EC1C5C">
      <w:pPr>
        <w:pStyle w:val="Paragraph"/>
      </w:pPr>
      <w:r>
        <w:t>Under this option</w:t>
      </w:r>
      <w:r w:rsidR="00EC598D">
        <w:t xml:space="preserve">, during </w:t>
      </w:r>
      <w:r w:rsidR="00E32E63">
        <w:t>the</w:t>
      </w:r>
      <w:r w:rsidR="00EC598D">
        <w:t xml:space="preserve"> initial a</w:t>
      </w:r>
      <w:r w:rsidR="00E32E63">
        <w:t xml:space="preserve">pplication </w:t>
      </w:r>
      <w:r w:rsidR="00736B6B">
        <w:t>window</w:t>
      </w:r>
      <w:r w:rsidR="00E32E63">
        <w:t>,</w:t>
      </w:r>
      <w:r>
        <w:t xml:space="preserve"> the ACMA would cons</w:t>
      </w:r>
      <w:r w:rsidR="003E4C0D">
        <w:t xml:space="preserve">ider </w:t>
      </w:r>
      <w:r w:rsidR="006A586A">
        <w:t>applications from LA WBB, PTP and FSS</w:t>
      </w:r>
      <w:r w:rsidR="00736B6B">
        <w:t xml:space="preserve"> use cases</w:t>
      </w:r>
      <w:r w:rsidR="00980861">
        <w:t xml:space="preserve">. Pending ACMA consideration of applications, FSS use cases would be licensed via </w:t>
      </w:r>
      <w:r w:rsidR="00144C54">
        <w:t>AWL receive apparatus licen</w:t>
      </w:r>
      <w:r w:rsidR="00D54B5C">
        <w:t>c</w:t>
      </w:r>
      <w:r w:rsidR="00144C54">
        <w:t>es.</w:t>
      </w:r>
      <w:r w:rsidR="006A586A">
        <w:t xml:space="preserve"> </w:t>
      </w:r>
      <w:r w:rsidR="00101903">
        <w:t xml:space="preserve">This option would include a second </w:t>
      </w:r>
      <w:r w:rsidR="00D60132">
        <w:t xml:space="preserve">allocation </w:t>
      </w:r>
      <w:r w:rsidR="0028411F">
        <w:t>process</w:t>
      </w:r>
      <w:r w:rsidR="00101903">
        <w:t xml:space="preserve">, </w:t>
      </w:r>
      <w:r w:rsidR="00C01A6A">
        <w:t>approxim</w:t>
      </w:r>
      <w:r w:rsidR="00795248">
        <w:t xml:space="preserve">ately </w:t>
      </w:r>
      <w:r w:rsidR="00D41C0E">
        <w:t xml:space="preserve">6 </w:t>
      </w:r>
      <w:r w:rsidR="00101903">
        <w:t xml:space="preserve">months after the commencement of the initial application window. During </w:t>
      </w:r>
      <w:r w:rsidR="003278E1">
        <w:t xml:space="preserve">(and after) </w:t>
      </w:r>
      <w:r w:rsidR="00101903">
        <w:t>the second</w:t>
      </w:r>
      <w:r w:rsidR="00D60132">
        <w:t xml:space="preserve"> allocation process</w:t>
      </w:r>
      <w:r w:rsidR="00101903">
        <w:t>, applications from LA WBB, PTP, FSS and</w:t>
      </w:r>
      <w:r w:rsidR="003278E1">
        <w:t xml:space="preserve"> WA WBB</w:t>
      </w:r>
      <w:r w:rsidR="00101903">
        <w:t xml:space="preserve"> use cases</w:t>
      </w:r>
      <w:r w:rsidR="0051669E">
        <w:t xml:space="preserve"> </w:t>
      </w:r>
      <w:r w:rsidR="00101903">
        <w:t>would be considered</w:t>
      </w:r>
      <w:r w:rsidR="003278E1">
        <w:t xml:space="preserve"> (subject to the proposed cross-band allocation limit)</w:t>
      </w:r>
      <w:r w:rsidR="00101903">
        <w:t>.</w:t>
      </w:r>
    </w:p>
    <w:p w14:paraId="569A98D8" w14:textId="6E2E818F" w:rsidR="00595341" w:rsidRDefault="00EC43F0" w:rsidP="00FE69BE">
      <w:pPr>
        <w:pStyle w:val="Numberlistlevel1"/>
      </w:pPr>
      <w:r>
        <w:t>General a</w:t>
      </w:r>
      <w:r w:rsidR="00595341">
        <w:t>llocation window approac</w:t>
      </w:r>
      <w:r w:rsidR="00D41C0E">
        <w:t>h</w:t>
      </w:r>
      <w:r w:rsidR="00B70711">
        <w:t xml:space="preserve"> including</w:t>
      </w:r>
      <w:r w:rsidR="00D85C90">
        <w:t>:</w:t>
      </w:r>
      <w:r w:rsidR="00B70711">
        <w:t xml:space="preserve">  </w:t>
      </w:r>
    </w:p>
    <w:p w14:paraId="64363E0B" w14:textId="2921CEEB" w:rsidR="00B70711" w:rsidRDefault="00D41C0E" w:rsidP="00FE69BE">
      <w:pPr>
        <w:pStyle w:val="Bulletlevel2"/>
      </w:pPr>
      <w:r>
        <w:t>a</w:t>
      </w:r>
      <w:r w:rsidR="00B70711">
        <w:t xml:space="preserve">llocation </w:t>
      </w:r>
      <w:r w:rsidR="0063522F">
        <w:t>p</w:t>
      </w:r>
      <w:r w:rsidR="00B70711">
        <w:t>rinciples</w:t>
      </w:r>
    </w:p>
    <w:p w14:paraId="71BD8B56" w14:textId="4063D032" w:rsidR="00E83BC3" w:rsidRDefault="00D41C0E" w:rsidP="00FE69BE">
      <w:pPr>
        <w:pStyle w:val="Bulletlevel2"/>
      </w:pPr>
      <w:r>
        <w:t>a</w:t>
      </w:r>
      <w:r w:rsidR="00FC1D82">
        <w:t>n allocation quantum polic</w:t>
      </w:r>
      <w:r w:rsidR="002E1F6C">
        <w:t>y</w:t>
      </w:r>
    </w:p>
    <w:p w14:paraId="2304FC0B" w14:textId="5036E382" w:rsidR="00E83BC3" w:rsidRDefault="00D41C0E" w:rsidP="00FE69BE">
      <w:pPr>
        <w:pStyle w:val="Bulletlevel2"/>
        <w:spacing w:after="240"/>
      </w:pPr>
      <w:r>
        <w:t>a</w:t>
      </w:r>
      <w:r w:rsidR="00FC1D82">
        <w:t xml:space="preserve"> cross-band limit</w:t>
      </w:r>
      <w:r w:rsidR="002E1F6C">
        <w:t xml:space="preserve"> that is in force from the beginning of the allocation</w:t>
      </w:r>
      <w:r w:rsidR="00FC1D82">
        <w:t>.</w:t>
      </w:r>
      <w:r w:rsidR="00E83BC3" w:rsidRPr="00E83BC3">
        <w:t xml:space="preserve"> </w:t>
      </w:r>
    </w:p>
    <w:p w14:paraId="5771E8AF" w14:textId="64C2C7CB" w:rsidR="00B7544F" w:rsidRDefault="00962DC0" w:rsidP="009469A5">
      <w:pPr>
        <w:pStyle w:val="Paragraph"/>
      </w:pPr>
      <w:r>
        <w:t>Under this option, applications to support LA WBB, PTP, FSS and WA WBB use</w:t>
      </w:r>
      <w:r w:rsidR="00D41C0E">
        <w:t>-</w:t>
      </w:r>
      <w:r>
        <w:t>cases would be considered (subject to the proposed cross-band allocation limit).</w:t>
      </w:r>
    </w:p>
    <w:p w14:paraId="67DDB075" w14:textId="25DA2C03" w:rsidR="007B3889" w:rsidRDefault="007B3889" w:rsidP="009469A5">
      <w:pPr>
        <w:pStyle w:val="Paragraph"/>
      </w:pPr>
      <w:r>
        <w:t xml:space="preserve">Within these </w:t>
      </w:r>
      <w:r w:rsidR="00D41C0E">
        <w:t>2 al</w:t>
      </w:r>
      <w:r>
        <w:t>location options there are further consideration on allocation limits and timing periods that we are seeking stakeholders’ views on</w:t>
      </w:r>
      <w:r w:rsidR="00AB04A8">
        <w:t>.</w:t>
      </w:r>
    </w:p>
    <w:p w14:paraId="5AADF9AB" w14:textId="77777777" w:rsidR="00300581" w:rsidRDefault="00300581" w:rsidP="009469A5">
      <w:pPr>
        <w:pStyle w:val="Paragraph"/>
      </w:pPr>
    </w:p>
    <w:p w14:paraId="614BCBE7" w14:textId="71442DB9" w:rsidR="002666E8" w:rsidRPr="00A40FA8" w:rsidRDefault="005B024F" w:rsidP="00FE69BE">
      <w:pPr>
        <w:pStyle w:val="Tableheading"/>
      </w:pPr>
      <w:r w:rsidRPr="00A40FA8">
        <w:lastRenderedPageBreak/>
        <w:t xml:space="preserve">Overview of allocation options </w:t>
      </w:r>
    </w:p>
    <w:tbl>
      <w:tblPr>
        <w:tblStyle w:val="TableGrid"/>
        <w:tblW w:w="0" w:type="auto"/>
        <w:tblLook w:val="04A0" w:firstRow="1" w:lastRow="0" w:firstColumn="1" w:lastColumn="0" w:noHBand="0" w:noVBand="1"/>
      </w:tblPr>
      <w:tblGrid>
        <w:gridCol w:w="1838"/>
        <w:gridCol w:w="2810"/>
        <w:gridCol w:w="2811"/>
      </w:tblGrid>
      <w:tr w:rsidR="005B024F" w:rsidRPr="008805A6" w14:paraId="0CB93B92" w14:textId="77777777" w:rsidTr="00FE69BE">
        <w:tc>
          <w:tcPr>
            <w:tcW w:w="1838" w:type="dxa"/>
            <w:shd w:val="clear" w:color="auto" w:fill="404040" w:themeFill="text1" w:themeFillTint="BF"/>
          </w:tcPr>
          <w:p w14:paraId="6B8AA0BB" w14:textId="77777777" w:rsidR="005B024F" w:rsidRPr="008805A6" w:rsidRDefault="005B024F">
            <w:pPr>
              <w:jc w:val="center"/>
              <w:rPr>
                <w:b/>
                <w:bCs/>
                <w:color w:val="FFFFFF" w:themeColor="background1"/>
              </w:rPr>
            </w:pPr>
          </w:p>
        </w:tc>
        <w:tc>
          <w:tcPr>
            <w:tcW w:w="2810" w:type="dxa"/>
            <w:shd w:val="clear" w:color="auto" w:fill="404040" w:themeFill="text1" w:themeFillTint="BF"/>
          </w:tcPr>
          <w:p w14:paraId="40450FE2" w14:textId="77777777" w:rsidR="005B024F" w:rsidRPr="008805A6" w:rsidRDefault="005B024F">
            <w:pPr>
              <w:jc w:val="center"/>
              <w:rPr>
                <w:b/>
                <w:bCs/>
                <w:color w:val="FFFFFF" w:themeColor="background1"/>
              </w:rPr>
            </w:pPr>
            <w:r w:rsidRPr="008805A6">
              <w:rPr>
                <w:b/>
                <w:bCs/>
                <w:color w:val="FFFFFF" w:themeColor="background1"/>
              </w:rPr>
              <w:t>Option 1</w:t>
            </w:r>
            <w:r>
              <w:rPr>
                <w:b/>
                <w:bCs/>
                <w:color w:val="FFFFFF" w:themeColor="background1"/>
              </w:rPr>
              <w:t xml:space="preserve">: LA WBB priority period </w:t>
            </w:r>
          </w:p>
        </w:tc>
        <w:tc>
          <w:tcPr>
            <w:tcW w:w="2811" w:type="dxa"/>
            <w:shd w:val="clear" w:color="auto" w:fill="404040" w:themeFill="text1" w:themeFillTint="BF"/>
          </w:tcPr>
          <w:p w14:paraId="347F24F3" w14:textId="23D4216A" w:rsidR="005B024F" w:rsidRPr="008805A6" w:rsidRDefault="005B024F">
            <w:pPr>
              <w:jc w:val="center"/>
              <w:rPr>
                <w:b/>
                <w:bCs/>
                <w:color w:val="FFFFFF" w:themeColor="background1"/>
              </w:rPr>
            </w:pPr>
            <w:r w:rsidRPr="008805A6">
              <w:rPr>
                <w:b/>
                <w:bCs/>
                <w:color w:val="FFFFFF" w:themeColor="background1"/>
              </w:rPr>
              <w:t>Option 2</w:t>
            </w:r>
            <w:r>
              <w:rPr>
                <w:b/>
                <w:bCs/>
                <w:color w:val="FFFFFF" w:themeColor="background1"/>
              </w:rPr>
              <w:t xml:space="preserve">: General </w:t>
            </w:r>
            <w:r w:rsidR="00D41C0E">
              <w:rPr>
                <w:b/>
                <w:bCs/>
                <w:color w:val="FFFFFF" w:themeColor="background1"/>
              </w:rPr>
              <w:t>a</w:t>
            </w:r>
            <w:r>
              <w:rPr>
                <w:b/>
                <w:bCs/>
                <w:color w:val="FFFFFF" w:themeColor="background1"/>
              </w:rPr>
              <w:t xml:space="preserve">llocation </w:t>
            </w:r>
            <w:r w:rsidR="00D41C0E">
              <w:rPr>
                <w:b/>
                <w:bCs/>
                <w:color w:val="FFFFFF" w:themeColor="background1"/>
              </w:rPr>
              <w:t>w</w:t>
            </w:r>
            <w:r>
              <w:rPr>
                <w:b/>
                <w:bCs/>
                <w:color w:val="FFFFFF" w:themeColor="background1"/>
              </w:rPr>
              <w:t xml:space="preserve">indow </w:t>
            </w:r>
            <w:r w:rsidR="00D41C0E">
              <w:rPr>
                <w:b/>
                <w:bCs/>
                <w:color w:val="FFFFFF" w:themeColor="background1"/>
              </w:rPr>
              <w:t>a</w:t>
            </w:r>
            <w:r>
              <w:rPr>
                <w:b/>
                <w:bCs/>
                <w:color w:val="FFFFFF" w:themeColor="background1"/>
              </w:rPr>
              <w:t>pproach</w:t>
            </w:r>
          </w:p>
        </w:tc>
      </w:tr>
      <w:tr w:rsidR="005B024F" w14:paraId="1B78C99B" w14:textId="77777777" w:rsidTr="00FE69BE">
        <w:tc>
          <w:tcPr>
            <w:tcW w:w="1838" w:type="dxa"/>
            <w:shd w:val="clear" w:color="auto" w:fill="404040" w:themeFill="text1" w:themeFillTint="BF"/>
          </w:tcPr>
          <w:p w14:paraId="392F19D8" w14:textId="77777777" w:rsidR="005B024F" w:rsidRPr="00FE69BE" w:rsidRDefault="005B024F">
            <w:pPr>
              <w:rPr>
                <w:b/>
                <w:bCs/>
                <w:color w:val="FFFFFF" w:themeColor="background1"/>
              </w:rPr>
            </w:pPr>
            <w:r w:rsidRPr="00FE69BE">
              <w:rPr>
                <w:b/>
                <w:bCs/>
                <w:color w:val="FFFFFF" w:themeColor="background1"/>
              </w:rPr>
              <w:t>Process</w:t>
            </w:r>
          </w:p>
        </w:tc>
        <w:tc>
          <w:tcPr>
            <w:tcW w:w="2810" w:type="dxa"/>
          </w:tcPr>
          <w:p w14:paraId="5EFF4A16" w14:textId="77777777" w:rsidR="005B024F" w:rsidRDefault="005B024F" w:rsidP="00165C8E">
            <w:pPr>
              <w:pStyle w:val="ListParagraph"/>
              <w:numPr>
                <w:ilvl w:val="0"/>
                <w:numId w:val="35"/>
              </w:numPr>
              <w:spacing w:line="240" w:lineRule="auto"/>
              <w:ind w:left="368"/>
            </w:pPr>
            <w:r>
              <w:t xml:space="preserve">Two stage administrative allocation approach </w:t>
            </w:r>
          </w:p>
        </w:tc>
        <w:tc>
          <w:tcPr>
            <w:tcW w:w="2811" w:type="dxa"/>
          </w:tcPr>
          <w:p w14:paraId="02CA06F0" w14:textId="77777777" w:rsidR="005B024F" w:rsidRDefault="005B024F" w:rsidP="00165C8E">
            <w:pPr>
              <w:pStyle w:val="ListParagraph"/>
              <w:numPr>
                <w:ilvl w:val="0"/>
                <w:numId w:val="32"/>
              </w:numPr>
              <w:spacing w:line="240" w:lineRule="auto"/>
              <w:ind w:left="359"/>
            </w:pPr>
            <w:r>
              <w:t>General allocation window approach</w:t>
            </w:r>
          </w:p>
        </w:tc>
      </w:tr>
      <w:tr w:rsidR="005B024F" w14:paraId="11917AC2" w14:textId="77777777" w:rsidTr="00FE69BE">
        <w:tc>
          <w:tcPr>
            <w:tcW w:w="1838" w:type="dxa"/>
            <w:shd w:val="clear" w:color="auto" w:fill="404040" w:themeFill="text1" w:themeFillTint="BF"/>
          </w:tcPr>
          <w:p w14:paraId="03DAFD6E" w14:textId="1415ABC0" w:rsidR="005B024F" w:rsidRPr="00FE69BE" w:rsidRDefault="005B024F">
            <w:pPr>
              <w:rPr>
                <w:b/>
                <w:bCs/>
                <w:color w:val="FFFFFF" w:themeColor="background1"/>
              </w:rPr>
            </w:pPr>
            <w:r w:rsidRPr="00FE69BE">
              <w:rPr>
                <w:b/>
                <w:bCs/>
                <w:color w:val="FFFFFF" w:themeColor="background1"/>
              </w:rPr>
              <w:t xml:space="preserve">Initial </w:t>
            </w:r>
            <w:r w:rsidR="00D41C0E">
              <w:rPr>
                <w:b/>
                <w:bCs/>
                <w:color w:val="FFFFFF" w:themeColor="background1"/>
              </w:rPr>
              <w:t>a</w:t>
            </w:r>
            <w:r w:rsidRPr="00FE69BE">
              <w:rPr>
                <w:b/>
                <w:bCs/>
                <w:color w:val="FFFFFF" w:themeColor="background1"/>
              </w:rPr>
              <w:t xml:space="preserve">llocation </w:t>
            </w:r>
            <w:r w:rsidR="00D41C0E">
              <w:rPr>
                <w:b/>
                <w:bCs/>
                <w:color w:val="FFFFFF" w:themeColor="background1"/>
              </w:rPr>
              <w:t>w</w:t>
            </w:r>
            <w:r w:rsidRPr="00FE69BE">
              <w:rPr>
                <w:b/>
                <w:bCs/>
                <w:color w:val="FFFFFF" w:themeColor="background1"/>
              </w:rPr>
              <w:t>indow</w:t>
            </w:r>
          </w:p>
        </w:tc>
        <w:tc>
          <w:tcPr>
            <w:tcW w:w="2810" w:type="dxa"/>
          </w:tcPr>
          <w:p w14:paraId="03391F56" w14:textId="77777777" w:rsidR="005B024F" w:rsidRDefault="005B024F" w:rsidP="00165C8E">
            <w:pPr>
              <w:pStyle w:val="ListParagraph"/>
              <w:numPr>
                <w:ilvl w:val="0"/>
                <w:numId w:val="34"/>
              </w:numPr>
              <w:spacing w:line="240" w:lineRule="auto"/>
              <w:ind w:left="368"/>
            </w:pPr>
            <w:r>
              <w:t xml:space="preserve">Allocation principles </w:t>
            </w:r>
          </w:p>
        </w:tc>
        <w:tc>
          <w:tcPr>
            <w:tcW w:w="2811" w:type="dxa"/>
          </w:tcPr>
          <w:p w14:paraId="4173C676" w14:textId="77777777" w:rsidR="005B024F" w:rsidRDefault="005B024F" w:rsidP="00165C8E">
            <w:pPr>
              <w:pStyle w:val="ListParagraph"/>
              <w:numPr>
                <w:ilvl w:val="0"/>
                <w:numId w:val="36"/>
              </w:numPr>
              <w:spacing w:after="0" w:line="240" w:lineRule="auto"/>
              <w:ind w:left="359"/>
            </w:pPr>
            <w:r>
              <w:t xml:space="preserve">Allocation principles </w:t>
            </w:r>
          </w:p>
        </w:tc>
      </w:tr>
      <w:tr w:rsidR="005B024F" w14:paraId="3D64D47A" w14:textId="77777777" w:rsidTr="00FE69BE">
        <w:tc>
          <w:tcPr>
            <w:tcW w:w="1838" w:type="dxa"/>
            <w:shd w:val="clear" w:color="auto" w:fill="404040" w:themeFill="text1" w:themeFillTint="BF"/>
          </w:tcPr>
          <w:p w14:paraId="151F1F73" w14:textId="77777777" w:rsidR="005B024F" w:rsidRPr="00FE69BE" w:rsidRDefault="005B024F">
            <w:pPr>
              <w:rPr>
                <w:b/>
                <w:bCs/>
                <w:color w:val="FFFFFF" w:themeColor="background1"/>
              </w:rPr>
            </w:pPr>
            <w:r w:rsidRPr="00FE69BE">
              <w:rPr>
                <w:b/>
                <w:bCs/>
                <w:color w:val="FFFFFF" w:themeColor="background1"/>
              </w:rPr>
              <w:t xml:space="preserve">Limits </w:t>
            </w:r>
          </w:p>
        </w:tc>
        <w:tc>
          <w:tcPr>
            <w:tcW w:w="2810" w:type="dxa"/>
          </w:tcPr>
          <w:p w14:paraId="66063061" w14:textId="1E6AA138" w:rsidR="005B024F" w:rsidRDefault="005B024F" w:rsidP="00165C8E">
            <w:pPr>
              <w:pStyle w:val="ListParagraph"/>
              <w:numPr>
                <w:ilvl w:val="0"/>
                <w:numId w:val="44"/>
              </w:numPr>
              <w:spacing w:after="0" w:line="240" w:lineRule="auto"/>
              <w:ind w:left="432"/>
            </w:pPr>
            <w:r>
              <w:t xml:space="preserve">Nil MHz </w:t>
            </w:r>
            <w:r w:rsidR="00D41C0E">
              <w:t>l</w:t>
            </w:r>
            <w:r>
              <w:t xml:space="preserve">imit </w:t>
            </w:r>
          </w:p>
          <w:p w14:paraId="167ADC85" w14:textId="5030874B" w:rsidR="005B024F" w:rsidRDefault="005B024F" w:rsidP="00165C8E">
            <w:pPr>
              <w:pStyle w:val="ListParagraph"/>
              <w:numPr>
                <w:ilvl w:val="0"/>
                <w:numId w:val="44"/>
              </w:numPr>
              <w:spacing w:after="0" w:line="240" w:lineRule="auto"/>
              <w:ind w:left="432"/>
            </w:pPr>
            <w:r>
              <w:t xml:space="preserve">Allocation </w:t>
            </w:r>
            <w:r w:rsidR="00D41C0E">
              <w:t>q</w:t>
            </w:r>
            <w:r>
              <w:t xml:space="preserve">uantum </w:t>
            </w:r>
            <w:r w:rsidR="00D41C0E">
              <w:t>p</w:t>
            </w:r>
            <w:r>
              <w:t xml:space="preserve">olicy </w:t>
            </w:r>
          </w:p>
          <w:p w14:paraId="026AA7A6" w14:textId="5AA2764E" w:rsidR="005B024F" w:rsidRDefault="005B024F" w:rsidP="00165C8E">
            <w:pPr>
              <w:pStyle w:val="ListParagraph"/>
              <w:numPr>
                <w:ilvl w:val="0"/>
                <w:numId w:val="44"/>
              </w:numPr>
              <w:spacing w:after="0" w:line="240" w:lineRule="auto"/>
              <w:ind w:left="432"/>
            </w:pPr>
            <w:r>
              <w:t xml:space="preserve">Third </w:t>
            </w:r>
            <w:r w:rsidR="00D41C0E">
              <w:t>p</w:t>
            </w:r>
            <w:r>
              <w:t xml:space="preserve">arty </w:t>
            </w:r>
            <w:r w:rsidR="00D41C0E">
              <w:t>a</w:t>
            </w:r>
            <w:r>
              <w:t xml:space="preserve">uthorisation and </w:t>
            </w:r>
            <w:r w:rsidR="00D41C0E">
              <w:t>l</w:t>
            </w:r>
            <w:r>
              <w:t xml:space="preserve">icence </w:t>
            </w:r>
            <w:r w:rsidR="00D41C0E">
              <w:t>t</w:t>
            </w:r>
            <w:r>
              <w:t xml:space="preserve">rading </w:t>
            </w:r>
            <w:r w:rsidR="00D41C0E">
              <w:t>r</w:t>
            </w:r>
            <w:r>
              <w:t xml:space="preserve">estrictions </w:t>
            </w:r>
          </w:p>
          <w:p w14:paraId="50AE29CD" w14:textId="25A16B8C" w:rsidR="005B024F" w:rsidRDefault="005B024F" w:rsidP="00165C8E">
            <w:pPr>
              <w:pStyle w:val="ListParagraph"/>
              <w:numPr>
                <w:ilvl w:val="0"/>
                <w:numId w:val="44"/>
              </w:numPr>
              <w:spacing w:line="240" w:lineRule="auto"/>
              <w:ind w:left="432"/>
            </w:pPr>
            <w:r>
              <w:t>Cross</w:t>
            </w:r>
            <w:r w:rsidR="00D41C0E">
              <w:t>-</w:t>
            </w:r>
            <w:r>
              <w:t>band limits</w:t>
            </w:r>
          </w:p>
        </w:tc>
        <w:tc>
          <w:tcPr>
            <w:tcW w:w="2811" w:type="dxa"/>
          </w:tcPr>
          <w:p w14:paraId="7531C585" w14:textId="086C2E4A" w:rsidR="005B024F" w:rsidRDefault="005B024F" w:rsidP="00165C8E">
            <w:pPr>
              <w:pStyle w:val="ListParagraph"/>
              <w:numPr>
                <w:ilvl w:val="0"/>
                <w:numId w:val="45"/>
              </w:numPr>
              <w:spacing w:after="0" w:line="240" w:lineRule="auto"/>
              <w:ind w:left="451"/>
              <w:contextualSpacing w:val="0"/>
            </w:pPr>
            <w:r>
              <w:t xml:space="preserve">Allocation </w:t>
            </w:r>
            <w:r w:rsidR="00D41C0E">
              <w:t>q</w:t>
            </w:r>
            <w:r>
              <w:t xml:space="preserve">uantum </w:t>
            </w:r>
            <w:r w:rsidR="00D41C0E">
              <w:t>p</w:t>
            </w:r>
            <w:r>
              <w:t xml:space="preserve">olicy </w:t>
            </w:r>
          </w:p>
          <w:p w14:paraId="155D752C" w14:textId="3938859B" w:rsidR="005B024F" w:rsidRDefault="005B024F" w:rsidP="00165C8E">
            <w:pPr>
              <w:pStyle w:val="ListParagraph"/>
              <w:numPr>
                <w:ilvl w:val="0"/>
                <w:numId w:val="45"/>
              </w:numPr>
              <w:spacing w:line="240" w:lineRule="auto"/>
              <w:ind w:left="451"/>
              <w:contextualSpacing w:val="0"/>
            </w:pPr>
            <w:r>
              <w:t>Cross</w:t>
            </w:r>
            <w:r w:rsidR="00D41C0E">
              <w:t>-</w:t>
            </w:r>
            <w:r>
              <w:t>band limits</w:t>
            </w:r>
          </w:p>
        </w:tc>
      </w:tr>
      <w:tr w:rsidR="005B024F" w14:paraId="131640C4" w14:textId="77777777" w:rsidTr="00FE69BE">
        <w:tc>
          <w:tcPr>
            <w:tcW w:w="1838" w:type="dxa"/>
            <w:shd w:val="clear" w:color="auto" w:fill="404040" w:themeFill="text1" w:themeFillTint="BF"/>
          </w:tcPr>
          <w:p w14:paraId="60382EB3" w14:textId="31DA3575" w:rsidR="005B024F" w:rsidRPr="00FE69BE" w:rsidRDefault="005B024F">
            <w:pPr>
              <w:rPr>
                <w:b/>
                <w:bCs/>
                <w:color w:val="FFFFFF" w:themeColor="background1"/>
              </w:rPr>
            </w:pPr>
            <w:r w:rsidRPr="00FE69BE">
              <w:rPr>
                <w:b/>
                <w:bCs/>
                <w:color w:val="FFFFFF" w:themeColor="background1"/>
              </w:rPr>
              <w:t xml:space="preserve">Quantum </w:t>
            </w:r>
            <w:r w:rsidR="00D41C0E">
              <w:rPr>
                <w:b/>
                <w:bCs/>
                <w:color w:val="FFFFFF" w:themeColor="background1"/>
              </w:rPr>
              <w:t>p</w:t>
            </w:r>
            <w:r w:rsidRPr="00FE69BE">
              <w:rPr>
                <w:b/>
                <w:bCs/>
                <w:color w:val="FFFFFF" w:themeColor="background1"/>
              </w:rPr>
              <w:t xml:space="preserve">olicy </w:t>
            </w:r>
            <w:r w:rsidR="00D41C0E">
              <w:rPr>
                <w:b/>
                <w:bCs/>
                <w:color w:val="FFFFFF" w:themeColor="background1"/>
              </w:rPr>
              <w:t>o</w:t>
            </w:r>
            <w:r w:rsidRPr="00FE69BE">
              <w:rPr>
                <w:b/>
                <w:bCs/>
                <w:color w:val="FFFFFF" w:themeColor="background1"/>
              </w:rPr>
              <w:t xml:space="preserve">ptions </w:t>
            </w:r>
          </w:p>
        </w:tc>
        <w:tc>
          <w:tcPr>
            <w:tcW w:w="2810" w:type="dxa"/>
          </w:tcPr>
          <w:p w14:paraId="666475D2" w14:textId="77777777" w:rsidR="005B024F" w:rsidRPr="00D41C0E" w:rsidRDefault="005B024F" w:rsidP="00165C8E">
            <w:pPr>
              <w:pStyle w:val="ListParagraph"/>
              <w:numPr>
                <w:ilvl w:val="0"/>
                <w:numId w:val="33"/>
              </w:numPr>
              <w:spacing w:after="0" w:line="240" w:lineRule="auto"/>
              <w:ind w:left="432"/>
              <w:rPr>
                <w:rFonts w:cs="Arial"/>
              </w:rPr>
            </w:pPr>
            <w:r w:rsidRPr="00D41C0E">
              <w:rPr>
                <w:rFonts w:cs="Arial"/>
              </w:rPr>
              <w:t xml:space="preserve">50 MHz </w:t>
            </w:r>
          </w:p>
          <w:p w14:paraId="3708EF9A" w14:textId="77777777" w:rsidR="005B024F" w:rsidRPr="00D41C0E" w:rsidRDefault="005B024F" w:rsidP="00165C8E">
            <w:pPr>
              <w:pStyle w:val="ListParagraph"/>
              <w:numPr>
                <w:ilvl w:val="0"/>
                <w:numId w:val="33"/>
              </w:numPr>
              <w:spacing w:after="0" w:line="240" w:lineRule="auto"/>
              <w:ind w:left="432"/>
              <w:rPr>
                <w:rFonts w:cs="Arial"/>
              </w:rPr>
            </w:pPr>
            <w:r w:rsidRPr="00D41C0E">
              <w:rPr>
                <w:rFonts w:cs="Arial"/>
              </w:rPr>
              <w:t xml:space="preserve">60 MHz </w:t>
            </w:r>
          </w:p>
          <w:p w14:paraId="6CDCB984" w14:textId="77777777" w:rsidR="005B024F" w:rsidRDefault="005B024F" w:rsidP="00165C8E">
            <w:pPr>
              <w:pStyle w:val="ListParagraph"/>
              <w:numPr>
                <w:ilvl w:val="0"/>
                <w:numId w:val="33"/>
              </w:numPr>
              <w:spacing w:after="0" w:line="240" w:lineRule="auto"/>
              <w:ind w:left="432"/>
            </w:pPr>
            <w:r w:rsidRPr="00D41C0E">
              <w:rPr>
                <w:rFonts w:cs="Arial"/>
              </w:rPr>
              <w:t>70 MHz</w:t>
            </w:r>
          </w:p>
        </w:tc>
        <w:tc>
          <w:tcPr>
            <w:tcW w:w="2811" w:type="dxa"/>
          </w:tcPr>
          <w:p w14:paraId="6AC5DD3C" w14:textId="77777777" w:rsidR="005B024F" w:rsidRDefault="005B024F" w:rsidP="00165C8E">
            <w:pPr>
              <w:pStyle w:val="ListParagraph"/>
              <w:numPr>
                <w:ilvl w:val="0"/>
                <w:numId w:val="37"/>
              </w:numPr>
              <w:spacing w:after="0" w:line="240" w:lineRule="auto"/>
              <w:ind w:left="451"/>
            </w:pPr>
            <w:r>
              <w:t xml:space="preserve">50 MHz </w:t>
            </w:r>
          </w:p>
          <w:p w14:paraId="43C5305F" w14:textId="77777777" w:rsidR="005B024F" w:rsidRDefault="005B024F" w:rsidP="00165C8E">
            <w:pPr>
              <w:pStyle w:val="ListParagraph"/>
              <w:numPr>
                <w:ilvl w:val="0"/>
                <w:numId w:val="37"/>
              </w:numPr>
              <w:spacing w:after="0" w:line="240" w:lineRule="auto"/>
              <w:ind w:left="451"/>
            </w:pPr>
            <w:r>
              <w:t xml:space="preserve">60 MHz </w:t>
            </w:r>
          </w:p>
          <w:p w14:paraId="7EDD83CD" w14:textId="77777777" w:rsidR="005B024F" w:rsidRDefault="005B024F" w:rsidP="00165C8E">
            <w:pPr>
              <w:pStyle w:val="ListParagraph"/>
              <w:numPr>
                <w:ilvl w:val="0"/>
                <w:numId w:val="37"/>
              </w:numPr>
              <w:spacing w:after="0" w:line="240" w:lineRule="auto"/>
              <w:ind w:left="451"/>
            </w:pPr>
            <w:r>
              <w:t>70 MHz</w:t>
            </w:r>
          </w:p>
        </w:tc>
      </w:tr>
      <w:tr w:rsidR="005B024F" w:rsidRPr="0072341B" w14:paraId="3D7D0167" w14:textId="77777777" w:rsidTr="00FE69BE">
        <w:tc>
          <w:tcPr>
            <w:tcW w:w="1838" w:type="dxa"/>
            <w:shd w:val="clear" w:color="auto" w:fill="404040" w:themeFill="text1" w:themeFillTint="BF"/>
          </w:tcPr>
          <w:p w14:paraId="57BF6B41" w14:textId="1B418B98" w:rsidR="005B024F" w:rsidRPr="00FE69BE" w:rsidRDefault="005B024F">
            <w:pPr>
              <w:rPr>
                <w:b/>
                <w:bCs/>
                <w:color w:val="FFFFFF" w:themeColor="background1"/>
              </w:rPr>
            </w:pPr>
            <w:r w:rsidRPr="00FE69BE">
              <w:rPr>
                <w:b/>
                <w:bCs/>
                <w:color w:val="FFFFFF" w:themeColor="background1"/>
              </w:rPr>
              <w:t xml:space="preserve">Nil MHz </w:t>
            </w:r>
            <w:r w:rsidR="00D41C0E">
              <w:rPr>
                <w:b/>
                <w:bCs/>
                <w:color w:val="FFFFFF" w:themeColor="background1"/>
              </w:rPr>
              <w:t>l</w:t>
            </w:r>
            <w:r w:rsidRPr="00FE69BE">
              <w:rPr>
                <w:b/>
                <w:bCs/>
                <w:color w:val="FFFFFF" w:themeColor="background1"/>
              </w:rPr>
              <w:t>imit time period</w:t>
            </w:r>
          </w:p>
        </w:tc>
        <w:tc>
          <w:tcPr>
            <w:tcW w:w="2810" w:type="dxa"/>
          </w:tcPr>
          <w:p w14:paraId="65828476" w14:textId="77777777" w:rsidR="005B024F" w:rsidRDefault="005B024F" w:rsidP="00165C8E">
            <w:pPr>
              <w:pStyle w:val="ListParagraph"/>
              <w:numPr>
                <w:ilvl w:val="0"/>
                <w:numId w:val="38"/>
              </w:numPr>
              <w:spacing w:after="0" w:line="240" w:lineRule="auto"/>
              <w:ind w:left="432"/>
            </w:pPr>
            <w:r>
              <w:t xml:space="preserve">3 months </w:t>
            </w:r>
          </w:p>
          <w:p w14:paraId="5B2099A1" w14:textId="77777777" w:rsidR="005B024F" w:rsidRDefault="005B024F" w:rsidP="00165C8E">
            <w:pPr>
              <w:pStyle w:val="ListParagraph"/>
              <w:numPr>
                <w:ilvl w:val="0"/>
                <w:numId w:val="38"/>
              </w:numPr>
              <w:spacing w:after="0" w:line="240" w:lineRule="auto"/>
              <w:ind w:left="432"/>
            </w:pPr>
            <w:r>
              <w:t xml:space="preserve">6 months </w:t>
            </w:r>
          </w:p>
          <w:p w14:paraId="0CB28B82" w14:textId="77777777" w:rsidR="005B024F" w:rsidRDefault="005B024F" w:rsidP="00165C8E">
            <w:pPr>
              <w:pStyle w:val="ListParagraph"/>
              <w:numPr>
                <w:ilvl w:val="0"/>
                <w:numId w:val="38"/>
              </w:numPr>
              <w:spacing w:line="240" w:lineRule="auto"/>
              <w:ind w:left="432"/>
            </w:pPr>
            <w:r>
              <w:t xml:space="preserve">12 months </w:t>
            </w:r>
          </w:p>
        </w:tc>
        <w:tc>
          <w:tcPr>
            <w:tcW w:w="2811" w:type="dxa"/>
          </w:tcPr>
          <w:p w14:paraId="389EC1C9" w14:textId="77777777" w:rsidR="005B024F" w:rsidRPr="00FE69BE" w:rsidRDefault="005B024F" w:rsidP="00FE69BE">
            <w:r w:rsidRPr="00FE69BE">
              <w:t>N/A</w:t>
            </w:r>
          </w:p>
        </w:tc>
      </w:tr>
      <w:tr w:rsidR="005B024F" w14:paraId="12251722" w14:textId="77777777" w:rsidTr="00FE69BE">
        <w:tc>
          <w:tcPr>
            <w:tcW w:w="1838" w:type="dxa"/>
            <w:shd w:val="clear" w:color="auto" w:fill="404040" w:themeFill="text1" w:themeFillTint="BF"/>
          </w:tcPr>
          <w:p w14:paraId="7FABADE5" w14:textId="77777777" w:rsidR="005B024F" w:rsidRPr="00FE69BE" w:rsidRDefault="005B024F">
            <w:pPr>
              <w:rPr>
                <w:b/>
                <w:bCs/>
                <w:color w:val="FFFFFF" w:themeColor="background1"/>
              </w:rPr>
            </w:pPr>
            <w:r w:rsidRPr="00FE69BE">
              <w:rPr>
                <w:b/>
                <w:bCs/>
                <w:color w:val="FFFFFF" w:themeColor="background1"/>
              </w:rPr>
              <w:t>Cross-band limits options</w:t>
            </w:r>
          </w:p>
        </w:tc>
        <w:tc>
          <w:tcPr>
            <w:tcW w:w="2810" w:type="dxa"/>
          </w:tcPr>
          <w:p w14:paraId="783B3674" w14:textId="3B6CA5A1" w:rsidR="005B024F" w:rsidRDefault="005B024F" w:rsidP="00165C8E">
            <w:pPr>
              <w:pStyle w:val="ListParagraph"/>
              <w:numPr>
                <w:ilvl w:val="0"/>
                <w:numId w:val="39"/>
              </w:numPr>
              <w:spacing w:after="0" w:line="240" w:lineRule="auto"/>
              <w:ind w:left="368"/>
            </w:pPr>
            <w:r>
              <w:t>140 MHz in metropolitan/regional areas in 3.4</w:t>
            </w:r>
            <w:r w:rsidR="00D41C0E" w:rsidRPr="0072341B">
              <w:t>–</w:t>
            </w:r>
            <w:r>
              <w:t>3.95 GHz band</w:t>
            </w:r>
          </w:p>
          <w:p w14:paraId="12A5018B" w14:textId="4A23F4AA" w:rsidR="005B024F" w:rsidRDefault="005B024F" w:rsidP="00165C8E">
            <w:pPr>
              <w:pStyle w:val="ListParagraph"/>
              <w:numPr>
                <w:ilvl w:val="0"/>
                <w:numId w:val="39"/>
              </w:numPr>
              <w:spacing w:after="0" w:line="240" w:lineRule="auto"/>
              <w:ind w:left="368"/>
            </w:pPr>
            <w:r w:rsidRPr="0072341B">
              <w:t>140 MHz in metropolitan areas</w:t>
            </w:r>
            <w:r>
              <w:t xml:space="preserve"> </w:t>
            </w:r>
            <w:r w:rsidR="00D41C0E">
              <w:t xml:space="preserve">and </w:t>
            </w:r>
            <w:r w:rsidRPr="0072341B">
              <w:t xml:space="preserve">160 MHz in regional areas in the 3.4–3.95 GHz </w:t>
            </w:r>
            <w:r>
              <w:t>band</w:t>
            </w:r>
          </w:p>
          <w:p w14:paraId="5F38FFA5" w14:textId="206BE7E0" w:rsidR="005B024F" w:rsidRDefault="005B024F" w:rsidP="00165C8E">
            <w:pPr>
              <w:pStyle w:val="ListParagraph"/>
              <w:numPr>
                <w:ilvl w:val="0"/>
                <w:numId w:val="39"/>
              </w:numPr>
              <w:spacing w:after="0" w:line="240" w:lineRule="auto"/>
              <w:ind w:left="368"/>
            </w:pPr>
            <w:r>
              <w:t>No limits</w:t>
            </w:r>
          </w:p>
          <w:p w14:paraId="28B44817" w14:textId="77777777" w:rsidR="005B024F" w:rsidRDefault="005B024F" w:rsidP="009469A5">
            <w:pPr>
              <w:spacing w:after="0"/>
            </w:pPr>
          </w:p>
          <w:p w14:paraId="273E6A75" w14:textId="25D79342" w:rsidR="005B024F" w:rsidRDefault="005B024F" w:rsidP="009469A5">
            <w:pPr>
              <w:spacing w:after="0"/>
              <w:rPr>
                <w:b/>
                <w:bCs/>
              </w:rPr>
            </w:pPr>
            <w:r>
              <w:rPr>
                <w:b/>
                <w:bCs/>
              </w:rPr>
              <w:t xml:space="preserve">Time </w:t>
            </w:r>
            <w:r w:rsidR="00D41C0E">
              <w:rPr>
                <w:b/>
                <w:bCs/>
              </w:rPr>
              <w:t>p</w:t>
            </w:r>
            <w:r>
              <w:rPr>
                <w:b/>
                <w:bCs/>
              </w:rPr>
              <w:t xml:space="preserve">eriod </w:t>
            </w:r>
            <w:r w:rsidR="00D41C0E">
              <w:rPr>
                <w:b/>
                <w:bCs/>
              </w:rPr>
              <w:t>o</w:t>
            </w:r>
            <w:r>
              <w:rPr>
                <w:b/>
                <w:bCs/>
              </w:rPr>
              <w:t>ptions</w:t>
            </w:r>
          </w:p>
          <w:p w14:paraId="2086C4A7" w14:textId="77777777" w:rsidR="005B024F" w:rsidRDefault="005B024F" w:rsidP="00165C8E">
            <w:pPr>
              <w:pStyle w:val="ListParagraph"/>
              <w:numPr>
                <w:ilvl w:val="0"/>
                <w:numId w:val="41"/>
              </w:numPr>
              <w:spacing w:after="0" w:line="240" w:lineRule="auto"/>
              <w:ind w:left="432"/>
            </w:pPr>
            <w:r>
              <w:t xml:space="preserve">3 months </w:t>
            </w:r>
          </w:p>
          <w:p w14:paraId="6D32EC58" w14:textId="77777777" w:rsidR="005B024F" w:rsidRDefault="005B024F" w:rsidP="00165C8E">
            <w:pPr>
              <w:pStyle w:val="ListParagraph"/>
              <w:numPr>
                <w:ilvl w:val="0"/>
                <w:numId w:val="41"/>
              </w:numPr>
              <w:spacing w:after="0" w:line="240" w:lineRule="auto"/>
              <w:ind w:left="432"/>
            </w:pPr>
            <w:r>
              <w:t xml:space="preserve">6 months </w:t>
            </w:r>
          </w:p>
          <w:p w14:paraId="55A1D637" w14:textId="77777777" w:rsidR="005B024F" w:rsidRPr="0072341B" w:rsidRDefault="005B024F" w:rsidP="00165C8E">
            <w:pPr>
              <w:pStyle w:val="ListParagraph"/>
              <w:numPr>
                <w:ilvl w:val="0"/>
                <w:numId w:val="41"/>
              </w:numPr>
              <w:spacing w:line="240" w:lineRule="auto"/>
              <w:ind w:left="432"/>
            </w:pPr>
            <w:r>
              <w:t>12 months</w:t>
            </w:r>
          </w:p>
        </w:tc>
        <w:tc>
          <w:tcPr>
            <w:tcW w:w="2811" w:type="dxa"/>
          </w:tcPr>
          <w:p w14:paraId="3CA3EBB3" w14:textId="48E7C4B8" w:rsidR="005B024F" w:rsidRDefault="005B024F" w:rsidP="00165C8E">
            <w:pPr>
              <w:pStyle w:val="ListParagraph"/>
              <w:numPr>
                <w:ilvl w:val="0"/>
                <w:numId w:val="40"/>
              </w:numPr>
              <w:spacing w:after="0" w:line="240" w:lineRule="auto"/>
              <w:ind w:left="359"/>
            </w:pPr>
            <w:r>
              <w:t>140 MHz in metropolitan/regional areas in 3.4</w:t>
            </w:r>
            <w:r w:rsidR="00D41C0E" w:rsidRPr="0072341B">
              <w:t>–</w:t>
            </w:r>
            <w:r>
              <w:t>3.95 GHz band</w:t>
            </w:r>
          </w:p>
          <w:p w14:paraId="77960532" w14:textId="0C74834E" w:rsidR="005B024F" w:rsidRDefault="005B024F" w:rsidP="00165C8E">
            <w:pPr>
              <w:pStyle w:val="ListParagraph"/>
              <w:numPr>
                <w:ilvl w:val="0"/>
                <w:numId w:val="40"/>
              </w:numPr>
              <w:spacing w:after="0" w:line="240" w:lineRule="auto"/>
              <w:ind w:left="359"/>
            </w:pPr>
            <w:r w:rsidRPr="0072341B">
              <w:t>140 MHz in metropolitan areas</w:t>
            </w:r>
            <w:r>
              <w:t xml:space="preserve"> </w:t>
            </w:r>
            <w:r w:rsidR="00D41C0E">
              <w:t>and</w:t>
            </w:r>
            <w:r>
              <w:t xml:space="preserve"> </w:t>
            </w:r>
            <w:r w:rsidRPr="0072341B">
              <w:t xml:space="preserve">160 MHz in regional areas in the 3.4–3.95 GHz </w:t>
            </w:r>
            <w:r>
              <w:t xml:space="preserve">band </w:t>
            </w:r>
          </w:p>
          <w:p w14:paraId="515240D4" w14:textId="0872CC8F" w:rsidR="005B024F" w:rsidRDefault="005B024F" w:rsidP="00165C8E">
            <w:pPr>
              <w:pStyle w:val="ListParagraph"/>
              <w:numPr>
                <w:ilvl w:val="0"/>
                <w:numId w:val="40"/>
              </w:numPr>
              <w:spacing w:after="0" w:line="240" w:lineRule="auto"/>
              <w:ind w:left="359"/>
            </w:pPr>
            <w:r>
              <w:t>No limits</w:t>
            </w:r>
          </w:p>
          <w:p w14:paraId="5B8DF3FC" w14:textId="77777777" w:rsidR="005B024F" w:rsidRDefault="005B024F" w:rsidP="009469A5">
            <w:pPr>
              <w:spacing w:after="0"/>
            </w:pPr>
          </w:p>
          <w:p w14:paraId="6FD5E4C2" w14:textId="510DEC97" w:rsidR="005B024F" w:rsidRDefault="005B024F" w:rsidP="009469A5">
            <w:pPr>
              <w:spacing w:after="0"/>
              <w:rPr>
                <w:b/>
                <w:bCs/>
              </w:rPr>
            </w:pPr>
            <w:r>
              <w:rPr>
                <w:b/>
                <w:bCs/>
              </w:rPr>
              <w:t xml:space="preserve">Time </w:t>
            </w:r>
            <w:r w:rsidR="00D41C0E">
              <w:rPr>
                <w:b/>
                <w:bCs/>
              </w:rPr>
              <w:t>p</w:t>
            </w:r>
            <w:r>
              <w:rPr>
                <w:b/>
                <w:bCs/>
              </w:rPr>
              <w:t xml:space="preserve">eriod </w:t>
            </w:r>
            <w:r w:rsidR="00D41C0E">
              <w:rPr>
                <w:b/>
                <w:bCs/>
              </w:rPr>
              <w:t>o</w:t>
            </w:r>
            <w:r>
              <w:rPr>
                <w:b/>
                <w:bCs/>
              </w:rPr>
              <w:t>ptions</w:t>
            </w:r>
          </w:p>
          <w:p w14:paraId="7BB5DAFD" w14:textId="7EE5A929" w:rsidR="005B024F" w:rsidRDefault="0080686E" w:rsidP="00165C8E">
            <w:pPr>
              <w:pStyle w:val="ListParagraph"/>
              <w:numPr>
                <w:ilvl w:val="0"/>
                <w:numId w:val="42"/>
              </w:numPr>
              <w:spacing w:after="0" w:line="240" w:lineRule="auto"/>
              <w:ind w:left="451"/>
            </w:pPr>
            <w:r>
              <w:t>6</w:t>
            </w:r>
            <w:r w:rsidR="005B024F">
              <w:t xml:space="preserve"> months </w:t>
            </w:r>
          </w:p>
          <w:p w14:paraId="0A9F0723" w14:textId="2E3CC50F" w:rsidR="005B024F" w:rsidRDefault="0080686E" w:rsidP="00165C8E">
            <w:pPr>
              <w:pStyle w:val="ListParagraph"/>
              <w:numPr>
                <w:ilvl w:val="0"/>
                <w:numId w:val="42"/>
              </w:numPr>
              <w:spacing w:after="0" w:line="240" w:lineRule="auto"/>
              <w:ind w:left="451"/>
            </w:pPr>
            <w:r>
              <w:t>12</w:t>
            </w:r>
            <w:r w:rsidR="005B024F">
              <w:t xml:space="preserve"> months </w:t>
            </w:r>
          </w:p>
          <w:p w14:paraId="11E17A7F" w14:textId="51C83DB2" w:rsidR="005B024F" w:rsidRDefault="005B024F" w:rsidP="00165C8E">
            <w:pPr>
              <w:pStyle w:val="ListParagraph"/>
              <w:numPr>
                <w:ilvl w:val="0"/>
                <w:numId w:val="42"/>
              </w:numPr>
              <w:spacing w:line="240" w:lineRule="auto"/>
              <w:ind w:left="451"/>
            </w:pPr>
            <w:r>
              <w:t>1</w:t>
            </w:r>
            <w:r w:rsidR="0080686E">
              <w:t>8</w:t>
            </w:r>
            <w:r>
              <w:t xml:space="preserve"> months</w:t>
            </w:r>
          </w:p>
        </w:tc>
      </w:tr>
      <w:tr w:rsidR="005B024F" w:rsidRPr="0072341B" w14:paraId="681A0C78" w14:textId="77777777" w:rsidTr="00FE69BE">
        <w:tc>
          <w:tcPr>
            <w:tcW w:w="1838" w:type="dxa"/>
            <w:shd w:val="clear" w:color="auto" w:fill="404040" w:themeFill="text1" w:themeFillTint="BF"/>
          </w:tcPr>
          <w:p w14:paraId="33F52149" w14:textId="38CDFB72" w:rsidR="005B024F" w:rsidRPr="00FE69BE" w:rsidRDefault="005B024F">
            <w:pPr>
              <w:rPr>
                <w:b/>
                <w:bCs/>
                <w:color w:val="FFFFFF" w:themeColor="background1"/>
              </w:rPr>
            </w:pPr>
            <w:r w:rsidRPr="00FE69BE">
              <w:rPr>
                <w:b/>
                <w:bCs/>
                <w:color w:val="FFFFFF" w:themeColor="background1"/>
              </w:rPr>
              <w:t xml:space="preserve">Second </w:t>
            </w:r>
            <w:r w:rsidR="00D41C0E">
              <w:rPr>
                <w:b/>
                <w:bCs/>
                <w:color w:val="FFFFFF" w:themeColor="background1"/>
              </w:rPr>
              <w:t>a</w:t>
            </w:r>
            <w:r w:rsidRPr="00FE69BE">
              <w:rPr>
                <w:b/>
                <w:bCs/>
                <w:color w:val="FFFFFF" w:themeColor="background1"/>
              </w:rPr>
              <w:t xml:space="preserve">llocation </w:t>
            </w:r>
            <w:r w:rsidR="00D41C0E">
              <w:rPr>
                <w:b/>
                <w:bCs/>
                <w:color w:val="FFFFFF" w:themeColor="background1"/>
              </w:rPr>
              <w:t>p</w:t>
            </w:r>
            <w:r w:rsidRPr="00FE69BE">
              <w:rPr>
                <w:b/>
                <w:bCs/>
                <w:color w:val="FFFFFF" w:themeColor="background1"/>
              </w:rPr>
              <w:t xml:space="preserve">rocess </w:t>
            </w:r>
          </w:p>
        </w:tc>
        <w:tc>
          <w:tcPr>
            <w:tcW w:w="2810" w:type="dxa"/>
          </w:tcPr>
          <w:p w14:paraId="5E0AAE42" w14:textId="6874DC0A" w:rsidR="005B024F" w:rsidRDefault="005B024F" w:rsidP="00165C8E">
            <w:pPr>
              <w:pStyle w:val="ListParagraph"/>
              <w:numPr>
                <w:ilvl w:val="0"/>
                <w:numId w:val="43"/>
              </w:numPr>
              <w:spacing w:after="0" w:line="240" w:lineRule="auto"/>
              <w:ind w:left="432"/>
            </w:pPr>
            <w:r>
              <w:t xml:space="preserve">Allocation </w:t>
            </w:r>
            <w:r w:rsidR="00D41C0E">
              <w:t>p</w:t>
            </w:r>
            <w:r>
              <w:t>rinciples</w:t>
            </w:r>
            <w:r w:rsidR="00D41C0E">
              <w:t xml:space="preserve"> or</w:t>
            </w:r>
          </w:p>
          <w:p w14:paraId="5ACBF16B" w14:textId="77777777" w:rsidR="005B024F" w:rsidRDefault="005B024F" w:rsidP="00165C8E">
            <w:pPr>
              <w:pStyle w:val="ListParagraph"/>
              <w:numPr>
                <w:ilvl w:val="0"/>
                <w:numId w:val="43"/>
              </w:numPr>
              <w:spacing w:after="0" w:line="240" w:lineRule="auto"/>
              <w:ind w:left="432"/>
            </w:pPr>
            <w:r>
              <w:t xml:space="preserve">First-in-time approach </w:t>
            </w:r>
          </w:p>
        </w:tc>
        <w:tc>
          <w:tcPr>
            <w:tcW w:w="2811" w:type="dxa"/>
          </w:tcPr>
          <w:p w14:paraId="5CF96EBC" w14:textId="77777777" w:rsidR="005B024F" w:rsidRPr="00FE69BE" w:rsidRDefault="005B024F" w:rsidP="00FE69BE">
            <w:r w:rsidRPr="00FE69BE">
              <w:t>N/A</w:t>
            </w:r>
          </w:p>
        </w:tc>
      </w:tr>
    </w:tbl>
    <w:p w14:paraId="6696C13C" w14:textId="68758458" w:rsidR="000D669D" w:rsidRDefault="000D669D" w:rsidP="009469A5">
      <w:pPr>
        <w:pStyle w:val="Heading2"/>
      </w:pPr>
      <w:bookmarkStart w:id="25" w:name="_Toc137808614"/>
      <w:r>
        <w:t>Comparative analysis</w:t>
      </w:r>
      <w:bookmarkEnd w:id="25"/>
    </w:p>
    <w:p w14:paraId="3BD71AC7" w14:textId="4FD0D99B" w:rsidR="000D669D" w:rsidRDefault="000D669D" w:rsidP="00FE69BE">
      <w:pPr>
        <w:pStyle w:val="Bulletlevel1last"/>
        <w:numPr>
          <w:ilvl w:val="0"/>
          <w:numId w:val="0"/>
        </w:numPr>
        <w:spacing w:after="80"/>
      </w:pPr>
      <w:r>
        <w:t xml:space="preserve">As </w:t>
      </w:r>
      <w:r w:rsidR="00CF3A0B">
        <w:t>previously outlined</w:t>
      </w:r>
      <w:r>
        <w:t>, we consider that the objectives for this allocation are as follows:</w:t>
      </w:r>
    </w:p>
    <w:p w14:paraId="7F0A71B3" w14:textId="3A852CE0" w:rsidR="000D669D" w:rsidRPr="00D41C0E" w:rsidRDefault="00D41C0E" w:rsidP="00FE69BE">
      <w:pPr>
        <w:pStyle w:val="Bulletlevel1"/>
      </w:pPr>
      <w:r>
        <w:t>s</w:t>
      </w:r>
      <w:r w:rsidR="000D669D" w:rsidRPr="00D41C0E">
        <w:t>upporting a range of use</w:t>
      </w:r>
      <w:r>
        <w:t>-</w:t>
      </w:r>
      <w:r w:rsidR="000D669D" w:rsidRPr="00D41C0E">
        <w:t>cases and users</w:t>
      </w:r>
    </w:p>
    <w:p w14:paraId="4EB8EEFD" w14:textId="784968B4" w:rsidR="000D669D" w:rsidRPr="00D41C0E" w:rsidRDefault="00D41C0E" w:rsidP="00FE69BE">
      <w:pPr>
        <w:pStyle w:val="Bulletlevel1"/>
      </w:pPr>
      <w:r>
        <w:t>s</w:t>
      </w:r>
      <w:r w:rsidR="000D669D" w:rsidRPr="00D41C0E">
        <w:t>upporting digital connectivity and investment in regional Australia</w:t>
      </w:r>
    </w:p>
    <w:p w14:paraId="76025250" w14:textId="4B9E4312" w:rsidR="00FE3D29" w:rsidRPr="00D41C0E" w:rsidRDefault="00D41C0E" w:rsidP="00FE69BE">
      <w:pPr>
        <w:pStyle w:val="Bulletlevel1"/>
      </w:pPr>
      <w:r>
        <w:t>s</w:t>
      </w:r>
      <w:r w:rsidR="000D669D" w:rsidRPr="00D41C0E">
        <w:t>upporting the deployment of new and innovative technology</w:t>
      </w:r>
    </w:p>
    <w:p w14:paraId="15208C19" w14:textId="145C9D9C" w:rsidR="000D669D" w:rsidRPr="00D41C0E" w:rsidRDefault="00D41C0E" w:rsidP="00FE69BE">
      <w:pPr>
        <w:pStyle w:val="Bulletlevel1"/>
      </w:pPr>
      <w:r>
        <w:t>p</w:t>
      </w:r>
      <w:r w:rsidR="00FE3D29" w:rsidRPr="00D41C0E">
        <w:t>romoting competitive markets</w:t>
      </w:r>
    </w:p>
    <w:p w14:paraId="2FEF853B" w14:textId="3ACB60D0" w:rsidR="00634D8A" w:rsidRPr="00D41C0E" w:rsidRDefault="00D41C0E" w:rsidP="00FE69BE">
      <w:pPr>
        <w:pStyle w:val="Bulletlevel1"/>
        <w:spacing w:after="240"/>
      </w:pPr>
      <w:r>
        <w:t>s</w:t>
      </w:r>
      <w:r w:rsidR="00634D8A" w:rsidRPr="00D41C0E">
        <w:t>upporting the efficient allocation and use of spectrum</w:t>
      </w:r>
      <w:r>
        <w:t>.</w:t>
      </w:r>
    </w:p>
    <w:p w14:paraId="447F7919" w14:textId="2D60165B" w:rsidR="000A1C34" w:rsidRDefault="008A2486" w:rsidP="008E5919">
      <w:pPr>
        <w:pStyle w:val="Bulletlevel1last"/>
        <w:numPr>
          <w:ilvl w:val="0"/>
          <w:numId w:val="0"/>
        </w:numPr>
      </w:pPr>
      <w:r>
        <w:lastRenderedPageBreak/>
        <w:t xml:space="preserve">In </w:t>
      </w:r>
      <w:r w:rsidR="00D41C0E">
        <w:t>T</w:t>
      </w:r>
      <w:r>
        <w:t>able 5 below</w:t>
      </w:r>
      <w:r w:rsidR="00E83BC3">
        <w:t xml:space="preserve">, a tick/cross analysis </w:t>
      </w:r>
      <w:r w:rsidR="00CF3A0B">
        <w:t>identifies</w:t>
      </w:r>
      <w:r w:rsidR="00E83BC3">
        <w:t xml:space="preserve"> how </w:t>
      </w:r>
      <w:r w:rsidR="007C3046">
        <w:t>the two different</w:t>
      </w:r>
      <w:r w:rsidR="00E83BC3">
        <w:t xml:space="preserve"> option</w:t>
      </w:r>
      <w:r w:rsidR="007C3046">
        <w:t>s</w:t>
      </w:r>
      <w:r w:rsidR="00E83BC3">
        <w:t xml:space="preserve"> support the </w:t>
      </w:r>
      <w:r w:rsidR="0015260E">
        <w:t xml:space="preserve">four identified objectives. </w:t>
      </w:r>
      <w:r w:rsidR="00162794">
        <w:t xml:space="preserve">We are seeking to </w:t>
      </w:r>
      <w:r w:rsidR="00BF5C78">
        <w:t xml:space="preserve">strike the right </w:t>
      </w:r>
      <w:r w:rsidR="00162794">
        <w:t xml:space="preserve">balance </w:t>
      </w:r>
      <w:r w:rsidR="00402A94">
        <w:t xml:space="preserve">between these objectives. For example, while </w:t>
      </w:r>
      <w:r w:rsidR="007C1C8C">
        <w:t>our allocation design</w:t>
      </w:r>
      <w:r w:rsidR="00114962">
        <w:t xml:space="preserve"> emphasises </w:t>
      </w:r>
      <w:r w:rsidR="006A130E">
        <w:t xml:space="preserve">opportunities </w:t>
      </w:r>
      <w:r w:rsidR="00D82261">
        <w:t xml:space="preserve">for supporting a range of use cases and users, </w:t>
      </w:r>
      <w:r w:rsidR="0049010C">
        <w:t>we</w:t>
      </w:r>
      <w:r w:rsidR="00B2356A">
        <w:t xml:space="preserve"> </w:t>
      </w:r>
      <w:r w:rsidR="00AB5575">
        <w:t xml:space="preserve">are looking to </w:t>
      </w:r>
      <w:r w:rsidR="009B7F3C">
        <w:t>design allocation settings that will also promote efficiency in the way that</w:t>
      </w:r>
      <w:r w:rsidR="00634D8A">
        <w:t xml:space="preserve"> successful licensees use their spectrum</w:t>
      </w:r>
      <w:r w:rsidR="00524CC5">
        <w:t>.</w:t>
      </w:r>
    </w:p>
    <w:p w14:paraId="16A6169D" w14:textId="364814CB" w:rsidR="00061FB1" w:rsidRPr="006010FD" w:rsidRDefault="00061FB1" w:rsidP="00FE69BE">
      <w:pPr>
        <w:pStyle w:val="Tableheading"/>
      </w:pPr>
      <w:r w:rsidRPr="006010FD">
        <w:t>Analysis of how allocation options support policy objectives</w:t>
      </w:r>
    </w:p>
    <w:tbl>
      <w:tblPr>
        <w:tblStyle w:val="TableGrid"/>
        <w:tblW w:w="8364" w:type="dxa"/>
        <w:tblInd w:w="-5" w:type="dxa"/>
        <w:tblLook w:val="04A0" w:firstRow="1" w:lastRow="0" w:firstColumn="1" w:lastColumn="0" w:noHBand="0" w:noVBand="1"/>
      </w:tblPr>
      <w:tblGrid>
        <w:gridCol w:w="1754"/>
        <w:gridCol w:w="2959"/>
        <w:gridCol w:w="3651"/>
      </w:tblGrid>
      <w:tr w:rsidR="00E83BC3" w:rsidRPr="00767006" w14:paraId="74B036F4" w14:textId="77777777" w:rsidTr="00FE69BE">
        <w:tc>
          <w:tcPr>
            <w:tcW w:w="1754" w:type="dxa"/>
            <w:shd w:val="clear" w:color="auto" w:fill="404040" w:themeFill="text1" w:themeFillTint="BF"/>
          </w:tcPr>
          <w:p w14:paraId="1F0BF37A" w14:textId="51290C9C" w:rsidR="00E83BC3" w:rsidRPr="00FE69BE" w:rsidRDefault="000A1C34">
            <w:pPr>
              <w:spacing w:line="276" w:lineRule="auto"/>
              <w:rPr>
                <w:rFonts w:cs="Arial"/>
                <w:b/>
                <w:color w:val="FFFFFF" w:themeColor="background1"/>
              </w:rPr>
            </w:pPr>
            <w:r w:rsidRPr="00FE69BE">
              <w:rPr>
                <w:rFonts w:cs="Arial"/>
                <w:b/>
                <w:color w:val="FFFFFF" w:themeColor="background1"/>
              </w:rPr>
              <w:t>Objectives</w:t>
            </w:r>
          </w:p>
        </w:tc>
        <w:tc>
          <w:tcPr>
            <w:tcW w:w="2959" w:type="dxa"/>
            <w:shd w:val="clear" w:color="auto" w:fill="404040" w:themeFill="text1" w:themeFillTint="BF"/>
          </w:tcPr>
          <w:p w14:paraId="28884858" w14:textId="77777777" w:rsidR="00E83BC3" w:rsidRPr="00FE69BE" w:rsidRDefault="00E83BC3">
            <w:pPr>
              <w:spacing w:line="276" w:lineRule="auto"/>
              <w:rPr>
                <w:rFonts w:cs="Arial"/>
                <w:b/>
                <w:color w:val="FFFFFF" w:themeColor="background1"/>
              </w:rPr>
            </w:pPr>
            <w:r w:rsidRPr="00FE69BE">
              <w:rPr>
                <w:rFonts w:cs="Arial"/>
                <w:b/>
                <w:color w:val="FFFFFF" w:themeColor="background1"/>
              </w:rPr>
              <w:t>Option 1: LA WBB priority period</w:t>
            </w:r>
          </w:p>
        </w:tc>
        <w:tc>
          <w:tcPr>
            <w:tcW w:w="3651" w:type="dxa"/>
            <w:shd w:val="clear" w:color="auto" w:fill="404040" w:themeFill="text1" w:themeFillTint="BF"/>
          </w:tcPr>
          <w:p w14:paraId="0F4C1437" w14:textId="618E953A" w:rsidR="00E83BC3" w:rsidRPr="00FE69BE" w:rsidRDefault="00E83BC3">
            <w:pPr>
              <w:spacing w:line="276" w:lineRule="auto"/>
              <w:rPr>
                <w:rFonts w:cs="Arial"/>
                <w:b/>
                <w:color w:val="FFFFFF" w:themeColor="background1"/>
              </w:rPr>
            </w:pPr>
            <w:r w:rsidRPr="00FE69BE">
              <w:rPr>
                <w:rFonts w:cs="Arial"/>
                <w:b/>
                <w:color w:val="FFFFFF" w:themeColor="background1"/>
              </w:rPr>
              <w:t xml:space="preserve">Option 2: </w:t>
            </w:r>
            <w:r w:rsidR="16EFAEAE" w:rsidRPr="00FE69BE">
              <w:rPr>
                <w:rFonts w:cs="Arial"/>
                <w:b/>
                <w:bCs/>
                <w:color w:val="FFFFFF" w:themeColor="background1"/>
              </w:rPr>
              <w:t xml:space="preserve">General </w:t>
            </w:r>
            <w:r w:rsidR="00FC0644" w:rsidRPr="00FE69BE">
              <w:rPr>
                <w:rFonts w:cs="Arial"/>
                <w:b/>
                <w:bCs/>
                <w:color w:val="FFFFFF" w:themeColor="background1"/>
              </w:rPr>
              <w:t>a</w:t>
            </w:r>
            <w:r w:rsidR="16EFAEAE" w:rsidRPr="00FE69BE">
              <w:rPr>
                <w:rFonts w:cs="Arial"/>
                <w:b/>
                <w:bCs/>
                <w:color w:val="FFFFFF" w:themeColor="background1"/>
              </w:rPr>
              <w:t xml:space="preserve">llocation </w:t>
            </w:r>
            <w:r w:rsidR="00FC0644" w:rsidRPr="00FE69BE">
              <w:rPr>
                <w:rFonts w:cs="Arial"/>
                <w:b/>
                <w:bCs/>
                <w:color w:val="FFFFFF" w:themeColor="background1"/>
              </w:rPr>
              <w:t>w</w:t>
            </w:r>
            <w:r w:rsidR="16EFAEAE" w:rsidRPr="00FE69BE">
              <w:rPr>
                <w:rFonts w:cs="Arial"/>
                <w:b/>
                <w:bCs/>
                <w:color w:val="FFFFFF" w:themeColor="background1"/>
              </w:rPr>
              <w:t xml:space="preserve">indow </w:t>
            </w:r>
            <w:r w:rsidR="00FC0644" w:rsidRPr="00FE69BE">
              <w:rPr>
                <w:rFonts w:cs="Arial"/>
                <w:b/>
                <w:bCs/>
                <w:color w:val="FFFFFF" w:themeColor="background1"/>
              </w:rPr>
              <w:t>a</w:t>
            </w:r>
            <w:r w:rsidR="16EFAEAE" w:rsidRPr="00FE69BE">
              <w:rPr>
                <w:rFonts w:cs="Arial"/>
                <w:b/>
                <w:bCs/>
                <w:color w:val="FFFFFF" w:themeColor="background1"/>
              </w:rPr>
              <w:t>pproach</w:t>
            </w:r>
          </w:p>
        </w:tc>
      </w:tr>
      <w:tr w:rsidR="00AE13D3" w:rsidRPr="00767006" w14:paraId="656862E3" w14:textId="77777777" w:rsidTr="0066311A">
        <w:tc>
          <w:tcPr>
            <w:tcW w:w="1754" w:type="dxa"/>
            <w:shd w:val="clear" w:color="auto" w:fill="auto"/>
          </w:tcPr>
          <w:p w14:paraId="6C7C50B8" w14:textId="7DD74DA2" w:rsidR="00AE13D3" w:rsidRPr="00767006" w:rsidRDefault="00AE13D3" w:rsidP="00AE13D3">
            <w:pPr>
              <w:spacing w:line="276" w:lineRule="auto"/>
              <w:rPr>
                <w:rFonts w:cs="Arial"/>
                <w:b/>
              </w:rPr>
            </w:pPr>
            <w:r w:rsidRPr="00767006">
              <w:rPr>
                <w:rFonts w:cs="Arial"/>
                <w:b/>
              </w:rPr>
              <w:t>Support a range of use cases and users</w:t>
            </w:r>
          </w:p>
        </w:tc>
        <w:tc>
          <w:tcPr>
            <w:tcW w:w="2959" w:type="dxa"/>
            <w:shd w:val="clear" w:color="auto" w:fill="auto"/>
          </w:tcPr>
          <w:p w14:paraId="47CA4CF1" w14:textId="3C529930" w:rsidR="00AE13D3" w:rsidRPr="00767006" w:rsidRDefault="00AE13D3" w:rsidP="00165C8E">
            <w:pPr>
              <w:pStyle w:val="ListParagraph"/>
              <w:numPr>
                <w:ilvl w:val="0"/>
                <w:numId w:val="29"/>
              </w:numPr>
              <w:spacing w:after="0" w:line="276" w:lineRule="auto"/>
              <w:ind w:left="322"/>
              <w:rPr>
                <w:rFonts w:cs="Arial"/>
                <w:b/>
                <w:bCs/>
              </w:rPr>
            </w:pPr>
            <w:r w:rsidRPr="00767006">
              <w:rPr>
                <w:rFonts w:cs="Arial"/>
              </w:rPr>
              <w:t xml:space="preserve">By limiting </w:t>
            </w:r>
            <w:r w:rsidR="00B93A1E">
              <w:rPr>
                <w:rFonts w:cs="Arial"/>
              </w:rPr>
              <w:t>wide area</w:t>
            </w:r>
            <w:r w:rsidRPr="00767006">
              <w:rPr>
                <w:rFonts w:cs="Arial"/>
              </w:rPr>
              <w:t xml:space="preserve"> </w:t>
            </w:r>
            <w:r w:rsidR="009E6B89">
              <w:rPr>
                <w:rFonts w:cs="Arial"/>
              </w:rPr>
              <w:t>wireless broadband (</w:t>
            </w:r>
            <w:r w:rsidRPr="00767006">
              <w:rPr>
                <w:rFonts w:cs="Arial"/>
              </w:rPr>
              <w:t>WA WBB</w:t>
            </w:r>
            <w:r w:rsidR="009E6B89">
              <w:rPr>
                <w:rFonts w:cs="Arial"/>
              </w:rPr>
              <w:t>)</w:t>
            </w:r>
            <w:r w:rsidRPr="00767006">
              <w:rPr>
                <w:rFonts w:cs="Arial"/>
              </w:rPr>
              <w:t xml:space="preserve"> providers, a broader range of use cases </w:t>
            </w:r>
            <w:r w:rsidR="00B93A1E">
              <w:rPr>
                <w:rFonts w:cs="Arial"/>
              </w:rPr>
              <w:t>is</w:t>
            </w:r>
            <w:r w:rsidR="00B93A1E" w:rsidRPr="00767006">
              <w:rPr>
                <w:rFonts w:cs="Arial"/>
              </w:rPr>
              <w:t xml:space="preserve"> </w:t>
            </w:r>
            <w:r w:rsidR="00616ED8">
              <w:rPr>
                <w:rFonts w:cs="Arial"/>
              </w:rPr>
              <w:t>likely</w:t>
            </w:r>
            <w:r w:rsidR="00B93A1E" w:rsidRPr="00767006">
              <w:rPr>
                <w:rFonts w:cs="Arial"/>
              </w:rPr>
              <w:t xml:space="preserve"> </w:t>
            </w:r>
            <w:r w:rsidRPr="00767006">
              <w:rPr>
                <w:rFonts w:cs="Arial"/>
              </w:rPr>
              <w:t>able to be allocated spectrum.</w:t>
            </w:r>
          </w:p>
          <w:p w14:paraId="36F69497" w14:textId="77777777" w:rsidR="00AE13D3" w:rsidRPr="00767006" w:rsidRDefault="00AE13D3" w:rsidP="00AE13D3">
            <w:pPr>
              <w:pStyle w:val="ListParagraph"/>
              <w:spacing w:line="276" w:lineRule="auto"/>
              <w:ind w:left="322"/>
              <w:rPr>
                <w:rFonts w:cs="Arial"/>
                <w:b/>
                <w:bCs/>
              </w:rPr>
            </w:pPr>
          </w:p>
          <w:p w14:paraId="7831A61D" w14:textId="2CAF32EF" w:rsidR="00AE13D3" w:rsidRPr="00AE13D3" w:rsidRDefault="00AE13D3" w:rsidP="00165C8E">
            <w:pPr>
              <w:pStyle w:val="ListParagraph"/>
              <w:numPr>
                <w:ilvl w:val="0"/>
                <w:numId w:val="49"/>
              </w:numPr>
              <w:spacing w:line="276" w:lineRule="auto"/>
              <w:ind w:left="348"/>
              <w:rPr>
                <w:rFonts w:cs="Arial"/>
                <w:b/>
              </w:rPr>
            </w:pPr>
            <w:r w:rsidRPr="00AE13D3">
              <w:rPr>
                <w:rFonts w:cs="Arial"/>
              </w:rPr>
              <w:t xml:space="preserve">Does not support WA WBB use cases in the initial allocation window due to nil MHz limit.  </w:t>
            </w:r>
          </w:p>
        </w:tc>
        <w:tc>
          <w:tcPr>
            <w:tcW w:w="3651" w:type="dxa"/>
            <w:shd w:val="clear" w:color="auto" w:fill="auto"/>
          </w:tcPr>
          <w:p w14:paraId="6C553FCC" w14:textId="022ED82C" w:rsidR="00AE13D3" w:rsidRDefault="00AE13D3" w:rsidP="00165C8E">
            <w:pPr>
              <w:pStyle w:val="ListParagraph"/>
              <w:numPr>
                <w:ilvl w:val="0"/>
                <w:numId w:val="27"/>
              </w:numPr>
              <w:spacing w:after="0" w:line="276" w:lineRule="auto"/>
              <w:ind w:left="322"/>
              <w:rPr>
                <w:rFonts w:cs="Arial"/>
              </w:rPr>
            </w:pPr>
            <w:r w:rsidRPr="00767006">
              <w:rPr>
                <w:rFonts w:cs="Arial"/>
              </w:rPr>
              <w:t xml:space="preserve">Reduces possibility of spectrum areas being bought out giving opportunity for more use cases to be allocated spectrum. </w:t>
            </w:r>
          </w:p>
          <w:p w14:paraId="5A27B17A" w14:textId="77777777" w:rsidR="00AE13D3" w:rsidRPr="00AE13D3" w:rsidRDefault="00AE13D3" w:rsidP="00165C8E">
            <w:pPr>
              <w:pStyle w:val="ListParagraph"/>
              <w:spacing w:after="0" w:line="276" w:lineRule="auto"/>
              <w:ind w:left="322"/>
              <w:rPr>
                <w:rFonts w:cs="Arial"/>
              </w:rPr>
            </w:pPr>
          </w:p>
          <w:p w14:paraId="23BEAFBB" w14:textId="7EC25A45" w:rsidR="00AE13D3" w:rsidRPr="00AE13D3" w:rsidRDefault="00AE13D3" w:rsidP="00165C8E">
            <w:pPr>
              <w:pStyle w:val="ListParagraph"/>
              <w:numPr>
                <w:ilvl w:val="0"/>
                <w:numId w:val="49"/>
              </w:numPr>
              <w:spacing w:line="276" w:lineRule="auto"/>
              <w:ind w:left="270"/>
              <w:rPr>
                <w:rFonts w:cs="Arial"/>
                <w:b/>
              </w:rPr>
            </w:pPr>
            <w:r w:rsidRPr="00D574F9">
              <w:rPr>
                <w:rFonts w:cs="Arial"/>
              </w:rPr>
              <w:t xml:space="preserve">Risks of WA WBB users crowding LA WBB in high demand areas. </w:t>
            </w:r>
          </w:p>
        </w:tc>
      </w:tr>
      <w:tr w:rsidR="00B70E96" w:rsidRPr="00767006" w14:paraId="77D5B2B2" w14:textId="77777777" w:rsidTr="00FE69BE">
        <w:tc>
          <w:tcPr>
            <w:tcW w:w="1754" w:type="dxa"/>
            <w:shd w:val="clear" w:color="auto" w:fill="F2F2F2" w:themeFill="background1" w:themeFillShade="F2"/>
          </w:tcPr>
          <w:p w14:paraId="71A2C91C" w14:textId="2ED59012" w:rsidR="00115ACD" w:rsidRPr="00767006" w:rsidRDefault="00AE13D3" w:rsidP="00115ACD">
            <w:pPr>
              <w:spacing w:line="276" w:lineRule="auto"/>
              <w:rPr>
                <w:rFonts w:cs="Arial"/>
                <w:b/>
              </w:rPr>
            </w:pPr>
            <w:r w:rsidRPr="00767006">
              <w:rPr>
                <w:rFonts w:cs="Arial"/>
                <w:b/>
              </w:rPr>
              <w:t>Support digital connectivity in regional Australia</w:t>
            </w:r>
          </w:p>
        </w:tc>
        <w:tc>
          <w:tcPr>
            <w:tcW w:w="2959" w:type="dxa"/>
            <w:shd w:val="clear" w:color="auto" w:fill="F2F2F2" w:themeFill="background1" w:themeFillShade="F2"/>
          </w:tcPr>
          <w:p w14:paraId="403EC02A" w14:textId="77777777" w:rsidR="00AE13D3" w:rsidRPr="00165C8E" w:rsidRDefault="00AE13D3" w:rsidP="00165C8E">
            <w:pPr>
              <w:pStyle w:val="ListParagraph"/>
              <w:numPr>
                <w:ilvl w:val="0"/>
                <w:numId w:val="27"/>
              </w:numPr>
              <w:spacing w:after="0" w:line="276" w:lineRule="auto"/>
              <w:ind w:left="355"/>
              <w:rPr>
                <w:rFonts w:cs="Arial"/>
                <w:b/>
              </w:rPr>
            </w:pPr>
            <w:r>
              <w:rPr>
                <w:rFonts w:cs="Arial"/>
              </w:rPr>
              <w:t>Allows</w:t>
            </w:r>
            <w:r w:rsidRPr="00767006">
              <w:rPr>
                <w:rFonts w:cs="Arial"/>
              </w:rPr>
              <w:t xml:space="preserve"> smaller operators to establish LA WBB networks in regional areas. </w:t>
            </w:r>
          </w:p>
          <w:p w14:paraId="33E43E4A" w14:textId="35FFB221" w:rsidR="00AE13D3" w:rsidRPr="00AE13D3" w:rsidRDefault="00AE13D3" w:rsidP="00165C8E">
            <w:pPr>
              <w:pStyle w:val="ListParagraph"/>
              <w:numPr>
                <w:ilvl w:val="0"/>
                <w:numId w:val="27"/>
              </w:numPr>
              <w:spacing w:after="0" w:line="276" w:lineRule="auto"/>
              <w:ind w:left="355"/>
              <w:rPr>
                <w:rFonts w:cs="Arial"/>
                <w:b/>
              </w:rPr>
            </w:pPr>
            <w:r w:rsidRPr="00AE13D3">
              <w:rPr>
                <w:rFonts w:cs="Arial"/>
              </w:rPr>
              <w:t xml:space="preserve">MNOs and NBN Co will have the opportunity (after </w:t>
            </w:r>
            <w:r w:rsidR="00D41C0E">
              <w:rPr>
                <w:rFonts w:cs="Arial"/>
              </w:rPr>
              <w:t xml:space="preserve">6 </w:t>
            </w:r>
            <w:r w:rsidRPr="00AE13D3">
              <w:rPr>
                <w:rFonts w:cs="Arial"/>
              </w:rPr>
              <w:t xml:space="preserve">months) to </w:t>
            </w:r>
            <w:r w:rsidR="00357F14">
              <w:rPr>
                <w:rFonts w:cs="Arial"/>
              </w:rPr>
              <w:t xml:space="preserve">apply </w:t>
            </w:r>
            <w:r w:rsidR="00097AFB">
              <w:rPr>
                <w:rFonts w:cs="Arial"/>
              </w:rPr>
              <w:t xml:space="preserve">for </w:t>
            </w:r>
            <w:r w:rsidRPr="00AE13D3">
              <w:rPr>
                <w:rFonts w:cs="Arial"/>
              </w:rPr>
              <w:t>AWL</w:t>
            </w:r>
            <w:r w:rsidR="00F20660">
              <w:rPr>
                <w:rFonts w:cs="Arial"/>
              </w:rPr>
              <w:t>s</w:t>
            </w:r>
            <w:r w:rsidRPr="00AE13D3">
              <w:rPr>
                <w:rFonts w:cs="Arial"/>
              </w:rPr>
              <w:t>, reducing the likelihood of vacant spectrum.</w:t>
            </w:r>
          </w:p>
          <w:p w14:paraId="5636796B" w14:textId="77777777" w:rsidR="00AE13D3" w:rsidRPr="00AE13D3" w:rsidDel="00307C06" w:rsidRDefault="00AE13D3" w:rsidP="00AE13D3">
            <w:pPr>
              <w:pStyle w:val="ListParagraph"/>
              <w:spacing w:before="240" w:after="160" w:line="276" w:lineRule="auto"/>
              <w:ind w:left="355"/>
            </w:pPr>
          </w:p>
          <w:p w14:paraId="02DCE43A" w14:textId="77777777" w:rsidR="00AE13D3" w:rsidRPr="00767006" w:rsidRDefault="00AE13D3" w:rsidP="00165C8E">
            <w:pPr>
              <w:pStyle w:val="ListParagraph"/>
              <w:numPr>
                <w:ilvl w:val="0"/>
                <w:numId w:val="28"/>
              </w:numPr>
              <w:spacing w:before="240" w:after="0" w:line="276" w:lineRule="auto"/>
              <w:ind w:left="327"/>
              <w:rPr>
                <w:rFonts w:cs="Arial"/>
                <w:b/>
              </w:rPr>
            </w:pPr>
            <w:r w:rsidRPr="00767006">
              <w:rPr>
                <w:rFonts w:cs="Arial"/>
              </w:rPr>
              <w:t xml:space="preserve">Available </w:t>
            </w:r>
            <w:r>
              <w:rPr>
                <w:rFonts w:cs="Arial"/>
              </w:rPr>
              <w:t>AWLs</w:t>
            </w:r>
            <w:r w:rsidRPr="00767006">
              <w:rPr>
                <w:rFonts w:cs="Arial"/>
              </w:rPr>
              <w:t xml:space="preserve"> in the secondary window for MNOs and NBN might not be suitable for their services. </w:t>
            </w:r>
          </w:p>
          <w:p w14:paraId="30450A6B" w14:textId="77777777" w:rsidR="00115ACD" w:rsidRDefault="00115ACD" w:rsidP="00AE13D3">
            <w:pPr>
              <w:pStyle w:val="ListParagraph"/>
              <w:spacing w:after="0" w:line="276" w:lineRule="auto"/>
              <w:ind w:left="351"/>
              <w:rPr>
                <w:rFonts w:cs="Arial"/>
              </w:rPr>
            </w:pPr>
          </w:p>
        </w:tc>
        <w:tc>
          <w:tcPr>
            <w:tcW w:w="3651" w:type="dxa"/>
            <w:shd w:val="clear" w:color="auto" w:fill="F2F2F2" w:themeFill="background1" w:themeFillShade="F2"/>
          </w:tcPr>
          <w:p w14:paraId="6F2C3D30" w14:textId="77777777" w:rsidR="00AE13D3" w:rsidRPr="00767006" w:rsidRDefault="00AE13D3" w:rsidP="00165C8E">
            <w:pPr>
              <w:pStyle w:val="ListParagraph"/>
              <w:numPr>
                <w:ilvl w:val="0"/>
                <w:numId w:val="27"/>
              </w:numPr>
              <w:spacing w:after="0" w:line="276" w:lineRule="auto"/>
              <w:ind w:left="392"/>
              <w:rPr>
                <w:rFonts w:cs="Arial"/>
                <w:b/>
                <w:bCs/>
              </w:rPr>
            </w:pPr>
            <w:r w:rsidRPr="00767006">
              <w:rPr>
                <w:rFonts w:cs="Arial"/>
              </w:rPr>
              <w:t>Allocation in regional areas supports digital connectivity via AWLs.</w:t>
            </w:r>
          </w:p>
          <w:p w14:paraId="0F345C85" w14:textId="77777777" w:rsidR="00AE13D3" w:rsidRPr="00767006" w:rsidRDefault="00AE13D3" w:rsidP="00AE13D3">
            <w:pPr>
              <w:pStyle w:val="ListParagraph"/>
              <w:spacing w:after="0" w:line="276" w:lineRule="auto"/>
              <w:ind w:left="392"/>
              <w:rPr>
                <w:rFonts w:cs="Arial"/>
                <w:b/>
                <w:bCs/>
              </w:rPr>
            </w:pPr>
          </w:p>
          <w:p w14:paraId="63AD713A" w14:textId="11577640" w:rsidR="00115ACD" w:rsidRDefault="00792150" w:rsidP="00165C8E">
            <w:pPr>
              <w:pStyle w:val="ACMASpaceaftertable"/>
              <w:numPr>
                <w:ilvl w:val="0"/>
                <w:numId w:val="49"/>
              </w:numPr>
              <w:ind w:left="374"/>
            </w:pPr>
            <w:r>
              <w:rPr>
                <w:bCs/>
              </w:rPr>
              <w:t>Risk</w:t>
            </w:r>
            <w:r w:rsidR="004E60DC">
              <w:rPr>
                <w:bCs/>
              </w:rPr>
              <w:t>s of WA WBB</w:t>
            </w:r>
            <w:r w:rsidR="00BE3C1F">
              <w:rPr>
                <w:bCs/>
              </w:rPr>
              <w:t xml:space="preserve"> use cases</w:t>
            </w:r>
            <w:r w:rsidR="00256CB1">
              <w:rPr>
                <w:bCs/>
              </w:rPr>
              <w:t xml:space="preserve"> preclud</w:t>
            </w:r>
            <w:r w:rsidR="00910A11">
              <w:rPr>
                <w:bCs/>
              </w:rPr>
              <w:t>ing</w:t>
            </w:r>
            <w:r w:rsidR="009D40D7">
              <w:rPr>
                <w:bCs/>
              </w:rPr>
              <w:t xml:space="preserve"> or imped</w:t>
            </w:r>
            <w:r w:rsidR="00910A11">
              <w:rPr>
                <w:bCs/>
              </w:rPr>
              <w:t>ing</w:t>
            </w:r>
            <w:r w:rsidR="00256CB1">
              <w:rPr>
                <w:bCs/>
              </w:rPr>
              <w:t xml:space="preserve"> the </w:t>
            </w:r>
            <w:r w:rsidR="00F97CE0">
              <w:rPr>
                <w:bCs/>
              </w:rPr>
              <w:t xml:space="preserve">development/rollout of LA WBB </w:t>
            </w:r>
            <w:r w:rsidR="00DE73B3">
              <w:rPr>
                <w:bCs/>
              </w:rPr>
              <w:t>use cases</w:t>
            </w:r>
            <w:r w:rsidR="00F97CE0">
              <w:rPr>
                <w:bCs/>
              </w:rPr>
              <w:t xml:space="preserve"> </w:t>
            </w:r>
            <w:r w:rsidR="006A18EC">
              <w:rPr>
                <w:bCs/>
              </w:rPr>
              <w:t>in regional areas.</w:t>
            </w:r>
          </w:p>
        </w:tc>
      </w:tr>
      <w:tr w:rsidR="00AE13D3" w:rsidRPr="00767006" w14:paraId="1D5CE81F" w14:textId="77777777" w:rsidTr="0066311A">
        <w:tc>
          <w:tcPr>
            <w:tcW w:w="1754" w:type="dxa"/>
          </w:tcPr>
          <w:p w14:paraId="2B294228" w14:textId="7DDDD2E4" w:rsidR="00AE13D3" w:rsidRPr="00767006" w:rsidRDefault="00AE13D3" w:rsidP="00AE13D3">
            <w:pPr>
              <w:spacing w:line="276" w:lineRule="auto"/>
              <w:rPr>
                <w:rFonts w:cs="Arial"/>
                <w:b/>
              </w:rPr>
            </w:pPr>
            <w:r w:rsidRPr="00767006">
              <w:rPr>
                <w:rFonts w:cs="Arial"/>
                <w:b/>
              </w:rPr>
              <w:t>Support the deployment of new and innovative technology, including 5G</w:t>
            </w:r>
          </w:p>
        </w:tc>
        <w:tc>
          <w:tcPr>
            <w:tcW w:w="2959" w:type="dxa"/>
          </w:tcPr>
          <w:p w14:paraId="68DBCD20" w14:textId="2D617095" w:rsidR="00AE13D3" w:rsidRPr="00165C8E" w:rsidRDefault="00D41C0E" w:rsidP="00165C8E">
            <w:pPr>
              <w:pStyle w:val="ListParagraph"/>
              <w:numPr>
                <w:ilvl w:val="0"/>
                <w:numId w:val="27"/>
              </w:numPr>
              <w:spacing w:after="0" w:line="276" w:lineRule="auto"/>
              <w:ind w:left="351"/>
              <w:rPr>
                <w:rFonts w:cs="Arial"/>
                <w:b/>
              </w:rPr>
            </w:pPr>
            <w:r>
              <w:rPr>
                <w:rFonts w:cs="Arial"/>
              </w:rPr>
              <w:t>P</w:t>
            </w:r>
            <w:r w:rsidR="00AE13D3">
              <w:rPr>
                <w:rFonts w:cs="Arial"/>
              </w:rPr>
              <w:t>rioritises</w:t>
            </w:r>
            <w:r w:rsidR="00AE13D3" w:rsidRPr="00767006">
              <w:rPr>
                <w:rFonts w:cs="Arial"/>
              </w:rPr>
              <w:t xml:space="preserve"> LA WBB providers, including private network providers, support</w:t>
            </w:r>
            <w:r w:rsidR="00AE13D3">
              <w:rPr>
                <w:rFonts w:cs="Arial"/>
              </w:rPr>
              <w:t>s</w:t>
            </w:r>
            <w:r w:rsidR="00AE13D3" w:rsidRPr="00767006">
              <w:rPr>
                <w:rFonts w:cs="Arial"/>
              </w:rPr>
              <w:t xml:space="preserve"> delivery of service offerings poorly catered for under alternative allocation mechanisms </w:t>
            </w:r>
            <w:r w:rsidR="00AE13D3">
              <w:rPr>
                <w:rFonts w:cs="Arial"/>
              </w:rPr>
              <w:t>(</w:t>
            </w:r>
            <w:r w:rsidR="00AE13D3" w:rsidRPr="00767006">
              <w:rPr>
                <w:rFonts w:cs="Arial"/>
              </w:rPr>
              <w:t>like spectrum auctions</w:t>
            </w:r>
            <w:r w:rsidR="00AE13D3">
              <w:rPr>
                <w:rFonts w:cs="Arial"/>
              </w:rPr>
              <w:t xml:space="preserve">). </w:t>
            </w:r>
          </w:p>
        </w:tc>
        <w:tc>
          <w:tcPr>
            <w:tcW w:w="3651" w:type="dxa"/>
          </w:tcPr>
          <w:p w14:paraId="42789233" w14:textId="7DDB98A6" w:rsidR="00AE13D3" w:rsidRPr="00767006" w:rsidRDefault="00AE13D3" w:rsidP="00165C8E">
            <w:pPr>
              <w:pStyle w:val="ListParagraph"/>
              <w:numPr>
                <w:ilvl w:val="0"/>
                <w:numId w:val="27"/>
              </w:numPr>
              <w:spacing w:after="0" w:line="276" w:lineRule="auto"/>
              <w:ind w:left="351"/>
              <w:rPr>
                <w:rFonts w:cs="Arial"/>
                <w:bCs/>
              </w:rPr>
            </w:pPr>
            <w:r>
              <w:rPr>
                <w:rFonts w:cs="Arial"/>
                <w:bCs/>
              </w:rPr>
              <w:t>A</w:t>
            </w:r>
            <w:r w:rsidRPr="00767006">
              <w:rPr>
                <w:rFonts w:cs="Arial"/>
                <w:bCs/>
              </w:rPr>
              <w:t xml:space="preserve">llows for deployment of 5G technology </w:t>
            </w:r>
            <w:r>
              <w:rPr>
                <w:rFonts w:cs="Arial"/>
                <w:bCs/>
              </w:rPr>
              <w:t xml:space="preserve">by </w:t>
            </w:r>
            <w:r w:rsidRPr="00767006">
              <w:rPr>
                <w:rFonts w:cs="Arial"/>
                <w:bCs/>
              </w:rPr>
              <w:t xml:space="preserve">WA WBB </w:t>
            </w:r>
            <w:r>
              <w:rPr>
                <w:rFonts w:cs="Arial"/>
                <w:bCs/>
              </w:rPr>
              <w:t>providers</w:t>
            </w:r>
            <w:r w:rsidRPr="00767006">
              <w:rPr>
                <w:rFonts w:cs="Arial"/>
                <w:bCs/>
              </w:rPr>
              <w:t xml:space="preserve">. </w:t>
            </w:r>
          </w:p>
          <w:p w14:paraId="268D8D63" w14:textId="77777777" w:rsidR="00AE13D3" w:rsidRDefault="00AE13D3" w:rsidP="00AE13D3">
            <w:pPr>
              <w:pStyle w:val="ListParagraph"/>
              <w:spacing w:after="0" w:line="276" w:lineRule="auto"/>
              <w:ind w:left="351"/>
            </w:pPr>
          </w:p>
          <w:p w14:paraId="5359213C" w14:textId="1088B2A2" w:rsidR="00AE13D3" w:rsidRPr="000A1C34" w:rsidRDefault="00AE13D3" w:rsidP="004D6B7E">
            <w:pPr>
              <w:pStyle w:val="ListParagraph"/>
              <w:numPr>
                <w:ilvl w:val="0"/>
                <w:numId w:val="50"/>
              </w:numPr>
              <w:spacing w:after="0" w:line="276" w:lineRule="auto"/>
              <w:ind w:left="370"/>
              <w:rPr>
                <w:rFonts w:cs="Arial"/>
                <w:bCs/>
              </w:rPr>
            </w:pPr>
            <w:r w:rsidRPr="000A1C34">
              <w:rPr>
                <w:rFonts w:cs="Arial"/>
              </w:rPr>
              <w:t xml:space="preserve">Risks of WA WBB users </w:t>
            </w:r>
            <w:r w:rsidR="004F6087" w:rsidRPr="70E67539">
              <w:rPr>
                <w:rFonts w:cs="Arial"/>
              </w:rPr>
              <w:t>obtaining a large proportion of the</w:t>
            </w:r>
            <w:r w:rsidRPr="000A1C34">
              <w:rPr>
                <w:rFonts w:cs="Arial"/>
              </w:rPr>
              <w:t xml:space="preserve"> spectrum, precluding access to the band by other market players.</w:t>
            </w:r>
          </w:p>
        </w:tc>
      </w:tr>
      <w:tr w:rsidR="000E00E6" w:rsidRPr="00767006" w14:paraId="4BA6CEEC" w14:textId="77777777" w:rsidTr="00FE69BE">
        <w:tc>
          <w:tcPr>
            <w:tcW w:w="1754" w:type="dxa"/>
            <w:shd w:val="clear" w:color="auto" w:fill="F2F2F2" w:themeFill="background1" w:themeFillShade="F2"/>
          </w:tcPr>
          <w:p w14:paraId="3384D1B4" w14:textId="548CA1F3" w:rsidR="000E00E6" w:rsidRPr="009469A5" w:rsidRDefault="000E00E6" w:rsidP="0029282E">
            <w:pPr>
              <w:spacing w:line="276" w:lineRule="auto"/>
              <w:rPr>
                <w:b/>
                <w:bCs/>
              </w:rPr>
            </w:pPr>
            <w:r>
              <w:rPr>
                <w:b/>
                <w:bCs/>
              </w:rPr>
              <w:t xml:space="preserve">Promoting </w:t>
            </w:r>
            <w:r w:rsidR="00906E74">
              <w:rPr>
                <w:b/>
                <w:bCs/>
              </w:rPr>
              <w:t>c</w:t>
            </w:r>
            <w:r>
              <w:rPr>
                <w:b/>
                <w:bCs/>
              </w:rPr>
              <w:t xml:space="preserve">ompetitive </w:t>
            </w:r>
            <w:r w:rsidR="00906E74">
              <w:rPr>
                <w:b/>
                <w:bCs/>
              </w:rPr>
              <w:t>m</w:t>
            </w:r>
            <w:r>
              <w:rPr>
                <w:b/>
                <w:bCs/>
              </w:rPr>
              <w:t xml:space="preserve">arkets </w:t>
            </w:r>
          </w:p>
        </w:tc>
        <w:tc>
          <w:tcPr>
            <w:tcW w:w="2959" w:type="dxa"/>
            <w:shd w:val="clear" w:color="auto" w:fill="F2F2F2" w:themeFill="background1" w:themeFillShade="F2"/>
          </w:tcPr>
          <w:p w14:paraId="3ADC9745" w14:textId="0E28E0BE" w:rsidR="00177F8A" w:rsidRDefault="00355897" w:rsidP="000E00E6">
            <w:pPr>
              <w:pStyle w:val="ListParagraph"/>
              <w:numPr>
                <w:ilvl w:val="0"/>
                <w:numId w:val="27"/>
              </w:numPr>
              <w:spacing w:after="0" w:line="276" w:lineRule="auto"/>
              <w:ind w:left="372"/>
              <w:rPr>
                <w:rFonts w:cs="Arial"/>
              </w:rPr>
            </w:pPr>
            <w:r>
              <w:rPr>
                <w:rFonts w:cs="Arial"/>
              </w:rPr>
              <w:t>A</w:t>
            </w:r>
            <w:r w:rsidR="00177F8A">
              <w:rPr>
                <w:rFonts w:cs="Arial"/>
              </w:rPr>
              <w:t xml:space="preserve"> </w:t>
            </w:r>
            <w:r w:rsidR="00D41C0E">
              <w:rPr>
                <w:rFonts w:cs="Arial"/>
              </w:rPr>
              <w:t>6</w:t>
            </w:r>
            <w:r w:rsidR="00002D5F">
              <w:rPr>
                <w:rFonts w:cs="Arial"/>
              </w:rPr>
              <w:t>-month</w:t>
            </w:r>
            <w:r>
              <w:rPr>
                <w:rFonts w:cs="Arial"/>
              </w:rPr>
              <w:t xml:space="preserve"> priority access window provides an opportunity for LA WBB providers to access the </w:t>
            </w:r>
            <w:r>
              <w:rPr>
                <w:rFonts w:cs="Arial"/>
              </w:rPr>
              <w:lastRenderedPageBreak/>
              <w:t xml:space="preserve">spectrum. As noted by the ACCC in its letter to the ACMA, such an approach is likely to </w:t>
            </w:r>
            <w:r w:rsidR="00A61A98">
              <w:rPr>
                <w:rFonts w:cs="Arial"/>
              </w:rPr>
              <w:t>promote competition.</w:t>
            </w:r>
          </w:p>
          <w:p w14:paraId="6E9F06B2" w14:textId="77777777" w:rsidR="000E00E6" w:rsidRDefault="000E00E6" w:rsidP="000E00E6">
            <w:pPr>
              <w:spacing w:after="0" w:line="276" w:lineRule="auto"/>
              <w:rPr>
                <w:rFonts w:cs="Arial"/>
              </w:rPr>
            </w:pPr>
          </w:p>
          <w:p w14:paraId="6252537F" w14:textId="5B78E91A" w:rsidR="00217679" w:rsidRDefault="00224C17">
            <w:pPr>
              <w:pStyle w:val="ListParagraph"/>
              <w:numPr>
                <w:ilvl w:val="0"/>
                <w:numId w:val="50"/>
              </w:numPr>
              <w:spacing w:after="0" w:line="276" w:lineRule="auto"/>
              <w:ind w:left="421"/>
              <w:rPr>
                <w:rFonts w:cs="Arial"/>
              </w:rPr>
            </w:pPr>
            <w:r>
              <w:rPr>
                <w:rFonts w:cs="Arial"/>
              </w:rPr>
              <w:t xml:space="preserve">This approach inhibits WA WBB providers getting access to the band for a period, and as such may </w:t>
            </w:r>
            <w:r w:rsidR="0025238C">
              <w:rPr>
                <w:rFonts w:cs="Arial"/>
              </w:rPr>
              <w:t xml:space="preserve">not optimally promote competition in the </w:t>
            </w:r>
            <w:r w:rsidR="00DF6CD7">
              <w:rPr>
                <w:rFonts w:cs="Arial"/>
              </w:rPr>
              <w:t>WA WBB market.</w:t>
            </w:r>
            <w:r w:rsidR="0008011A">
              <w:rPr>
                <w:rFonts w:cs="Arial"/>
              </w:rPr>
              <w:t xml:space="preserve"> However, by supporting smaller market players, this approach </w:t>
            </w:r>
            <w:r w:rsidR="00217679">
              <w:rPr>
                <w:rFonts w:cs="Arial"/>
              </w:rPr>
              <w:t>may promote competition overall</w:t>
            </w:r>
            <w:r w:rsidR="005A1969">
              <w:rPr>
                <w:rFonts w:cs="Arial"/>
              </w:rPr>
              <w:t>, noting that</w:t>
            </w:r>
            <w:r w:rsidR="00002D5F">
              <w:rPr>
                <w:rFonts w:cs="Arial"/>
              </w:rPr>
              <w:t xml:space="preserve"> there </w:t>
            </w:r>
            <w:r w:rsidR="00B003B7">
              <w:rPr>
                <w:rFonts w:cs="Arial"/>
              </w:rPr>
              <w:t>is</w:t>
            </w:r>
            <w:r w:rsidR="00002D5F">
              <w:rPr>
                <w:rFonts w:cs="Arial"/>
              </w:rPr>
              <w:t xml:space="preserve"> an extent of overlap between WA WBB and LA WBB markets.</w:t>
            </w:r>
          </w:p>
          <w:p w14:paraId="73CB60E2" w14:textId="77777777" w:rsidR="00632C46" w:rsidRDefault="00632C46" w:rsidP="004D6B7E">
            <w:pPr>
              <w:pStyle w:val="ListParagraph"/>
              <w:spacing w:after="0" w:line="276" w:lineRule="auto"/>
              <w:ind w:left="421"/>
              <w:rPr>
                <w:rFonts w:cs="Arial"/>
              </w:rPr>
            </w:pPr>
          </w:p>
          <w:p w14:paraId="6336C627" w14:textId="50C987BC" w:rsidR="00002D5F" w:rsidRDefault="00AB15F3" w:rsidP="004D6B7E">
            <w:pPr>
              <w:pStyle w:val="ListParagraph"/>
              <w:numPr>
                <w:ilvl w:val="0"/>
                <w:numId w:val="27"/>
              </w:numPr>
              <w:spacing w:after="0" w:line="276" w:lineRule="auto"/>
              <w:ind w:left="372"/>
              <w:rPr>
                <w:rFonts w:cs="Arial"/>
              </w:rPr>
            </w:pPr>
            <w:r>
              <w:rPr>
                <w:rFonts w:cs="Arial"/>
              </w:rPr>
              <w:t>The second allocation</w:t>
            </w:r>
            <w:r w:rsidR="003835EE">
              <w:rPr>
                <w:rFonts w:cs="Arial"/>
              </w:rPr>
              <w:t xml:space="preserve"> process provides an opportunity for </w:t>
            </w:r>
            <w:r w:rsidR="00EA7756">
              <w:rPr>
                <w:rFonts w:cs="Arial"/>
              </w:rPr>
              <w:t>equal</w:t>
            </w:r>
            <w:r w:rsidR="009002A6">
              <w:rPr>
                <w:rFonts w:cs="Arial"/>
              </w:rPr>
              <w:t xml:space="preserve"> access to the spectrum</w:t>
            </w:r>
            <w:r w:rsidR="00632C46">
              <w:rPr>
                <w:rFonts w:cs="Arial"/>
              </w:rPr>
              <w:t>, which may foster competition across both LA WBB and WA WBB markets.</w:t>
            </w:r>
            <w:r w:rsidR="009002A6">
              <w:rPr>
                <w:rFonts w:cs="Arial"/>
              </w:rPr>
              <w:t xml:space="preserve"> </w:t>
            </w:r>
          </w:p>
          <w:p w14:paraId="096DAB2E" w14:textId="390F65EC" w:rsidR="000E00E6" w:rsidRPr="000E00E6" w:rsidRDefault="0008011A" w:rsidP="004D6B7E">
            <w:pPr>
              <w:pStyle w:val="ListParagraph"/>
              <w:spacing w:after="0" w:line="276" w:lineRule="auto"/>
              <w:ind w:left="421"/>
              <w:rPr>
                <w:rFonts w:cs="Arial"/>
              </w:rPr>
            </w:pPr>
            <w:r>
              <w:rPr>
                <w:rFonts w:cs="Arial"/>
              </w:rPr>
              <w:t xml:space="preserve"> </w:t>
            </w:r>
          </w:p>
        </w:tc>
        <w:tc>
          <w:tcPr>
            <w:tcW w:w="3651" w:type="dxa"/>
            <w:shd w:val="clear" w:color="auto" w:fill="F2F2F2" w:themeFill="background1" w:themeFillShade="F2"/>
          </w:tcPr>
          <w:p w14:paraId="67DDD877" w14:textId="1EC5D40C" w:rsidR="000E00E6" w:rsidRDefault="00182346" w:rsidP="004D6B7E">
            <w:pPr>
              <w:pStyle w:val="ListParagraph"/>
              <w:numPr>
                <w:ilvl w:val="0"/>
                <w:numId w:val="27"/>
              </w:numPr>
              <w:spacing w:after="0" w:line="276" w:lineRule="auto"/>
              <w:ind w:left="322" w:hanging="276"/>
              <w:rPr>
                <w:rFonts w:cs="Arial"/>
              </w:rPr>
            </w:pPr>
            <w:r>
              <w:rPr>
                <w:rFonts w:cs="Arial"/>
              </w:rPr>
              <w:lastRenderedPageBreak/>
              <w:t>I</w:t>
            </w:r>
            <w:r w:rsidR="009474CD">
              <w:rPr>
                <w:rFonts w:cs="Arial"/>
              </w:rPr>
              <w:t xml:space="preserve">mmediate access </w:t>
            </w:r>
            <w:r>
              <w:rPr>
                <w:rFonts w:cs="Arial"/>
              </w:rPr>
              <w:t>to the band by WA WBB s</w:t>
            </w:r>
            <w:r w:rsidR="000E00E6">
              <w:rPr>
                <w:rFonts w:cs="Arial"/>
              </w:rPr>
              <w:t xml:space="preserve">upports national market competition </w:t>
            </w:r>
          </w:p>
          <w:p w14:paraId="6C500209" w14:textId="77777777" w:rsidR="000E00E6" w:rsidRDefault="000E00E6" w:rsidP="000E00E6">
            <w:pPr>
              <w:spacing w:after="0" w:line="276" w:lineRule="auto"/>
              <w:rPr>
                <w:rFonts w:cs="Arial"/>
              </w:rPr>
            </w:pPr>
          </w:p>
          <w:p w14:paraId="3A2B51A2" w14:textId="256510A0" w:rsidR="00634BFC" w:rsidRDefault="0017365B">
            <w:pPr>
              <w:pStyle w:val="ListParagraph"/>
              <w:numPr>
                <w:ilvl w:val="0"/>
                <w:numId w:val="50"/>
              </w:numPr>
              <w:spacing w:after="0" w:line="276" w:lineRule="auto"/>
              <w:ind w:left="373"/>
              <w:rPr>
                <w:rFonts w:cs="Arial"/>
              </w:rPr>
            </w:pPr>
            <w:r>
              <w:rPr>
                <w:rFonts w:cs="Arial"/>
              </w:rPr>
              <w:lastRenderedPageBreak/>
              <w:t xml:space="preserve">While smaller players may be prioritised via the initial allocation window, </w:t>
            </w:r>
            <w:r w:rsidR="00016844">
              <w:rPr>
                <w:rFonts w:cs="Arial"/>
              </w:rPr>
              <w:t xml:space="preserve">those not ready to apply at this time </w:t>
            </w:r>
            <w:r w:rsidR="00F81DB6">
              <w:rPr>
                <w:rFonts w:cs="Arial"/>
              </w:rPr>
              <w:t>may not be able to access the spectrum, reducing their ability to compete</w:t>
            </w:r>
            <w:r w:rsidR="00EB22FD">
              <w:rPr>
                <w:rFonts w:cs="Arial"/>
              </w:rPr>
              <w:t>.</w:t>
            </w:r>
          </w:p>
          <w:p w14:paraId="6B8E8D2F" w14:textId="77777777" w:rsidR="00016844" w:rsidRDefault="00016844" w:rsidP="004D6B7E">
            <w:pPr>
              <w:pStyle w:val="ListParagraph"/>
              <w:spacing w:after="0" w:line="276" w:lineRule="auto"/>
              <w:ind w:left="373"/>
              <w:rPr>
                <w:rFonts w:cs="Arial"/>
              </w:rPr>
            </w:pPr>
          </w:p>
          <w:p w14:paraId="4F4CAD72" w14:textId="6C7C155C" w:rsidR="000E00E6" w:rsidRPr="000E00E6" w:rsidRDefault="00613FE6" w:rsidP="004D6B7E">
            <w:pPr>
              <w:pStyle w:val="ListParagraph"/>
              <w:numPr>
                <w:ilvl w:val="0"/>
                <w:numId w:val="50"/>
              </w:numPr>
              <w:spacing w:after="0" w:line="276" w:lineRule="auto"/>
              <w:ind w:left="373"/>
              <w:rPr>
                <w:rFonts w:cs="Arial"/>
              </w:rPr>
            </w:pPr>
            <w:r>
              <w:rPr>
                <w:rFonts w:cs="Arial"/>
              </w:rPr>
              <w:t xml:space="preserve">A shorter period where LA WBB providers are prioritised </w:t>
            </w:r>
            <w:r w:rsidR="002142EC">
              <w:rPr>
                <w:rFonts w:cs="Arial"/>
              </w:rPr>
              <w:t>may</w:t>
            </w:r>
            <w:r>
              <w:rPr>
                <w:rFonts w:cs="Arial"/>
              </w:rPr>
              <w:t xml:space="preserve"> r</w:t>
            </w:r>
            <w:r w:rsidR="000E00E6">
              <w:rPr>
                <w:rFonts w:cs="Arial"/>
              </w:rPr>
              <w:t xml:space="preserve">isk </w:t>
            </w:r>
            <w:r w:rsidR="00B5511D">
              <w:rPr>
                <w:rFonts w:cs="Arial"/>
              </w:rPr>
              <w:t xml:space="preserve">smaller </w:t>
            </w:r>
            <w:r w:rsidR="000E00E6">
              <w:rPr>
                <w:rFonts w:cs="Arial"/>
              </w:rPr>
              <w:t>market</w:t>
            </w:r>
            <w:r w:rsidR="00906E74">
              <w:rPr>
                <w:rFonts w:cs="Arial"/>
              </w:rPr>
              <w:t xml:space="preserve"> players</w:t>
            </w:r>
            <w:r w:rsidR="000E00E6">
              <w:rPr>
                <w:rFonts w:cs="Arial"/>
              </w:rPr>
              <w:t xml:space="preserve"> becoming crowded out by national market players. </w:t>
            </w:r>
          </w:p>
        </w:tc>
      </w:tr>
      <w:tr w:rsidR="0029282E" w:rsidRPr="00767006" w14:paraId="4834EF3A" w14:textId="77777777" w:rsidTr="0066311A">
        <w:tc>
          <w:tcPr>
            <w:tcW w:w="1754" w:type="dxa"/>
          </w:tcPr>
          <w:p w14:paraId="68839EAB" w14:textId="4E390808" w:rsidR="0029282E" w:rsidRPr="00DD7E4C" w:rsidRDefault="0029282E" w:rsidP="0029282E">
            <w:pPr>
              <w:spacing w:line="276" w:lineRule="auto"/>
              <w:rPr>
                <w:rFonts w:cs="Arial"/>
                <w:b/>
                <w:bCs/>
              </w:rPr>
            </w:pPr>
            <w:r w:rsidRPr="009469A5">
              <w:rPr>
                <w:b/>
                <w:bCs/>
              </w:rPr>
              <w:lastRenderedPageBreak/>
              <w:t>Supporting the efficient allocation and use of spectrum</w:t>
            </w:r>
          </w:p>
        </w:tc>
        <w:tc>
          <w:tcPr>
            <w:tcW w:w="2959" w:type="dxa"/>
          </w:tcPr>
          <w:p w14:paraId="191D2314" w14:textId="5B70E154" w:rsidR="000A1C34" w:rsidRPr="00615805" w:rsidRDefault="0029282E" w:rsidP="004D6B7E">
            <w:pPr>
              <w:pStyle w:val="ListParagraph"/>
              <w:numPr>
                <w:ilvl w:val="0"/>
                <w:numId w:val="27"/>
              </w:numPr>
              <w:spacing w:after="0" w:line="276" w:lineRule="auto"/>
              <w:ind w:left="372"/>
              <w:rPr>
                <w:rFonts w:cs="Arial"/>
              </w:rPr>
            </w:pPr>
            <w:r w:rsidRPr="00991B98">
              <w:rPr>
                <w:rFonts w:cs="Arial"/>
              </w:rPr>
              <w:t xml:space="preserve">Will </w:t>
            </w:r>
            <w:r w:rsidRPr="0015520F">
              <w:rPr>
                <w:rFonts w:cs="Arial"/>
              </w:rPr>
              <w:t>better support use in the band by market participants that are not well catered for by the spectrum licence allocation.</w:t>
            </w:r>
          </w:p>
          <w:p w14:paraId="4AC8C1EA" w14:textId="77777777" w:rsidR="0029282E" w:rsidRDefault="0029282E" w:rsidP="00165C8E">
            <w:pPr>
              <w:spacing w:after="0" w:line="276" w:lineRule="auto"/>
              <w:rPr>
                <w:rFonts w:cs="Arial"/>
              </w:rPr>
            </w:pPr>
          </w:p>
          <w:p w14:paraId="12C41C3B" w14:textId="77777777" w:rsidR="0029282E" w:rsidRPr="0015520F" w:rsidRDefault="0029282E" w:rsidP="00165C8E">
            <w:pPr>
              <w:pStyle w:val="ListParagraph"/>
              <w:numPr>
                <w:ilvl w:val="0"/>
                <w:numId w:val="47"/>
              </w:numPr>
              <w:spacing w:after="0" w:line="276" w:lineRule="auto"/>
              <w:ind w:left="372"/>
              <w:rPr>
                <w:rFonts w:cs="Arial"/>
              </w:rPr>
            </w:pPr>
            <w:r w:rsidRPr="0015520F">
              <w:rPr>
                <w:rFonts w:cs="Arial"/>
              </w:rPr>
              <w:t>May result in short term lower use of the band.</w:t>
            </w:r>
          </w:p>
          <w:p w14:paraId="1C6AE3EF" w14:textId="77777777" w:rsidR="0029282E" w:rsidRPr="0029282E" w:rsidRDefault="0029282E" w:rsidP="009469A5">
            <w:pPr>
              <w:spacing w:after="0" w:line="276" w:lineRule="auto"/>
              <w:rPr>
                <w:rFonts w:cs="Arial"/>
              </w:rPr>
            </w:pPr>
          </w:p>
        </w:tc>
        <w:tc>
          <w:tcPr>
            <w:tcW w:w="3651" w:type="dxa"/>
          </w:tcPr>
          <w:p w14:paraId="72D55DE4" w14:textId="6F4C4A67" w:rsidR="0029282E" w:rsidRDefault="0029282E" w:rsidP="004D6B7E">
            <w:pPr>
              <w:pStyle w:val="ListParagraph"/>
              <w:numPr>
                <w:ilvl w:val="0"/>
                <w:numId w:val="27"/>
              </w:numPr>
              <w:spacing w:after="0" w:line="276" w:lineRule="auto"/>
              <w:ind w:left="330" w:hanging="284"/>
              <w:rPr>
                <w:rFonts w:cs="Arial"/>
              </w:rPr>
            </w:pPr>
            <w:r>
              <w:rPr>
                <w:rFonts w:cs="Arial"/>
              </w:rPr>
              <w:t xml:space="preserve">Allowing WA WBB users </w:t>
            </w:r>
            <w:r w:rsidR="00C5406F">
              <w:rPr>
                <w:rFonts w:cs="Arial"/>
              </w:rPr>
              <w:t>may</w:t>
            </w:r>
            <w:r>
              <w:rPr>
                <w:rFonts w:cs="Arial"/>
              </w:rPr>
              <w:t xml:space="preserve"> facilitate immediate use of spectrum. </w:t>
            </w:r>
          </w:p>
          <w:p w14:paraId="7E7FDCCD" w14:textId="77777777" w:rsidR="0029282E" w:rsidRDefault="0029282E" w:rsidP="0029282E">
            <w:pPr>
              <w:pStyle w:val="ListParagraph"/>
              <w:spacing w:line="276" w:lineRule="auto"/>
              <w:ind w:left="322"/>
              <w:rPr>
                <w:rFonts w:cs="Arial"/>
              </w:rPr>
            </w:pPr>
          </w:p>
          <w:p w14:paraId="4BB70B2F" w14:textId="1A4FC1F3" w:rsidR="0029282E" w:rsidRPr="0029282E" w:rsidRDefault="0029282E" w:rsidP="00165C8E">
            <w:pPr>
              <w:pStyle w:val="ListParagraph"/>
              <w:numPr>
                <w:ilvl w:val="0"/>
                <w:numId w:val="47"/>
              </w:numPr>
              <w:spacing w:after="0" w:line="276" w:lineRule="auto"/>
              <w:ind w:left="416"/>
              <w:rPr>
                <w:rFonts w:cs="Arial"/>
              </w:rPr>
            </w:pPr>
            <w:r w:rsidRPr="0029282E">
              <w:rPr>
                <w:rFonts w:cs="Arial"/>
              </w:rPr>
              <w:t>More WA WBB users in this band will potentially preclude use by LA WBB, who’s demand is inconsistent with the products offered in the spectrum licence auction</w:t>
            </w:r>
            <w:r w:rsidR="00FC0644">
              <w:rPr>
                <w:rFonts w:cs="Arial"/>
              </w:rPr>
              <w:t>.</w:t>
            </w:r>
          </w:p>
        </w:tc>
      </w:tr>
    </w:tbl>
    <w:p w14:paraId="6247E490" w14:textId="76525C49" w:rsidR="00B70711" w:rsidRDefault="00B70711" w:rsidP="00E83BC3">
      <w:pPr>
        <w:pStyle w:val="Paragraph"/>
      </w:pPr>
    </w:p>
    <w:p w14:paraId="5E31E201" w14:textId="475858E6" w:rsidR="00953537" w:rsidRDefault="00D85CFA" w:rsidP="002345E0">
      <w:pPr>
        <w:pStyle w:val="Heading2"/>
      </w:pPr>
      <w:bookmarkStart w:id="26" w:name="_Toc137808615"/>
      <w:r>
        <w:t>Option 1</w:t>
      </w:r>
      <w:r w:rsidR="00B1052E">
        <w:t>: 6-month LA WBB priority period</w:t>
      </w:r>
      <w:bookmarkEnd w:id="26"/>
      <w:r w:rsidR="00B1052E">
        <w:t xml:space="preserve"> </w:t>
      </w:r>
    </w:p>
    <w:p w14:paraId="682E813C" w14:textId="17D2E8F3" w:rsidR="00EF6AEA" w:rsidRDefault="00EF6AEA" w:rsidP="00676135">
      <w:pPr>
        <w:pStyle w:val="Paragraph"/>
      </w:pPr>
      <w:r>
        <w:t>I</w:t>
      </w:r>
      <w:r w:rsidR="00D30F01">
        <w:t xml:space="preserve">n the </w:t>
      </w:r>
      <w:hyperlink r:id="rId48" w:history="1">
        <w:r w:rsidR="005D119C" w:rsidRPr="00550A15">
          <w:rPr>
            <w:rStyle w:val="Hyperlink"/>
            <w:i/>
            <w:iCs/>
          </w:rPr>
          <w:t>Draft allocation and technical instruments for the 3.4/3.7 GHz bands auction</w:t>
        </w:r>
        <w:r w:rsidR="00550A15">
          <w:rPr>
            <w:rStyle w:val="Hyperlink"/>
            <w:i/>
            <w:iCs/>
          </w:rPr>
          <w:t xml:space="preserve"> </w:t>
        </w:r>
        <w:r w:rsidR="006523A0">
          <w:rPr>
            <w:rStyle w:val="Hyperlink"/>
          </w:rPr>
          <w:t>c</w:t>
        </w:r>
        <w:r w:rsidR="005D119C" w:rsidRPr="00FE69BE">
          <w:rPr>
            <w:rStyle w:val="Hyperlink"/>
          </w:rPr>
          <w:t>onsultation paper</w:t>
        </w:r>
      </w:hyperlink>
      <w:r w:rsidR="005D119C" w:rsidRPr="00FC0644">
        <w:t>,</w:t>
      </w:r>
      <w:r w:rsidR="004A2B91">
        <w:t xml:space="preserve"> released in February 2023,</w:t>
      </w:r>
      <w:r w:rsidR="005D119C">
        <w:t xml:space="preserve"> </w:t>
      </w:r>
      <w:r w:rsidR="008F5781">
        <w:t xml:space="preserve">we </w:t>
      </w:r>
      <w:r>
        <w:t>outlined that:</w:t>
      </w:r>
    </w:p>
    <w:p w14:paraId="47B6F446" w14:textId="7B26DE4C" w:rsidR="000950AE" w:rsidRDefault="00053413" w:rsidP="002345E0">
      <w:pPr>
        <w:pStyle w:val="Paragraph"/>
        <w:ind w:left="284"/>
      </w:pPr>
      <w:r>
        <w:t xml:space="preserve">The ACMA is </w:t>
      </w:r>
      <w:r w:rsidR="008F5781">
        <w:t xml:space="preserve">considering </w:t>
      </w:r>
      <w:r w:rsidR="000950AE">
        <w:t xml:space="preserve">applying allocation limits that would preclude existing 3.4–3.7 GHz spectrum licensees (currently NBN Co, Telstra, Optus and TPG Telecom, and related parties) from being issued an AWL for a period of time after applications open; that is, a nil limit would be applied to NBN Co and the MNOs for a specified period of time from the start of the initial allocation window. This nil limit </w:t>
      </w:r>
      <w:r w:rsidR="000950AE">
        <w:lastRenderedPageBreak/>
        <w:t>would provide LA WBB, PTP and FSS initial priority to access spectrum in the band. We are currently considering the approach to allocating licences for the spectrum that may remain following this initial priority access period. We are considering imposing cross-band limits that would take into account spectrum-licensed holdings across the 3.4–4.0 GHz band (including spectrum acquired in the 3.4/3.7 GHz auction).</w:t>
      </w:r>
    </w:p>
    <w:p w14:paraId="23E42CFF" w14:textId="113F6ED3" w:rsidR="0062037D" w:rsidRPr="001A6D1C" w:rsidRDefault="00260788" w:rsidP="0038035C">
      <w:pPr>
        <w:pStyle w:val="Paragraph"/>
        <w:rPr>
          <w:szCs w:val="20"/>
        </w:rPr>
      </w:pPr>
      <w:r>
        <w:t>A</w:t>
      </w:r>
      <w:r w:rsidR="004A2B91">
        <w:t xml:space="preserve">pplying a </w:t>
      </w:r>
      <w:r w:rsidR="0015337E">
        <w:t xml:space="preserve">time-limited </w:t>
      </w:r>
      <w:r w:rsidR="00931EAA">
        <w:t xml:space="preserve">nil MHz limit to </w:t>
      </w:r>
      <w:r>
        <w:t xml:space="preserve">the </w:t>
      </w:r>
      <w:r w:rsidR="00D64D08">
        <w:t>specified</w:t>
      </w:r>
      <w:r w:rsidR="0031734A">
        <w:t xml:space="preserve"> </w:t>
      </w:r>
      <w:r w:rsidR="00EA6E98">
        <w:t xml:space="preserve">four </w:t>
      </w:r>
      <w:r w:rsidR="0059061C">
        <w:t>major 3.4–3.7 GHz spectrum licensees</w:t>
      </w:r>
      <w:r w:rsidR="0023506C">
        <w:t xml:space="preserve"> </w:t>
      </w:r>
      <w:r w:rsidR="008F5D2C">
        <w:t xml:space="preserve">(MNO’s and NBN) </w:t>
      </w:r>
      <w:r w:rsidR="0023506C">
        <w:t xml:space="preserve">is one means by which we can </w:t>
      </w:r>
      <w:r w:rsidR="00036C7C">
        <w:t xml:space="preserve">manage demand for the spectrum in a way that </w:t>
      </w:r>
      <w:r w:rsidR="00E43A41">
        <w:t>achieves the objectives</w:t>
      </w:r>
      <w:r w:rsidR="00300753">
        <w:t xml:space="preserve"> for the </w:t>
      </w:r>
      <w:r w:rsidR="00C348EC">
        <w:t>band</w:t>
      </w:r>
      <w:r w:rsidR="00E43A41">
        <w:t>.</w:t>
      </w:r>
      <w:r w:rsidR="00186759">
        <w:t xml:space="preserve"> </w:t>
      </w:r>
      <w:r w:rsidR="00126DDB">
        <w:t xml:space="preserve">We also consider that under this approach, it would be appropriate </w:t>
      </w:r>
      <w:r w:rsidR="00E12627">
        <w:t>to impose</w:t>
      </w:r>
      <w:r w:rsidR="009B203F">
        <w:t xml:space="preserve"> a time-limited cross-band allocation limit following the cessation of the </w:t>
      </w:r>
      <w:r w:rsidR="00CF5397">
        <w:t xml:space="preserve">nil MHz limit, and to also support a range of users via the </w:t>
      </w:r>
      <w:r w:rsidR="00186759">
        <w:t>use of an allocation quantum policy</w:t>
      </w:r>
      <w:r w:rsidR="000F362E">
        <w:t>.</w:t>
      </w:r>
      <w:r w:rsidR="00F63E59">
        <w:t xml:space="preserve"> </w:t>
      </w:r>
      <w:r w:rsidR="00186759">
        <w:t xml:space="preserve">These elements are presented pictorially in Figure </w:t>
      </w:r>
      <w:r w:rsidR="006523A0">
        <w:t>3</w:t>
      </w:r>
      <w:r w:rsidR="0038035C">
        <w:t xml:space="preserve"> and</w:t>
      </w:r>
      <w:r w:rsidR="00186759">
        <w:t xml:space="preserve"> discussed further below.</w:t>
      </w:r>
      <w:r w:rsidR="00C14E02">
        <w:t xml:space="preserve"> </w:t>
      </w:r>
    </w:p>
    <w:p w14:paraId="4C96CFE7" w14:textId="09ACD3FE" w:rsidR="00527F75" w:rsidRDefault="008E3A4C" w:rsidP="00FE69BE">
      <w:pPr>
        <w:pStyle w:val="ACMAFigureHeader"/>
        <w:rPr>
          <w:lang w:val="en-US"/>
        </w:rPr>
      </w:pPr>
      <w:r>
        <w:rPr>
          <w:noProof/>
        </w:rPr>
        <w:drawing>
          <wp:anchor distT="0" distB="0" distL="114300" distR="114300" simplePos="0" relativeHeight="251658241" behindDoc="0" locked="0" layoutInCell="1" allowOverlap="1" wp14:anchorId="0A2D80CF" wp14:editId="7DBC62B6">
            <wp:simplePos x="0" y="0"/>
            <wp:positionH relativeFrom="page">
              <wp:align>center</wp:align>
            </wp:positionH>
            <wp:positionV relativeFrom="paragraph">
              <wp:posOffset>371920</wp:posOffset>
            </wp:positionV>
            <wp:extent cx="6715760" cy="5106035"/>
            <wp:effectExtent l="0" t="0" r="889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49"/>
                    <a:stretch>
                      <a:fillRect/>
                    </a:stretch>
                  </pic:blipFill>
                  <pic:spPr>
                    <a:xfrm>
                      <a:off x="0" y="0"/>
                      <a:ext cx="6715760" cy="5106035"/>
                    </a:xfrm>
                    <a:prstGeom prst="rect">
                      <a:avLst/>
                    </a:prstGeom>
                  </pic:spPr>
                </pic:pic>
              </a:graphicData>
            </a:graphic>
            <wp14:sizeRelH relativeFrom="margin">
              <wp14:pctWidth>0</wp14:pctWidth>
            </wp14:sizeRelH>
            <wp14:sizeRelV relativeFrom="margin">
              <wp14:pctHeight>0</wp14:pctHeight>
            </wp14:sizeRelV>
          </wp:anchor>
        </w:drawing>
      </w:r>
      <w:r w:rsidR="00CF1A43" w:rsidRPr="00165C8E">
        <w:rPr>
          <w:lang w:val="en-US"/>
        </w:rPr>
        <w:t>R</w:t>
      </w:r>
      <w:r w:rsidR="00126DDB" w:rsidRPr="00165C8E">
        <w:rPr>
          <w:lang w:val="en-US"/>
        </w:rPr>
        <w:t xml:space="preserve">epresentation of </w:t>
      </w:r>
      <w:r w:rsidR="208E6452" w:rsidRPr="00165C8E">
        <w:rPr>
          <w:lang w:val="en-US"/>
        </w:rPr>
        <w:t xml:space="preserve">limits under </w:t>
      </w:r>
      <w:r w:rsidR="00FC0644">
        <w:rPr>
          <w:lang w:val="en-US"/>
        </w:rPr>
        <w:t>O</w:t>
      </w:r>
      <w:r w:rsidR="208E6452" w:rsidRPr="00165C8E">
        <w:rPr>
          <w:lang w:val="en-US"/>
        </w:rPr>
        <w:t xml:space="preserve">ption 1 </w:t>
      </w:r>
    </w:p>
    <w:p w14:paraId="1E4F0E58" w14:textId="01825A0B" w:rsidR="006F7F17" w:rsidRPr="00165C8E" w:rsidRDefault="006F7F17" w:rsidP="00811CD1">
      <w:pPr>
        <w:pStyle w:val="Paragraph"/>
        <w:rPr>
          <w:b/>
          <w:i/>
          <w:lang w:val="en-US"/>
        </w:rPr>
      </w:pPr>
    </w:p>
    <w:p w14:paraId="5C09F74D" w14:textId="77777777" w:rsidR="00571B43" w:rsidRDefault="00571B43">
      <w:pPr>
        <w:pStyle w:val="Heading2"/>
      </w:pPr>
      <w:bookmarkStart w:id="27" w:name="_Toc137808616"/>
      <w:r>
        <w:lastRenderedPageBreak/>
        <w:t xml:space="preserve">Allocation </w:t>
      </w:r>
      <w:r w:rsidR="00B80160">
        <w:t>window</w:t>
      </w:r>
      <w:r>
        <w:t xml:space="preserve"> </w:t>
      </w:r>
      <w:r w:rsidR="00151E48">
        <w:t>approach with allocation</w:t>
      </w:r>
      <w:r>
        <w:t xml:space="preserve"> limits </w:t>
      </w:r>
      <w:r w:rsidR="003E0433">
        <w:t>and</w:t>
      </w:r>
      <w:r w:rsidR="00D52C71">
        <w:t xml:space="preserve"> an</w:t>
      </w:r>
      <w:r w:rsidR="003E0433">
        <w:t xml:space="preserve"> allocation quantum polic</w:t>
      </w:r>
      <w:r w:rsidR="003C1A33">
        <w:t>y</w:t>
      </w:r>
      <w:bookmarkEnd w:id="27"/>
    </w:p>
    <w:p w14:paraId="019F9DD7" w14:textId="464D643B" w:rsidR="003E0433" w:rsidRDefault="003E0433" w:rsidP="00FE69BE">
      <w:pPr>
        <w:pStyle w:val="Paragraph"/>
        <w:spacing w:after="80"/>
      </w:pPr>
      <w:r>
        <w:t xml:space="preserve">The ACMA can manage demand in an allocation </w:t>
      </w:r>
      <w:r w:rsidR="00AF44E4">
        <w:t xml:space="preserve">window process in a way that meets </w:t>
      </w:r>
      <w:r w:rsidR="00536AB8">
        <w:t>relevant</w:t>
      </w:r>
      <w:r w:rsidR="00AF44E4">
        <w:t xml:space="preserve"> allocation objectives </w:t>
      </w:r>
      <w:r w:rsidR="00536AB8">
        <w:t>and policies</w:t>
      </w:r>
      <w:r w:rsidR="00AF44E4">
        <w:t xml:space="preserve"> in </w:t>
      </w:r>
      <w:r w:rsidR="00FC0644">
        <w:t>2</w:t>
      </w:r>
      <w:r w:rsidR="00AF44E4">
        <w:t xml:space="preserve"> </w:t>
      </w:r>
      <w:r w:rsidR="00DF4071">
        <w:t>ways</w:t>
      </w:r>
      <w:r w:rsidR="003073BE">
        <w:t>:</w:t>
      </w:r>
    </w:p>
    <w:p w14:paraId="5136B186" w14:textId="220B04AD" w:rsidR="003073BE" w:rsidRPr="00807832" w:rsidRDefault="003073BE" w:rsidP="00FE69BE">
      <w:pPr>
        <w:pStyle w:val="Bulletlevel1"/>
      </w:pPr>
      <w:r w:rsidRPr="00807832">
        <w:t xml:space="preserve">Under section 102G of the Act, we </w:t>
      </w:r>
      <w:r w:rsidR="00FC0644" w:rsidRPr="00807832">
        <w:t>can</w:t>
      </w:r>
      <w:r w:rsidRPr="00807832">
        <w:t xml:space="preserve"> impose allocation limits via a legislative instrument, on the administrative issue of apparatus (transmitter) licences, </w:t>
      </w:r>
      <w:r w:rsidR="00013CF3">
        <w:t>following</w:t>
      </w:r>
      <w:r w:rsidRPr="00807832">
        <w:t xml:space="preserve"> consultation with the Australian Competition and Consumer Commission (ACCC). </w:t>
      </w:r>
    </w:p>
    <w:p w14:paraId="3A452F62" w14:textId="0C50F103" w:rsidR="003073BE" w:rsidRPr="00807832" w:rsidRDefault="00A4370F" w:rsidP="00FE69BE">
      <w:pPr>
        <w:pStyle w:val="Bulletlevel1"/>
        <w:spacing w:after="240"/>
      </w:pPr>
      <w:r>
        <w:t>U</w:t>
      </w:r>
      <w:r w:rsidRPr="00807832">
        <w:t>nder subsection 100(4C) of the Act</w:t>
      </w:r>
      <w:r>
        <w:t>,</w:t>
      </w:r>
      <w:r w:rsidRPr="00807832">
        <w:t xml:space="preserve"> </w:t>
      </w:r>
      <w:r w:rsidR="00983D48" w:rsidRPr="00807832">
        <w:t xml:space="preserve">when deciding whether to issue </w:t>
      </w:r>
      <w:r w:rsidR="009C6695">
        <w:t>a</w:t>
      </w:r>
      <w:r w:rsidR="00983D48" w:rsidRPr="00807832">
        <w:t xml:space="preserve"> transmitter licence</w:t>
      </w:r>
      <w:r w:rsidR="00983D48">
        <w:t>,</w:t>
      </w:r>
      <w:r w:rsidR="00983D48" w:rsidRPr="00807832">
        <w:t xml:space="preserve"> </w:t>
      </w:r>
      <w:r w:rsidR="003073BE" w:rsidRPr="00807832">
        <w:t xml:space="preserve">we </w:t>
      </w:r>
      <w:r w:rsidR="000024D6">
        <w:t>may</w:t>
      </w:r>
      <w:r>
        <w:t xml:space="preserve"> </w:t>
      </w:r>
      <w:r w:rsidR="003073BE" w:rsidRPr="00807832">
        <w:t xml:space="preserve">have regard to the aggregate of the parts of spectrum that may be used by an applicant under </w:t>
      </w:r>
      <w:r w:rsidR="00166609">
        <w:t>transmitter</w:t>
      </w:r>
      <w:r w:rsidR="00166609" w:rsidRPr="00807832">
        <w:t xml:space="preserve"> </w:t>
      </w:r>
      <w:r w:rsidR="003073BE" w:rsidRPr="00807832">
        <w:t xml:space="preserve">and spectrum licences. We can, through an administrative allocation </w:t>
      </w:r>
      <w:r w:rsidR="00F57983">
        <w:t>quantum policy</w:t>
      </w:r>
      <w:r w:rsidR="003073BE" w:rsidRPr="00807832">
        <w:rPr>
          <w:vertAlign w:val="superscript"/>
        </w:rPr>
        <w:footnoteReference w:id="6"/>
      </w:r>
      <w:r w:rsidR="003073BE" w:rsidRPr="00807832">
        <w:t xml:space="preserve">, provide guidance to the decision-maker when considering whether to issue a licence, including in relation to the </w:t>
      </w:r>
      <w:r w:rsidR="00217850">
        <w:t>preferred</w:t>
      </w:r>
      <w:r w:rsidR="003073BE" w:rsidRPr="00807832">
        <w:t xml:space="preserve"> maximum aggregate of spectrum that may be used by a licensee.  </w:t>
      </w:r>
    </w:p>
    <w:p w14:paraId="571A8B0D" w14:textId="67905B00" w:rsidR="003073BE" w:rsidRDefault="0057091D" w:rsidP="004A7E7A">
      <w:pPr>
        <w:pStyle w:val="Paragraph"/>
        <w:spacing w:line="276" w:lineRule="auto"/>
      </w:pPr>
      <w:r>
        <w:t xml:space="preserve">These mechanisms can be used to manage risks associated with an administrative allocation, such as monopolisation of spectrum, but each mechanism is suited to different contexts. A section 102G allocation limit is inflexible, meaning that we cannot </w:t>
      </w:r>
      <w:r w:rsidR="002008C1">
        <w:t xml:space="preserve">(without amending the legislative instrument) </w:t>
      </w:r>
      <w:r>
        <w:t xml:space="preserve">deviate from the limit once established, and is better suited to allocations with a limited quantum of available spectrum and where there is reasonable certainty about the likely demand for spectrum in the allocation. An </w:t>
      </w:r>
      <w:r w:rsidR="00F57983">
        <w:t>allocation quantum policy</w:t>
      </w:r>
      <w:r>
        <w:t xml:space="preserve"> is more flexible and is better suited to allocations where there is </w:t>
      </w:r>
      <w:r w:rsidR="003325DA">
        <w:t xml:space="preserve">less likely to be </w:t>
      </w:r>
      <w:r w:rsidR="00FB2487">
        <w:t>excess demand</w:t>
      </w:r>
      <w:r>
        <w:t xml:space="preserve">. </w:t>
      </w:r>
      <w:r w:rsidR="009F392B">
        <w:t>For this allocation</w:t>
      </w:r>
      <w:r w:rsidR="00E069D2">
        <w:t xml:space="preserve">, </w:t>
      </w:r>
      <w:r w:rsidR="00416685">
        <w:t xml:space="preserve">we </w:t>
      </w:r>
      <w:r w:rsidR="00587E12">
        <w:t>are consulting on whether</w:t>
      </w:r>
      <w:r w:rsidR="00416685">
        <w:t xml:space="preserve"> both </w:t>
      </w:r>
      <w:r w:rsidR="000108B6">
        <w:t xml:space="preserve">approaches </w:t>
      </w:r>
      <w:r w:rsidR="00166043">
        <w:t>might</w:t>
      </w:r>
      <w:r w:rsidR="000108B6">
        <w:t xml:space="preserve"> be used </w:t>
      </w:r>
      <w:r w:rsidR="00D00BFB">
        <w:t xml:space="preserve">together </w:t>
      </w:r>
      <w:r w:rsidR="000108B6">
        <w:t xml:space="preserve">to meet </w:t>
      </w:r>
      <w:r w:rsidR="00D00BFB">
        <w:t xml:space="preserve">our </w:t>
      </w:r>
      <w:r w:rsidR="000108B6">
        <w:t>objectives.</w:t>
      </w:r>
    </w:p>
    <w:p w14:paraId="33CC0B5A" w14:textId="77777777" w:rsidR="003740B4" w:rsidRPr="004E2247" w:rsidRDefault="003740B4" w:rsidP="003740B4">
      <w:pPr>
        <w:pStyle w:val="Heading3"/>
        <w:rPr>
          <w:sz w:val="24"/>
          <w:szCs w:val="32"/>
        </w:rPr>
      </w:pPr>
      <w:r w:rsidRPr="004E2247">
        <w:rPr>
          <w:sz w:val="24"/>
          <w:szCs w:val="32"/>
        </w:rPr>
        <w:t>Allocation quantum policy</w:t>
      </w:r>
    </w:p>
    <w:p w14:paraId="35DC565C" w14:textId="0E670FB6" w:rsidR="003740B4" w:rsidRDefault="003740B4" w:rsidP="003740B4">
      <w:pPr>
        <w:pStyle w:val="Paragraph"/>
      </w:pPr>
      <w:r>
        <w:t xml:space="preserve">Under </w:t>
      </w:r>
      <w:r w:rsidR="00FC0644">
        <w:t>O</w:t>
      </w:r>
      <w:r>
        <w:t xml:space="preserve">ption 1, </w:t>
      </w:r>
      <w:r w:rsidR="00216803">
        <w:t>w</w:t>
      </w:r>
      <w:r>
        <w:t>e are proposing to develop an</w:t>
      </w:r>
      <w:r w:rsidRPr="00D848E3">
        <w:t xml:space="preserve"> </w:t>
      </w:r>
      <w:r>
        <w:t xml:space="preserve">administrative in band </w:t>
      </w:r>
      <w:r w:rsidRPr="00D848E3">
        <w:t xml:space="preserve">allocation </w:t>
      </w:r>
      <w:r>
        <w:t>quantum policy</w:t>
      </w:r>
      <w:r w:rsidRPr="00D848E3">
        <w:t xml:space="preserve"> </w:t>
      </w:r>
      <w:r>
        <w:t xml:space="preserve">in relation to the licensing of spectrum in the </w:t>
      </w:r>
      <w:r w:rsidRPr="00D848E3">
        <w:t>3.</w:t>
      </w:r>
      <w:r>
        <w:t>8</w:t>
      </w:r>
      <w:r w:rsidR="006523A0">
        <w:t>–</w:t>
      </w:r>
      <w:r>
        <w:t>3.95 GHz band for metropolitan and surrounding areas and regional areas.</w:t>
      </w:r>
    </w:p>
    <w:p w14:paraId="60E9D904" w14:textId="20018CDD" w:rsidR="003740B4" w:rsidRDefault="003740B4" w:rsidP="003740B4">
      <w:pPr>
        <w:pStyle w:val="Paragraph"/>
      </w:pPr>
      <w:r>
        <w:t xml:space="preserve">We have the power, under subsection 100(4C) of the Act to, when deciding whether to issue </w:t>
      </w:r>
      <w:r w:rsidR="005C2F65">
        <w:t>a</w:t>
      </w:r>
      <w:r w:rsidR="00B45A0A">
        <w:t xml:space="preserve"> </w:t>
      </w:r>
      <w:r>
        <w:t xml:space="preserve">transmitter licence, have regard to the aggregate of the parts of spectrum that may be used by an applicant under apparatus and spectrum licences. We can, through an administrative </w:t>
      </w:r>
      <w:r w:rsidR="00986506">
        <w:t>allocation quantum policy</w:t>
      </w:r>
      <w:r>
        <w:t xml:space="preserve">, provide guidance to the decision-maker when considering whether to issue a licence, including in relation to the maximum aggregate of spectrum that may be used by a licensee. </w:t>
      </w:r>
    </w:p>
    <w:p w14:paraId="0637673E" w14:textId="012C0BE6" w:rsidR="003740B4" w:rsidRDefault="003740B4" w:rsidP="003740B4">
      <w:pPr>
        <w:pStyle w:val="Paragraph"/>
      </w:pPr>
      <w:r>
        <w:t xml:space="preserve">We consider that </w:t>
      </w:r>
      <w:r w:rsidR="00986506">
        <w:t>an allocation quantum policy</w:t>
      </w:r>
      <w:r>
        <w:t xml:space="preserve"> </w:t>
      </w:r>
      <w:r w:rsidR="008B54B2">
        <w:t>can support</w:t>
      </w:r>
      <w:r w:rsidR="00DA6461">
        <w:t xml:space="preserve"> </w:t>
      </w:r>
      <w:r w:rsidR="008B54B2">
        <w:t>an</w:t>
      </w:r>
      <w:r>
        <w:t xml:space="preserve"> efficient allocation</w:t>
      </w:r>
      <w:r w:rsidR="007B3889">
        <w:t xml:space="preserve"> and</w:t>
      </w:r>
      <w:r>
        <w:t xml:space="preserve"> </w:t>
      </w:r>
      <w:r w:rsidRPr="003D511B">
        <w:t xml:space="preserve">support the deployment of new and innovative </w:t>
      </w:r>
      <w:r w:rsidR="00FC0644" w:rsidRPr="003D511B">
        <w:t>technology and</w:t>
      </w:r>
      <w:r w:rsidR="00EC61F5">
        <w:t xml:space="preserve"> support </w:t>
      </w:r>
      <w:r w:rsidRPr="003D511B">
        <w:t>a range of use</w:t>
      </w:r>
      <w:r>
        <w:t>-</w:t>
      </w:r>
      <w:r w:rsidRPr="003D511B">
        <w:t>cases and users</w:t>
      </w:r>
      <w:r>
        <w:t xml:space="preserve">. An allocation quantum policy also provides flexibility to respond to demand and use-cases as they emerge. </w:t>
      </w:r>
    </w:p>
    <w:p w14:paraId="16806182" w14:textId="1FE76AD9" w:rsidR="003740B4" w:rsidRDefault="003740B4" w:rsidP="003740B4">
      <w:pPr>
        <w:pStyle w:val="Paragraph"/>
        <w:rPr>
          <w:szCs w:val="20"/>
        </w:rPr>
      </w:pPr>
      <w:r>
        <w:rPr>
          <w:szCs w:val="20"/>
        </w:rPr>
        <w:t>We</w:t>
      </w:r>
      <w:r w:rsidRPr="003473CD">
        <w:rPr>
          <w:szCs w:val="20"/>
        </w:rPr>
        <w:t xml:space="preserve"> note</w:t>
      </w:r>
      <w:r>
        <w:rPr>
          <w:szCs w:val="20"/>
        </w:rPr>
        <w:t xml:space="preserve"> for example,</w:t>
      </w:r>
      <w:r w:rsidRPr="003473CD">
        <w:rPr>
          <w:szCs w:val="20"/>
        </w:rPr>
        <w:t xml:space="preserve"> that </w:t>
      </w:r>
      <w:r w:rsidR="00397C54">
        <w:rPr>
          <w:szCs w:val="20"/>
        </w:rPr>
        <w:t>an applicant</w:t>
      </w:r>
      <w:r>
        <w:rPr>
          <w:szCs w:val="20"/>
        </w:rPr>
        <w:t xml:space="preserve"> may seek a </w:t>
      </w:r>
      <w:r w:rsidRPr="003473CD">
        <w:rPr>
          <w:szCs w:val="20"/>
        </w:rPr>
        <w:t>quantum of spectrum</w:t>
      </w:r>
      <w:r>
        <w:rPr>
          <w:szCs w:val="20"/>
        </w:rPr>
        <w:t xml:space="preserve"> </w:t>
      </w:r>
      <w:r w:rsidR="00FC0644">
        <w:rPr>
          <w:szCs w:val="20"/>
        </w:rPr>
        <w:t>more than</w:t>
      </w:r>
      <w:r>
        <w:rPr>
          <w:szCs w:val="20"/>
        </w:rPr>
        <w:t xml:space="preserve"> the </w:t>
      </w:r>
      <w:r w:rsidR="00DD1CDA">
        <w:rPr>
          <w:szCs w:val="20"/>
        </w:rPr>
        <w:t>allocation quantum policy</w:t>
      </w:r>
      <w:r w:rsidR="00E40819">
        <w:rPr>
          <w:szCs w:val="20"/>
        </w:rPr>
        <w:t xml:space="preserve"> in a given geographic area</w:t>
      </w:r>
      <w:r>
        <w:rPr>
          <w:szCs w:val="20"/>
        </w:rPr>
        <w:t xml:space="preserve"> such as to facilitate a</w:t>
      </w:r>
      <w:r w:rsidRPr="003473CD">
        <w:rPr>
          <w:szCs w:val="20"/>
        </w:rPr>
        <w:t xml:space="preserve"> </w:t>
      </w:r>
      <w:r>
        <w:rPr>
          <w:szCs w:val="20"/>
        </w:rPr>
        <w:t>‘</w:t>
      </w:r>
      <w:r w:rsidRPr="003473CD">
        <w:rPr>
          <w:szCs w:val="20"/>
        </w:rPr>
        <w:t>consolidated</w:t>
      </w:r>
      <w:r>
        <w:rPr>
          <w:szCs w:val="20"/>
        </w:rPr>
        <w:t>’</w:t>
      </w:r>
      <w:r w:rsidRPr="003473CD">
        <w:rPr>
          <w:szCs w:val="20"/>
        </w:rPr>
        <w:t xml:space="preserve"> network</w:t>
      </w:r>
      <w:r>
        <w:rPr>
          <w:szCs w:val="20"/>
        </w:rPr>
        <w:t xml:space="preserve"> with multiple use-cases</w:t>
      </w:r>
      <w:r w:rsidRPr="003473CD">
        <w:rPr>
          <w:szCs w:val="20"/>
        </w:rPr>
        <w:t xml:space="preserve"> (for example, a combined mine site and rail network).</w:t>
      </w:r>
      <w:r>
        <w:rPr>
          <w:szCs w:val="20"/>
        </w:rPr>
        <w:t xml:space="preserve"> Where an applicant applies for a quantum of spectrum </w:t>
      </w:r>
      <w:r w:rsidR="00FC0644">
        <w:rPr>
          <w:szCs w:val="20"/>
        </w:rPr>
        <w:t>more than</w:t>
      </w:r>
      <w:r>
        <w:rPr>
          <w:szCs w:val="20"/>
        </w:rPr>
        <w:t xml:space="preserve"> the allocation policy, we would consider any other relevant matters cited by the applicant and whether those matters justify issuing a licence for a larger quantum of spectrum</w:t>
      </w:r>
      <w:r w:rsidR="003E1E8B">
        <w:rPr>
          <w:szCs w:val="20"/>
        </w:rPr>
        <w:t xml:space="preserve"> and the expected demand for spectrum in that </w:t>
      </w:r>
      <w:r w:rsidR="00212D7F">
        <w:rPr>
          <w:szCs w:val="20"/>
        </w:rPr>
        <w:t>area</w:t>
      </w:r>
      <w:r>
        <w:rPr>
          <w:szCs w:val="20"/>
        </w:rPr>
        <w:t xml:space="preserve">. </w:t>
      </w:r>
    </w:p>
    <w:p w14:paraId="11AAA0D0" w14:textId="77777777" w:rsidR="003740B4" w:rsidRDefault="003740B4" w:rsidP="003740B4">
      <w:pPr>
        <w:pStyle w:val="Paragraphbeforelist"/>
        <w:keepNext/>
        <w:keepLines/>
      </w:pPr>
      <w:r>
        <w:rPr>
          <w:szCs w:val="20"/>
        </w:rPr>
        <w:lastRenderedPageBreak/>
        <w:t xml:space="preserve">We have considered 3 options for an in-band allocation quantum policy: </w:t>
      </w:r>
    </w:p>
    <w:p w14:paraId="59E7F452" w14:textId="48F41A80" w:rsidR="003740B4" w:rsidRPr="00FC0644" w:rsidRDefault="003740B4" w:rsidP="00FC0644">
      <w:pPr>
        <w:pStyle w:val="Bulletlevel1"/>
      </w:pPr>
      <w:r w:rsidRPr="00FC0644">
        <w:t>50 MHz</w:t>
      </w:r>
    </w:p>
    <w:p w14:paraId="3294E6CD" w14:textId="3E4C56ED" w:rsidR="003740B4" w:rsidRPr="00FC0644" w:rsidRDefault="003740B4" w:rsidP="00FC0644">
      <w:pPr>
        <w:pStyle w:val="Bulletlevel1"/>
      </w:pPr>
      <w:r w:rsidRPr="00FC0644">
        <w:t>60 MHz</w:t>
      </w:r>
    </w:p>
    <w:p w14:paraId="7493C014" w14:textId="4B603312" w:rsidR="002E1FB8" w:rsidRDefault="003740B4" w:rsidP="00FC0644">
      <w:pPr>
        <w:pStyle w:val="Bulletlevel1"/>
        <w:spacing w:after="240"/>
      </w:pPr>
      <w:r w:rsidRPr="00FC0644">
        <w:t>70 MHz</w:t>
      </w:r>
      <w:r w:rsidR="00FC0644">
        <w:t>.</w:t>
      </w:r>
    </w:p>
    <w:p w14:paraId="6A1B72B7" w14:textId="47454D7E" w:rsidR="005F58C9" w:rsidRPr="005F58C9" w:rsidRDefault="002E1FB8" w:rsidP="005F58C9">
      <w:pPr>
        <w:pStyle w:val="Paragraph"/>
      </w:pPr>
      <w:r>
        <w:t>We note that in metropolitan and surrounding regional areas the overall supply is a maximum of 150 MHz, and in other</w:t>
      </w:r>
      <w:r w:rsidR="003740B4">
        <w:t xml:space="preserve"> </w:t>
      </w:r>
      <w:r w:rsidR="005D3F46">
        <w:t xml:space="preserve">regional areas the supply is </w:t>
      </w:r>
      <w:r w:rsidR="00026E6A">
        <w:t>200 MHz.</w:t>
      </w:r>
      <w:r w:rsidR="005F58C9">
        <w:t xml:space="preserve"> </w:t>
      </w:r>
      <w:r w:rsidR="00502205">
        <w:t>T</w:t>
      </w:r>
      <w:r w:rsidR="005F58C9" w:rsidRPr="005F58C9">
        <w:t>here may</w:t>
      </w:r>
      <w:r w:rsidR="00297EB9">
        <w:t xml:space="preserve"> be</w:t>
      </w:r>
      <w:r w:rsidR="005F58C9" w:rsidRPr="005F58C9">
        <w:t xml:space="preserve"> some areas where a smaller quantum is available due to incumbent services or coordination with incumbent services. As such, a lower maximum may apply to some locations.</w:t>
      </w:r>
      <w:r w:rsidR="00EC49DA">
        <w:t xml:space="preserve"> </w:t>
      </w:r>
    </w:p>
    <w:p w14:paraId="6A1B09A4" w14:textId="069DA782" w:rsidR="003740B4" w:rsidRPr="005F58C9" w:rsidRDefault="003740B4" w:rsidP="003740B4">
      <w:pPr>
        <w:pStyle w:val="Paragraph"/>
      </w:pPr>
      <w:r w:rsidRPr="005F58C9">
        <w:t xml:space="preserve">We invite views from stakeholders about the application of an allocation quantum policy, and its relevant quantum, for the issue of apparatus licences in the 3.8 GHz band. </w:t>
      </w:r>
    </w:p>
    <w:p w14:paraId="2A4DBA23" w14:textId="720D992D" w:rsidR="003740B4" w:rsidRDefault="003740B4" w:rsidP="009469A5">
      <w:pPr>
        <w:pStyle w:val="Heading3"/>
        <w:spacing w:before="0"/>
        <w:rPr>
          <w:sz w:val="24"/>
          <w:szCs w:val="24"/>
        </w:rPr>
      </w:pPr>
      <w:r w:rsidRPr="4B8E25F4">
        <w:rPr>
          <w:sz w:val="24"/>
          <w:szCs w:val="24"/>
        </w:rPr>
        <w:t xml:space="preserve">Allocation window/allocation principles </w:t>
      </w:r>
    </w:p>
    <w:p w14:paraId="02EAA2B1" w14:textId="0BFADA45" w:rsidR="003740B4" w:rsidRDefault="00AD29D7" w:rsidP="003740B4">
      <w:pPr>
        <w:pStyle w:val="Paragraph"/>
        <w:rPr>
          <w:szCs w:val="20"/>
        </w:rPr>
      </w:pPr>
      <w:r>
        <w:t>T</w:t>
      </w:r>
      <w:r w:rsidR="003740B4">
        <w:t xml:space="preserve">here are areas in the 3.8 GHz band where </w:t>
      </w:r>
      <w:r w:rsidR="00FC0644">
        <w:t xml:space="preserve">demand </w:t>
      </w:r>
      <w:r w:rsidR="00FC0644" w:rsidDel="00AD29D7">
        <w:t>is</w:t>
      </w:r>
      <w:r w:rsidR="003740B4">
        <w:t xml:space="preserve"> expected to exceed </w:t>
      </w:r>
      <w:r>
        <w:t xml:space="preserve">spectrum </w:t>
      </w:r>
      <w:r w:rsidR="003740B4">
        <w:t xml:space="preserve">supply. </w:t>
      </w:r>
      <w:r w:rsidR="003740B4" w:rsidRPr="00181AA0">
        <w:rPr>
          <w:szCs w:val="20"/>
        </w:rPr>
        <w:t>A first-in-time</w:t>
      </w:r>
      <w:r w:rsidR="00D140F7">
        <w:rPr>
          <w:szCs w:val="20"/>
        </w:rPr>
        <w:t xml:space="preserve"> allocation</w:t>
      </w:r>
      <w:r w:rsidR="003740B4" w:rsidRPr="00181AA0">
        <w:rPr>
          <w:szCs w:val="20"/>
        </w:rPr>
        <w:t xml:space="preserve"> approach </w:t>
      </w:r>
      <w:r w:rsidR="004B2AD1">
        <w:rPr>
          <w:szCs w:val="20"/>
        </w:rPr>
        <w:t xml:space="preserve">where applications are </w:t>
      </w:r>
      <w:r w:rsidR="00E84115">
        <w:rPr>
          <w:szCs w:val="20"/>
        </w:rPr>
        <w:t>considered</w:t>
      </w:r>
      <w:r w:rsidR="004B2AD1">
        <w:rPr>
          <w:szCs w:val="20"/>
        </w:rPr>
        <w:t xml:space="preserve"> in the</w:t>
      </w:r>
      <w:r w:rsidR="00204FF6">
        <w:rPr>
          <w:szCs w:val="20"/>
        </w:rPr>
        <w:t xml:space="preserve"> sequential</w:t>
      </w:r>
      <w:r w:rsidR="004B2AD1">
        <w:rPr>
          <w:szCs w:val="20"/>
        </w:rPr>
        <w:t xml:space="preserve"> order in which they are received, </w:t>
      </w:r>
      <w:r w:rsidR="003740B4" w:rsidRPr="00181AA0">
        <w:rPr>
          <w:szCs w:val="20"/>
        </w:rPr>
        <w:t>would</w:t>
      </w:r>
      <w:r w:rsidR="003740B4">
        <w:rPr>
          <w:szCs w:val="20"/>
        </w:rPr>
        <w:t xml:space="preserve"> involve the</w:t>
      </w:r>
      <w:r w:rsidR="003740B4" w:rsidRPr="00181AA0">
        <w:rPr>
          <w:szCs w:val="20"/>
        </w:rPr>
        <w:t xml:space="preserve"> risk that in circumstances where demand exceeds supply, the allocation outcome would ultimately be decided </w:t>
      </w:r>
      <w:r w:rsidR="00384A7C">
        <w:rPr>
          <w:szCs w:val="20"/>
        </w:rPr>
        <w:t>or significantly</w:t>
      </w:r>
      <w:r w:rsidR="003740B4" w:rsidRPr="00181AA0">
        <w:rPr>
          <w:szCs w:val="20"/>
        </w:rPr>
        <w:t xml:space="preserve"> </w:t>
      </w:r>
      <w:r w:rsidR="009531FF">
        <w:rPr>
          <w:szCs w:val="20"/>
        </w:rPr>
        <w:t>affected</w:t>
      </w:r>
      <w:r w:rsidR="003740B4" w:rsidRPr="00181AA0">
        <w:rPr>
          <w:szCs w:val="20"/>
        </w:rPr>
        <w:t xml:space="preserve"> by </w:t>
      </w:r>
      <w:r w:rsidR="003740B4">
        <w:rPr>
          <w:szCs w:val="20"/>
        </w:rPr>
        <w:t xml:space="preserve">the sequence of </w:t>
      </w:r>
      <w:r w:rsidR="004B2AD1">
        <w:rPr>
          <w:szCs w:val="20"/>
        </w:rPr>
        <w:t xml:space="preserve">those </w:t>
      </w:r>
      <w:r w:rsidR="003740B4" w:rsidRPr="00181AA0">
        <w:rPr>
          <w:szCs w:val="20"/>
        </w:rPr>
        <w:t>application</w:t>
      </w:r>
      <w:r w:rsidR="003740B4">
        <w:rPr>
          <w:szCs w:val="20"/>
        </w:rPr>
        <w:t>s</w:t>
      </w:r>
      <w:r w:rsidR="003740B4" w:rsidRPr="00181AA0">
        <w:rPr>
          <w:szCs w:val="20"/>
        </w:rPr>
        <w:t>.</w:t>
      </w:r>
    </w:p>
    <w:p w14:paraId="6B66065A" w14:textId="1D7D9245" w:rsidR="003740B4" w:rsidRDefault="003740B4" w:rsidP="003740B4">
      <w:pPr>
        <w:pStyle w:val="Paragraph"/>
        <w:rPr>
          <w:szCs w:val="20"/>
        </w:rPr>
      </w:pPr>
      <w:r>
        <w:rPr>
          <w:szCs w:val="20"/>
        </w:rPr>
        <w:t>T</w:t>
      </w:r>
      <w:r w:rsidRPr="00506878">
        <w:rPr>
          <w:szCs w:val="20"/>
        </w:rPr>
        <w:t>o enhance the efficiency of allocation,</w:t>
      </w:r>
      <w:r w:rsidR="00532295">
        <w:rPr>
          <w:szCs w:val="20"/>
        </w:rPr>
        <w:t xml:space="preserve"> </w:t>
      </w:r>
      <w:r w:rsidR="006523A0">
        <w:rPr>
          <w:szCs w:val="20"/>
        </w:rPr>
        <w:t>O</w:t>
      </w:r>
      <w:r w:rsidR="001E0D50">
        <w:rPr>
          <w:szCs w:val="20"/>
        </w:rPr>
        <w:t xml:space="preserve">ption 1 </w:t>
      </w:r>
      <w:r>
        <w:rPr>
          <w:szCs w:val="20"/>
        </w:rPr>
        <w:t>adopt</w:t>
      </w:r>
      <w:r w:rsidR="00675DAC">
        <w:rPr>
          <w:szCs w:val="20"/>
        </w:rPr>
        <w:t>s</w:t>
      </w:r>
      <w:r>
        <w:rPr>
          <w:szCs w:val="20"/>
        </w:rPr>
        <w:t xml:space="preserve"> </w:t>
      </w:r>
      <w:r w:rsidRPr="00506878">
        <w:rPr>
          <w:szCs w:val="20"/>
        </w:rPr>
        <w:t>an ‘allocation window/allocation principles’ approach</w:t>
      </w:r>
      <w:r>
        <w:rPr>
          <w:szCs w:val="20"/>
        </w:rPr>
        <w:t xml:space="preserve">. </w:t>
      </w:r>
      <w:r w:rsidRPr="00E44B49">
        <w:rPr>
          <w:szCs w:val="20"/>
        </w:rPr>
        <w:t xml:space="preserve">An allocation window provides for a staged approach to considering applications, depending on whether there are competing applications and sufficient spectrum to </w:t>
      </w:r>
      <w:r w:rsidR="00F8634F">
        <w:rPr>
          <w:szCs w:val="20"/>
        </w:rPr>
        <w:t xml:space="preserve">issue licences </w:t>
      </w:r>
      <w:r w:rsidR="00FC0644">
        <w:rPr>
          <w:szCs w:val="20"/>
        </w:rPr>
        <w:t>because of</w:t>
      </w:r>
      <w:r w:rsidRPr="00E44B49">
        <w:rPr>
          <w:szCs w:val="20"/>
        </w:rPr>
        <w:t xml:space="preserve"> all applications.</w:t>
      </w:r>
    </w:p>
    <w:p w14:paraId="63AB3284" w14:textId="1B2F9EE8" w:rsidR="004F5925" w:rsidRDefault="004F5925" w:rsidP="003740B4">
      <w:pPr>
        <w:pStyle w:val="Paragraph"/>
        <w:rPr>
          <w:szCs w:val="20"/>
        </w:rPr>
      </w:pPr>
      <w:r w:rsidRPr="00F86985">
        <w:rPr>
          <w:szCs w:val="20"/>
        </w:rPr>
        <w:t>Where the ACMA receive</w:t>
      </w:r>
      <w:r>
        <w:rPr>
          <w:szCs w:val="20"/>
        </w:rPr>
        <w:t>s</w:t>
      </w:r>
      <w:r w:rsidRPr="00F86985">
        <w:rPr>
          <w:szCs w:val="20"/>
        </w:rPr>
        <w:t xml:space="preserve"> applications for spectrum that </w:t>
      </w:r>
      <w:r>
        <w:rPr>
          <w:szCs w:val="20"/>
        </w:rPr>
        <w:t xml:space="preserve">do </w:t>
      </w:r>
      <w:r w:rsidRPr="00F86985">
        <w:rPr>
          <w:szCs w:val="20"/>
        </w:rPr>
        <w:t xml:space="preserve">not exceed the available supply, </w:t>
      </w:r>
      <w:r>
        <w:rPr>
          <w:szCs w:val="20"/>
        </w:rPr>
        <w:t>a licence will generally be issued</w:t>
      </w:r>
      <w:r w:rsidRPr="00F86985">
        <w:rPr>
          <w:szCs w:val="20"/>
        </w:rPr>
        <w:t xml:space="preserve"> to the </w:t>
      </w:r>
      <w:r>
        <w:rPr>
          <w:szCs w:val="20"/>
        </w:rPr>
        <w:t xml:space="preserve">respective </w:t>
      </w:r>
      <w:r w:rsidRPr="00F86985">
        <w:rPr>
          <w:szCs w:val="20"/>
        </w:rPr>
        <w:t xml:space="preserve">applicants (subject to any allocation </w:t>
      </w:r>
      <w:r>
        <w:rPr>
          <w:szCs w:val="20"/>
        </w:rPr>
        <w:t>quantum policy</w:t>
      </w:r>
      <w:r w:rsidRPr="00F86985">
        <w:rPr>
          <w:szCs w:val="20"/>
        </w:rPr>
        <w:t>). Where the ACMA receive</w:t>
      </w:r>
      <w:r>
        <w:rPr>
          <w:szCs w:val="20"/>
        </w:rPr>
        <w:t>s</w:t>
      </w:r>
      <w:r w:rsidRPr="00F86985">
        <w:rPr>
          <w:szCs w:val="20"/>
        </w:rPr>
        <w:t xml:space="preserve"> applications for </w:t>
      </w:r>
      <w:r>
        <w:rPr>
          <w:szCs w:val="20"/>
        </w:rPr>
        <w:t>AWLs</w:t>
      </w:r>
      <w:r w:rsidRPr="00F86985">
        <w:rPr>
          <w:szCs w:val="20"/>
        </w:rPr>
        <w:t xml:space="preserve"> </w:t>
      </w:r>
      <w:r>
        <w:rPr>
          <w:szCs w:val="20"/>
        </w:rPr>
        <w:t xml:space="preserve">and the aggregate quantum of spectrum applied for across all applications </w:t>
      </w:r>
      <w:r w:rsidRPr="00F86985">
        <w:rPr>
          <w:szCs w:val="20"/>
        </w:rPr>
        <w:t>exceed</w:t>
      </w:r>
      <w:r>
        <w:rPr>
          <w:szCs w:val="20"/>
        </w:rPr>
        <w:t>s</w:t>
      </w:r>
      <w:r w:rsidRPr="00F86985">
        <w:rPr>
          <w:szCs w:val="20"/>
        </w:rPr>
        <w:t xml:space="preserve"> the available supply </w:t>
      </w:r>
      <w:r>
        <w:rPr>
          <w:szCs w:val="20"/>
        </w:rPr>
        <w:t>in a particular geographic area</w:t>
      </w:r>
      <w:r w:rsidRPr="00F86985">
        <w:rPr>
          <w:szCs w:val="20"/>
        </w:rPr>
        <w:t xml:space="preserve">, </w:t>
      </w:r>
      <w:r>
        <w:rPr>
          <w:szCs w:val="20"/>
        </w:rPr>
        <w:t>we will</w:t>
      </w:r>
      <w:r w:rsidRPr="00F86985">
        <w:rPr>
          <w:szCs w:val="20"/>
        </w:rPr>
        <w:t xml:space="preserve"> </w:t>
      </w:r>
      <w:r>
        <w:rPr>
          <w:szCs w:val="20"/>
        </w:rPr>
        <w:t xml:space="preserve">generally </w:t>
      </w:r>
      <w:r w:rsidRPr="00F86985">
        <w:rPr>
          <w:szCs w:val="20"/>
        </w:rPr>
        <w:t xml:space="preserve">decide which applicants </w:t>
      </w:r>
      <w:r>
        <w:rPr>
          <w:szCs w:val="20"/>
        </w:rPr>
        <w:t>are</w:t>
      </w:r>
      <w:r w:rsidRPr="00F86985">
        <w:rPr>
          <w:szCs w:val="20"/>
        </w:rPr>
        <w:t xml:space="preserve"> </w:t>
      </w:r>
      <w:r>
        <w:rPr>
          <w:szCs w:val="20"/>
        </w:rPr>
        <w:t>issued AWLs, and the quantum of spectrum covered by the AWLs,</w:t>
      </w:r>
      <w:r w:rsidRPr="00F86985">
        <w:rPr>
          <w:szCs w:val="20"/>
        </w:rPr>
        <w:t xml:space="preserve"> based on </w:t>
      </w:r>
      <w:r w:rsidR="00DA3129">
        <w:rPr>
          <w:szCs w:val="20"/>
        </w:rPr>
        <w:t>an</w:t>
      </w:r>
      <w:r w:rsidRPr="00F86985">
        <w:rPr>
          <w:szCs w:val="20"/>
        </w:rPr>
        <w:t xml:space="preserve"> assessment of the </w:t>
      </w:r>
      <w:r w:rsidR="00230AC0">
        <w:rPr>
          <w:szCs w:val="20"/>
        </w:rPr>
        <w:t>competing demand for spectrum</w:t>
      </w:r>
      <w:r>
        <w:rPr>
          <w:szCs w:val="20"/>
        </w:rPr>
        <w:t>.</w:t>
      </w:r>
    </w:p>
    <w:p w14:paraId="150A51AF" w14:textId="13704986" w:rsidR="00D01452" w:rsidRDefault="00D01452" w:rsidP="00D01452">
      <w:pPr>
        <w:pStyle w:val="Paragraph"/>
        <w:rPr>
          <w:szCs w:val="20"/>
        </w:rPr>
      </w:pPr>
      <w:r w:rsidRPr="00D656F6">
        <w:rPr>
          <w:szCs w:val="20"/>
        </w:rPr>
        <w:t xml:space="preserve">Use of an allocation window necessitates the development of allocation principles to provide the decision-maker </w:t>
      </w:r>
      <w:r>
        <w:rPr>
          <w:szCs w:val="20"/>
        </w:rPr>
        <w:t>with guiding criteria</w:t>
      </w:r>
      <w:r w:rsidRPr="00D656F6" w:rsidDel="00A73241">
        <w:rPr>
          <w:szCs w:val="20"/>
        </w:rPr>
        <w:t xml:space="preserve"> </w:t>
      </w:r>
      <w:r w:rsidRPr="00D656F6">
        <w:rPr>
          <w:szCs w:val="20"/>
        </w:rPr>
        <w:t>when considering whether to issue a</w:t>
      </w:r>
      <w:r>
        <w:rPr>
          <w:szCs w:val="20"/>
        </w:rPr>
        <w:t>n</w:t>
      </w:r>
      <w:r w:rsidRPr="00D656F6">
        <w:rPr>
          <w:szCs w:val="20"/>
        </w:rPr>
        <w:t xml:space="preserve"> </w:t>
      </w:r>
      <w:r>
        <w:rPr>
          <w:szCs w:val="20"/>
        </w:rPr>
        <w:t>AWL</w:t>
      </w:r>
      <w:r w:rsidRPr="00D656F6">
        <w:rPr>
          <w:szCs w:val="20"/>
        </w:rPr>
        <w:t xml:space="preserve"> if there is excess demand from competing applications.</w:t>
      </w:r>
    </w:p>
    <w:p w14:paraId="55C14FED" w14:textId="408ACF54" w:rsidR="005A1A96" w:rsidRDefault="005A1A96" w:rsidP="009469A5">
      <w:pPr>
        <w:pStyle w:val="Heading3"/>
      </w:pPr>
      <w:r>
        <w:t xml:space="preserve">Allocation principles in the first allocation window </w:t>
      </w:r>
    </w:p>
    <w:p w14:paraId="653B6D7A" w14:textId="2D530112" w:rsidR="00D01452" w:rsidRPr="003933A9" w:rsidRDefault="00D01452" w:rsidP="00D01452">
      <w:pPr>
        <w:pStyle w:val="Paragraphbeforelist"/>
      </w:pPr>
      <w:r>
        <w:t xml:space="preserve">Given the </w:t>
      </w:r>
      <w:r w:rsidR="00F903CD">
        <w:t xml:space="preserve">proposed </w:t>
      </w:r>
      <w:r>
        <w:t>imposition of</w:t>
      </w:r>
      <w:r w:rsidR="00F903CD">
        <w:t xml:space="preserve"> a</w:t>
      </w:r>
      <w:r>
        <w:t xml:space="preserve"> nil MHz allocation limit under Option 1, we consider that the allocation principles used in the forthcoming allocation of remote 3.4–4.0 GHz AWLs are fit for purpose. Therefore, under Option 1, i</w:t>
      </w:r>
      <w:r w:rsidRPr="003933A9">
        <w:t>n circumstances where there is competing demand for spectrum in a geographic area</w:t>
      </w:r>
      <w:r>
        <w:t xml:space="preserve"> within the allocation window</w:t>
      </w:r>
      <w:r w:rsidRPr="003933A9">
        <w:t xml:space="preserve">, </w:t>
      </w:r>
      <w:r>
        <w:t xml:space="preserve">we </w:t>
      </w:r>
      <w:r w:rsidR="00A06188">
        <w:t>would</w:t>
      </w:r>
      <w:r w:rsidRPr="003933A9">
        <w:t xml:space="preserve"> consider applications in accordance with the following allocation principles: </w:t>
      </w:r>
    </w:p>
    <w:p w14:paraId="33E3DF20" w14:textId="5BCDFBC5" w:rsidR="00D01452" w:rsidRPr="003933A9" w:rsidRDefault="00FC0644" w:rsidP="00FE69BE">
      <w:pPr>
        <w:pStyle w:val="Bulletlevel1"/>
      </w:pPr>
      <w:r>
        <w:t>t</w:t>
      </w:r>
      <w:r w:rsidR="00D01452" w:rsidRPr="003933A9">
        <w:t xml:space="preserve">he </w:t>
      </w:r>
      <w:r w:rsidR="00D01452">
        <w:t>geographical</w:t>
      </w:r>
      <w:r w:rsidR="00D01452" w:rsidRPr="003933A9">
        <w:t xml:space="preserve"> </w:t>
      </w:r>
      <w:r w:rsidR="00D01452">
        <w:t>area of each licence issued</w:t>
      </w:r>
      <w:r w:rsidR="00D01452" w:rsidRPr="003933A9" w:rsidDel="00F32746">
        <w:t xml:space="preserve"> </w:t>
      </w:r>
      <w:r w:rsidR="00D01452">
        <w:t xml:space="preserve">should </w:t>
      </w:r>
      <w:r w:rsidR="00D01452" w:rsidRPr="003933A9">
        <w:t>be consistent with the proposed use-cases of the application received</w:t>
      </w:r>
    </w:p>
    <w:p w14:paraId="47F3A77D" w14:textId="1F54842C" w:rsidR="00D01452" w:rsidRPr="003933A9" w:rsidRDefault="00FC0644" w:rsidP="00FE69BE">
      <w:pPr>
        <w:pStyle w:val="Bulletlevel1"/>
      </w:pPr>
      <w:r>
        <w:t>e</w:t>
      </w:r>
      <w:r w:rsidR="00D01452">
        <w:t>ach licence issued should</w:t>
      </w:r>
      <w:r w:rsidR="00D01452" w:rsidRPr="003933A9">
        <w:t xml:space="preserve"> promote the efficient use of spectrum in a manner consistent with the technical arrangements supporting planned uses</w:t>
      </w:r>
    </w:p>
    <w:p w14:paraId="696D5095" w14:textId="10E65F86" w:rsidR="00D01452" w:rsidRPr="003933A9" w:rsidRDefault="00FC0644" w:rsidP="00FE69BE">
      <w:pPr>
        <w:pStyle w:val="Bulletlevel1"/>
      </w:pPr>
      <w:r>
        <w:t>t</w:t>
      </w:r>
      <w:r w:rsidR="00635251">
        <w:t>he allocation</w:t>
      </w:r>
      <w:r w:rsidR="00884D7B">
        <w:t xml:space="preserve"> </w:t>
      </w:r>
      <w:r w:rsidR="00B36418">
        <w:t>will seek</w:t>
      </w:r>
      <w:r w:rsidR="007B0996">
        <w:t xml:space="preserve"> to acco</w:t>
      </w:r>
      <w:r w:rsidR="006463E2">
        <w:t xml:space="preserve">mmodate all </w:t>
      </w:r>
      <w:r w:rsidR="008708BA">
        <w:t>applicants</w:t>
      </w:r>
      <w:r w:rsidR="00D01452">
        <w:t xml:space="preserve"> </w:t>
      </w:r>
    </w:p>
    <w:p w14:paraId="21B94CBB" w14:textId="3ABEB89F" w:rsidR="00D01452" w:rsidRPr="003933A9" w:rsidRDefault="00FC0644" w:rsidP="00FE69BE">
      <w:pPr>
        <w:pStyle w:val="Bulletlevel1"/>
        <w:spacing w:after="240"/>
      </w:pPr>
      <w:r>
        <w:t>c</w:t>
      </w:r>
      <w:r w:rsidR="00D01452">
        <w:t>onsider</w:t>
      </w:r>
      <w:r w:rsidR="00D01452" w:rsidRPr="003933A9">
        <w:t xml:space="preserve"> </w:t>
      </w:r>
      <w:r w:rsidR="00D01452">
        <w:t xml:space="preserve">for each applicant </w:t>
      </w:r>
      <w:r w:rsidR="00D01452" w:rsidRPr="003933A9">
        <w:t xml:space="preserve">the extent to which a </w:t>
      </w:r>
      <w:r w:rsidR="002C1139">
        <w:t xml:space="preserve">refusal to </w:t>
      </w:r>
      <w:r w:rsidR="00796753">
        <w:t>issue the licence applied for</w:t>
      </w:r>
      <w:r w:rsidR="00D01452" w:rsidRPr="003933A9">
        <w:t xml:space="preserve"> would affect the ability of the applicant to deploy services.</w:t>
      </w:r>
    </w:p>
    <w:p w14:paraId="4FF9454E" w14:textId="6EFD529C" w:rsidR="00D01452" w:rsidRDefault="00D01452" w:rsidP="009469A5">
      <w:pPr>
        <w:pStyle w:val="Paragraphbeforelist"/>
        <w:spacing w:before="240" w:line="276" w:lineRule="auto"/>
        <w:rPr>
          <w:szCs w:val="20"/>
        </w:rPr>
      </w:pPr>
      <w:r w:rsidRPr="003933A9" w:rsidDel="00E1611A">
        <w:rPr>
          <w:szCs w:val="20"/>
        </w:rPr>
        <w:lastRenderedPageBreak/>
        <w:t xml:space="preserve">In addition to the principles, each application would need to be considered on its own merits with respect to any other relevant matters that apply to a decision whether to issue a licence. </w:t>
      </w:r>
    </w:p>
    <w:p w14:paraId="20A34DF1" w14:textId="1D28C8BA" w:rsidR="00DE3DFE" w:rsidRDefault="00B70F0F" w:rsidP="00FE69BE">
      <w:pPr>
        <w:pStyle w:val="Paragraph"/>
      </w:pPr>
      <w:r w:rsidRPr="00FC0644">
        <w:t xml:space="preserve">For decisions about licence issue, we would have regard to the object of the Act, the MPS and any relevant government policies, as well as the desirable planning outcomes we have identified for the band. In all decisions whether to issue an apparatus licence, we must </w:t>
      </w:r>
      <w:r w:rsidR="00FC0644" w:rsidRPr="00FC0644">
        <w:t>consider</w:t>
      </w:r>
      <w:r w:rsidRPr="00FC0644">
        <w:t xml:space="preserve"> the matters in subsections 100(4) and (6) of the Act. Other parts of section 100 may also be relevant to any decision.  </w:t>
      </w:r>
    </w:p>
    <w:p w14:paraId="2DE4CE54" w14:textId="007CA2A7" w:rsidR="005A1A96" w:rsidRPr="00FC0644" w:rsidRDefault="00613DC7" w:rsidP="00FC0644">
      <w:pPr>
        <w:pStyle w:val="Heading3"/>
      </w:pPr>
      <w:r w:rsidRPr="00FC0644">
        <w:t>S</w:t>
      </w:r>
      <w:r w:rsidR="005A1A96" w:rsidRPr="00FC0644">
        <w:t xml:space="preserve">econd allocation </w:t>
      </w:r>
      <w:r w:rsidRPr="00FC0644">
        <w:t xml:space="preserve">process under </w:t>
      </w:r>
      <w:r w:rsidR="009B461D" w:rsidRPr="00FC0644">
        <w:t>O</w:t>
      </w:r>
      <w:r w:rsidRPr="00FC0644">
        <w:t>ption 1</w:t>
      </w:r>
    </w:p>
    <w:p w14:paraId="1A6A5669" w14:textId="5D198FC3" w:rsidR="00613DC7" w:rsidRDefault="002C0CC2" w:rsidP="005A1A96">
      <w:r>
        <w:t xml:space="preserve">Given that the nil MHz limit will </w:t>
      </w:r>
      <w:r w:rsidR="007E5394">
        <w:t>cease</w:t>
      </w:r>
      <w:r>
        <w:t xml:space="preserve"> </w:t>
      </w:r>
      <w:r w:rsidR="00FC0644">
        <w:t>6</w:t>
      </w:r>
      <w:r w:rsidR="00613DC7">
        <w:t xml:space="preserve"> months </w:t>
      </w:r>
      <w:r w:rsidR="00CA14E6">
        <w:t xml:space="preserve">following the start of the allocation window, there is a question about how to open the band up for applications from a potentially wider group </w:t>
      </w:r>
      <w:r w:rsidR="004769D2">
        <w:t xml:space="preserve">of </w:t>
      </w:r>
      <w:r w:rsidR="00CA14E6">
        <w:t>applicants</w:t>
      </w:r>
      <w:r w:rsidR="00866F3F">
        <w:t>, including for example WA WBB applicants</w:t>
      </w:r>
      <w:r w:rsidR="005B0118">
        <w:t>.</w:t>
      </w:r>
    </w:p>
    <w:p w14:paraId="7CA5290D" w14:textId="5D8D1F5E" w:rsidR="005B0118" w:rsidRDefault="005B0118" w:rsidP="00FE69BE">
      <w:pPr>
        <w:spacing w:after="80"/>
      </w:pPr>
      <w:r>
        <w:t xml:space="preserve">We consider that these options would be reasonable for the second allocation process: </w:t>
      </w:r>
    </w:p>
    <w:p w14:paraId="6724C0C5" w14:textId="315829B5" w:rsidR="005B0118" w:rsidRDefault="005B0118" w:rsidP="00FE69BE">
      <w:pPr>
        <w:pStyle w:val="Bulletlevel1"/>
      </w:pPr>
      <w:r>
        <w:t xml:space="preserve">Option 1: </w:t>
      </w:r>
      <w:r w:rsidR="00FC0644">
        <w:t>i</w:t>
      </w:r>
      <w:r>
        <w:t>ssue licen</w:t>
      </w:r>
      <w:r w:rsidR="00932180">
        <w:t>c</w:t>
      </w:r>
      <w:r>
        <w:t>es via allocation window approach, akin to the approach used for the first allocation process</w:t>
      </w:r>
    </w:p>
    <w:p w14:paraId="080438E3" w14:textId="6D791A9D" w:rsidR="005B0118" w:rsidRDefault="005B0118" w:rsidP="00FE69BE">
      <w:pPr>
        <w:pStyle w:val="Bulletlevel1"/>
        <w:spacing w:after="240"/>
      </w:pPr>
      <w:r>
        <w:t xml:space="preserve">Option 2: </w:t>
      </w:r>
      <w:r w:rsidR="00FC0644">
        <w:t>i</w:t>
      </w:r>
      <w:r>
        <w:t>ssue licen</w:t>
      </w:r>
      <w:r w:rsidR="00874EB6">
        <w:t>c</w:t>
      </w:r>
      <w:r>
        <w:t>e</w:t>
      </w:r>
      <w:r w:rsidR="00874EB6">
        <w:t>s</w:t>
      </w:r>
      <w:r>
        <w:t xml:space="preserve"> via a first-in-time approach. </w:t>
      </w:r>
    </w:p>
    <w:p w14:paraId="0708FA8B" w14:textId="65579397" w:rsidR="002666E8" w:rsidRDefault="2AB24595" w:rsidP="00341A0B">
      <w:r>
        <w:t>Reapplying the allocation window approach</w:t>
      </w:r>
      <w:r w:rsidR="008B02F0">
        <w:t xml:space="preserve"> would provide a comprehensive review of applications in line with our guiding policy objectives for this allocation, rather than decision-making being guided by the sequence of applications, which could potentially result in some application being unnecessarily denied access to an AWL. </w:t>
      </w:r>
      <w:r w:rsidR="009D0104">
        <w:t>In our view</w:t>
      </w:r>
      <w:r w:rsidR="00081F58" w:rsidDel="37A065B1">
        <w:t xml:space="preserve">, where there exists a greater risk of </w:t>
      </w:r>
      <w:r w:rsidR="37A065B1" w:rsidDel="00341A0B">
        <w:t>excess demand, an allocation window may</w:t>
      </w:r>
      <w:r w:rsidR="78B4CBA5" w:rsidDel="00341A0B">
        <w:t xml:space="preserve"> provide for a more efficient allocation than a first-in-time process.</w:t>
      </w:r>
      <w:r w:rsidR="4D3CB8CF" w:rsidDel="00341A0B">
        <w:t xml:space="preserve"> </w:t>
      </w:r>
    </w:p>
    <w:p w14:paraId="4F691102" w14:textId="2071988F" w:rsidR="005A1A96" w:rsidRDefault="002F1C1C">
      <w:r>
        <w:t>Under this approach, f</w:t>
      </w:r>
      <w:r w:rsidR="00E60962">
        <w:t>or</w:t>
      </w:r>
      <w:r w:rsidR="002C0CC2">
        <w:t xml:space="preserve"> the second allocation window, we </w:t>
      </w:r>
      <w:r w:rsidR="00FE69BE">
        <w:t xml:space="preserve">consider </w:t>
      </w:r>
      <w:r w:rsidR="002C0CC2">
        <w:t xml:space="preserve">that the criteria used for the first allocation window would be fit-for-purpose to be reused in the decision-making for this allocation window. </w:t>
      </w:r>
    </w:p>
    <w:p w14:paraId="1F44720D" w14:textId="0FB28869" w:rsidR="0041711C" w:rsidRPr="005A1A96" w:rsidRDefault="0041711C" w:rsidP="009469A5">
      <w:r>
        <w:t xml:space="preserve">We invite views from stakeholders about whether an allocation principles approach or first-in time approach is suitable for the second allocation window. </w:t>
      </w:r>
    </w:p>
    <w:p w14:paraId="7B015BFC" w14:textId="7F4828A9" w:rsidR="00FB2487" w:rsidRPr="002345E0" w:rsidRDefault="001323F1" w:rsidP="000A5876">
      <w:pPr>
        <w:pStyle w:val="Heading3"/>
        <w:spacing w:line="276" w:lineRule="auto"/>
        <w:rPr>
          <w:sz w:val="24"/>
          <w:szCs w:val="32"/>
        </w:rPr>
      </w:pPr>
      <w:r>
        <w:rPr>
          <w:sz w:val="24"/>
          <w:szCs w:val="32"/>
        </w:rPr>
        <w:t>A</w:t>
      </w:r>
      <w:r w:rsidR="00FB2487">
        <w:rPr>
          <w:sz w:val="24"/>
          <w:szCs w:val="32"/>
        </w:rPr>
        <w:t xml:space="preserve">llocation limits </w:t>
      </w:r>
    </w:p>
    <w:p w14:paraId="0628B0E6" w14:textId="04DCADB0" w:rsidR="00897EB4" w:rsidRDefault="003E766E" w:rsidP="00DA6461">
      <w:pPr>
        <w:pStyle w:val="Paragraph"/>
      </w:pPr>
      <w:r>
        <w:t xml:space="preserve">As noted above, </w:t>
      </w:r>
      <w:r w:rsidR="00856231">
        <w:t xml:space="preserve">one of the relevant objectives </w:t>
      </w:r>
      <w:r w:rsidR="00856231" w:rsidRPr="00D65FC8">
        <w:rPr>
          <w:szCs w:val="26"/>
        </w:rPr>
        <w:t>for</w:t>
      </w:r>
      <w:r w:rsidR="00856231">
        <w:t xml:space="preserve"> this band is to support a range of users and use cases. </w:t>
      </w:r>
      <w:r w:rsidR="00895F18">
        <w:t xml:space="preserve">As per the </w:t>
      </w:r>
      <w:r w:rsidR="00705A67">
        <w:t>2021</w:t>
      </w:r>
      <w:r w:rsidR="00AF7AD8">
        <w:t xml:space="preserve"> outcomes paper</w:t>
      </w:r>
      <w:r w:rsidR="004B10EA">
        <w:t>,</w:t>
      </w:r>
      <w:r w:rsidR="00895F18">
        <w:t xml:space="preserve"> </w:t>
      </w:r>
      <w:r w:rsidR="0093411F">
        <w:t>t</w:t>
      </w:r>
      <w:r w:rsidR="00856231">
        <w:t xml:space="preserve">his </w:t>
      </w:r>
      <w:r w:rsidR="00640156">
        <w:t>3.8 GHz</w:t>
      </w:r>
      <w:r w:rsidR="00F24947">
        <w:t xml:space="preserve"> band</w:t>
      </w:r>
      <w:r w:rsidR="00640156">
        <w:t xml:space="preserve"> allocation is specifically designed to support LA WBB providers, which contrasts with the </w:t>
      </w:r>
      <w:r w:rsidR="00546CA1">
        <w:t xml:space="preserve">allocation of spectrum licences in the 3.4 GHz and 3.7 GHz bands, which </w:t>
      </w:r>
      <w:r w:rsidR="004A5F26">
        <w:t>will more likely support</w:t>
      </w:r>
      <w:r w:rsidR="00401F19">
        <w:t xml:space="preserve"> </w:t>
      </w:r>
      <w:r w:rsidR="004A5F26">
        <w:t xml:space="preserve">WA WBB providers like </w:t>
      </w:r>
      <w:r w:rsidR="00297E55">
        <w:t>the MNOs and NBN Co.</w:t>
      </w:r>
      <w:r w:rsidR="00E703FA">
        <w:t xml:space="preserve"> </w:t>
      </w:r>
    </w:p>
    <w:p w14:paraId="0654A111" w14:textId="64BA65A7" w:rsidR="00301E77" w:rsidRDefault="00E703FA" w:rsidP="00DA6461">
      <w:pPr>
        <w:pStyle w:val="Paragraph"/>
      </w:pPr>
      <w:r>
        <w:t xml:space="preserve">It should be noted </w:t>
      </w:r>
      <w:r w:rsidR="00164C39">
        <w:t>that</w:t>
      </w:r>
      <w:r w:rsidR="00013E4C">
        <w:t xml:space="preserve"> allocation restrictions</w:t>
      </w:r>
      <w:r w:rsidR="00FB0C57">
        <w:t xml:space="preserve"> discussed in this </w:t>
      </w:r>
      <w:r w:rsidR="00592F6C">
        <w:t xml:space="preserve">consultation paper, </w:t>
      </w:r>
      <w:r w:rsidR="00C206FD">
        <w:t xml:space="preserve">be they statutory </w:t>
      </w:r>
      <w:r w:rsidR="00A35C5A">
        <w:t>or quantum policy based</w:t>
      </w:r>
      <w:r w:rsidR="00F90D67">
        <w:t>,</w:t>
      </w:r>
      <w:r w:rsidR="00D67993">
        <w:t xml:space="preserve"> </w:t>
      </w:r>
      <w:r w:rsidR="00E413BC">
        <w:t xml:space="preserve">for either </w:t>
      </w:r>
      <w:r w:rsidR="0072210A">
        <w:t>O</w:t>
      </w:r>
      <w:r w:rsidR="00E413BC">
        <w:t xml:space="preserve">ption 1 or </w:t>
      </w:r>
      <w:r w:rsidR="0072210A">
        <w:t>O</w:t>
      </w:r>
      <w:r w:rsidR="00E413BC">
        <w:t>pti</w:t>
      </w:r>
      <w:r w:rsidR="000A1968">
        <w:t>on</w:t>
      </w:r>
      <w:r w:rsidR="00D67993">
        <w:t xml:space="preserve"> </w:t>
      </w:r>
      <w:r w:rsidR="00510892">
        <w:t>2,</w:t>
      </w:r>
      <w:r w:rsidR="00D67993">
        <w:t xml:space="preserve"> </w:t>
      </w:r>
      <w:r w:rsidR="00EE6FDC">
        <w:t xml:space="preserve">will be applied </w:t>
      </w:r>
      <w:r w:rsidR="00510892">
        <w:t>to AWL</w:t>
      </w:r>
      <w:r w:rsidR="00194422">
        <w:t>s</w:t>
      </w:r>
      <w:r w:rsidR="00510892">
        <w:t xml:space="preserve"> only</w:t>
      </w:r>
      <w:r w:rsidR="00194422">
        <w:t xml:space="preserve"> (and not AWL rxs)</w:t>
      </w:r>
      <w:r w:rsidR="00D83ADC">
        <w:t>.</w:t>
      </w:r>
      <w:r w:rsidR="00592F6C">
        <w:t xml:space="preserve"> </w:t>
      </w:r>
    </w:p>
    <w:p w14:paraId="536B556A" w14:textId="0739C782" w:rsidR="00101A35" w:rsidRPr="009469A5" w:rsidRDefault="00101A35" w:rsidP="009469A5">
      <w:pPr>
        <w:pStyle w:val="Heading3"/>
      </w:pPr>
      <w:r w:rsidRPr="009469A5">
        <w:t>Nil MHz limit</w:t>
      </w:r>
    </w:p>
    <w:p w14:paraId="36B3FA82" w14:textId="253A3632" w:rsidR="00F06498" w:rsidRDefault="00297E55" w:rsidP="00DA6461">
      <w:pPr>
        <w:pStyle w:val="Paragraph"/>
      </w:pPr>
      <w:r>
        <w:t>One means by which we can prioritise LA</w:t>
      </w:r>
      <w:r w:rsidR="00BB0311">
        <w:t xml:space="preserve"> WBB providers </w:t>
      </w:r>
      <w:r w:rsidR="00766144">
        <w:t xml:space="preserve">is by specifically applying a </w:t>
      </w:r>
      <w:r w:rsidR="00F06498">
        <w:t xml:space="preserve">time limited </w:t>
      </w:r>
      <w:r w:rsidR="00766144">
        <w:t xml:space="preserve">nil MHz limit on </w:t>
      </w:r>
      <w:r w:rsidR="004C03B3">
        <w:t>WA WBB providers</w:t>
      </w:r>
      <w:r w:rsidR="00487B9F">
        <w:t>, specifically NBN Co, TPG, Telstra and Optus</w:t>
      </w:r>
      <w:r w:rsidR="004B0FED">
        <w:t>, and their associates (</w:t>
      </w:r>
      <w:r w:rsidR="00B92097">
        <w:t xml:space="preserve">discussed further </w:t>
      </w:r>
      <w:r w:rsidR="004B0FED">
        <w:t>below)</w:t>
      </w:r>
      <w:r w:rsidR="00944EB0">
        <w:t>.</w:t>
      </w:r>
      <w:r w:rsidR="008B298B">
        <w:t xml:space="preserve"> </w:t>
      </w:r>
      <w:r w:rsidR="00CE144F">
        <w:t xml:space="preserve">The separate allocation of spectrum licences in the 3.4/3.7 GHz bands is designed to support WA WBB </w:t>
      </w:r>
      <w:r w:rsidR="00FC0644">
        <w:t>providers and</w:t>
      </w:r>
      <w:r w:rsidR="00CE144F">
        <w:t xml:space="preserve"> limiting their access to the 3.8 GHz AWLs would provide an opportunity for more localised services to obtain spectrum. </w:t>
      </w:r>
      <w:r w:rsidR="008B298B">
        <w:t xml:space="preserve">Under </w:t>
      </w:r>
      <w:r w:rsidR="003563FA">
        <w:t>Option 1</w:t>
      </w:r>
      <w:r w:rsidR="008B298B">
        <w:t xml:space="preserve">, </w:t>
      </w:r>
      <w:r w:rsidR="00DC19AA">
        <w:t>we</w:t>
      </w:r>
      <w:r w:rsidR="008B298B">
        <w:t xml:space="preserve"> consider </w:t>
      </w:r>
      <w:r w:rsidR="006E7B15">
        <w:t xml:space="preserve">that a nil MHz limit could be applied for </w:t>
      </w:r>
      <w:r w:rsidR="00E90FE3">
        <w:t xml:space="preserve">a period </w:t>
      </w:r>
      <w:r w:rsidR="003A7517">
        <w:t>during and</w:t>
      </w:r>
      <w:r w:rsidR="00E90FE3">
        <w:t xml:space="preserve"> following </w:t>
      </w:r>
      <w:r w:rsidR="00B0344E">
        <w:t xml:space="preserve">the </w:t>
      </w:r>
      <w:r w:rsidR="0043431A">
        <w:t>allocation window</w:t>
      </w:r>
      <w:r w:rsidR="00B0344E">
        <w:t>, to provide</w:t>
      </w:r>
      <w:r w:rsidR="0043431A">
        <w:t xml:space="preserve"> LA WBB, PTP and FSS initial priority to access spectrum in the band.</w:t>
      </w:r>
    </w:p>
    <w:p w14:paraId="623CCB1E" w14:textId="0BC19AFF" w:rsidR="00942CC5" w:rsidRDefault="00942CC5" w:rsidP="00FE69BE">
      <w:pPr>
        <w:pStyle w:val="Paragraph"/>
        <w:spacing w:after="80"/>
        <w:jc w:val="both"/>
      </w:pPr>
      <w:r>
        <w:lastRenderedPageBreak/>
        <w:t xml:space="preserve">If </w:t>
      </w:r>
      <w:r w:rsidR="003563FA">
        <w:t>adopted</w:t>
      </w:r>
      <w:r>
        <w:t xml:space="preserve">, the </w:t>
      </w:r>
      <w:r w:rsidR="0071055A">
        <w:t xml:space="preserve">nil MHz limit would </w:t>
      </w:r>
      <w:r w:rsidR="00081896">
        <w:t xml:space="preserve">apply to </w:t>
      </w:r>
      <w:r>
        <w:t xml:space="preserve">the following </w:t>
      </w:r>
      <w:r w:rsidR="00C573AD">
        <w:t>named</w:t>
      </w:r>
      <w:r>
        <w:t xml:space="preserve"> persons and their associates:</w:t>
      </w:r>
    </w:p>
    <w:p w14:paraId="514922AD" w14:textId="453DEA50" w:rsidR="00942CC5" w:rsidRDefault="00942CC5" w:rsidP="00FE69BE">
      <w:pPr>
        <w:pStyle w:val="Bulletlevel1"/>
      </w:pPr>
      <w:r>
        <w:t>NBN Co Limited (ACN 136 533 741)</w:t>
      </w:r>
    </w:p>
    <w:p w14:paraId="7DC42C72" w14:textId="7352EA35" w:rsidR="00942CC5" w:rsidRDefault="00942CC5" w:rsidP="00FE69BE">
      <w:pPr>
        <w:pStyle w:val="Bulletlevel1"/>
      </w:pPr>
      <w:r>
        <w:t>Optus Mobile Pty Limited (ACN 054 365 696)</w:t>
      </w:r>
    </w:p>
    <w:p w14:paraId="69EA1D4E" w14:textId="4EEFE9B7" w:rsidR="00942CC5" w:rsidRDefault="00942CC5" w:rsidP="00FE69BE">
      <w:pPr>
        <w:pStyle w:val="Bulletlevel1"/>
      </w:pPr>
      <w:r>
        <w:t>Telstra Limited (ACN 086 174 781)</w:t>
      </w:r>
    </w:p>
    <w:p w14:paraId="3B6B6EBE" w14:textId="2099C97B" w:rsidR="00942CC5" w:rsidRDefault="00942CC5" w:rsidP="00FE69BE">
      <w:pPr>
        <w:pStyle w:val="Bulletlevel1"/>
        <w:spacing w:after="240"/>
      </w:pPr>
      <w:r>
        <w:t>TPG Internet Pty Ltd (ACN 068 383 737).</w:t>
      </w:r>
    </w:p>
    <w:p w14:paraId="458BDE4E" w14:textId="47BC7721" w:rsidR="008E7DCC" w:rsidRPr="008E7DCC" w:rsidRDefault="00A43838" w:rsidP="00FE69BE">
      <w:pPr>
        <w:pStyle w:val="Paragraph"/>
        <w:spacing w:after="80"/>
        <w:rPr>
          <w:bCs/>
        </w:rPr>
      </w:pPr>
      <w:r>
        <w:t xml:space="preserve">Applying a nil MHz limit </w:t>
      </w:r>
      <w:r w:rsidR="004B10EA">
        <w:t>during, and</w:t>
      </w:r>
      <w:r>
        <w:t xml:space="preserve"> </w:t>
      </w:r>
      <w:r w:rsidR="00612246">
        <w:t xml:space="preserve">for </w:t>
      </w:r>
      <w:r w:rsidR="003A7517">
        <w:t>a</w:t>
      </w:r>
      <w:r w:rsidR="00612246">
        <w:t xml:space="preserve"> </w:t>
      </w:r>
      <w:r w:rsidR="00967C5B">
        <w:t xml:space="preserve">period </w:t>
      </w:r>
      <w:r w:rsidR="002E72F3">
        <w:t>following the allocation</w:t>
      </w:r>
      <w:r w:rsidR="00F82900">
        <w:t xml:space="preserve"> </w:t>
      </w:r>
      <w:r w:rsidR="0009490D">
        <w:t>window</w:t>
      </w:r>
      <w:r w:rsidR="00EE107E">
        <w:t>,</w:t>
      </w:r>
      <w:r w:rsidR="0009490D">
        <w:t xml:space="preserve"> </w:t>
      </w:r>
      <w:r w:rsidR="00967C5B">
        <w:t xml:space="preserve">may be important in achieving </w:t>
      </w:r>
      <w:r w:rsidR="006E2E18">
        <w:t>the</w:t>
      </w:r>
      <w:r w:rsidR="00967C5B">
        <w:t xml:space="preserve"> objective of supporting LA WBB providers </w:t>
      </w:r>
      <w:r w:rsidR="00967C5B" w:rsidRPr="00967C5B">
        <w:rPr>
          <w:bCs/>
        </w:rPr>
        <w:t xml:space="preserve">given that it is possible that not all potential applicants </w:t>
      </w:r>
      <w:r w:rsidR="007D5D4C">
        <w:rPr>
          <w:bCs/>
        </w:rPr>
        <w:t>will</w:t>
      </w:r>
      <w:r w:rsidR="00967C5B" w:rsidRPr="00967C5B">
        <w:rPr>
          <w:bCs/>
        </w:rPr>
        <w:t xml:space="preserve"> be ready to apply at the point of the allocation window.</w:t>
      </w:r>
      <w:r w:rsidR="008E7DCC">
        <w:rPr>
          <w:bCs/>
        </w:rPr>
        <w:t xml:space="preserve"> </w:t>
      </w:r>
      <w:r w:rsidR="008E7DCC" w:rsidRPr="008E7DCC">
        <w:rPr>
          <w:bCs/>
        </w:rPr>
        <w:t xml:space="preserve">We consider that options for a reasonable time period for </w:t>
      </w:r>
      <w:r w:rsidR="0054229C">
        <w:rPr>
          <w:bCs/>
        </w:rPr>
        <w:t>this allocation limit</w:t>
      </w:r>
      <w:r w:rsidR="008E7DCC" w:rsidRPr="008E7DCC">
        <w:rPr>
          <w:bCs/>
        </w:rPr>
        <w:t xml:space="preserve"> to apply </w:t>
      </w:r>
      <w:r w:rsidR="007D01F8">
        <w:rPr>
          <w:bCs/>
        </w:rPr>
        <w:t xml:space="preserve">(from the commencement of the allocation window) </w:t>
      </w:r>
      <w:r w:rsidR="008E7DCC" w:rsidRPr="008E7DCC">
        <w:rPr>
          <w:bCs/>
        </w:rPr>
        <w:t>are:</w:t>
      </w:r>
    </w:p>
    <w:p w14:paraId="21DC4156" w14:textId="77777777" w:rsidR="008E7DCC" w:rsidRPr="008E7DCC" w:rsidRDefault="008E7DCC" w:rsidP="00FE69BE">
      <w:pPr>
        <w:pStyle w:val="Bulletlevel1"/>
      </w:pPr>
      <w:r w:rsidRPr="008E7DCC">
        <w:t xml:space="preserve">3 months </w:t>
      </w:r>
    </w:p>
    <w:p w14:paraId="19C34268" w14:textId="77777777" w:rsidR="008E7DCC" w:rsidRPr="008E7DCC" w:rsidRDefault="008E7DCC" w:rsidP="00FE69BE">
      <w:pPr>
        <w:pStyle w:val="Bulletlevel1"/>
      </w:pPr>
      <w:r w:rsidRPr="008E7DCC">
        <w:t>6 months</w:t>
      </w:r>
    </w:p>
    <w:p w14:paraId="72D7522A" w14:textId="58E3784A" w:rsidR="008E7DCC" w:rsidRPr="008E7DCC" w:rsidRDefault="008E7DCC" w:rsidP="00FE69BE">
      <w:pPr>
        <w:pStyle w:val="Bulletlevel1"/>
        <w:spacing w:after="240"/>
      </w:pPr>
      <w:r w:rsidRPr="008E7DCC">
        <w:t>12 months</w:t>
      </w:r>
      <w:r w:rsidR="00FC0644">
        <w:t>.</w:t>
      </w:r>
    </w:p>
    <w:p w14:paraId="52DCA821" w14:textId="652C893B" w:rsidR="00E350B5" w:rsidRDefault="00DC19AA" w:rsidP="008E7DCC">
      <w:pPr>
        <w:pStyle w:val="Paragraph"/>
        <w:jc w:val="both"/>
        <w:rPr>
          <w:bCs/>
        </w:rPr>
      </w:pPr>
      <w:r>
        <w:rPr>
          <w:bCs/>
        </w:rPr>
        <w:t>Under this option, o</w:t>
      </w:r>
      <w:r w:rsidR="00F26427">
        <w:rPr>
          <w:bCs/>
        </w:rPr>
        <w:t xml:space="preserve">ur </w:t>
      </w:r>
      <w:r w:rsidR="00B0210D">
        <w:rPr>
          <w:bCs/>
        </w:rPr>
        <w:t>preliminary</w:t>
      </w:r>
      <w:r w:rsidR="00F26427">
        <w:rPr>
          <w:bCs/>
        </w:rPr>
        <w:t xml:space="preserve"> view</w:t>
      </w:r>
      <w:r w:rsidR="008E7DCC" w:rsidRPr="008E7DCC">
        <w:rPr>
          <w:bCs/>
        </w:rPr>
        <w:t xml:space="preserve"> is a period of 6 months is appropriate</w:t>
      </w:r>
      <w:r w:rsidR="001D20B3">
        <w:rPr>
          <w:bCs/>
        </w:rPr>
        <w:t xml:space="preserve"> for a nil MHz limit</w:t>
      </w:r>
      <w:r w:rsidR="008E7DCC" w:rsidRPr="008E7DCC">
        <w:rPr>
          <w:bCs/>
        </w:rPr>
        <w:t>.</w:t>
      </w:r>
      <w:r w:rsidR="003D396E">
        <w:rPr>
          <w:bCs/>
        </w:rPr>
        <w:t xml:space="preserve"> </w:t>
      </w:r>
    </w:p>
    <w:p w14:paraId="45640279" w14:textId="24305AFB" w:rsidR="003319A4" w:rsidRPr="00E23D86" w:rsidRDefault="00D17885" w:rsidP="009469A5">
      <w:pPr>
        <w:pStyle w:val="Heading3"/>
      </w:pPr>
      <w:r>
        <w:t>C</w:t>
      </w:r>
      <w:r w:rsidR="003319A4" w:rsidRPr="000A5876">
        <w:t>ross-ban</w:t>
      </w:r>
      <w:r w:rsidR="003319A4" w:rsidRPr="00AF5488">
        <w:t xml:space="preserve">d </w:t>
      </w:r>
      <w:r w:rsidR="003319A4" w:rsidRPr="009469A5">
        <w:t>allocation limit</w:t>
      </w:r>
    </w:p>
    <w:p w14:paraId="48360635" w14:textId="2DA722DD" w:rsidR="00AB1B8E" w:rsidRDefault="00AB1B8E" w:rsidP="000A5876">
      <w:pPr>
        <w:pStyle w:val="Paragraph"/>
        <w:spacing w:line="276" w:lineRule="auto"/>
      </w:pPr>
      <w:r>
        <w:t xml:space="preserve">We consider that following the cessation of the nil MHz limit, a cross-band limit on all applicants would promote competition </w:t>
      </w:r>
      <w:r w:rsidR="003D43B5">
        <w:t xml:space="preserve">in markets where the MNOs and NBN Co compete with </w:t>
      </w:r>
      <w:r w:rsidR="00FC0644">
        <w:t>each other and</w:t>
      </w:r>
      <w:r w:rsidR="003D43B5">
        <w:t xml:space="preserve"> may also provide </w:t>
      </w:r>
      <w:r w:rsidR="00081913">
        <w:t>greater opportunity for LA WBB players gaining access to the band over time.</w:t>
      </w:r>
    </w:p>
    <w:p w14:paraId="673C2452" w14:textId="44C1260A" w:rsidR="00A8306F" w:rsidRPr="009F19A5" w:rsidRDefault="002A0910" w:rsidP="00FE69BE">
      <w:pPr>
        <w:pStyle w:val="Paragraph"/>
        <w:spacing w:after="80" w:line="276" w:lineRule="auto"/>
      </w:pPr>
      <w:r>
        <w:t xml:space="preserve">The proposed cross band limit would </w:t>
      </w:r>
      <w:r w:rsidR="000F378E">
        <w:t xml:space="preserve">apply to the 3.4–3.95 GHz </w:t>
      </w:r>
      <w:r w:rsidR="00684FE1">
        <w:t>frequency range</w:t>
      </w:r>
      <w:r w:rsidR="00044EDB">
        <w:t>.</w:t>
      </w:r>
      <w:r w:rsidR="009F19A5">
        <w:t xml:space="preserve"> In the </w:t>
      </w:r>
      <w:hyperlink r:id="rId50" w:history="1">
        <w:r w:rsidR="009F19A5" w:rsidRPr="00FE69BE">
          <w:rPr>
            <w:rStyle w:val="Hyperlink"/>
          </w:rPr>
          <w:t xml:space="preserve">Draft allocation and technical instruments for the 3.4/3.7 GHz bands auction: </w:t>
        </w:r>
        <w:r w:rsidR="00FC0644">
          <w:rPr>
            <w:rStyle w:val="Hyperlink"/>
          </w:rPr>
          <w:t>c</w:t>
        </w:r>
        <w:r w:rsidR="009F19A5" w:rsidRPr="00FE69BE">
          <w:rPr>
            <w:rStyle w:val="Hyperlink"/>
          </w:rPr>
          <w:t>onsultation paper</w:t>
        </w:r>
        <w:r w:rsidR="009F19A5" w:rsidRPr="00A4582E">
          <w:rPr>
            <w:rStyle w:val="Hyperlink"/>
          </w:rPr>
          <w:t>,</w:t>
        </w:r>
      </w:hyperlink>
      <w:r w:rsidR="009F19A5">
        <w:t xml:space="preserve"> we consulted on </w:t>
      </w:r>
      <w:r w:rsidR="00364599">
        <w:t>3</w:t>
      </w:r>
      <w:r w:rsidR="0045441A">
        <w:t xml:space="preserve"> </w:t>
      </w:r>
      <w:r w:rsidR="004826E4">
        <w:t>allocation limits</w:t>
      </w:r>
      <w:r w:rsidR="0045441A">
        <w:t>:</w:t>
      </w:r>
    </w:p>
    <w:p w14:paraId="4C7DB521" w14:textId="6E1F0AAD" w:rsidR="005445BB" w:rsidRPr="005445BB" w:rsidRDefault="005445BB" w:rsidP="00FE69BE">
      <w:pPr>
        <w:pStyle w:val="Bulletlevel1"/>
      </w:pPr>
      <w:r w:rsidRPr="00811CD1">
        <w:t>Option</w:t>
      </w:r>
      <w:r w:rsidRPr="005445BB">
        <w:t xml:space="preserve"> </w:t>
      </w:r>
      <w:r w:rsidRPr="00811CD1">
        <w:t>1:</w:t>
      </w:r>
      <w:r w:rsidRPr="005445BB">
        <w:t xml:space="preserve"> </w:t>
      </w:r>
      <w:r w:rsidRPr="00811CD1">
        <w:t>140 MHz in metropolitan and regional areas in the 3.4–3</w:t>
      </w:r>
      <w:r w:rsidR="00210035">
        <w:t>.95</w:t>
      </w:r>
      <w:r w:rsidRPr="00811CD1">
        <w:t xml:space="preserve"> GHz frequency range.</w:t>
      </w:r>
      <w:r w:rsidRPr="005445BB">
        <w:t xml:space="preserve"> </w:t>
      </w:r>
    </w:p>
    <w:p w14:paraId="0D9A91DA" w14:textId="37E9713B" w:rsidR="005445BB" w:rsidRDefault="005445BB" w:rsidP="00FE69BE">
      <w:pPr>
        <w:pStyle w:val="Bulletlevel1"/>
      </w:pPr>
      <w:r w:rsidRPr="00811CD1">
        <w:t>Option 2:</w:t>
      </w:r>
      <w:r w:rsidRPr="005445BB">
        <w:t xml:space="preserve"> </w:t>
      </w:r>
      <w:r w:rsidRPr="00811CD1">
        <w:t>140 MHz in metropolitan areas and 160 MHz in regional areas, in the 3.4–3.</w:t>
      </w:r>
      <w:r w:rsidR="00210035">
        <w:t>95</w:t>
      </w:r>
      <w:r w:rsidRPr="00811CD1">
        <w:t> GHz frequency range.</w:t>
      </w:r>
      <w:r w:rsidRPr="005445BB">
        <w:t xml:space="preserve"> </w:t>
      </w:r>
    </w:p>
    <w:p w14:paraId="368F3CA7" w14:textId="3160988C" w:rsidR="00364599" w:rsidRPr="005445BB" w:rsidRDefault="00364599" w:rsidP="00FE69BE">
      <w:pPr>
        <w:pStyle w:val="Bulletlevel1"/>
        <w:spacing w:after="240"/>
      </w:pPr>
      <w:r>
        <w:t xml:space="preserve">Option 3: </w:t>
      </w:r>
      <w:r w:rsidR="00FC0644">
        <w:t>n</w:t>
      </w:r>
      <w:r>
        <w:t>o limits</w:t>
      </w:r>
    </w:p>
    <w:p w14:paraId="4BB4A06F" w14:textId="4165FFE3" w:rsidR="00780A91" w:rsidRPr="008E7DCC" w:rsidRDefault="00780A91" w:rsidP="00FE69BE">
      <w:pPr>
        <w:pStyle w:val="Paragraph"/>
        <w:spacing w:after="80"/>
        <w:jc w:val="both"/>
        <w:rPr>
          <w:bCs/>
        </w:rPr>
      </w:pPr>
      <w:r w:rsidRPr="008E7DCC">
        <w:rPr>
          <w:bCs/>
        </w:rPr>
        <w:t xml:space="preserve">We consider that options for a reasonable time period for </w:t>
      </w:r>
      <w:r>
        <w:rPr>
          <w:bCs/>
        </w:rPr>
        <w:t>this cross</w:t>
      </w:r>
      <w:r w:rsidR="00626852">
        <w:rPr>
          <w:bCs/>
        </w:rPr>
        <w:t>-</w:t>
      </w:r>
      <w:r>
        <w:rPr>
          <w:bCs/>
        </w:rPr>
        <w:t>band allocation limit</w:t>
      </w:r>
      <w:r w:rsidRPr="008E7DCC">
        <w:rPr>
          <w:bCs/>
        </w:rPr>
        <w:t xml:space="preserve"> to apply </w:t>
      </w:r>
      <w:r>
        <w:rPr>
          <w:bCs/>
        </w:rPr>
        <w:t xml:space="preserve">(from the commencement of the allocation window) </w:t>
      </w:r>
      <w:r w:rsidRPr="008E7DCC">
        <w:rPr>
          <w:bCs/>
        </w:rPr>
        <w:t>are:</w:t>
      </w:r>
    </w:p>
    <w:p w14:paraId="6B7B9844" w14:textId="77777777" w:rsidR="00780A91" w:rsidRPr="008E7DCC" w:rsidRDefault="00780A91" w:rsidP="00FE69BE">
      <w:pPr>
        <w:pStyle w:val="Bulletlevel1"/>
      </w:pPr>
      <w:r w:rsidRPr="008E7DCC">
        <w:t xml:space="preserve">3 months </w:t>
      </w:r>
    </w:p>
    <w:p w14:paraId="7F8D4FA7" w14:textId="77777777" w:rsidR="00780A91" w:rsidRPr="008E7DCC" w:rsidRDefault="00780A91" w:rsidP="00FE69BE">
      <w:pPr>
        <w:pStyle w:val="Bulletlevel1"/>
      </w:pPr>
      <w:r w:rsidRPr="008E7DCC">
        <w:t>6 months</w:t>
      </w:r>
    </w:p>
    <w:p w14:paraId="6B35A9AF" w14:textId="07600F29" w:rsidR="00780A91" w:rsidRPr="008E7DCC" w:rsidRDefault="00780A91" w:rsidP="00FE69BE">
      <w:pPr>
        <w:pStyle w:val="Bulletlevel1"/>
        <w:spacing w:after="240"/>
      </w:pPr>
      <w:r w:rsidRPr="008E7DCC">
        <w:t>12 months</w:t>
      </w:r>
      <w:r w:rsidR="00FC0644">
        <w:t>.</w:t>
      </w:r>
    </w:p>
    <w:p w14:paraId="04BB8DB2" w14:textId="6DB6B7BB" w:rsidR="00780A91" w:rsidRDefault="00780A91" w:rsidP="00E23D86">
      <w:pPr>
        <w:pStyle w:val="Paragraph"/>
        <w:rPr>
          <w:bCs/>
        </w:rPr>
      </w:pPr>
      <w:r>
        <w:rPr>
          <w:bCs/>
        </w:rPr>
        <w:t xml:space="preserve">If this option is </w:t>
      </w:r>
      <w:r w:rsidR="00BB2D00">
        <w:rPr>
          <w:bCs/>
        </w:rPr>
        <w:t>adopted</w:t>
      </w:r>
      <w:r>
        <w:rPr>
          <w:bCs/>
        </w:rPr>
        <w:t xml:space="preserve">, our </w:t>
      </w:r>
      <w:r w:rsidR="00B0210D">
        <w:rPr>
          <w:bCs/>
        </w:rPr>
        <w:t>preliminary</w:t>
      </w:r>
      <w:r>
        <w:rPr>
          <w:bCs/>
        </w:rPr>
        <w:t xml:space="preserve"> view</w:t>
      </w:r>
      <w:r w:rsidRPr="008E7DCC">
        <w:rPr>
          <w:bCs/>
        </w:rPr>
        <w:t xml:space="preserve"> is </w:t>
      </w:r>
      <w:r w:rsidR="00304D4E">
        <w:rPr>
          <w:bCs/>
        </w:rPr>
        <w:t>that</w:t>
      </w:r>
      <w:r w:rsidRPr="008E7DCC">
        <w:rPr>
          <w:bCs/>
        </w:rPr>
        <w:t xml:space="preserve"> a period of </w:t>
      </w:r>
      <w:r>
        <w:rPr>
          <w:bCs/>
        </w:rPr>
        <w:t>12</w:t>
      </w:r>
      <w:r w:rsidRPr="008E7DCC">
        <w:rPr>
          <w:bCs/>
        </w:rPr>
        <w:t xml:space="preserve"> months is appropriate</w:t>
      </w:r>
      <w:r w:rsidR="00B0210D">
        <w:rPr>
          <w:bCs/>
        </w:rPr>
        <w:t xml:space="preserve"> for the application of a </w:t>
      </w:r>
      <w:r w:rsidR="008231A5">
        <w:rPr>
          <w:bCs/>
        </w:rPr>
        <w:t>cross-band</w:t>
      </w:r>
      <w:r w:rsidR="00B0210D">
        <w:rPr>
          <w:bCs/>
        </w:rPr>
        <w:t>limit</w:t>
      </w:r>
      <w:r w:rsidRPr="008E7DCC">
        <w:rPr>
          <w:bCs/>
        </w:rPr>
        <w:t>.</w:t>
      </w:r>
      <w:r>
        <w:rPr>
          <w:bCs/>
        </w:rPr>
        <w:t xml:space="preserve"> </w:t>
      </w:r>
      <w:r w:rsidR="00BF03F5">
        <w:rPr>
          <w:bCs/>
        </w:rPr>
        <w:t xml:space="preserve">The </w:t>
      </w:r>
      <w:r w:rsidR="002A46D6">
        <w:rPr>
          <w:bCs/>
        </w:rPr>
        <w:t xml:space="preserve">cross-band </w:t>
      </w:r>
      <w:r>
        <w:rPr>
          <w:bCs/>
        </w:rPr>
        <w:t xml:space="preserve">limit will </w:t>
      </w:r>
      <w:r w:rsidR="00424C1D">
        <w:rPr>
          <w:bCs/>
        </w:rPr>
        <w:t>likely</w:t>
      </w:r>
      <w:r>
        <w:rPr>
          <w:bCs/>
        </w:rPr>
        <w:t xml:space="preserve"> not </w:t>
      </w:r>
      <w:r w:rsidR="006E2C89">
        <w:rPr>
          <w:bCs/>
        </w:rPr>
        <w:t xml:space="preserve">commence </w:t>
      </w:r>
      <w:r w:rsidR="002A46D6">
        <w:rPr>
          <w:bCs/>
        </w:rPr>
        <w:t>until Q3 2024</w:t>
      </w:r>
      <w:r w:rsidR="009F04D1">
        <w:rPr>
          <w:bCs/>
        </w:rPr>
        <w:t>. W</w:t>
      </w:r>
      <w:r w:rsidR="002A46D6">
        <w:rPr>
          <w:bCs/>
        </w:rPr>
        <w:t>e will</w:t>
      </w:r>
      <w:r w:rsidR="002A46D6" w:rsidDel="009415B6">
        <w:rPr>
          <w:bCs/>
        </w:rPr>
        <w:t xml:space="preserve"> </w:t>
      </w:r>
      <w:r w:rsidR="002A46D6">
        <w:rPr>
          <w:bCs/>
        </w:rPr>
        <w:t>mak</w:t>
      </w:r>
      <w:r w:rsidR="00273558">
        <w:rPr>
          <w:bCs/>
        </w:rPr>
        <w:t>e</w:t>
      </w:r>
      <w:r w:rsidR="002A46D6">
        <w:rPr>
          <w:bCs/>
        </w:rPr>
        <w:t xml:space="preserve"> the </w:t>
      </w:r>
      <w:r w:rsidR="00273558">
        <w:rPr>
          <w:bCs/>
        </w:rPr>
        <w:t>cross</w:t>
      </w:r>
      <w:r w:rsidR="001B56CB">
        <w:rPr>
          <w:bCs/>
        </w:rPr>
        <w:t>-</w:t>
      </w:r>
      <w:r w:rsidR="00C23D44">
        <w:rPr>
          <w:bCs/>
        </w:rPr>
        <w:t>band</w:t>
      </w:r>
      <w:r w:rsidR="002A46D6">
        <w:rPr>
          <w:bCs/>
        </w:rPr>
        <w:t xml:space="preserve"> limit</w:t>
      </w:r>
      <w:r w:rsidR="00273558">
        <w:rPr>
          <w:bCs/>
        </w:rPr>
        <w:t>s</w:t>
      </w:r>
      <w:r w:rsidR="00C23D44">
        <w:rPr>
          <w:bCs/>
        </w:rPr>
        <w:t xml:space="preserve"> instrument</w:t>
      </w:r>
      <w:r w:rsidR="002A46D6">
        <w:rPr>
          <w:bCs/>
        </w:rPr>
        <w:t xml:space="preserve"> a</w:t>
      </w:r>
      <w:r>
        <w:rPr>
          <w:bCs/>
        </w:rPr>
        <w:t>t an appropriate time</w:t>
      </w:r>
      <w:r w:rsidR="002A46D6">
        <w:rPr>
          <w:bCs/>
        </w:rPr>
        <w:t xml:space="preserve"> </w:t>
      </w:r>
      <w:r w:rsidR="003A164C">
        <w:rPr>
          <w:bCs/>
        </w:rPr>
        <w:t>to coincide with</w:t>
      </w:r>
      <w:r w:rsidR="009415B6">
        <w:rPr>
          <w:bCs/>
        </w:rPr>
        <w:t xml:space="preserve"> the Application </w:t>
      </w:r>
      <w:r w:rsidR="00FC0644">
        <w:rPr>
          <w:bCs/>
        </w:rPr>
        <w:t>i</w:t>
      </w:r>
      <w:r w:rsidR="009415B6">
        <w:rPr>
          <w:bCs/>
        </w:rPr>
        <w:t xml:space="preserve">nformation </w:t>
      </w:r>
      <w:r w:rsidR="00FC0644">
        <w:rPr>
          <w:bCs/>
        </w:rPr>
        <w:t>p</w:t>
      </w:r>
      <w:r w:rsidR="009415B6">
        <w:rPr>
          <w:bCs/>
        </w:rPr>
        <w:t>ack</w:t>
      </w:r>
      <w:r w:rsidR="002A46D6">
        <w:rPr>
          <w:bCs/>
        </w:rPr>
        <w:t>.</w:t>
      </w:r>
    </w:p>
    <w:p w14:paraId="0E62BDF8" w14:textId="495CFE3E" w:rsidR="00F06498" w:rsidRDefault="00F06498" w:rsidP="00E23D86">
      <w:pPr>
        <w:pStyle w:val="Paragraph"/>
      </w:pPr>
      <w:r>
        <w:rPr>
          <w:szCs w:val="20"/>
        </w:rPr>
        <w:t xml:space="preserve">We invite views from stakeholders about the application of </w:t>
      </w:r>
      <w:r w:rsidR="00594EE1">
        <w:rPr>
          <w:szCs w:val="20"/>
        </w:rPr>
        <w:t xml:space="preserve">allocation </w:t>
      </w:r>
      <w:r>
        <w:rPr>
          <w:szCs w:val="20"/>
        </w:rPr>
        <w:t>limit</w:t>
      </w:r>
      <w:r w:rsidR="00594EE1">
        <w:rPr>
          <w:szCs w:val="20"/>
        </w:rPr>
        <w:t>s</w:t>
      </w:r>
      <w:r>
        <w:rPr>
          <w:szCs w:val="20"/>
        </w:rPr>
        <w:t xml:space="preserve"> and further views on a suitable quantum for </w:t>
      </w:r>
      <w:r w:rsidR="00A7300C">
        <w:rPr>
          <w:szCs w:val="20"/>
        </w:rPr>
        <w:t xml:space="preserve">spectrum </w:t>
      </w:r>
      <w:r w:rsidR="009E767A">
        <w:rPr>
          <w:szCs w:val="20"/>
        </w:rPr>
        <w:t xml:space="preserve">(apparatus and spectrum licensed) </w:t>
      </w:r>
      <w:r>
        <w:rPr>
          <w:szCs w:val="20"/>
        </w:rPr>
        <w:t>holdings across the 3.4</w:t>
      </w:r>
      <w:r w:rsidR="00FC0644">
        <w:rPr>
          <w:szCs w:val="20"/>
        </w:rPr>
        <w:t>–</w:t>
      </w:r>
      <w:r w:rsidR="00E23D86">
        <w:rPr>
          <w:szCs w:val="20"/>
        </w:rPr>
        <w:t>3.95</w:t>
      </w:r>
      <w:r>
        <w:rPr>
          <w:szCs w:val="20"/>
        </w:rPr>
        <w:t xml:space="preserve"> GHz </w:t>
      </w:r>
      <w:r w:rsidR="00E63445">
        <w:rPr>
          <w:szCs w:val="20"/>
        </w:rPr>
        <w:t>frequency range</w:t>
      </w:r>
      <w:r>
        <w:rPr>
          <w:szCs w:val="20"/>
        </w:rPr>
        <w:t xml:space="preserve">. </w:t>
      </w:r>
    </w:p>
    <w:p w14:paraId="06F88EEF" w14:textId="0F926472" w:rsidR="00347DF4" w:rsidRPr="002345E0" w:rsidRDefault="00347DF4" w:rsidP="00347DF4">
      <w:pPr>
        <w:pStyle w:val="Heading3"/>
        <w:rPr>
          <w:sz w:val="24"/>
          <w:szCs w:val="32"/>
        </w:rPr>
      </w:pPr>
      <w:r w:rsidRPr="002345E0">
        <w:rPr>
          <w:sz w:val="24"/>
          <w:szCs w:val="32"/>
        </w:rPr>
        <w:lastRenderedPageBreak/>
        <w:t>Licen</w:t>
      </w:r>
      <w:r w:rsidR="009155FD">
        <w:rPr>
          <w:sz w:val="24"/>
          <w:szCs w:val="32"/>
        </w:rPr>
        <w:t>c</w:t>
      </w:r>
      <w:r w:rsidRPr="002345E0">
        <w:rPr>
          <w:sz w:val="24"/>
          <w:szCs w:val="32"/>
        </w:rPr>
        <w:t xml:space="preserve">e </w:t>
      </w:r>
      <w:r w:rsidR="00061B49">
        <w:rPr>
          <w:sz w:val="24"/>
          <w:szCs w:val="32"/>
        </w:rPr>
        <w:t>transfer</w:t>
      </w:r>
      <w:r w:rsidR="00061B49" w:rsidRPr="002345E0">
        <w:rPr>
          <w:sz w:val="24"/>
          <w:szCs w:val="32"/>
        </w:rPr>
        <w:t xml:space="preserve"> </w:t>
      </w:r>
      <w:r w:rsidR="00E25559">
        <w:rPr>
          <w:sz w:val="24"/>
          <w:szCs w:val="32"/>
        </w:rPr>
        <w:t>and</w:t>
      </w:r>
      <w:r w:rsidRPr="002345E0">
        <w:rPr>
          <w:sz w:val="24"/>
          <w:szCs w:val="32"/>
        </w:rPr>
        <w:t xml:space="preserve"> </w:t>
      </w:r>
      <w:r w:rsidRPr="00AE49C0">
        <w:rPr>
          <w:sz w:val="24"/>
          <w:szCs w:val="32"/>
        </w:rPr>
        <w:t>third-party</w:t>
      </w:r>
      <w:r w:rsidRPr="002345E0">
        <w:rPr>
          <w:sz w:val="24"/>
          <w:szCs w:val="32"/>
        </w:rPr>
        <w:t xml:space="preserve"> authorisation limit </w:t>
      </w:r>
    </w:p>
    <w:p w14:paraId="089019B4" w14:textId="1574FD67" w:rsidR="00347DF4" w:rsidRDefault="006677DC" w:rsidP="00E23D86">
      <w:pPr>
        <w:pStyle w:val="Paragraph"/>
      </w:pPr>
      <w:r>
        <w:t xml:space="preserve">An additional </w:t>
      </w:r>
      <w:r w:rsidR="00AA0C9F">
        <w:t xml:space="preserve">measure that may be taken </w:t>
      </w:r>
      <w:r w:rsidR="00087381">
        <w:t xml:space="preserve">under </w:t>
      </w:r>
      <w:r w:rsidR="00BB2D00">
        <w:t>Option 1</w:t>
      </w:r>
      <w:r w:rsidR="00D0063B">
        <w:t xml:space="preserve"> is to apply</w:t>
      </w:r>
      <w:r w:rsidR="009E0F45">
        <w:t xml:space="preserve"> limits to </w:t>
      </w:r>
      <w:r w:rsidR="00E23D86">
        <w:t>the transfer</w:t>
      </w:r>
      <w:r w:rsidR="00E2076A">
        <w:t xml:space="preserve"> </w:t>
      </w:r>
      <w:r w:rsidR="00230896">
        <w:t xml:space="preserve">of AWLs </w:t>
      </w:r>
      <w:r w:rsidR="00E2076A">
        <w:t>and authoris</w:t>
      </w:r>
      <w:r w:rsidR="002A7C1B">
        <w:t xml:space="preserve">ing </w:t>
      </w:r>
      <w:r w:rsidR="00E23D86">
        <w:t>the operation of</w:t>
      </w:r>
      <w:r w:rsidR="00230896">
        <w:t xml:space="preserve"> </w:t>
      </w:r>
      <w:r w:rsidR="005A3F74">
        <w:t>radiocommunications transmitters under</w:t>
      </w:r>
      <w:r w:rsidR="00230896">
        <w:t xml:space="preserve"> </w:t>
      </w:r>
      <w:r w:rsidR="002A7C1B">
        <w:t>AWLs</w:t>
      </w:r>
      <w:r w:rsidR="00E2076A">
        <w:t xml:space="preserve"> to the </w:t>
      </w:r>
      <w:r w:rsidR="00E23D86">
        <w:t>MNO’s and NBN Co, and their associates</w:t>
      </w:r>
      <w:r w:rsidR="002A7C1B">
        <w:t xml:space="preserve">. </w:t>
      </w:r>
      <w:r w:rsidR="00347DF4">
        <w:t>The licen</w:t>
      </w:r>
      <w:r w:rsidR="0074053C">
        <w:t>c</w:t>
      </w:r>
      <w:r w:rsidR="00347DF4">
        <w:t xml:space="preserve">e </w:t>
      </w:r>
      <w:r w:rsidR="00E23D86">
        <w:t>transfer</w:t>
      </w:r>
      <w:r w:rsidR="00347DF4">
        <w:t xml:space="preserve"> </w:t>
      </w:r>
      <w:r w:rsidR="00147DBB">
        <w:t>and</w:t>
      </w:r>
      <w:r w:rsidR="00347DF4">
        <w:t xml:space="preserve"> third-party authorisation limit</w:t>
      </w:r>
      <w:r w:rsidR="005A3F74">
        <w:t>s</w:t>
      </w:r>
      <w:r w:rsidR="00347DF4">
        <w:t xml:space="preserve"> </w:t>
      </w:r>
      <w:r w:rsidR="00147DBB">
        <w:t xml:space="preserve">may be </w:t>
      </w:r>
      <w:r w:rsidR="00347DF4">
        <w:t xml:space="preserve">made under section 131AC and section 115 of the Act </w:t>
      </w:r>
      <w:r w:rsidR="00E23D86">
        <w:t>respectively</w:t>
      </w:r>
      <w:r w:rsidR="00347DF4">
        <w:t xml:space="preserve"> and will restrict MNOs and NBN Co </w:t>
      </w:r>
      <w:r w:rsidR="00BE5AE3">
        <w:t>from</w:t>
      </w:r>
      <w:r w:rsidR="00347DF4">
        <w:t xml:space="preserve"> obtain</w:t>
      </w:r>
      <w:r w:rsidR="005A3F74">
        <w:t>ing</w:t>
      </w:r>
      <w:r w:rsidR="00347DF4">
        <w:t xml:space="preserve"> </w:t>
      </w:r>
      <w:r w:rsidR="004E1C0B">
        <w:t>access to the spectrum</w:t>
      </w:r>
      <w:r w:rsidR="00347DF4">
        <w:t xml:space="preserve"> through the secondary market</w:t>
      </w:r>
      <w:r w:rsidR="00DC7F28">
        <w:t xml:space="preserve"> </w:t>
      </w:r>
      <w:r w:rsidR="003D572F">
        <w:t>before the secondary allocation process commences</w:t>
      </w:r>
      <w:r w:rsidR="00347DF4">
        <w:t xml:space="preserve">. </w:t>
      </w:r>
    </w:p>
    <w:p w14:paraId="1B36CEAF" w14:textId="108CB449" w:rsidR="00347DF4" w:rsidRDefault="00347DF4" w:rsidP="00E23D86">
      <w:pPr>
        <w:pStyle w:val="Paragraph"/>
      </w:pPr>
      <w:r>
        <w:t>Th</w:t>
      </w:r>
      <w:r w:rsidR="00E23D86">
        <w:t>ese</w:t>
      </w:r>
      <w:r>
        <w:t xml:space="preserve"> limit</w:t>
      </w:r>
      <w:r w:rsidR="00E23D86">
        <w:t>s</w:t>
      </w:r>
      <w:r>
        <w:t xml:space="preserve"> work to </w:t>
      </w:r>
      <w:r w:rsidR="00684F17">
        <w:t>prevent</w:t>
      </w:r>
      <w:r>
        <w:t xml:space="preserve"> </w:t>
      </w:r>
      <w:r w:rsidR="00684F17">
        <w:t xml:space="preserve">an </w:t>
      </w:r>
      <w:r>
        <w:t xml:space="preserve">applicant </w:t>
      </w:r>
      <w:r w:rsidR="000C241B">
        <w:t xml:space="preserve">from being </w:t>
      </w:r>
      <w:r w:rsidR="00E23D86">
        <w:t>issued an AWL</w:t>
      </w:r>
      <w:r w:rsidR="006B0879">
        <w:t xml:space="preserve"> a</w:t>
      </w:r>
      <w:r w:rsidR="00B16A71">
        <w:t>nd</w:t>
      </w:r>
      <w:r w:rsidR="006B0879">
        <w:t xml:space="preserve"> </w:t>
      </w:r>
      <w:r w:rsidR="00B16A71">
        <w:t>subsequently</w:t>
      </w:r>
      <w:r>
        <w:t xml:space="preserve"> </w:t>
      </w:r>
      <w:r w:rsidR="00E23D86">
        <w:t>transferring</w:t>
      </w:r>
      <w:r>
        <w:t xml:space="preserve"> </w:t>
      </w:r>
      <w:r w:rsidR="000C241B">
        <w:t>th</w:t>
      </w:r>
      <w:r w:rsidR="00B16A71">
        <w:t>at</w:t>
      </w:r>
      <w:r w:rsidR="000C241B">
        <w:t xml:space="preserve"> </w:t>
      </w:r>
      <w:r w:rsidR="00E23D86">
        <w:t>AWL to</w:t>
      </w:r>
      <w:r w:rsidR="00F65787">
        <w:t>,</w:t>
      </w:r>
      <w:r w:rsidR="000C241B">
        <w:t xml:space="preserve"> </w:t>
      </w:r>
      <w:r w:rsidR="001B0360">
        <w:t xml:space="preserve">or </w:t>
      </w:r>
      <w:r w:rsidR="00197DF9">
        <w:t>authoris</w:t>
      </w:r>
      <w:r w:rsidR="005251C0">
        <w:t>ing</w:t>
      </w:r>
      <w:r w:rsidR="00197DF9">
        <w:t xml:space="preserve"> </w:t>
      </w:r>
      <w:r w:rsidR="00E23D86">
        <w:t>the operation</w:t>
      </w:r>
      <w:r w:rsidR="00E3623B">
        <w:t xml:space="preserve"> of</w:t>
      </w:r>
      <w:r w:rsidR="00550A15">
        <w:t>,</w:t>
      </w:r>
      <w:r w:rsidR="00E3623B">
        <w:t xml:space="preserve"> </w:t>
      </w:r>
      <w:r w:rsidR="00E23D86">
        <w:t xml:space="preserve">a </w:t>
      </w:r>
      <w:r w:rsidR="00513D76">
        <w:t>radiocommunications</w:t>
      </w:r>
      <w:r w:rsidR="00E23D86">
        <w:t xml:space="preserve"> transmitter under an AWL by</w:t>
      </w:r>
      <w:r w:rsidR="00F95DDD">
        <w:t xml:space="preserve"> </w:t>
      </w:r>
      <w:r>
        <w:t xml:space="preserve">a WA WBB provider. </w:t>
      </w:r>
      <w:r w:rsidR="00076AAC">
        <w:t>Th</w:t>
      </w:r>
      <w:r w:rsidR="00E23D86">
        <w:t>ese</w:t>
      </w:r>
      <w:r w:rsidR="00076AAC">
        <w:t xml:space="preserve"> limit</w:t>
      </w:r>
      <w:r w:rsidR="00E23D86">
        <w:t>s</w:t>
      </w:r>
      <w:r w:rsidR="00076AAC">
        <w:t xml:space="preserve"> </w:t>
      </w:r>
      <w:r w:rsidR="00DF3754">
        <w:t xml:space="preserve">would complement the </w:t>
      </w:r>
      <w:r w:rsidR="00E06880">
        <w:t xml:space="preserve">time-limited </w:t>
      </w:r>
      <w:r w:rsidR="00250409">
        <w:t xml:space="preserve">nil MHz </w:t>
      </w:r>
      <w:r w:rsidR="00E25559">
        <w:t>limit and</w:t>
      </w:r>
      <w:r w:rsidR="006A0DB1">
        <w:t xml:space="preserve"> would only apply for the period that the </w:t>
      </w:r>
      <w:r w:rsidR="002C40CA">
        <w:t>nil MHz limit is in force</w:t>
      </w:r>
      <w:r w:rsidR="00E23D86">
        <w:t>.</w:t>
      </w:r>
    </w:p>
    <w:p w14:paraId="251C9F29" w14:textId="00358496" w:rsidR="005E2EB9" w:rsidRDefault="005E2EB9" w:rsidP="00E23D86">
      <w:pPr>
        <w:pStyle w:val="Paragraph"/>
      </w:pPr>
      <w:r>
        <w:t xml:space="preserve">Arguably, </w:t>
      </w:r>
      <w:r w:rsidR="00A44977">
        <w:t xml:space="preserve">allowing </w:t>
      </w:r>
      <w:r w:rsidR="00E23D86">
        <w:t xml:space="preserve">transferring to </w:t>
      </w:r>
      <w:r w:rsidR="00A44977">
        <w:t>and auth</w:t>
      </w:r>
      <w:r w:rsidR="000118DB">
        <w:t xml:space="preserve">orisations </w:t>
      </w:r>
      <w:r w:rsidR="00E23D86">
        <w:t xml:space="preserve">in favour </w:t>
      </w:r>
      <w:r w:rsidR="001B1D4A">
        <w:t>of the</w:t>
      </w:r>
      <w:r w:rsidR="002B43B7">
        <w:t xml:space="preserve"> parties to whom that nil MHz limit applies would be inconsistent with the </w:t>
      </w:r>
      <w:r w:rsidR="002B4ED2">
        <w:t>notion that the band is being prioritised for LA WBB provides, in pursuit of the objective to support a range of users and use cases.</w:t>
      </w:r>
    </w:p>
    <w:p w14:paraId="49E915E6" w14:textId="597EA8FD" w:rsidR="00F97CEF" w:rsidRDefault="00347DF4" w:rsidP="005C1724">
      <w:pPr>
        <w:pStyle w:val="Paragraph"/>
      </w:pPr>
      <w:r>
        <w:rPr>
          <w:szCs w:val="20"/>
        </w:rPr>
        <w:t xml:space="preserve">We invite views from stakeholders on the </w:t>
      </w:r>
      <w:r w:rsidR="000B36F6">
        <w:rPr>
          <w:szCs w:val="20"/>
        </w:rPr>
        <w:t>proposed</w:t>
      </w:r>
      <w:r>
        <w:rPr>
          <w:szCs w:val="20"/>
        </w:rPr>
        <w:t xml:space="preserve"> licen</w:t>
      </w:r>
      <w:r w:rsidR="00981704">
        <w:rPr>
          <w:szCs w:val="20"/>
        </w:rPr>
        <w:t>c</w:t>
      </w:r>
      <w:r>
        <w:rPr>
          <w:szCs w:val="20"/>
        </w:rPr>
        <w:t xml:space="preserve">e </w:t>
      </w:r>
      <w:r w:rsidR="00CC47B0">
        <w:rPr>
          <w:szCs w:val="20"/>
        </w:rPr>
        <w:t>transfer</w:t>
      </w:r>
      <w:r>
        <w:rPr>
          <w:szCs w:val="20"/>
        </w:rPr>
        <w:t xml:space="preserve"> </w:t>
      </w:r>
      <w:r w:rsidR="00DE0CB3">
        <w:rPr>
          <w:szCs w:val="20"/>
        </w:rPr>
        <w:t>and</w:t>
      </w:r>
      <w:r>
        <w:rPr>
          <w:szCs w:val="20"/>
        </w:rPr>
        <w:t xml:space="preserve"> third-party authorisation limit and </w:t>
      </w:r>
      <w:r w:rsidR="005B7119">
        <w:rPr>
          <w:szCs w:val="20"/>
        </w:rPr>
        <w:t>their</w:t>
      </w:r>
      <w:r>
        <w:rPr>
          <w:szCs w:val="20"/>
        </w:rPr>
        <w:t xml:space="preserve"> suitability in providing prioritising access for LA WBB applicants in the 3.8GHz band</w:t>
      </w:r>
      <w:r w:rsidR="004F573A">
        <w:rPr>
          <w:szCs w:val="20"/>
        </w:rPr>
        <w:t xml:space="preserve"> on a shared basis with PTP and FSS applicants </w:t>
      </w:r>
      <w:r w:rsidR="009102C3">
        <w:rPr>
          <w:szCs w:val="20"/>
        </w:rPr>
        <w:t>and use cases</w:t>
      </w:r>
      <w:r>
        <w:rPr>
          <w:szCs w:val="20"/>
        </w:rPr>
        <w:t>.</w:t>
      </w:r>
    </w:p>
    <w:p w14:paraId="472F048C" w14:textId="00ED138A" w:rsidR="0072036A" w:rsidRPr="00811CD1" w:rsidRDefault="0072036A" w:rsidP="0072036A">
      <w:pPr>
        <w:pStyle w:val="Heading4"/>
        <w:rPr>
          <w:i w:val="0"/>
          <w:iCs/>
          <w:sz w:val="24"/>
          <w:szCs w:val="32"/>
        </w:rPr>
      </w:pPr>
      <w:r w:rsidRPr="00811CD1">
        <w:rPr>
          <w:i w:val="0"/>
          <w:iCs/>
          <w:sz w:val="24"/>
          <w:szCs w:val="32"/>
        </w:rPr>
        <w:t xml:space="preserve">Associates </w:t>
      </w:r>
      <w:r w:rsidR="00E25559">
        <w:rPr>
          <w:i w:val="0"/>
          <w:iCs/>
          <w:sz w:val="24"/>
          <w:szCs w:val="32"/>
        </w:rPr>
        <w:t>p</w:t>
      </w:r>
      <w:r w:rsidRPr="00811CD1">
        <w:rPr>
          <w:i w:val="0"/>
          <w:iCs/>
          <w:sz w:val="24"/>
          <w:szCs w:val="32"/>
        </w:rPr>
        <w:t xml:space="preserve">olicy </w:t>
      </w:r>
    </w:p>
    <w:p w14:paraId="7F22D829" w14:textId="5773CA40" w:rsidR="00E73957" w:rsidRDefault="00E73957" w:rsidP="00CC47B0">
      <w:pPr>
        <w:pStyle w:val="Paragraph"/>
      </w:pPr>
      <w:r>
        <w:t>Whe</w:t>
      </w:r>
      <w:r w:rsidR="000F1254">
        <w:t>n</w:t>
      </w:r>
      <w:r>
        <w:t xml:space="preserve"> we </w:t>
      </w:r>
      <w:r w:rsidR="000F1254">
        <w:t xml:space="preserve">impose allocation limits in our spectrum </w:t>
      </w:r>
      <w:r w:rsidR="00EF759B">
        <w:t xml:space="preserve">licence </w:t>
      </w:r>
      <w:r w:rsidR="000F1254">
        <w:t xml:space="preserve">auctions, </w:t>
      </w:r>
      <w:r w:rsidR="00523601">
        <w:t xml:space="preserve">the limits </w:t>
      </w:r>
      <w:r w:rsidR="00B10057">
        <w:t xml:space="preserve">are applied to each applicant and </w:t>
      </w:r>
      <w:r w:rsidR="00E25559">
        <w:t>all</w:t>
      </w:r>
      <w:r w:rsidR="00B10057">
        <w:t xml:space="preserve"> the applicant’s associates collectively. </w:t>
      </w:r>
      <w:r w:rsidR="00F4584E">
        <w:t>This</w:t>
      </w:r>
      <w:r w:rsidR="00546E89">
        <w:t xml:space="preserve"> mitigate</w:t>
      </w:r>
      <w:r w:rsidR="00F4584E">
        <w:t>s</w:t>
      </w:r>
      <w:r w:rsidR="00546E89">
        <w:t xml:space="preserve"> the risk that applicants will </w:t>
      </w:r>
      <w:r w:rsidR="00D71F56">
        <w:t xml:space="preserve">use related entities to </w:t>
      </w:r>
      <w:r w:rsidR="00484C05">
        <w:t>circumvent</w:t>
      </w:r>
      <w:r w:rsidR="009207AB">
        <w:t xml:space="preserve"> the allocation limit. </w:t>
      </w:r>
      <w:r w:rsidR="005E7281">
        <w:t xml:space="preserve">We consider that, if we are to apply the limits as proposed under this option, </w:t>
      </w:r>
      <w:r w:rsidR="00690C42">
        <w:t xml:space="preserve">it would be appropriate to apply </w:t>
      </w:r>
      <w:r w:rsidR="0001064D">
        <w:t xml:space="preserve">a </w:t>
      </w:r>
      <w:r w:rsidR="00690C42">
        <w:t xml:space="preserve">similar </w:t>
      </w:r>
      <w:r w:rsidR="0001064D">
        <w:t>policy</w:t>
      </w:r>
      <w:r w:rsidR="00B0083A">
        <w:t>.</w:t>
      </w:r>
    </w:p>
    <w:p w14:paraId="78BB0E45" w14:textId="792ACB28" w:rsidR="005E47C3" w:rsidRDefault="00F0759B" w:rsidP="00CC47B0">
      <w:pPr>
        <w:pStyle w:val="Paragraph"/>
      </w:pPr>
      <w:r>
        <w:t xml:space="preserve">However, </w:t>
      </w:r>
      <w:r w:rsidR="00690C42">
        <w:t>we note</w:t>
      </w:r>
      <w:r>
        <w:t xml:space="preserve"> </w:t>
      </w:r>
      <w:r w:rsidR="00690C42">
        <w:t>the</w:t>
      </w:r>
      <w:r>
        <w:t xml:space="preserve"> significantly different context of an ongoing allocation of apparatus licences as compared with a ‘point-in-time’ auction of spectrum licences.</w:t>
      </w:r>
      <w:r w:rsidR="002F2FEB">
        <w:t xml:space="preserve"> </w:t>
      </w:r>
    </w:p>
    <w:p w14:paraId="733742FC" w14:textId="6B25D5A3" w:rsidR="00505CBB" w:rsidRPr="00505CBB" w:rsidRDefault="00505CBB" w:rsidP="00811CD1">
      <w:pPr>
        <w:pStyle w:val="Paragraph"/>
      </w:pPr>
      <w:r w:rsidRPr="00505CBB">
        <w:t xml:space="preserve">In an auction setting, limits </w:t>
      </w:r>
      <w:r w:rsidR="00CC47B0">
        <w:t>generally</w:t>
      </w:r>
      <w:r w:rsidRPr="00505CBB">
        <w:t xml:space="preserve"> have a cessation date corresponding with the end of the auction, meaning there is no ongoing requirement </w:t>
      </w:r>
      <w:r>
        <w:t xml:space="preserve">for applicants to </w:t>
      </w:r>
      <w:r w:rsidRPr="00505CBB">
        <w:t>assess associations.</w:t>
      </w:r>
    </w:p>
    <w:p w14:paraId="0DB00022" w14:textId="2581C55A" w:rsidR="0072036A" w:rsidRDefault="009664DE" w:rsidP="00FE69BE">
      <w:pPr>
        <w:pStyle w:val="Paragraph"/>
        <w:spacing w:after="80"/>
      </w:pPr>
      <w:r>
        <w:t>Under this option</w:t>
      </w:r>
      <w:r w:rsidR="00505CBB" w:rsidRPr="00505CBB">
        <w:t xml:space="preserve">, and for the first time, the ACMA </w:t>
      </w:r>
      <w:r w:rsidR="00DB6082">
        <w:t xml:space="preserve">would </w:t>
      </w:r>
      <w:r w:rsidR="00505CBB" w:rsidRPr="00505CBB">
        <w:t xml:space="preserve">apply allocation limits </w:t>
      </w:r>
      <w:r w:rsidR="00CC47B0">
        <w:t>by legislative instrument</w:t>
      </w:r>
      <w:r w:rsidR="00505CBB" w:rsidRPr="00505CBB">
        <w:t xml:space="preserve"> to an administrative allocation process over an extended period. In an ongoing allocation of apparatus licences, we would have to be assured that an applicant’s requested quantum of spectrum, and the existing spectrum holdings in that area held by its associates, does not breach the allocation limit. As such, a robust statutory allocation limit applying to an ongoing allocation of apparatus licences would require the continued application </w:t>
      </w:r>
      <w:r w:rsidR="001F69AF">
        <w:t>to associated applicants</w:t>
      </w:r>
      <w:r w:rsidR="00505CBB" w:rsidRPr="00505CBB">
        <w:t xml:space="preserve">. </w:t>
      </w:r>
      <w:r w:rsidR="007C3029">
        <w:t xml:space="preserve">We </w:t>
      </w:r>
      <w:r w:rsidR="007A0CD2">
        <w:t xml:space="preserve">therefore </w:t>
      </w:r>
      <w:r w:rsidR="007C3029">
        <w:t>consider that</w:t>
      </w:r>
      <w:r w:rsidR="00C6197E">
        <w:t>,</w:t>
      </w:r>
      <w:r w:rsidR="007C3029">
        <w:t xml:space="preserve"> due to the </w:t>
      </w:r>
      <w:r w:rsidR="00D9458D">
        <w:t xml:space="preserve">significantly </w:t>
      </w:r>
      <w:r w:rsidR="007C3029">
        <w:t xml:space="preserve">different context, a </w:t>
      </w:r>
      <w:r w:rsidR="0072036A">
        <w:t xml:space="preserve">simplified associates policy </w:t>
      </w:r>
      <w:r w:rsidR="00327FB2">
        <w:t>is required</w:t>
      </w:r>
      <w:r w:rsidR="0072036A">
        <w:t xml:space="preserve">. </w:t>
      </w:r>
      <w:r w:rsidR="0072036A" w:rsidRPr="00701BFC">
        <w:t xml:space="preserve">The </w:t>
      </w:r>
      <w:r w:rsidR="000A7468">
        <w:t xml:space="preserve">ACMA proposes </w:t>
      </w:r>
      <w:r w:rsidR="006929F1">
        <w:t>that the nil limit</w:t>
      </w:r>
      <w:r w:rsidR="004C73D6">
        <w:t xml:space="preserve"> and the cross-band limit</w:t>
      </w:r>
      <w:r w:rsidR="006929F1">
        <w:t xml:space="preserve"> would apply to MNOs and NBN Co, a</w:t>
      </w:r>
      <w:r w:rsidR="00D60D4A">
        <w:t>nd each of the following</w:t>
      </w:r>
      <w:r w:rsidR="0072036A" w:rsidRPr="00701BFC">
        <w:t>:</w:t>
      </w:r>
      <w:r w:rsidR="0072036A">
        <w:t xml:space="preserve"> </w:t>
      </w:r>
    </w:p>
    <w:p w14:paraId="3401C17D" w14:textId="4C975397" w:rsidR="0072036A" w:rsidRDefault="00E25559" w:rsidP="00FE69BE">
      <w:pPr>
        <w:pStyle w:val="Bulletlevel1"/>
      </w:pPr>
      <w:r>
        <w:t>a</w:t>
      </w:r>
      <w:r w:rsidR="0072036A">
        <w:t xml:space="preserve"> related body corporate</w:t>
      </w:r>
      <w:r w:rsidR="004C7AFF">
        <w:t xml:space="preserve"> of an MNO o</w:t>
      </w:r>
      <w:r w:rsidR="00B95AC9">
        <w:t>r</w:t>
      </w:r>
      <w:r w:rsidR="004C7AFF">
        <w:t xml:space="preserve"> NBN Co</w:t>
      </w:r>
    </w:p>
    <w:p w14:paraId="4268A789" w14:textId="7C946DBF" w:rsidR="0072036A" w:rsidRDefault="00E25559" w:rsidP="00FE69BE">
      <w:pPr>
        <w:pStyle w:val="Bulletlevel1"/>
      </w:pPr>
      <w:r>
        <w:t>a</w:t>
      </w:r>
      <w:r w:rsidR="0072036A">
        <w:t xml:space="preserve"> director or secretary of </w:t>
      </w:r>
      <w:r w:rsidR="004C7AFF">
        <w:t>an MNO or NBN Co</w:t>
      </w:r>
    </w:p>
    <w:p w14:paraId="43F0056A" w14:textId="7495E5D1" w:rsidR="0072036A" w:rsidRDefault="00E25559" w:rsidP="00FE69BE">
      <w:pPr>
        <w:pStyle w:val="Bulletlevel1"/>
      </w:pPr>
      <w:r>
        <w:t>a</w:t>
      </w:r>
      <w:r w:rsidR="0072036A">
        <w:t xml:space="preserve"> foreign company for which </w:t>
      </w:r>
      <w:r w:rsidR="004C7AFF">
        <w:t>an MNO o</w:t>
      </w:r>
      <w:r w:rsidR="007A4AD1">
        <w:t>r</w:t>
      </w:r>
      <w:r w:rsidR="004C7AFF">
        <w:t xml:space="preserve"> NBN Co</w:t>
      </w:r>
      <w:r w:rsidR="0072036A">
        <w:t xml:space="preserve"> is a local agent</w:t>
      </w:r>
    </w:p>
    <w:p w14:paraId="282353A9" w14:textId="1F9165F9" w:rsidR="00DE3324" w:rsidRDefault="00E25559" w:rsidP="00FE69BE">
      <w:pPr>
        <w:pStyle w:val="Bulletlevel1"/>
        <w:spacing w:after="240"/>
      </w:pPr>
      <w:r>
        <w:lastRenderedPageBreak/>
        <w:t>a</w:t>
      </w:r>
      <w:r w:rsidR="00081173">
        <w:t xml:space="preserve">ny person who has an arrangement, agreement or understanding </w:t>
      </w:r>
      <w:r w:rsidR="001404D9">
        <w:t>with a named person or another associate of a named person</w:t>
      </w:r>
      <w:r w:rsidR="00E05E04">
        <w:t>.</w:t>
      </w:r>
      <w:r w:rsidR="00271103">
        <w:rPr>
          <w:rStyle w:val="FootnoteReference"/>
        </w:rPr>
        <w:footnoteReference w:id="7"/>
      </w:r>
    </w:p>
    <w:p w14:paraId="6A0C9AC2" w14:textId="2E1C84C2" w:rsidR="0072036A" w:rsidRDefault="002E5DA0" w:rsidP="0072036A">
      <w:r>
        <w:t>’Foreign company, ‘local agent’ and ‘related body corporate’</w:t>
      </w:r>
      <w:r w:rsidR="0072036A">
        <w:t xml:space="preserve"> all have the same meaning in the </w:t>
      </w:r>
      <w:r w:rsidR="0072036A">
        <w:rPr>
          <w:i/>
          <w:iCs/>
        </w:rPr>
        <w:t>Corporations Act 2001.</w:t>
      </w:r>
      <w:r w:rsidR="0072036A" w:rsidRPr="003A7CF8">
        <w:rPr>
          <w:i/>
          <w:iCs/>
        </w:rPr>
        <w:t xml:space="preserve"> </w:t>
      </w:r>
      <w:r w:rsidR="0072036A" w:rsidRPr="003A7CF8">
        <w:t xml:space="preserve">As mentioned before, these specifications are intended to identify any close, direct relationship with an MNO or NBN Co and ensure that those associated applicants are subject to the Nil MHz limit and/or the cross-band limit. </w:t>
      </w:r>
    </w:p>
    <w:p w14:paraId="19DFBA60" w14:textId="11591183" w:rsidR="000F7DF3" w:rsidRPr="00E25559" w:rsidRDefault="0072036A" w:rsidP="000F7DF3">
      <w:r w:rsidRPr="00E25559">
        <w:t xml:space="preserve">We invite views from stakeholders about the definition of associates </w:t>
      </w:r>
      <w:r w:rsidR="0029282E" w:rsidRPr="00E25559">
        <w:t xml:space="preserve">in the </w:t>
      </w:r>
      <w:r w:rsidR="007A4AD1" w:rsidRPr="00E25559">
        <w:t>d</w:t>
      </w:r>
      <w:r w:rsidR="0029282E" w:rsidRPr="00E25559">
        <w:t xml:space="preserve">raft </w:t>
      </w:r>
      <w:r w:rsidR="0029282E" w:rsidRPr="00FE69BE">
        <w:t xml:space="preserve">Radiocommunications (Area-Wide Licence </w:t>
      </w:r>
      <w:r w:rsidR="006A05A8" w:rsidRPr="00FE69BE">
        <w:t xml:space="preserve">Allocation Limits) </w:t>
      </w:r>
      <w:r w:rsidR="0029282E" w:rsidRPr="00FE69BE">
        <w:t>Determination 2023</w:t>
      </w:r>
      <w:r w:rsidRPr="00E25559">
        <w:t xml:space="preserve"> and </w:t>
      </w:r>
      <w:r w:rsidR="00B045C9" w:rsidRPr="00E25559">
        <w:t>draf</w:t>
      </w:r>
      <w:r w:rsidR="00D425D5" w:rsidRPr="00E25559">
        <w:t xml:space="preserve">t </w:t>
      </w:r>
      <w:r w:rsidR="00D425D5" w:rsidRPr="00FE69BE">
        <w:t xml:space="preserve">Radiocommunications (Limitation of Authorisation of </w:t>
      </w:r>
      <w:r w:rsidR="00E25559" w:rsidRPr="00E25559">
        <w:t>Third-Party</w:t>
      </w:r>
      <w:r w:rsidR="00D425D5" w:rsidRPr="00FE69BE">
        <w:t xml:space="preserve"> Users and Transfer of Area-Wide Licences) Determination 2023</w:t>
      </w:r>
      <w:r w:rsidR="00D425D5" w:rsidRPr="00E25559">
        <w:rPr>
          <w:rFonts w:cs="Arial"/>
          <w:sz w:val="22"/>
          <w:szCs w:val="22"/>
        </w:rPr>
        <w:t xml:space="preserve">, </w:t>
      </w:r>
      <w:r w:rsidR="001B1D4A" w:rsidRPr="00E25559">
        <w:rPr>
          <w:rFonts w:cs="Arial"/>
          <w:sz w:val="22"/>
          <w:szCs w:val="22"/>
        </w:rPr>
        <w:t>and</w:t>
      </w:r>
      <w:r w:rsidR="001B1D4A" w:rsidRPr="00E25559">
        <w:t xml:space="preserve"> their</w:t>
      </w:r>
      <w:r w:rsidRPr="00E25559">
        <w:t xml:space="preserve"> suitability for AWL applicants in the 3.8 </w:t>
      </w:r>
      <w:r w:rsidR="00DC4D67" w:rsidRPr="00E25559">
        <w:t xml:space="preserve">GHz </w:t>
      </w:r>
      <w:r w:rsidRPr="00E25559">
        <w:t>band.</w:t>
      </w:r>
    </w:p>
    <w:p w14:paraId="00BBB1EE" w14:textId="4FDAFE45" w:rsidR="00455C4E" w:rsidRDefault="00D8208F" w:rsidP="00D8208F">
      <w:pPr>
        <w:pStyle w:val="Heading2"/>
      </w:pPr>
      <w:bookmarkStart w:id="28" w:name="_Toc137808617"/>
      <w:r>
        <w:t xml:space="preserve">Option 2: General </w:t>
      </w:r>
      <w:r w:rsidR="00FC0644">
        <w:t>a</w:t>
      </w:r>
      <w:r>
        <w:t xml:space="preserve">llocation </w:t>
      </w:r>
      <w:r w:rsidR="00FC0644">
        <w:t>w</w:t>
      </w:r>
      <w:r>
        <w:t xml:space="preserve">indow </w:t>
      </w:r>
      <w:r w:rsidR="00FC0644">
        <w:t>a</w:t>
      </w:r>
      <w:r>
        <w:t>pproach</w:t>
      </w:r>
      <w:bookmarkEnd w:id="28"/>
      <w:r>
        <w:t xml:space="preserve"> </w:t>
      </w:r>
    </w:p>
    <w:p w14:paraId="50F00AEE" w14:textId="69B6ECAA" w:rsidR="00AF28E9" w:rsidRDefault="00AF28E9" w:rsidP="00AF28E9">
      <w:pPr>
        <w:pStyle w:val="Paragraph"/>
      </w:pPr>
      <w:r>
        <w:t xml:space="preserve">As with </w:t>
      </w:r>
      <w:r w:rsidR="00AC581D">
        <w:t>O</w:t>
      </w:r>
      <w:r>
        <w:t>ption 1, we consider that licence allocation via an allocation window provides the flexibility that is required to enable aspirant licensees, particularly smaller use cases, to tailor their licence</w:t>
      </w:r>
      <w:r w:rsidR="00854894">
        <w:t xml:space="preserve"> </w:t>
      </w:r>
      <w:r w:rsidR="003A66DA">
        <w:t>applications</w:t>
      </w:r>
      <w:r>
        <w:t xml:space="preserve"> to more bespoke </w:t>
      </w:r>
      <w:r w:rsidR="003A66DA">
        <w:t>uses of the spectrum</w:t>
      </w:r>
      <w:r>
        <w:t xml:space="preserve">.  </w:t>
      </w:r>
    </w:p>
    <w:p w14:paraId="58DE1877" w14:textId="498FEFCB" w:rsidR="00F93F15" w:rsidRDefault="002C3A43" w:rsidP="00620BD5">
      <w:pPr>
        <w:pStyle w:val="Paragraph"/>
        <w:rPr>
          <w:szCs w:val="20"/>
        </w:rPr>
      </w:pPr>
      <w:r>
        <w:rPr>
          <w:szCs w:val="20"/>
        </w:rPr>
        <w:t>O</w:t>
      </w:r>
      <w:r w:rsidR="002363C9" w:rsidRPr="00F93F15">
        <w:rPr>
          <w:szCs w:val="20"/>
        </w:rPr>
        <w:t xml:space="preserve">ption </w:t>
      </w:r>
      <w:r w:rsidR="000D5CC6">
        <w:rPr>
          <w:szCs w:val="20"/>
        </w:rPr>
        <w:t xml:space="preserve">2 </w:t>
      </w:r>
      <w:r w:rsidR="00E25559">
        <w:rPr>
          <w:szCs w:val="20"/>
        </w:rPr>
        <w:t>would</w:t>
      </w:r>
      <w:r w:rsidR="00933BD2" w:rsidRPr="00F93F15">
        <w:rPr>
          <w:szCs w:val="20"/>
        </w:rPr>
        <w:t xml:space="preserve"> allow all parties to </w:t>
      </w:r>
      <w:r w:rsidR="00AE5014">
        <w:rPr>
          <w:szCs w:val="20"/>
        </w:rPr>
        <w:t>be allocated and issued</w:t>
      </w:r>
      <w:r w:rsidR="00933BD2" w:rsidRPr="00F93F15">
        <w:rPr>
          <w:szCs w:val="20"/>
        </w:rPr>
        <w:t xml:space="preserve"> AWLs</w:t>
      </w:r>
      <w:r w:rsidR="002846F6" w:rsidRPr="00F93F15">
        <w:rPr>
          <w:szCs w:val="20"/>
        </w:rPr>
        <w:t xml:space="preserve"> (</w:t>
      </w:r>
      <w:r w:rsidR="00E25559">
        <w:rPr>
          <w:szCs w:val="20"/>
        </w:rPr>
        <w:t>that is,</w:t>
      </w:r>
      <w:r w:rsidR="002846F6" w:rsidRPr="00F93F15">
        <w:rPr>
          <w:szCs w:val="20"/>
        </w:rPr>
        <w:t xml:space="preserve"> without </w:t>
      </w:r>
      <w:r w:rsidR="00AE5014">
        <w:rPr>
          <w:szCs w:val="20"/>
        </w:rPr>
        <w:t>imposing</w:t>
      </w:r>
      <w:r w:rsidR="002846F6" w:rsidRPr="00F93F15">
        <w:rPr>
          <w:szCs w:val="20"/>
        </w:rPr>
        <w:t xml:space="preserve"> a nil MHz allocation limit</w:t>
      </w:r>
      <w:r w:rsidR="00CA64A2">
        <w:rPr>
          <w:szCs w:val="20"/>
        </w:rPr>
        <w:t xml:space="preserve"> on any person</w:t>
      </w:r>
      <w:r w:rsidR="002846F6" w:rsidRPr="00F93F15">
        <w:rPr>
          <w:szCs w:val="20"/>
        </w:rPr>
        <w:t>)</w:t>
      </w:r>
      <w:r w:rsidR="00620BD5" w:rsidRPr="00F93F15">
        <w:rPr>
          <w:szCs w:val="20"/>
        </w:rPr>
        <w:t>,</w:t>
      </w:r>
      <w:r w:rsidR="00620BD5">
        <w:rPr>
          <w:szCs w:val="20"/>
        </w:rPr>
        <w:t xml:space="preserve"> subject to a </w:t>
      </w:r>
      <w:r w:rsidR="00BD2890">
        <w:rPr>
          <w:szCs w:val="20"/>
        </w:rPr>
        <w:t xml:space="preserve">time-limited </w:t>
      </w:r>
      <w:r w:rsidR="00620BD5">
        <w:rPr>
          <w:szCs w:val="20"/>
        </w:rPr>
        <w:t xml:space="preserve">cross-band allocation limit and an in-band </w:t>
      </w:r>
      <w:r w:rsidR="000D5CC6">
        <w:rPr>
          <w:szCs w:val="20"/>
        </w:rPr>
        <w:t xml:space="preserve">‘allocation quantum policy’ </w:t>
      </w:r>
      <w:r w:rsidR="00FF4D7C">
        <w:rPr>
          <w:szCs w:val="20"/>
        </w:rPr>
        <w:t>(</w:t>
      </w:r>
      <w:r w:rsidR="00620BD5">
        <w:rPr>
          <w:szCs w:val="20"/>
        </w:rPr>
        <w:t>AQP</w:t>
      </w:r>
      <w:r w:rsidR="00284F09">
        <w:rPr>
          <w:szCs w:val="20"/>
        </w:rPr>
        <w:t>) and</w:t>
      </w:r>
      <w:r w:rsidR="00523162">
        <w:rPr>
          <w:szCs w:val="20"/>
        </w:rPr>
        <w:t xml:space="preserve"> use the </w:t>
      </w:r>
      <w:r w:rsidR="0016530C">
        <w:rPr>
          <w:szCs w:val="20"/>
        </w:rPr>
        <w:t xml:space="preserve">allocation principles to </w:t>
      </w:r>
      <w:r w:rsidR="00386E91">
        <w:rPr>
          <w:szCs w:val="20"/>
        </w:rPr>
        <w:t>sufficiently prioritise</w:t>
      </w:r>
      <w:r w:rsidR="00620BD5">
        <w:rPr>
          <w:szCs w:val="20"/>
        </w:rPr>
        <w:t xml:space="preserve"> </w:t>
      </w:r>
      <w:r w:rsidR="00386E91">
        <w:rPr>
          <w:szCs w:val="20"/>
        </w:rPr>
        <w:t xml:space="preserve">LA WBB, PTP and FSS use cases. </w:t>
      </w:r>
    </w:p>
    <w:p w14:paraId="552850BD" w14:textId="5F22195E" w:rsidR="00DF73F2" w:rsidRPr="00D3151C" w:rsidRDefault="00E71D34" w:rsidP="00A663C6">
      <w:pPr>
        <w:pStyle w:val="Paragraph"/>
        <w:rPr>
          <w:szCs w:val="20"/>
        </w:rPr>
      </w:pPr>
      <w:r>
        <w:t>O</w:t>
      </w:r>
      <w:r w:rsidR="00193D47">
        <w:t>ption 2 retain</w:t>
      </w:r>
      <w:r>
        <w:t>s</w:t>
      </w:r>
      <w:r w:rsidR="00193D47">
        <w:t xml:space="preserve"> an initial </w:t>
      </w:r>
      <w:r w:rsidR="00752573">
        <w:t>4-week</w:t>
      </w:r>
      <w:r w:rsidR="00193D47">
        <w:t xml:space="preserve"> allocation window</w:t>
      </w:r>
      <w:r w:rsidR="0004218C">
        <w:t xml:space="preserve"> </w:t>
      </w:r>
      <w:r w:rsidR="00B330F2">
        <w:t>but discard</w:t>
      </w:r>
      <w:r w:rsidR="00FF31A6">
        <w:t>s</w:t>
      </w:r>
      <w:r w:rsidR="00B330F2">
        <w:t xml:space="preserve"> a</w:t>
      </w:r>
      <w:r w:rsidR="00262FCD">
        <w:t xml:space="preserve"> </w:t>
      </w:r>
      <w:r w:rsidR="0004218C">
        <w:t>secondary allocation process</w:t>
      </w:r>
      <w:r w:rsidR="009600F5">
        <w:t xml:space="preserve">. </w:t>
      </w:r>
      <w:r w:rsidR="00187EAD">
        <w:t>U</w:t>
      </w:r>
      <w:r w:rsidR="009828D5">
        <w:t xml:space="preserve">nder this option, </w:t>
      </w:r>
      <w:r w:rsidR="00D21615">
        <w:t>NBN Co. and MN</w:t>
      </w:r>
      <w:r w:rsidR="007A2025">
        <w:t>Os</w:t>
      </w:r>
      <w:r w:rsidR="00262FCD">
        <w:t xml:space="preserve"> would not be </w:t>
      </w:r>
      <w:r w:rsidR="00D91BA3">
        <w:t>precluded</w:t>
      </w:r>
      <w:r w:rsidR="007A2025">
        <w:t xml:space="preserve"> from being issued an AWL</w:t>
      </w:r>
      <w:r w:rsidR="00803932">
        <w:t xml:space="preserve">s </w:t>
      </w:r>
      <w:r w:rsidR="00E25559">
        <w:t>because of</w:t>
      </w:r>
      <w:r w:rsidR="00803932">
        <w:t xml:space="preserve"> </w:t>
      </w:r>
      <w:r w:rsidR="00C3248E">
        <w:t xml:space="preserve">an </w:t>
      </w:r>
      <w:r w:rsidR="00803932">
        <w:t>application submitted during the application windo</w:t>
      </w:r>
      <w:r w:rsidR="00940EED">
        <w:t>w</w:t>
      </w:r>
      <w:r w:rsidR="00CE3C3A">
        <w:t xml:space="preserve">. </w:t>
      </w:r>
      <w:r w:rsidR="009A74F6">
        <w:t>However, under this option,</w:t>
      </w:r>
      <w:r w:rsidR="002D69FB">
        <w:t xml:space="preserve"> while applications from MN</w:t>
      </w:r>
      <w:r w:rsidR="005F052E">
        <w:t>O</w:t>
      </w:r>
      <w:r w:rsidR="002D69FB">
        <w:t xml:space="preserve">s and NBN Co would </w:t>
      </w:r>
      <w:r w:rsidR="00700C3A">
        <w:t>be considered,</w:t>
      </w:r>
      <w:r w:rsidR="009A74F6">
        <w:t xml:space="preserve"> it would still be the ACMA’s intention to </w:t>
      </w:r>
      <w:r w:rsidR="00AD6411">
        <w:t xml:space="preserve">initially </w:t>
      </w:r>
      <w:r w:rsidR="006638C7">
        <w:t>prioritise LA WBB</w:t>
      </w:r>
      <w:r w:rsidR="00D12519">
        <w:t>, PTP and FSS use cases</w:t>
      </w:r>
      <w:r w:rsidR="00444E70">
        <w:t xml:space="preserve"> over WA</w:t>
      </w:r>
      <w:r w:rsidR="00F74576">
        <w:t xml:space="preserve"> </w:t>
      </w:r>
      <w:r w:rsidR="00444E70">
        <w:rPr>
          <w:szCs w:val="20"/>
        </w:rPr>
        <w:t xml:space="preserve">WBB </w:t>
      </w:r>
      <w:r w:rsidR="004B27F3">
        <w:rPr>
          <w:szCs w:val="20"/>
        </w:rPr>
        <w:t xml:space="preserve">applications received during the allocation window. </w:t>
      </w:r>
    </w:p>
    <w:p w14:paraId="056E1C91" w14:textId="7B0C2D73" w:rsidR="007942BF" w:rsidRPr="00D3151C" w:rsidRDefault="007942BF" w:rsidP="00A663C6">
      <w:pPr>
        <w:pStyle w:val="Paragraph"/>
        <w:rPr>
          <w:szCs w:val="20"/>
        </w:rPr>
      </w:pPr>
      <w:r>
        <w:rPr>
          <w:szCs w:val="20"/>
        </w:rPr>
        <w:t>Following the allocation</w:t>
      </w:r>
      <w:r w:rsidR="00BD2890">
        <w:rPr>
          <w:szCs w:val="20"/>
        </w:rPr>
        <w:t xml:space="preserve"> window</w:t>
      </w:r>
      <w:r w:rsidR="00E60613">
        <w:rPr>
          <w:szCs w:val="20"/>
        </w:rPr>
        <w:t xml:space="preserve">, </w:t>
      </w:r>
      <w:r w:rsidR="00BD2890">
        <w:rPr>
          <w:szCs w:val="20"/>
        </w:rPr>
        <w:t>licence</w:t>
      </w:r>
      <w:r>
        <w:rPr>
          <w:szCs w:val="20"/>
        </w:rPr>
        <w:t xml:space="preserve"> </w:t>
      </w:r>
      <w:r w:rsidR="00BD2890">
        <w:rPr>
          <w:szCs w:val="20"/>
        </w:rPr>
        <w:t xml:space="preserve">issue </w:t>
      </w:r>
      <w:r w:rsidR="00FF4D7C">
        <w:rPr>
          <w:szCs w:val="20"/>
        </w:rPr>
        <w:t>decisions</w:t>
      </w:r>
      <w:r w:rsidR="00BD2890">
        <w:rPr>
          <w:szCs w:val="20"/>
        </w:rPr>
        <w:t xml:space="preserve"> would revert to</w:t>
      </w:r>
      <w:r w:rsidR="00AD17E2">
        <w:rPr>
          <w:szCs w:val="20"/>
        </w:rPr>
        <w:t>, generally,</w:t>
      </w:r>
      <w:r w:rsidR="00BD2890">
        <w:rPr>
          <w:szCs w:val="20"/>
        </w:rPr>
        <w:t xml:space="preserve"> a first-in-time over-the-counter approach, subject to the time-limited cross band allocation limit</w:t>
      </w:r>
      <w:r w:rsidR="0071660D">
        <w:rPr>
          <w:szCs w:val="20"/>
        </w:rPr>
        <w:t xml:space="preserve"> and </w:t>
      </w:r>
      <w:r w:rsidR="008720F7">
        <w:rPr>
          <w:szCs w:val="20"/>
        </w:rPr>
        <w:t>in-band AQP.</w:t>
      </w:r>
    </w:p>
    <w:p w14:paraId="28C366B3" w14:textId="251DC2A6" w:rsidR="00DF73F2" w:rsidRPr="00523840" w:rsidRDefault="00DF73F2" w:rsidP="00523840">
      <w:pPr>
        <w:pStyle w:val="Heading3"/>
        <w:rPr>
          <w:sz w:val="24"/>
          <w:szCs w:val="32"/>
        </w:rPr>
      </w:pPr>
      <w:r w:rsidRPr="00523840">
        <w:rPr>
          <w:sz w:val="24"/>
          <w:szCs w:val="32"/>
        </w:rPr>
        <w:t xml:space="preserve">Cross-band limit </w:t>
      </w:r>
    </w:p>
    <w:p w14:paraId="2C450845" w14:textId="2FE39EB6" w:rsidR="002E03AE" w:rsidRDefault="00384005" w:rsidP="00DF73F2">
      <w:pPr>
        <w:pStyle w:val="Paragraph"/>
        <w:rPr>
          <w:szCs w:val="20"/>
        </w:rPr>
      </w:pPr>
      <w:r>
        <w:rPr>
          <w:szCs w:val="20"/>
        </w:rPr>
        <w:t>As under</w:t>
      </w:r>
      <w:r w:rsidR="00B95DB4">
        <w:rPr>
          <w:szCs w:val="20"/>
        </w:rPr>
        <w:t xml:space="preserve"> the</w:t>
      </w:r>
      <w:r w:rsidR="00DF73F2">
        <w:rPr>
          <w:szCs w:val="20"/>
        </w:rPr>
        <w:t xml:space="preserve"> proposed</w:t>
      </w:r>
      <w:r w:rsidR="00AA1E75">
        <w:rPr>
          <w:szCs w:val="20"/>
        </w:rPr>
        <w:t xml:space="preserve"> cross band</w:t>
      </w:r>
      <w:r w:rsidR="00DF73F2">
        <w:rPr>
          <w:szCs w:val="20"/>
        </w:rPr>
        <w:t xml:space="preserve"> limit</w:t>
      </w:r>
      <w:r w:rsidR="00AA1E75">
        <w:rPr>
          <w:szCs w:val="20"/>
        </w:rPr>
        <w:t>s</w:t>
      </w:r>
      <w:r w:rsidR="00DF73F2">
        <w:rPr>
          <w:szCs w:val="20"/>
        </w:rPr>
        <w:t xml:space="preserve"> in</w:t>
      </w:r>
      <w:r w:rsidR="00376669">
        <w:rPr>
          <w:szCs w:val="20"/>
        </w:rPr>
        <w:t xml:space="preserve"> Option 1</w:t>
      </w:r>
      <w:r w:rsidR="00AA1E75">
        <w:rPr>
          <w:szCs w:val="20"/>
        </w:rPr>
        <w:t>,</w:t>
      </w:r>
      <w:r w:rsidR="00DF73F2">
        <w:rPr>
          <w:szCs w:val="20"/>
        </w:rPr>
        <w:t xml:space="preserve"> </w:t>
      </w:r>
      <w:r w:rsidR="009561A9">
        <w:rPr>
          <w:szCs w:val="20"/>
        </w:rPr>
        <w:t>it is the ACMA’s preliminary</w:t>
      </w:r>
      <w:r w:rsidR="00D50CC9">
        <w:rPr>
          <w:szCs w:val="20"/>
        </w:rPr>
        <w:t xml:space="preserve"> view</w:t>
      </w:r>
      <w:r w:rsidR="00AA1E75">
        <w:rPr>
          <w:szCs w:val="20"/>
        </w:rPr>
        <w:t xml:space="preserve"> that the </w:t>
      </w:r>
      <w:r w:rsidR="00AD17E2">
        <w:rPr>
          <w:szCs w:val="20"/>
        </w:rPr>
        <w:t>O</w:t>
      </w:r>
      <w:r w:rsidR="00AA1E75">
        <w:rPr>
          <w:szCs w:val="20"/>
        </w:rPr>
        <w:t>ption 2 cross band limits</w:t>
      </w:r>
      <w:r w:rsidR="00A663C6">
        <w:rPr>
          <w:szCs w:val="20"/>
        </w:rPr>
        <w:t xml:space="preserve"> for the 3.4–3.95 GHz </w:t>
      </w:r>
      <w:r w:rsidR="00C743BD">
        <w:rPr>
          <w:szCs w:val="20"/>
        </w:rPr>
        <w:t>frequency range</w:t>
      </w:r>
      <w:r w:rsidR="00AA1E75">
        <w:rPr>
          <w:szCs w:val="20"/>
        </w:rPr>
        <w:t xml:space="preserve"> mirror those</w:t>
      </w:r>
      <w:r w:rsidR="007125BC">
        <w:rPr>
          <w:szCs w:val="20"/>
        </w:rPr>
        <w:t xml:space="preserve"> to be</w:t>
      </w:r>
      <w:r w:rsidR="00835A39">
        <w:rPr>
          <w:szCs w:val="20"/>
        </w:rPr>
        <w:t xml:space="preserve"> implemented</w:t>
      </w:r>
      <w:r w:rsidR="002E5BB5">
        <w:rPr>
          <w:szCs w:val="20"/>
        </w:rPr>
        <w:t xml:space="preserve"> </w:t>
      </w:r>
      <w:r w:rsidR="001C5B27">
        <w:rPr>
          <w:szCs w:val="20"/>
        </w:rPr>
        <w:t>for</w:t>
      </w:r>
      <w:r w:rsidR="002E5BB5">
        <w:rPr>
          <w:szCs w:val="20"/>
        </w:rPr>
        <w:t xml:space="preserve"> the </w:t>
      </w:r>
      <w:r w:rsidR="008313BF">
        <w:rPr>
          <w:szCs w:val="20"/>
        </w:rPr>
        <w:t xml:space="preserve">3.4/3.7 GHz </w:t>
      </w:r>
      <w:r w:rsidR="00122CDC">
        <w:rPr>
          <w:szCs w:val="20"/>
        </w:rPr>
        <w:t xml:space="preserve">spectrum auction due to commence in </w:t>
      </w:r>
      <w:r w:rsidR="001C5B27">
        <w:rPr>
          <w:szCs w:val="20"/>
        </w:rPr>
        <w:t>Q4 2023.</w:t>
      </w:r>
      <w:r w:rsidR="00927B5C">
        <w:rPr>
          <w:szCs w:val="20"/>
        </w:rPr>
        <w:t xml:space="preserve"> </w:t>
      </w:r>
    </w:p>
    <w:p w14:paraId="7A1375D5" w14:textId="4BA0A5AF" w:rsidR="00014E4E" w:rsidRDefault="00F654C4" w:rsidP="00DF73F2">
      <w:pPr>
        <w:pStyle w:val="Paragraph"/>
        <w:rPr>
          <w:szCs w:val="20"/>
        </w:rPr>
      </w:pPr>
      <w:r>
        <w:rPr>
          <w:szCs w:val="20"/>
        </w:rPr>
        <w:t>W</w:t>
      </w:r>
      <w:r w:rsidR="00014E4E">
        <w:rPr>
          <w:szCs w:val="20"/>
        </w:rPr>
        <w:t>e consider that</w:t>
      </w:r>
      <w:r w:rsidR="000D36ED">
        <w:rPr>
          <w:szCs w:val="20"/>
        </w:rPr>
        <w:t xml:space="preserve">, under this </w:t>
      </w:r>
      <w:r w:rsidR="00F40393">
        <w:rPr>
          <w:szCs w:val="20"/>
        </w:rPr>
        <w:t>option</w:t>
      </w:r>
      <w:r w:rsidR="00517AEB">
        <w:rPr>
          <w:szCs w:val="20"/>
        </w:rPr>
        <w:t>,</w:t>
      </w:r>
      <w:r w:rsidR="00014E4E">
        <w:rPr>
          <w:szCs w:val="20"/>
        </w:rPr>
        <w:t xml:space="preserve"> cross-band limits</w:t>
      </w:r>
      <w:r w:rsidR="00D876F9">
        <w:rPr>
          <w:szCs w:val="20"/>
        </w:rPr>
        <w:t xml:space="preserve">, </w:t>
      </w:r>
      <w:r w:rsidR="00F40393">
        <w:rPr>
          <w:szCs w:val="20"/>
        </w:rPr>
        <w:t>imposed by legislative instrument,</w:t>
      </w:r>
      <w:r w:rsidR="00014E4E">
        <w:rPr>
          <w:szCs w:val="20"/>
        </w:rPr>
        <w:t xml:space="preserve"> are necessary to support a range of users and use cases</w:t>
      </w:r>
      <w:r w:rsidR="005F385E">
        <w:rPr>
          <w:szCs w:val="20"/>
        </w:rPr>
        <w:t>, and will also promote competitive markets</w:t>
      </w:r>
      <w:r w:rsidR="0097628C">
        <w:rPr>
          <w:szCs w:val="20"/>
        </w:rPr>
        <w:t>.</w:t>
      </w:r>
      <w:r w:rsidR="00AA1E75">
        <w:rPr>
          <w:szCs w:val="20"/>
        </w:rPr>
        <w:t xml:space="preserve"> </w:t>
      </w:r>
    </w:p>
    <w:p w14:paraId="3B85D07D" w14:textId="3FC68F7E" w:rsidR="00DF73F2" w:rsidRPr="009F19A5" w:rsidRDefault="00254447" w:rsidP="00FE69BE">
      <w:pPr>
        <w:pStyle w:val="Paragraph"/>
        <w:spacing w:after="80"/>
      </w:pPr>
      <w:r>
        <w:rPr>
          <w:szCs w:val="20"/>
        </w:rPr>
        <w:t>I</w:t>
      </w:r>
      <w:r w:rsidR="002D3142">
        <w:rPr>
          <w:szCs w:val="20"/>
        </w:rPr>
        <w:t xml:space="preserve">n the </w:t>
      </w:r>
      <w:hyperlink r:id="rId51" w:history="1">
        <w:r w:rsidR="00DF73F2" w:rsidRPr="00FE69BE">
          <w:rPr>
            <w:rStyle w:val="Hyperlink"/>
          </w:rPr>
          <w:t xml:space="preserve">Draft allocation and technical instruments for the 3.4/3.7 GHz bands auction: </w:t>
        </w:r>
        <w:r w:rsidR="00B469F2">
          <w:rPr>
            <w:rStyle w:val="Hyperlink"/>
          </w:rPr>
          <w:t>c</w:t>
        </w:r>
        <w:r w:rsidR="00DF73F2" w:rsidRPr="00FE69BE">
          <w:rPr>
            <w:rStyle w:val="Hyperlink"/>
          </w:rPr>
          <w:t>onsultation paper</w:t>
        </w:r>
      </w:hyperlink>
      <w:r w:rsidR="00DF73F2">
        <w:t xml:space="preserve"> </w:t>
      </w:r>
      <w:r w:rsidR="00B469F2">
        <w:t xml:space="preserve">(auction consultation paper) </w:t>
      </w:r>
      <w:r w:rsidR="00DF73F2">
        <w:t xml:space="preserve">we consulted on </w:t>
      </w:r>
      <w:r w:rsidR="00ED1BA5">
        <w:t>the following</w:t>
      </w:r>
      <w:r w:rsidR="00DF73F2">
        <w:t xml:space="preserve"> allocation limits:</w:t>
      </w:r>
    </w:p>
    <w:p w14:paraId="179C2481" w14:textId="5CB88D1A" w:rsidR="00DF73F2" w:rsidRPr="005445BB" w:rsidRDefault="00DF73F2" w:rsidP="00FE69BE">
      <w:pPr>
        <w:pStyle w:val="Bulletlevel1"/>
      </w:pPr>
      <w:r w:rsidRPr="00F676CF">
        <w:lastRenderedPageBreak/>
        <w:t>Option</w:t>
      </w:r>
      <w:r w:rsidRPr="005445BB">
        <w:t xml:space="preserve"> </w:t>
      </w:r>
      <w:r w:rsidRPr="00F676CF">
        <w:t>1:</w:t>
      </w:r>
      <w:r w:rsidRPr="005445BB">
        <w:t xml:space="preserve"> </w:t>
      </w:r>
      <w:r w:rsidRPr="00F676CF">
        <w:t>140 MHz in metropolitan and regional areas in the 3.4–3.8 GHz frequency range.</w:t>
      </w:r>
      <w:r w:rsidRPr="005445BB">
        <w:t xml:space="preserve"> </w:t>
      </w:r>
    </w:p>
    <w:p w14:paraId="2A1B167D" w14:textId="77777777" w:rsidR="00B33E65" w:rsidRDefault="00DF73F2" w:rsidP="00FE69BE">
      <w:pPr>
        <w:pStyle w:val="Bulletlevel1"/>
      </w:pPr>
      <w:r w:rsidRPr="00F676CF">
        <w:t>Option 2:</w:t>
      </w:r>
      <w:r w:rsidRPr="005445BB">
        <w:t xml:space="preserve"> </w:t>
      </w:r>
      <w:r w:rsidRPr="00F676CF">
        <w:t>140 MHz in metropolitan areas and 160 MHz in regional areas, in the 3.4–3.8 GHz frequency range.</w:t>
      </w:r>
    </w:p>
    <w:p w14:paraId="6920C28E" w14:textId="3D7E6E86" w:rsidR="00811634" w:rsidRDefault="00B469F2" w:rsidP="00FE69BE">
      <w:pPr>
        <w:pStyle w:val="Bulletlevel1"/>
        <w:spacing w:after="240"/>
      </w:pPr>
      <w:r>
        <w:t>N</w:t>
      </w:r>
      <w:r w:rsidR="00B33E65">
        <w:t>o limits</w:t>
      </w:r>
      <w:r w:rsidR="00F73F44">
        <w:t>.</w:t>
      </w:r>
      <w:r w:rsidR="00DF73F2" w:rsidRPr="005445BB">
        <w:t xml:space="preserve"> </w:t>
      </w:r>
    </w:p>
    <w:p w14:paraId="7401B385" w14:textId="7AA84F37" w:rsidR="00EB3D8D" w:rsidRPr="005445BB" w:rsidRDefault="00406BEB" w:rsidP="00FE69BE">
      <w:pPr>
        <w:pStyle w:val="Paragraph"/>
      </w:pPr>
      <w:r>
        <w:t xml:space="preserve">In the abovementioned </w:t>
      </w:r>
      <w:r w:rsidR="009C09A0">
        <w:t>auction consultation</w:t>
      </w:r>
      <w:r w:rsidR="003966C3">
        <w:t xml:space="preserve"> paper</w:t>
      </w:r>
      <w:r w:rsidR="006C6910">
        <w:t>, the ACMA advised that</w:t>
      </w:r>
      <w:r w:rsidR="00D93CD1">
        <w:t xml:space="preserve">, in </w:t>
      </w:r>
      <w:r w:rsidR="00D93CD1" w:rsidRPr="00550A15">
        <w:t>relation</w:t>
      </w:r>
      <w:r w:rsidR="00D93CD1">
        <w:t xml:space="preserve"> to limits applicable to the 3.8 GHz band</w:t>
      </w:r>
      <w:r w:rsidR="00BD717D">
        <w:t xml:space="preserve"> AWL</w:t>
      </w:r>
      <w:r w:rsidR="00D93CD1">
        <w:t xml:space="preserve"> allocation,</w:t>
      </w:r>
      <w:r w:rsidR="006C6910">
        <w:t xml:space="preserve"> it was </w:t>
      </w:r>
      <w:r w:rsidR="00E57B23" w:rsidRPr="00FF0A99">
        <w:t xml:space="preserve">considering imposing cross-band limits that would </w:t>
      </w:r>
      <w:r w:rsidR="00B469F2" w:rsidRPr="00FF0A99">
        <w:t>consider</w:t>
      </w:r>
      <w:r w:rsidR="00E57B23" w:rsidRPr="00FF0A99">
        <w:t xml:space="preserve"> spectrum-licensed holdings across the</w:t>
      </w:r>
      <w:r w:rsidR="008B21C1">
        <w:t xml:space="preserve"> broader</w:t>
      </w:r>
      <w:r w:rsidR="00E57B23" w:rsidRPr="00FF0A99">
        <w:t xml:space="preserve"> 3.4–4.0 GHz band (including spectrum acquired in the 3.4/3.7 GHz auction). With this in mind</w:t>
      </w:r>
      <w:r w:rsidR="00977A76">
        <w:t>,</w:t>
      </w:r>
      <w:r w:rsidR="00E57B23" w:rsidRPr="00FF0A99">
        <w:t xml:space="preserve"> </w:t>
      </w:r>
      <w:r w:rsidR="00AD66B5" w:rsidRPr="00FF0A99">
        <w:t xml:space="preserve">we are now consulting on cross-band allocation limits that would include spectrum holdings </w:t>
      </w:r>
      <w:r w:rsidR="001E7AAA" w:rsidRPr="00FF0A99">
        <w:t>across the</w:t>
      </w:r>
      <w:r w:rsidR="00CD1ACC">
        <w:t xml:space="preserve"> broader</w:t>
      </w:r>
      <w:r w:rsidR="001E7AAA" w:rsidRPr="00FF0A99">
        <w:t xml:space="preserve"> 3.4 GHz to 3</w:t>
      </w:r>
      <w:r w:rsidR="00FF0A99" w:rsidRPr="00FF0A99">
        <w:t>.</w:t>
      </w:r>
      <w:r w:rsidR="001E7AAA" w:rsidRPr="00FF0A99">
        <w:t>95 GH</w:t>
      </w:r>
      <w:r w:rsidR="003966C3">
        <w:t>z</w:t>
      </w:r>
      <w:r w:rsidR="001E7AAA" w:rsidRPr="00FF0A99">
        <w:t xml:space="preserve"> range</w:t>
      </w:r>
    </w:p>
    <w:p w14:paraId="62EDE937" w14:textId="21F1A039" w:rsidR="00DF73F2" w:rsidRPr="008E7DCC" w:rsidRDefault="00DF73F2" w:rsidP="00FE69BE">
      <w:pPr>
        <w:pStyle w:val="Paragraph"/>
        <w:spacing w:after="80"/>
        <w:jc w:val="both"/>
        <w:rPr>
          <w:bCs/>
        </w:rPr>
      </w:pPr>
      <w:r w:rsidRPr="008E7DCC">
        <w:rPr>
          <w:bCs/>
        </w:rPr>
        <w:t xml:space="preserve">We consider that options for a reasonable </w:t>
      </w:r>
      <w:r w:rsidR="00354D56">
        <w:rPr>
          <w:bCs/>
        </w:rPr>
        <w:t>period</w:t>
      </w:r>
      <w:r w:rsidRPr="008E7DCC">
        <w:rPr>
          <w:bCs/>
        </w:rPr>
        <w:t xml:space="preserve"> for</w:t>
      </w:r>
      <w:r w:rsidR="00FF5FE8">
        <w:rPr>
          <w:bCs/>
        </w:rPr>
        <w:t xml:space="preserve"> any </w:t>
      </w:r>
      <w:r>
        <w:rPr>
          <w:bCs/>
        </w:rPr>
        <w:t>cross-band allocation limit</w:t>
      </w:r>
      <w:r w:rsidRPr="008E7DCC">
        <w:rPr>
          <w:bCs/>
        </w:rPr>
        <w:t xml:space="preserve"> to apply </w:t>
      </w:r>
      <w:r>
        <w:rPr>
          <w:bCs/>
        </w:rPr>
        <w:t>(from the commencement of the</w:t>
      </w:r>
      <w:r w:rsidR="00201863">
        <w:rPr>
          <w:bCs/>
        </w:rPr>
        <w:t xml:space="preserve"> priority</w:t>
      </w:r>
      <w:r>
        <w:rPr>
          <w:bCs/>
        </w:rPr>
        <w:t xml:space="preserve"> allocation window)</w:t>
      </w:r>
      <w:r w:rsidR="00C1541D">
        <w:rPr>
          <w:bCs/>
        </w:rPr>
        <w:t xml:space="preserve"> include</w:t>
      </w:r>
      <w:r w:rsidRPr="008E7DCC">
        <w:rPr>
          <w:bCs/>
        </w:rPr>
        <w:t>:</w:t>
      </w:r>
    </w:p>
    <w:p w14:paraId="5C18D3D2" w14:textId="6C47CD6F" w:rsidR="00DF73F2" w:rsidRPr="008E7DCC" w:rsidRDefault="00346556" w:rsidP="00FE69BE">
      <w:pPr>
        <w:pStyle w:val="Bulletlevel1"/>
      </w:pPr>
      <w:r>
        <w:t>6</w:t>
      </w:r>
      <w:r w:rsidR="00DF73F2" w:rsidRPr="008E7DCC">
        <w:t xml:space="preserve"> months </w:t>
      </w:r>
    </w:p>
    <w:p w14:paraId="3F830E42" w14:textId="19A0FF22" w:rsidR="00DF73F2" w:rsidRPr="008E7DCC" w:rsidRDefault="00346556" w:rsidP="00FE69BE">
      <w:pPr>
        <w:pStyle w:val="Bulletlevel1"/>
      </w:pPr>
      <w:r>
        <w:t>12</w:t>
      </w:r>
      <w:r w:rsidR="00DF73F2" w:rsidRPr="008E7DCC">
        <w:t xml:space="preserve"> months</w:t>
      </w:r>
    </w:p>
    <w:p w14:paraId="21C6D431" w14:textId="1D16F7C5" w:rsidR="00DF73F2" w:rsidRPr="008E7DCC" w:rsidRDefault="00346556" w:rsidP="00FE69BE">
      <w:pPr>
        <w:pStyle w:val="Bulletlevel1"/>
        <w:spacing w:after="240"/>
      </w:pPr>
      <w:r>
        <w:t>1</w:t>
      </w:r>
      <w:r w:rsidR="006939EA">
        <w:t>8</w:t>
      </w:r>
      <w:r w:rsidR="00DF73F2" w:rsidRPr="008E7DCC">
        <w:t xml:space="preserve"> months.</w:t>
      </w:r>
    </w:p>
    <w:p w14:paraId="5202F57C" w14:textId="78694D54" w:rsidR="00977A76" w:rsidRDefault="00DF73F2" w:rsidP="007B1C6A">
      <w:pPr>
        <w:pStyle w:val="Paragraph"/>
        <w:rPr>
          <w:bCs/>
        </w:rPr>
      </w:pPr>
      <w:r>
        <w:rPr>
          <w:bCs/>
        </w:rPr>
        <w:t xml:space="preserve">If </w:t>
      </w:r>
      <w:r w:rsidR="002258B4">
        <w:rPr>
          <w:bCs/>
        </w:rPr>
        <w:t>the cross</w:t>
      </w:r>
      <w:r w:rsidR="002E03AE">
        <w:rPr>
          <w:bCs/>
        </w:rPr>
        <w:t>-</w:t>
      </w:r>
      <w:r w:rsidR="002258B4">
        <w:rPr>
          <w:bCs/>
        </w:rPr>
        <w:t>band limit</w:t>
      </w:r>
      <w:r>
        <w:rPr>
          <w:bCs/>
        </w:rPr>
        <w:t xml:space="preserve"> option is </w:t>
      </w:r>
      <w:r w:rsidR="002258B4">
        <w:rPr>
          <w:bCs/>
        </w:rPr>
        <w:t>adopted</w:t>
      </w:r>
      <w:r>
        <w:rPr>
          <w:bCs/>
        </w:rPr>
        <w:t>, our preliminary view</w:t>
      </w:r>
      <w:r w:rsidRPr="008E7DCC">
        <w:rPr>
          <w:bCs/>
        </w:rPr>
        <w:t xml:space="preserve"> is a period of </w:t>
      </w:r>
      <w:r>
        <w:rPr>
          <w:bCs/>
        </w:rPr>
        <w:t>12</w:t>
      </w:r>
      <w:r w:rsidRPr="008E7DCC">
        <w:rPr>
          <w:bCs/>
        </w:rPr>
        <w:t xml:space="preserve"> months is appropriate</w:t>
      </w:r>
      <w:r>
        <w:rPr>
          <w:bCs/>
        </w:rPr>
        <w:t xml:space="preserve"> for the application of a cross-band limit</w:t>
      </w:r>
      <w:r w:rsidRPr="008E7DCC">
        <w:rPr>
          <w:bCs/>
        </w:rPr>
        <w:t>.</w:t>
      </w:r>
      <w:r>
        <w:rPr>
          <w:bCs/>
        </w:rPr>
        <w:t xml:space="preserve"> </w:t>
      </w:r>
      <w:r w:rsidR="00977A76">
        <w:rPr>
          <w:bCs/>
        </w:rPr>
        <w:t xml:space="preserve">In addition to this, </w:t>
      </w:r>
      <w:r w:rsidR="00541446">
        <w:rPr>
          <w:bCs/>
        </w:rPr>
        <w:t xml:space="preserve">we consider that the </w:t>
      </w:r>
      <w:r w:rsidR="00B32B94">
        <w:rPr>
          <w:bCs/>
        </w:rPr>
        <w:t>associates</w:t>
      </w:r>
      <w:r w:rsidR="00541446">
        <w:rPr>
          <w:bCs/>
        </w:rPr>
        <w:t xml:space="preserve"> definition as outlined in the section above to be fit-for-purpose for the cross-band limit. </w:t>
      </w:r>
    </w:p>
    <w:p w14:paraId="63C729F3" w14:textId="331E076F" w:rsidR="00DF73F2" w:rsidRDefault="00DF73F2" w:rsidP="007B1C6A">
      <w:pPr>
        <w:pStyle w:val="Paragraph"/>
        <w:rPr>
          <w:bCs/>
        </w:rPr>
      </w:pPr>
      <w:r>
        <w:rPr>
          <w:bCs/>
        </w:rPr>
        <w:t>We w</w:t>
      </w:r>
      <w:r w:rsidR="00F73F44">
        <w:rPr>
          <w:bCs/>
        </w:rPr>
        <w:t>ould</w:t>
      </w:r>
      <w:r>
        <w:rPr>
          <w:bCs/>
        </w:rPr>
        <w:t xml:space="preserve"> </w:t>
      </w:r>
      <w:r w:rsidR="00BB6F9D">
        <w:rPr>
          <w:bCs/>
        </w:rPr>
        <w:t>create this instrument for release alongside the applicant information pack in Q</w:t>
      </w:r>
      <w:r w:rsidR="00A608D5">
        <w:rPr>
          <w:bCs/>
        </w:rPr>
        <w:t>1</w:t>
      </w:r>
      <w:r w:rsidR="00BB6F9D">
        <w:rPr>
          <w:bCs/>
        </w:rPr>
        <w:t xml:space="preserve"> 202</w:t>
      </w:r>
      <w:r w:rsidR="00A608D5">
        <w:rPr>
          <w:bCs/>
        </w:rPr>
        <w:t>4</w:t>
      </w:r>
      <w:r w:rsidR="00BB6F9D">
        <w:rPr>
          <w:bCs/>
        </w:rPr>
        <w:t xml:space="preserve">. </w:t>
      </w:r>
    </w:p>
    <w:p w14:paraId="1DFC8240" w14:textId="674D8A41" w:rsidR="00D3151C" w:rsidRPr="00523840" w:rsidRDefault="00D3151C" w:rsidP="00523840">
      <w:pPr>
        <w:pStyle w:val="Heading3"/>
        <w:rPr>
          <w:sz w:val="24"/>
          <w:szCs w:val="32"/>
        </w:rPr>
      </w:pPr>
      <w:r w:rsidRPr="00523840">
        <w:rPr>
          <w:sz w:val="24"/>
          <w:szCs w:val="32"/>
        </w:rPr>
        <w:t xml:space="preserve">Allocation </w:t>
      </w:r>
      <w:r w:rsidR="00284F09">
        <w:rPr>
          <w:sz w:val="24"/>
          <w:szCs w:val="32"/>
        </w:rPr>
        <w:t>q</w:t>
      </w:r>
      <w:r w:rsidRPr="00523840">
        <w:rPr>
          <w:sz w:val="24"/>
          <w:szCs w:val="32"/>
        </w:rPr>
        <w:t xml:space="preserve">uantum </w:t>
      </w:r>
      <w:r w:rsidR="00284F09">
        <w:rPr>
          <w:sz w:val="24"/>
          <w:szCs w:val="32"/>
        </w:rPr>
        <w:t>p</w:t>
      </w:r>
      <w:r w:rsidRPr="00523840">
        <w:rPr>
          <w:sz w:val="24"/>
          <w:szCs w:val="32"/>
        </w:rPr>
        <w:t xml:space="preserve">olicy </w:t>
      </w:r>
      <w:r w:rsidR="00284F09">
        <w:rPr>
          <w:sz w:val="24"/>
          <w:szCs w:val="32"/>
        </w:rPr>
        <w:t xml:space="preserve">(AQP) </w:t>
      </w:r>
      <w:r w:rsidR="002D3142" w:rsidRPr="00523840">
        <w:rPr>
          <w:sz w:val="24"/>
          <w:szCs w:val="32"/>
        </w:rPr>
        <w:t>and allocation principles</w:t>
      </w:r>
    </w:p>
    <w:p w14:paraId="7A9427AD" w14:textId="17EEFCE9" w:rsidR="00DB6ED5" w:rsidRDefault="00AB12A5" w:rsidP="00FE69BE">
      <w:pPr>
        <w:pStyle w:val="Paragraph"/>
        <w:spacing w:after="80"/>
      </w:pPr>
      <w:r>
        <w:t>As under</w:t>
      </w:r>
      <w:r w:rsidR="008B675C">
        <w:t xml:space="preserve"> </w:t>
      </w:r>
      <w:r w:rsidR="00B32B94">
        <w:t>O</w:t>
      </w:r>
      <w:r w:rsidR="008B675C">
        <w:t>ption</w:t>
      </w:r>
      <w:r w:rsidR="005D6F56">
        <w:t xml:space="preserve"> 1</w:t>
      </w:r>
      <w:r w:rsidR="008B675C">
        <w:t>,</w:t>
      </w:r>
      <w:r w:rsidR="005F0144">
        <w:t xml:space="preserve"> under </w:t>
      </w:r>
      <w:r w:rsidR="00F73F44">
        <w:t xml:space="preserve">Option </w:t>
      </w:r>
      <w:r w:rsidR="005F0144">
        <w:t>2</w:t>
      </w:r>
      <w:r w:rsidR="008B675C">
        <w:t xml:space="preserve"> the ACMA would propose to implement</w:t>
      </w:r>
      <w:r w:rsidR="00AF5D10">
        <w:t xml:space="preserve"> an</w:t>
      </w:r>
      <w:r w:rsidR="008B675C">
        <w:t xml:space="preserve"> </w:t>
      </w:r>
      <w:r w:rsidR="00D55192">
        <w:t>AQP</w:t>
      </w:r>
      <w:r w:rsidR="00B0538A">
        <w:t xml:space="preserve"> </w:t>
      </w:r>
      <w:r w:rsidR="00803BA6">
        <w:t xml:space="preserve">to manage demand </w:t>
      </w:r>
      <w:r w:rsidR="00E554D7">
        <w:t>to</w:t>
      </w:r>
      <w:r w:rsidR="0070713D">
        <w:t xml:space="preserve"> initially prioritise </w:t>
      </w:r>
      <w:r w:rsidR="00457A08">
        <w:t>LA WBB, PTP and FSS use cases</w:t>
      </w:r>
      <w:r w:rsidR="00C57B54">
        <w:t xml:space="preserve"> </w:t>
      </w:r>
      <w:r w:rsidR="00F3286D">
        <w:t>before LA WBB use cases</w:t>
      </w:r>
      <w:r w:rsidR="003A7390">
        <w:t>.</w:t>
      </w:r>
      <w:r w:rsidR="008322A5">
        <w:t xml:space="preserve"> </w:t>
      </w:r>
      <w:r w:rsidR="00B702CE">
        <w:t xml:space="preserve">Under </w:t>
      </w:r>
      <w:r w:rsidR="008F4B27">
        <w:t>Option</w:t>
      </w:r>
      <w:r w:rsidR="00B702CE">
        <w:t xml:space="preserve"> 2, </w:t>
      </w:r>
      <w:r w:rsidR="00B32B94">
        <w:t>to</w:t>
      </w:r>
      <w:r w:rsidR="00DB6ED5">
        <w:t xml:space="preserve"> achieve</w:t>
      </w:r>
      <w:r w:rsidR="00B702CE">
        <w:t xml:space="preserve"> </w:t>
      </w:r>
      <w:r w:rsidR="00BB262F">
        <w:t>this</w:t>
      </w:r>
      <w:r w:rsidR="00DB6ED5">
        <w:t>,</w:t>
      </w:r>
      <w:r w:rsidR="007E5101">
        <w:t xml:space="preserve"> we would</w:t>
      </w:r>
      <w:r w:rsidR="00DB6ED5">
        <w:t xml:space="preserve"> in the absence of the </w:t>
      </w:r>
      <w:r w:rsidR="00B32B94">
        <w:t>O</w:t>
      </w:r>
      <w:r w:rsidR="00DB6ED5">
        <w:t xml:space="preserve">ption 1 nil allocation limit, implement a slightly enhanced </w:t>
      </w:r>
      <w:r w:rsidR="000363B9">
        <w:t xml:space="preserve">or tailored </w:t>
      </w:r>
      <w:r w:rsidR="00DB6ED5">
        <w:t>set of the allocation principles</w:t>
      </w:r>
      <w:r w:rsidR="005742A7">
        <w:t xml:space="preserve"> for </w:t>
      </w:r>
      <w:r w:rsidR="008F4B27">
        <w:t xml:space="preserve">Option </w:t>
      </w:r>
      <w:r w:rsidR="00582B7B">
        <w:t xml:space="preserve">2 </w:t>
      </w:r>
      <w:r w:rsidR="00562010">
        <w:t>a</w:t>
      </w:r>
      <w:r w:rsidR="00DB6ED5">
        <w:t xml:space="preserve">s follows: </w:t>
      </w:r>
    </w:p>
    <w:p w14:paraId="20C316B4" w14:textId="63DD2C74" w:rsidR="00DB6ED5" w:rsidRPr="003933A9" w:rsidRDefault="00B32B94" w:rsidP="00FE69BE">
      <w:pPr>
        <w:pStyle w:val="Bulletlevel1"/>
      </w:pPr>
      <w:r>
        <w:t>t</w:t>
      </w:r>
      <w:r w:rsidR="00DB6ED5" w:rsidRPr="003933A9">
        <w:t xml:space="preserve">he </w:t>
      </w:r>
      <w:r w:rsidR="00DB6ED5">
        <w:t>geographical</w:t>
      </w:r>
      <w:r w:rsidR="00DB6ED5" w:rsidRPr="003933A9">
        <w:t xml:space="preserve"> </w:t>
      </w:r>
      <w:r w:rsidR="00DB6ED5">
        <w:t>area of each licence issued</w:t>
      </w:r>
      <w:r w:rsidR="00DB6ED5" w:rsidRPr="003933A9" w:rsidDel="00F32746">
        <w:t xml:space="preserve"> </w:t>
      </w:r>
      <w:r w:rsidR="00DB6ED5">
        <w:t xml:space="preserve">should </w:t>
      </w:r>
      <w:r w:rsidR="00DB6ED5" w:rsidRPr="003933A9">
        <w:t>be consistent with the proposed use-cases of the application received</w:t>
      </w:r>
    </w:p>
    <w:p w14:paraId="774ABECB" w14:textId="3E5425D9" w:rsidR="00DB6ED5" w:rsidRPr="003933A9" w:rsidRDefault="00B32B94" w:rsidP="00FE69BE">
      <w:pPr>
        <w:pStyle w:val="Bulletlevel1"/>
      </w:pPr>
      <w:r>
        <w:t>e</w:t>
      </w:r>
      <w:r w:rsidR="00DB6ED5">
        <w:t>ach licence issued should</w:t>
      </w:r>
      <w:r w:rsidR="00DB6ED5" w:rsidRPr="003933A9">
        <w:t xml:space="preserve"> promote the efficient use of spectrum in a manner consistent with the technical arrangements supporting planned uses</w:t>
      </w:r>
    </w:p>
    <w:p w14:paraId="098675EC" w14:textId="5E4B0BF2" w:rsidR="00DB6ED5" w:rsidRPr="003933A9" w:rsidRDefault="00B32B94" w:rsidP="00FE69BE">
      <w:pPr>
        <w:pStyle w:val="Bulletlevel1"/>
      </w:pPr>
      <w:r>
        <w:t>a</w:t>
      </w:r>
      <w:r w:rsidR="00DB6ED5">
        <w:t xml:space="preserve">s far as possible </w:t>
      </w:r>
      <w:r w:rsidR="00543DA1">
        <w:t>and</w:t>
      </w:r>
      <w:r w:rsidR="00DB6ED5">
        <w:t xml:space="preserve"> reasonable, </w:t>
      </w:r>
      <w:r w:rsidR="00DB6ED5" w:rsidRPr="003933A9">
        <w:t>accommodate all applica</w:t>
      </w:r>
      <w:r w:rsidR="00DB6ED5">
        <w:t>tions</w:t>
      </w:r>
    </w:p>
    <w:p w14:paraId="0666A219" w14:textId="77AE7212" w:rsidR="00DB6ED5" w:rsidRDefault="00B32B94" w:rsidP="00FE69BE">
      <w:pPr>
        <w:pStyle w:val="Bulletlevel1"/>
      </w:pPr>
      <w:r>
        <w:t>co</w:t>
      </w:r>
      <w:r w:rsidR="00DB6ED5" w:rsidRPr="004E6CA4">
        <w:t>nsider for each applicant the extent to which a denial of the spectrum in question would affect the ability of the applicant to deploy services</w:t>
      </w:r>
    </w:p>
    <w:p w14:paraId="2A6557E0" w14:textId="4CBA7F27" w:rsidR="00DB6ED5" w:rsidRDefault="00B32B94" w:rsidP="00FE69BE">
      <w:pPr>
        <w:pStyle w:val="Bulletlevel1"/>
        <w:spacing w:after="240"/>
      </w:pPr>
      <w:r>
        <w:t>w</w:t>
      </w:r>
      <w:r w:rsidR="00DB6ED5">
        <w:t xml:space="preserve">here there are competing applications between LA WBB, PTP and FSS use cases and </w:t>
      </w:r>
      <w:r w:rsidR="001A3B7A">
        <w:t>WA WBB</w:t>
      </w:r>
      <w:r w:rsidR="00882400">
        <w:t xml:space="preserve"> use cases (</w:t>
      </w:r>
      <w:r>
        <w:t>that is,</w:t>
      </w:r>
      <w:r w:rsidR="00882400">
        <w:t xml:space="preserve"> </w:t>
      </w:r>
      <w:r w:rsidR="00DB6ED5">
        <w:t>NBN Co. and or MNO</w:t>
      </w:r>
      <w:r w:rsidR="00882400">
        <w:t>s)</w:t>
      </w:r>
      <w:r w:rsidR="00DB6ED5">
        <w:t xml:space="preserve">, the ACMA </w:t>
      </w:r>
      <w:r w:rsidR="00882400">
        <w:t>will prioritise LA WBB, PTP and FSS use cases.</w:t>
      </w:r>
    </w:p>
    <w:p w14:paraId="0CE8E819" w14:textId="2AF5785E" w:rsidR="00DB6ED5" w:rsidRDefault="00DB6ED5" w:rsidP="00DB6ED5">
      <w:pPr>
        <w:pStyle w:val="Paragraph"/>
      </w:pPr>
      <w:r>
        <w:t>Following the closing of the priority allocation window, the ACMA decision maker, having regard to allocation principles, would look to initially prioritise the issue of licences to LA WBB, PTP and FSS use cases. Following this prioritisation</w:t>
      </w:r>
      <w:r w:rsidR="00A663C6">
        <w:t xml:space="preserve"> </w:t>
      </w:r>
      <w:r w:rsidR="001C1A42">
        <w:t>and</w:t>
      </w:r>
      <w:r w:rsidR="00A663C6">
        <w:t xml:space="preserve"> licence issue</w:t>
      </w:r>
      <w:r w:rsidR="001C1A42">
        <w:t xml:space="preserve"> for these use cases</w:t>
      </w:r>
      <w:r>
        <w:t xml:space="preserve">, the ACMA would then </w:t>
      </w:r>
      <w:r w:rsidR="00A663C6">
        <w:t>assess</w:t>
      </w:r>
      <w:r>
        <w:t xml:space="preserve"> any remaining applications from MNOs and NBN Co. </w:t>
      </w:r>
      <w:r w:rsidR="00DC144A">
        <w:t>W</w:t>
      </w:r>
      <w:r>
        <w:t xml:space="preserve">here there </w:t>
      </w:r>
      <w:r w:rsidR="00DC144A">
        <w:t xml:space="preserve">was still </w:t>
      </w:r>
      <w:r w:rsidR="00B801A8">
        <w:t xml:space="preserve">adequate spectrum supply and no competing </w:t>
      </w:r>
      <w:r w:rsidR="004951D4">
        <w:t>applications</w:t>
      </w:r>
      <w:r w:rsidR="002544C7">
        <w:t>,</w:t>
      </w:r>
      <w:r>
        <w:t xml:space="preserve"> </w:t>
      </w:r>
      <w:r w:rsidR="002544C7">
        <w:t>the ACMA would</w:t>
      </w:r>
      <w:r>
        <w:t xml:space="preserve"> consider issuing </w:t>
      </w:r>
      <w:r w:rsidR="005437DD">
        <w:t>licences to WA WBB use cases</w:t>
      </w:r>
      <w:r>
        <w:t xml:space="preserve">. </w:t>
      </w:r>
      <w:r w:rsidR="0063434F">
        <w:t xml:space="preserve">After all applications </w:t>
      </w:r>
      <w:r w:rsidR="00280089">
        <w:t xml:space="preserve">submitted during the priority window </w:t>
      </w:r>
      <w:r w:rsidR="00854D0B">
        <w:t xml:space="preserve">have been considered and relevant licences issued, it would be proposed that </w:t>
      </w:r>
      <w:r w:rsidR="00DB2789">
        <w:t xml:space="preserve">allocations in the band would revert to a </w:t>
      </w:r>
      <w:r w:rsidR="00FD1CB1">
        <w:t>‘first in time</w:t>
      </w:r>
      <w:r w:rsidR="00EF4673">
        <w:t xml:space="preserve">’ </w:t>
      </w:r>
      <w:r w:rsidR="00736B2E">
        <w:t>allocation process where app</w:t>
      </w:r>
      <w:r w:rsidR="00E0197F">
        <w:t xml:space="preserve">lications would </w:t>
      </w:r>
      <w:r w:rsidR="00023771">
        <w:lastRenderedPageBreak/>
        <w:t>generally</w:t>
      </w:r>
      <w:r w:rsidR="00E0197F">
        <w:t xml:space="preserve"> be</w:t>
      </w:r>
      <w:r w:rsidR="00C13775">
        <w:t xml:space="preserve"> considered in the order in which they</w:t>
      </w:r>
      <w:r w:rsidR="001A2AE4">
        <w:t xml:space="preserve"> are</w:t>
      </w:r>
      <w:r w:rsidR="00C13775">
        <w:t xml:space="preserve"> received</w:t>
      </w:r>
      <w:r w:rsidR="00F65FFD">
        <w:t xml:space="preserve"> with no limitations o</w:t>
      </w:r>
      <w:r w:rsidR="00100A44">
        <w:t>n use cases or users</w:t>
      </w:r>
      <w:r w:rsidR="008D68AE">
        <w:t>.</w:t>
      </w:r>
      <w:r>
        <w:t xml:space="preserve">   </w:t>
      </w:r>
    </w:p>
    <w:p w14:paraId="2649F18B" w14:textId="3D3CF078" w:rsidR="00536FC9" w:rsidRDefault="00536FC9" w:rsidP="00536FC9">
      <w:pPr>
        <w:pStyle w:val="Paragraphbeforelist"/>
        <w:keepNext/>
        <w:keepLines/>
      </w:pPr>
      <w:r>
        <w:rPr>
          <w:szCs w:val="20"/>
        </w:rPr>
        <w:t xml:space="preserve">We have considered 3 potential options for an in-band </w:t>
      </w:r>
      <w:r w:rsidR="001A2AE4">
        <w:rPr>
          <w:szCs w:val="20"/>
        </w:rPr>
        <w:t>AQP</w:t>
      </w:r>
      <w:r>
        <w:rPr>
          <w:szCs w:val="20"/>
        </w:rPr>
        <w:t xml:space="preserve">: </w:t>
      </w:r>
    </w:p>
    <w:p w14:paraId="7DC416C4" w14:textId="1D278082" w:rsidR="00536FC9" w:rsidRPr="00DD2E69" w:rsidRDefault="00536FC9" w:rsidP="00DD2E69">
      <w:pPr>
        <w:pStyle w:val="Bulletlevel1"/>
      </w:pPr>
      <w:r w:rsidRPr="00DD2E69">
        <w:t xml:space="preserve">50 MHz </w:t>
      </w:r>
    </w:p>
    <w:p w14:paraId="66AA6306" w14:textId="281A89DC" w:rsidR="00536FC9" w:rsidRPr="00DD2E69" w:rsidRDefault="00536FC9" w:rsidP="00DD2E69">
      <w:pPr>
        <w:pStyle w:val="Bulletlevel1"/>
      </w:pPr>
      <w:r w:rsidRPr="00DD2E69">
        <w:t xml:space="preserve">60 MHZ </w:t>
      </w:r>
    </w:p>
    <w:p w14:paraId="31A5C6E8" w14:textId="6A2B3DB7" w:rsidR="00536FC9" w:rsidRPr="00DD2E69" w:rsidRDefault="00536FC9" w:rsidP="00DD2E69">
      <w:pPr>
        <w:pStyle w:val="Bulletlevel1"/>
        <w:spacing w:after="240"/>
      </w:pPr>
      <w:r w:rsidRPr="00DD2E69">
        <w:t xml:space="preserve">70 MHz. </w:t>
      </w:r>
    </w:p>
    <w:p w14:paraId="636E0F14" w14:textId="665934E3" w:rsidR="003D3FE1" w:rsidRPr="003933A9" w:rsidRDefault="003D3FE1" w:rsidP="003D3FE1">
      <w:pPr>
        <w:pStyle w:val="Paragraph"/>
        <w:rPr>
          <w:szCs w:val="20"/>
        </w:rPr>
      </w:pPr>
      <w:r>
        <w:rPr>
          <w:szCs w:val="20"/>
        </w:rPr>
        <w:t>F</w:t>
      </w:r>
      <w:r w:rsidRPr="003933A9">
        <w:rPr>
          <w:szCs w:val="20"/>
        </w:rPr>
        <w:t xml:space="preserve">or decisions about </w:t>
      </w:r>
      <w:r>
        <w:rPr>
          <w:szCs w:val="20"/>
        </w:rPr>
        <w:t xml:space="preserve">licence </w:t>
      </w:r>
      <w:r w:rsidR="00DD2E69">
        <w:rPr>
          <w:szCs w:val="20"/>
        </w:rPr>
        <w:t>issue,</w:t>
      </w:r>
      <w:r w:rsidRPr="003933A9">
        <w:rPr>
          <w:szCs w:val="20"/>
        </w:rPr>
        <w:t xml:space="preserve"> we would </w:t>
      </w:r>
      <w:r w:rsidR="008502D9">
        <w:rPr>
          <w:szCs w:val="20"/>
        </w:rPr>
        <w:t>have regard to</w:t>
      </w:r>
      <w:r w:rsidRPr="003933A9">
        <w:rPr>
          <w:szCs w:val="20"/>
        </w:rPr>
        <w:t xml:space="preserve"> the object of </w:t>
      </w:r>
      <w:r w:rsidRPr="009D7C77">
        <w:rPr>
          <w:szCs w:val="20"/>
        </w:rPr>
        <w:t xml:space="preserve">the Act, the MPS, any </w:t>
      </w:r>
      <w:r w:rsidR="00384B64">
        <w:rPr>
          <w:szCs w:val="20"/>
        </w:rPr>
        <w:t>relevant</w:t>
      </w:r>
      <w:r w:rsidRPr="009D7C77">
        <w:rPr>
          <w:szCs w:val="20"/>
        </w:rPr>
        <w:t xml:space="preserve"> government policies, </w:t>
      </w:r>
      <w:r w:rsidR="00411C81">
        <w:rPr>
          <w:szCs w:val="20"/>
        </w:rPr>
        <w:t>as well as</w:t>
      </w:r>
      <w:r w:rsidRPr="009D7C77">
        <w:rPr>
          <w:szCs w:val="20"/>
        </w:rPr>
        <w:t xml:space="preserve"> the desirable planning outcomes </w:t>
      </w:r>
      <w:r>
        <w:rPr>
          <w:szCs w:val="20"/>
        </w:rPr>
        <w:t xml:space="preserve">we have </w:t>
      </w:r>
      <w:r w:rsidRPr="003933A9">
        <w:rPr>
          <w:szCs w:val="20"/>
        </w:rPr>
        <w:t xml:space="preserve">identified for the band. </w:t>
      </w:r>
      <w:r>
        <w:rPr>
          <w:szCs w:val="20"/>
        </w:rPr>
        <w:t xml:space="preserve">In all decisions whether to issue an apparatus licence, we must </w:t>
      </w:r>
      <w:r w:rsidR="00DD2E69">
        <w:rPr>
          <w:szCs w:val="20"/>
        </w:rPr>
        <w:t>consider</w:t>
      </w:r>
      <w:r>
        <w:rPr>
          <w:szCs w:val="20"/>
        </w:rPr>
        <w:t xml:space="preserve"> the matters in subsections 100(4) and (6) of the Act. Other parts of section 100 may also be relevant to </w:t>
      </w:r>
      <w:r w:rsidR="001B1D4A">
        <w:rPr>
          <w:szCs w:val="20"/>
        </w:rPr>
        <w:t>any decision</w:t>
      </w:r>
      <w:r>
        <w:rPr>
          <w:szCs w:val="20"/>
        </w:rPr>
        <w:t>.</w:t>
      </w:r>
      <w:r w:rsidRPr="005244A6">
        <w:rPr>
          <w:szCs w:val="20"/>
        </w:rPr>
        <w:t xml:space="preserve"> </w:t>
      </w:r>
      <w:r>
        <w:rPr>
          <w:szCs w:val="20"/>
        </w:rPr>
        <w:t xml:space="preserve"> </w:t>
      </w:r>
    </w:p>
    <w:p w14:paraId="7549C8D4" w14:textId="074ED916" w:rsidR="00AF6B31" w:rsidRPr="00EB3520" w:rsidRDefault="00AF6B31" w:rsidP="00EB3520">
      <w:pPr>
        <w:pStyle w:val="Heading2"/>
      </w:pPr>
      <w:bookmarkStart w:id="29" w:name="_Toc137808618"/>
      <w:r w:rsidRPr="00EB3520">
        <w:t>Consultation with the</w:t>
      </w:r>
      <w:r w:rsidR="00FC0644">
        <w:t xml:space="preserve"> ACCC</w:t>
      </w:r>
      <w:r w:rsidR="00DD2E69">
        <w:t xml:space="preserve"> </w:t>
      </w:r>
      <w:bookmarkEnd w:id="29"/>
    </w:p>
    <w:p w14:paraId="2AAA6F8B" w14:textId="76EAD4B1" w:rsidR="00AF6B31" w:rsidRDefault="00AF6B31" w:rsidP="00FE69BE">
      <w:pPr>
        <w:pStyle w:val="Paragraph"/>
        <w:spacing w:after="80"/>
      </w:pPr>
      <w:r>
        <w:t>In</w:t>
      </w:r>
      <w:r w:rsidRPr="002345E0">
        <w:t xml:space="preserve"> February 2023</w:t>
      </w:r>
      <w:r>
        <w:t xml:space="preserve">, </w:t>
      </w:r>
      <w:r w:rsidR="00DC0D2B">
        <w:t xml:space="preserve">as required under </w:t>
      </w:r>
      <w:r w:rsidR="004449E7">
        <w:t>sub</w:t>
      </w:r>
      <w:r w:rsidR="003B2DE3">
        <w:t>section</w:t>
      </w:r>
      <w:r w:rsidR="004449E7">
        <w:t xml:space="preserve"> 102</w:t>
      </w:r>
      <w:r w:rsidR="0088203D">
        <w:t>G,</w:t>
      </w:r>
      <w:r>
        <w:t xml:space="preserve"> we</w:t>
      </w:r>
      <w:r w:rsidRPr="002345E0">
        <w:t xml:space="preserve"> </w:t>
      </w:r>
      <w:r w:rsidR="00E9774E">
        <w:t>consulted with</w:t>
      </w:r>
      <w:r>
        <w:t xml:space="preserve"> the ACCC about </w:t>
      </w:r>
      <w:r w:rsidR="0008669B">
        <w:t xml:space="preserve">whether </w:t>
      </w:r>
      <w:r w:rsidR="00E5103E">
        <w:t xml:space="preserve">the ACMA should </w:t>
      </w:r>
      <w:r w:rsidR="005D4FD8">
        <w:t xml:space="preserve">make an instrument </w:t>
      </w:r>
      <w:r>
        <w:t>imposing</w:t>
      </w:r>
      <w:r w:rsidRPr="002345E0">
        <w:t xml:space="preserve"> allocation limits</w:t>
      </w:r>
      <w:r w:rsidR="00814606">
        <w:t xml:space="preserve"> and if so, the nature of those limits</w:t>
      </w:r>
      <w:r w:rsidRPr="002345E0">
        <w:t>.</w:t>
      </w:r>
      <w:r>
        <w:t xml:space="preserve"> We specifically </w:t>
      </w:r>
      <w:r w:rsidR="008C74AA">
        <w:t>consulted</w:t>
      </w:r>
      <w:r>
        <w:t xml:space="preserve"> on the following: </w:t>
      </w:r>
    </w:p>
    <w:p w14:paraId="6785EB27" w14:textId="3B6D34D7" w:rsidR="00AF6B31" w:rsidRDefault="00DD2E69" w:rsidP="00FE69BE">
      <w:pPr>
        <w:pStyle w:val="Bulletlevel1"/>
      </w:pPr>
      <w:r>
        <w:t>a</w:t>
      </w:r>
      <w:r w:rsidR="00AF6B31">
        <w:t>n allocation</w:t>
      </w:r>
      <w:r w:rsidR="00042F01">
        <w:t xml:space="preserve"> limit</w:t>
      </w:r>
      <w:r w:rsidR="00AF6B31">
        <w:t xml:space="preserve"> of </w:t>
      </w:r>
      <w:r w:rsidR="00780F45">
        <w:t>nil</w:t>
      </w:r>
      <w:r w:rsidR="00AF6B31">
        <w:t xml:space="preserve"> MHz </w:t>
      </w:r>
      <w:r w:rsidR="002533BA">
        <w:t>for</w:t>
      </w:r>
      <w:r w:rsidR="00AF6B31">
        <w:t xml:space="preserve"> MNOs and NBN Co for a specified period of time from the commencement of the allocation process</w:t>
      </w:r>
    </w:p>
    <w:p w14:paraId="179B3833" w14:textId="0F9A5FCD" w:rsidR="00AF6B31" w:rsidRDefault="00DD2E69" w:rsidP="00FE69BE">
      <w:pPr>
        <w:pStyle w:val="Bulletlevel1"/>
      </w:pPr>
      <w:r>
        <w:t>i</w:t>
      </w:r>
      <w:r w:rsidR="006268FE">
        <w:t>mmediately following the cessation of the</w:t>
      </w:r>
      <w:r w:rsidR="00042F01">
        <w:t xml:space="preserve"> </w:t>
      </w:r>
      <w:r w:rsidR="00ED124A">
        <w:t>nil</w:t>
      </w:r>
      <w:r w:rsidR="00042F01">
        <w:t xml:space="preserve"> limit</w:t>
      </w:r>
      <w:r w:rsidR="002D5912">
        <w:t xml:space="preserve">, </w:t>
      </w:r>
      <w:r w:rsidR="00216B59">
        <w:t xml:space="preserve">the implementation of </w:t>
      </w:r>
      <w:r w:rsidR="0089540F">
        <w:t>a</w:t>
      </w:r>
      <w:r w:rsidR="00A122A4">
        <w:t xml:space="preserve"> </w:t>
      </w:r>
      <w:r w:rsidR="00AF6B31">
        <w:t>cross band</w:t>
      </w:r>
      <w:r w:rsidR="005F70EB">
        <w:t xml:space="preserve"> limit</w:t>
      </w:r>
      <w:r w:rsidR="00A122A4">
        <w:t xml:space="preserve"> </w:t>
      </w:r>
      <w:r w:rsidR="00216B59">
        <w:t xml:space="preserve">across the </w:t>
      </w:r>
      <w:r w:rsidR="007F0C45">
        <w:t xml:space="preserve">3.4–3.95 GHZ frequency range </w:t>
      </w:r>
      <w:r w:rsidR="00A122A4">
        <w:t xml:space="preserve">aligning with any limit </w:t>
      </w:r>
      <w:r w:rsidR="00355A0C">
        <w:t xml:space="preserve">to be imposed for the 3.4/3.7 GHz </w:t>
      </w:r>
      <w:r w:rsidR="006420BC">
        <w:t>spectrum auction</w:t>
      </w:r>
      <w:r w:rsidR="005F70EB">
        <w:t xml:space="preserve"> </w:t>
      </w:r>
      <w:r w:rsidR="00B96F44">
        <w:t>on</w:t>
      </w:r>
      <w:r w:rsidR="00AF6B31">
        <w:t xml:space="preserve"> MNOs and NBN Co and associated parties</w:t>
      </w:r>
    </w:p>
    <w:p w14:paraId="38C7A7C3" w14:textId="36486062" w:rsidR="00AF6B31" w:rsidRDefault="00DD2E69" w:rsidP="00FE69BE">
      <w:pPr>
        <w:pStyle w:val="Bulletlevel1"/>
        <w:spacing w:after="240"/>
      </w:pPr>
      <w:r>
        <w:t>t</w:t>
      </w:r>
      <w:r w:rsidR="00AF6B31">
        <w:t xml:space="preserve">o apply an </w:t>
      </w:r>
      <w:r w:rsidR="00F73927">
        <w:t xml:space="preserve">allocation </w:t>
      </w:r>
      <w:r w:rsidR="00F32E42">
        <w:t>quantum policy</w:t>
      </w:r>
      <w:r w:rsidR="00AF6B31">
        <w:t xml:space="preserve"> to in-band spectrum (3.8–3.95 GHz band)</w:t>
      </w:r>
      <w:r w:rsidR="00992E20">
        <w:t>.</w:t>
      </w:r>
    </w:p>
    <w:p w14:paraId="5E7BB642" w14:textId="03D36BA5" w:rsidR="00AF6B31" w:rsidRDefault="00656C72" w:rsidP="00FE69BE">
      <w:pPr>
        <w:pStyle w:val="Paragraph"/>
        <w:spacing w:after="80"/>
      </w:pPr>
      <w:r>
        <w:t xml:space="preserve">We invited </w:t>
      </w:r>
      <w:r w:rsidR="001E21F0">
        <w:t xml:space="preserve">preliminary views from the ACCC by 27 March 2023 </w:t>
      </w:r>
      <w:r w:rsidR="5D15AF5F">
        <w:t xml:space="preserve">to </w:t>
      </w:r>
      <w:r w:rsidR="00BB4C0F">
        <w:t xml:space="preserve">inform the development of </w:t>
      </w:r>
      <w:r w:rsidR="5D15AF5F">
        <w:t xml:space="preserve">public consultation material. We also requested </w:t>
      </w:r>
      <w:r w:rsidR="001E21F0">
        <w:t>substantive advice from the ACCC by 30 September 2023</w:t>
      </w:r>
      <w:r w:rsidR="4D01ED54">
        <w:t xml:space="preserve"> </w:t>
      </w:r>
      <w:r w:rsidR="00D33C13">
        <w:t xml:space="preserve">so that the ACCC’s </w:t>
      </w:r>
      <w:r w:rsidR="006B06B7">
        <w:t xml:space="preserve">views can be considered by the ACMA </w:t>
      </w:r>
      <w:r w:rsidR="00F45C97">
        <w:t xml:space="preserve">when </w:t>
      </w:r>
      <w:r w:rsidR="009C5478">
        <w:t xml:space="preserve">finalising </w:t>
      </w:r>
      <w:r w:rsidR="4D01ED54">
        <w:t xml:space="preserve">the AIP </w:t>
      </w:r>
      <w:r w:rsidR="3A2B70F7">
        <w:t>of this allocation in Q</w:t>
      </w:r>
      <w:r w:rsidR="00002195">
        <w:t>1</w:t>
      </w:r>
      <w:r w:rsidR="3A2B70F7">
        <w:t xml:space="preserve"> 202</w:t>
      </w:r>
      <w:r w:rsidR="00002195">
        <w:t>4</w:t>
      </w:r>
      <w:r w:rsidR="3A2B70F7">
        <w:t xml:space="preserve"> to support commencement of the allocation process in Q1 2024</w:t>
      </w:r>
      <w:r w:rsidR="000B9E0C">
        <w:t>.</w:t>
      </w:r>
      <w:r w:rsidR="00D22C09">
        <w:t xml:space="preserve"> </w:t>
      </w:r>
      <w:r w:rsidR="00AF6B31">
        <w:t>The ACCC</w:t>
      </w:r>
      <w:r w:rsidR="3FFCA975">
        <w:t xml:space="preserve"> </w:t>
      </w:r>
      <w:r w:rsidR="00AF6B31">
        <w:t xml:space="preserve">provided preliminary views in March 2023 on the proposed allocation limits and noted that: </w:t>
      </w:r>
    </w:p>
    <w:p w14:paraId="4B0BFAB0" w14:textId="11A67369" w:rsidR="00AF6B31" w:rsidRDefault="00AF6B31" w:rsidP="00FE69BE">
      <w:pPr>
        <w:pStyle w:val="Bulletlevel1"/>
      </w:pPr>
      <w:r>
        <w:t>the proposed approach is likely to enable smaller operators including LA WBB providers to access spectrum within the band</w:t>
      </w:r>
    </w:p>
    <w:p w14:paraId="259CFD51" w14:textId="60D5424D" w:rsidR="00AF6B31" w:rsidRDefault="00AF6B31" w:rsidP="00FE69BE">
      <w:pPr>
        <w:pStyle w:val="Bulletlevel1"/>
        <w:spacing w:after="240"/>
      </w:pPr>
      <w:r>
        <w:t xml:space="preserve">the proposed limits are likely to support the ACMA’s objectives for this allocation and for the wider band. </w:t>
      </w:r>
    </w:p>
    <w:p w14:paraId="758AE8A5" w14:textId="32DE351A" w:rsidR="004B43F5" w:rsidRDefault="00AF6B31" w:rsidP="00AF6B31">
      <w:pPr>
        <w:pStyle w:val="Paragraph"/>
      </w:pPr>
      <w:r>
        <w:t xml:space="preserve">The ACCC has stated </w:t>
      </w:r>
      <w:r w:rsidR="00165C8E">
        <w:t>it</w:t>
      </w:r>
      <w:r>
        <w:t xml:space="preserve"> inten</w:t>
      </w:r>
      <w:r w:rsidR="00BC6397">
        <w:t>ds</w:t>
      </w:r>
      <w:r>
        <w:t xml:space="preserve"> to </w:t>
      </w:r>
      <w:r w:rsidR="00BC6397">
        <w:t>provide</w:t>
      </w:r>
      <w:r>
        <w:t xml:space="preserve"> finalised advice using submissions made in response to this consultation and to undertake further targeted consultation where necessary, rather than undertaking a separate consultation process on the same issue. </w:t>
      </w:r>
      <w:r w:rsidRPr="00F972CB">
        <w:t xml:space="preserve">To support </w:t>
      </w:r>
      <w:r w:rsidR="004C44E2">
        <w:t>its</w:t>
      </w:r>
      <w:r w:rsidRPr="00F972CB">
        <w:t xml:space="preserve"> analysis, the ACCC has </w:t>
      </w:r>
      <w:r w:rsidR="00BC6397">
        <w:t>provided</w:t>
      </w:r>
      <w:r w:rsidRPr="00F972CB">
        <w:t xml:space="preserve"> </w:t>
      </w:r>
      <w:r w:rsidR="00DD2E69">
        <w:t>several</w:t>
      </w:r>
      <w:r w:rsidR="00685F73">
        <w:t xml:space="preserve"> questions</w:t>
      </w:r>
      <w:r w:rsidRPr="00811CD1">
        <w:t xml:space="preserve"> </w:t>
      </w:r>
      <w:r w:rsidRPr="00F972CB">
        <w:t>that are being asked of stakeholders</w:t>
      </w:r>
      <w:r w:rsidR="004C44E2">
        <w:t xml:space="preserve"> as part of this </w:t>
      </w:r>
      <w:r w:rsidR="00810B1D">
        <w:t>ACMA consultation</w:t>
      </w:r>
      <w:r w:rsidR="00086AA6">
        <w:t xml:space="preserve">. The questions are listed below </w:t>
      </w:r>
      <w:r w:rsidR="00DD2E69">
        <w:t>and</w:t>
      </w:r>
      <w:r w:rsidRPr="00F972CB">
        <w:t xml:space="preserve"> under </w:t>
      </w:r>
      <w:r w:rsidR="00B47688">
        <w:t xml:space="preserve">the </w:t>
      </w:r>
      <w:r w:rsidR="00550A15">
        <w:t>‘</w:t>
      </w:r>
      <w:r w:rsidRPr="00F972CB">
        <w:t xml:space="preserve">Issues for </w:t>
      </w:r>
      <w:r w:rsidR="00DD2E69">
        <w:t>c</w:t>
      </w:r>
      <w:r w:rsidRPr="00F972CB">
        <w:t>omment</w:t>
      </w:r>
      <w:r w:rsidR="00550A15">
        <w:t>’</w:t>
      </w:r>
      <w:r w:rsidR="00DD2E69">
        <w:t xml:space="preserve"> </w:t>
      </w:r>
      <w:r w:rsidR="00B47688">
        <w:t xml:space="preserve">section </w:t>
      </w:r>
      <w:r w:rsidR="00021024">
        <w:t>of</w:t>
      </w:r>
      <w:r w:rsidR="00FB0D20">
        <w:t xml:space="preserve"> this paper</w:t>
      </w:r>
      <w:r w:rsidR="00DD2E69">
        <w:t>.</w:t>
      </w:r>
      <w:r w:rsidRPr="00F972CB">
        <w:t xml:space="preserve"> </w:t>
      </w:r>
    </w:p>
    <w:p w14:paraId="409E7063" w14:textId="77777777" w:rsidR="00992E20" w:rsidRPr="00811CD1" w:rsidRDefault="00992E20" w:rsidP="00021024">
      <w:pPr>
        <w:pStyle w:val="Paragraph"/>
        <w:spacing w:after="120"/>
        <w:rPr>
          <w:b/>
          <w:bCs/>
        </w:rPr>
      </w:pPr>
      <w:r w:rsidRPr="00811CD1">
        <w:rPr>
          <w:b/>
          <w:bCs/>
        </w:rPr>
        <w:t>Use cases</w:t>
      </w:r>
    </w:p>
    <w:p w14:paraId="194A63A1" w14:textId="49F9A67D" w:rsidR="00992E20" w:rsidRDefault="00992E20" w:rsidP="00FE69BE">
      <w:pPr>
        <w:pStyle w:val="ListNumber"/>
        <w:numPr>
          <w:ilvl w:val="0"/>
          <w:numId w:val="82"/>
        </w:numPr>
      </w:pPr>
      <w:r>
        <w:t>What are the likely intended uses of 3.8GHz band spectrum?</w:t>
      </w:r>
    </w:p>
    <w:p w14:paraId="55DCCCE9" w14:textId="09E59D4C" w:rsidR="00992E20" w:rsidRDefault="00992E20" w:rsidP="00FE69BE">
      <w:pPr>
        <w:pStyle w:val="ListNumber"/>
      </w:pPr>
      <w:r>
        <w:t>In which geographic areas is the spectrum intended to be used</w:t>
      </w:r>
      <w:r w:rsidR="002E02B2">
        <w:t>?</w:t>
      </w:r>
    </w:p>
    <w:p w14:paraId="12ADF40B" w14:textId="48D025DB" w:rsidR="00992E20" w:rsidRDefault="00992E20" w:rsidP="00FE69BE">
      <w:pPr>
        <w:pStyle w:val="ListNumber"/>
        <w:spacing w:after="240"/>
      </w:pPr>
      <w:r>
        <w:t>How much spectrum is needed to support the intended use case</w:t>
      </w:r>
      <w:r w:rsidR="002E02B2">
        <w:t>?</w:t>
      </w:r>
    </w:p>
    <w:p w14:paraId="367804F7" w14:textId="77777777" w:rsidR="00992E20" w:rsidRPr="00811CD1" w:rsidRDefault="00992E20" w:rsidP="0028668B">
      <w:pPr>
        <w:pStyle w:val="Paragraph"/>
        <w:keepNext/>
        <w:keepLines/>
        <w:spacing w:after="120"/>
        <w:rPr>
          <w:b/>
          <w:bCs/>
        </w:rPr>
      </w:pPr>
      <w:r w:rsidRPr="00811CD1">
        <w:rPr>
          <w:b/>
          <w:bCs/>
        </w:rPr>
        <w:lastRenderedPageBreak/>
        <w:t>Downstream markets</w:t>
      </w:r>
    </w:p>
    <w:p w14:paraId="35634FB2" w14:textId="19E66ECB" w:rsidR="00992E20" w:rsidRDefault="00992E20" w:rsidP="0028668B">
      <w:pPr>
        <w:pStyle w:val="ListNumber"/>
        <w:keepNext/>
        <w:keepLines/>
        <w:numPr>
          <w:ilvl w:val="0"/>
          <w:numId w:val="83"/>
        </w:numPr>
      </w:pPr>
      <w:r>
        <w:t>What is the good or service that the 3.8GHz</w:t>
      </w:r>
      <w:r w:rsidR="00D629AF">
        <w:t xml:space="preserve"> band</w:t>
      </w:r>
      <w:r>
        <w:t xml:space="preserve"> spectrum can support the production of</w:t>
      </w:r>
      <w:r w:rsidR="0066738B">
        <w:t>?</w:t>
      </w:r>
    </w:p>
    <w:p w14:paraId="3DF542F2" w14:textId="6A14CEDC" w:rsidR="00992E20" w:rsidRDefault="00992E20" w:rsidP="0028668B">
      <w:pPr>
        <w:pStyle w:val="Numberlistlevel1"/>
        <w:keepNext/>
        <w:keepLines/>
      </w:pPr>
      <w:r>
        <w:t>Where is the good or service intended to be supplied?</w:t>
      </w:r>
    </w:p>
    <w:p w14:paraId="05160B3E" w14:textId="77777777" w:rsidR="00992E20" w:rsidRDefault="00992E20" w:rsidP="00FE69BE">
      <w:pPr>
        <w:pStyle w:val="Numberlistlevel1"/>
      </w:pPr>
      <w:r>
        <w:t>Are there substitutes available to the good or service?</w:t>
      </w:r>
    </w:p>
    <w:p w14:paraId="39BA0E62" w14:textId="77777777" w:rsidR="00992E20" w:rsidRDefault="00992E20" w:rsidP="00FE69BE">
      <w:pPr>
        <w:pStyle w:val="Numberlistlevel1"/>
        <w:spacing w:after="240"/>
      </w:pPr>
      <w:r>
        <w:t>How could the spectrum allocation impact the state of competition and/or incentives to invest in downstream markets?</w:t>
      </w:r>
    </w:p>
    <w:p w14:paraId="31C69CAB" w14:textId="77777777" w:rsidR="00992E20" w:rsidRPr="00811CD1" w:rsidRDefault="00992E20" w:rsidP="00021024">
      <w:pPr>
        <w:pStyle w:val="Paragraph"/>
        <w:spacing w:after="120"/>
        <w:rPr>
          <w:b/>
          <w:bCs/>
        </w:rPr>
      </w:pPr>
      <w:r w:rsidRPr="00811CD1">
        <w:rPr>
          <w:b/>
          <w:bCs/>
        </w:rPr>
        <w:t>Alternative spectrum</w:t>
      </w:r>
    </w:p>
    <w:p w14:paraId="2B752882" w14:textId="49D7E341" w:rsidR="00992E20" w:rsidRDefault="00992E20" w:rsidP="00FE69BE">
      <w:pPr>
        <w:pStyle w:val="ListNumber"/>
        <w:numPr>
          <w:ilvl w:val="0"/>
          <w:numId w:val="84"/>
        </w:numPr>
      </w:pPr>
      <w:r>
        <w:t>Do you consider that substitutable spectrum exists for the 3.8</w:t>
      </w:r>
      <w:r w:rsidR="000D550B">
        <w:t xml:space="preserve"> </w:t>
      </w:r>
      <w:r>
        <w:t>GHz band that can similarly enable the production of the goods or services in downstream markets? If so, what spectrum bands do you consider to be substitutable?</w:t>
      </w:r>
    </w:p>
    <w:p w14:paraId="58DCAC7B" w14:textId="77777777" w:rsidR="00992E20" w:rsidRPr="00811CD1" w:rsidRDefault="00992E20" w:rsidP="00AF6B31">
      <w:pPr>
        <w:pStyle w:val="Paragraph"/>
        <w:rPr>
          <w:b/>
          <w:i/>
        </w:rPr>
      </w:pPr>
    </w:p>
    <w:p w14:paraId="53A8FD8D" w14:textId="77777777" w:rsidR="00E00F30" w:rsidRDefault="00E00F30" w:rsidP="00094811">
      <w:pPr>
        <w:pStyle w:val="Paragraph"/>
      </w:pPr>
      <w:bookmarkStart w:id="30" w:name="_Licence_tenure_and"/>
      <w:bookmarkStart w:id="31" w:name="_Tenure_and_renewal"/>
      <w:bookmarkStart w:id="32" w:name="_Licence_renewal"/>
      <w:bookmarkEnd w:id="30"/>
      <w:bookmarkEnd w:id="31"/>
      <w:bookmarkEnd w:id="32"/>
    </w:p>
    <w:p w14:paraId="1AEABECE" w14:textId="77777777" w:rsidR="00085833" w:rsidRDefault="00085833">
      <w:pPr>
        <w:spacing w:after="0" w:line="240" w:lineRule="auto"/>
      </w:pPr>
      <w:r>
        <w:br w:type="page"/>
      </w:r>
    </w:p>
    <w:p w14:paraId="3AA69E28" w14:textId="74BE632B" w:rsidR="00085833" w:rsidRPr="00DD2E69" w:rsidRDefault="00085833" w:rsidP="00DD2E69">
      <w:pPr>
        <w:pStyle w:val="Heading1"/>
      </w:pPr>
      <w:bookmarkStart w:id="33" w:name="_Pricing"/>
      <w:bookmarkStart w:id="34" w:name="_Toc137808619"/>
      <w:bookmarkEnd w:id="33"/>
      <w:r w:rsidRPr="00DD2E69">
        <w:lastRenderedPageBreak/>
        <w:t>Pricing</w:t>
      </w:r>
      <w:bookmarkEnd w:id="34"/>
    </w:p>
    <w:p w14:paraId="69DCA82E" w14:textId="11A7F8DF" w:rsidR="00094811" w:rsidRPr="00DD2E69" w:rsidRDefault="00122009" w:rsidP="00DD2E69">
      <w:pPr>
        <w:pStyle w:val="Heading2"/>
      </w:pPr>
      <w:bookmarkStart w:id="35" w:name="_Toc137808620"/>
      <w:r w:rsidRPr="00DD2E69">
        <w:t xml:space="preserve">Receiver and </w:t>
      </w:r>
      <w:r w:rsidR="00550A15">
        <w:t>t</w:t>
      </w:r>
      <w:r w:rsidR="00B55D66" w:rsidRPr="00DD2E69">
        <w:t>ransmitter l</w:t>
      </w:r>
      <w:r w:rsidR="00094811" w:rsidRPr="00DD2E69">
        <w:t>icence tax arrangements</w:t>
      </w:r>
      <w:bookmarkEnd w:id="35"/>
    </w:p>
    <w:p w14:paraId="512CEBF0" w14:textId="47D24733" w:rsidR="00094811" w:rsidRPr="00DD2E69" w:rsidRDefault="00094811" w:rsidP="00DD2E69">
      <w:pPr>
        <w:pStyle w:val="Heading3"/>
      </w:pPr>
      <w:r w:rsidRPr="00DD2E69">
        <w:t xml:space="preserve">Proposed </w:t>
      </w:r>
      <w:r w:rsidR="5100E7AA" w:rsidRPr="00DD2E69">
        <w:t>AWL</w:t>
      </w:r>
      <w:r w:rsidR="00D812E1" w:rsidRPr="00FE69BE">
        <w:rPr>
          <w:rStyle w:val="FootnoteReference"/>
          <w:vertAlign w:val="baseline"/>
        </w:rPr>
        <w:footnoteReference w:id="8"/>
      </w:r>
      <w:r w:rsidR="5100E7AA" w:rsidRPr="00DD2E69">
        <w:t xml:space="preserve"> </w:t>
      </w:r>
      <w:r w:rsidR="00CA3D60" w:rsidRPr="00DD2E69">
        <w:t>and AWL rx</w:t>
      </w:r>
      <w:r w:rsidR="0064494D" w:rsidRPr="00DD2E69">
        <w:t xml:space="preserve"> </w:t>
      </w:r>
      <w:r w:rsidRPr="00DD2E69">
        <w:t>tax arrangements</w:t>
      </w:r>
    </w:p>
    <w:p w14:paraId="1C5556EB" w14:textId="18FEEA89" w:rsidR="002974AA" w:rsidRDefault="002974AA" w:rsidP="00FE69BE">
      <w:pPr>
        <w:pStyle w:val="Paragraphbeforelist"/>
      </w:pPr>
      <w:r>
        <w:t xml:space="preserve">The ACMA has set </w:t>
      </w:r>
      <w:r w:rsidR="00F25942">
        <w:t>the</w:t>
      </w:r>
      <w:r>
        <w:t xml:space="preserve"> transmitter licence tax rate of $0.0041/MHz/pop for AWLs in the 3.4–4.0 GHz band in all geographic areas. </w:t>
      </w:r>
      <w:r w:rsidR="001B1D4A">
        <w:t>Accordingly,</w:t>
      </w:r>
      <w:r>
        <w:t xml:space="preserve"> this tax rate will apply to AWLs in the 3.8 GHz band. </w:t>
      </w:r>
    </w:p>
    <w:p w14:paraId="7805F205" w14:textId="78BCE064" w:rsidR="00094811" w:rsidRDefault="00094811" w:rsidP="00DD2E69">
      <w:pPr>
        <w:pStyle w:val="Paragraphbeforelist"/>
      </w:pPr>
      <w:r>
        <w:t xml:space="preserve">Total annual </w:t>
      </w:r>
      <w:r w:rsidR="007749D2">
        <w:t xml:space="preserve">transmitter </w:t>
      </w:r>
      <w:r>
        <w:t>licence tax is calculated as follows:</w:t>
      </w:r>
    </w:p>
    <w:p w14:paraId="1722998A" w14:textId="77777777" w:rsidR="00094811" w:rsidRPr="00527D1D" w:rsidRDefault="00094811" w:rsidP="00FA41D2">
      <w:pPr>
        <w:pStyle w:val="Paragraphbeforelist"/>
      </w:pPr>
      <w:r w:rsidRPr="00F13312">
        <w:t>AWL tax</w:t>
      </w:r>
      <w:r>
        <w:t xml:space="preserve"> </w:t>
      </w:r>
      <w:r w:rsidRPr="00F13312">
        <w:t>=</w:t>
      </w:r>
      <w:r>
        <w:t xml:space="preserve"> </w:t>
      </w:r>
      <w:r w:rsidRPr="00F13312">
        <w:t>$/MHz/pop price × bandwidth (MHz) ×</w:t>
      </w:r>
      <w:r>
        <w:t xml:space="preserve"> </w:t>
      </w:r>
      <w:r w:rsidRPr="00F13312">
        <w:t>population of geographic area</w:t>
      </w:r>
    </w:p>
    <w:p w14:paraId="2568F004" w14:textId="77777777" w:rsidR="00094811" w:rsidRDefault="00094811" w:rsidP="00094811">
      <w:pPr>
        <w:pStyle w:val="Paragraphbeforelist"/>
      </w:pPr>
      <w:r>
        <w:t>where:</w:t>
      </w:r>
    </w:p>
    <w:p w14:paraId="45CC9BB9" w14:textId="60D13B12" w:rsidR="00094811" w:rsidRDefault="00094811" w:rsidP="00FE69BE">
      <w:pPr>
        <w:pStyle w:val="Bulletlevel1"/>
      </w:pPr>
      <w:r>
        <w:t>‘$/MHz/pop price’ is the tax rate for one MHz of spectrum per head of population (in this case, the proposed $/MHz/pop price is $0.0041)</w:t>
      </w:r>
      <w:r w:rsidR="00451F62">
        <w:t>.</w:t>
      </w:r>
    </w:p>
    <w:p w14:paraId="557EF2FB" w14:textId="06785347" w:rsidR="00094811" w:rsidRDefault="00094811" w:rsidP="00FE69BE">
      <w:pPr>
        <w:pStyle w:val="Bulletlevel1"/>
      </w:pPr>
      <w:r>
        <w:t>‘</w:t>
      </w:r>
      <w:r w:rsidR="00DD2E69">
        <w:t>B</w:t>
      </w:r>
      <w:r>
        <w:t>andwidth’ is the total amount of spectrum in MHz authorised by the licence</w:t>
      </w:r>
      <w:r w:rsidR="00DD2E69">
        <w:t>.</w:t>
      </w:r>
    </w:p>
    <w:p w14:paraId="023C5ACF" w14:textId="511F8589" w:rsidR="00094811" w:rsidRDefault="00094811" w:rsidP="00FE69BE">
      <w:pPr>
        <w:pStyle w:val="Bulletlevel1"/>
        <w:spacing w:after="240"/>
      </w:pPr>
      <w:r>
        <w:t>‘</w:t>
      </w:r>
      <w:r w:rsidR="00DD2E69">
        <w:t>P</w:t>
      </w:r>
      <w:r>
        <w:t xml:space="preserve">opulation’ (based on the </w:t>
      </w:r>
      <w:r w:rsidR="002F1F47">
        <w:t xml:space="preserve">2021 </w:t>
      </w:r>
      <w:r>
        <w:t>Census) is the population of the geographic area authorised by the licence. The area will be defined in terms of the Hierarchical Cell Identification Scheme (HCIS).</w:t>
      </w:r>
      <w:r>
        <w:rPr>
          <w:rStyle w:val="FootnoteReference"/>
        </w:rPr>
        <w:footnoteReference w:id="9"/>
      </w:r>
      <w:r>
        <w:t xml:space="preserve"> The </w:t>
      </w:r>
      <w:r w:rsidRPr="00F2218B">
        <w:t xml:space="preserve">population is based on the aggregate population of all the geographic cells to be authorised by the licence. </w:t>
      </w:r>
      <w:r w:rsidRPr="009C4C74">
        <w:t xml:space="preserve">The effective population of a single HCIS 0 cell (the minimum cell size) for the purposes of tax calculations will be determined by taking the average population of all </w:t>
      </w:r>
      <w:r>
        <w:t>HCIS 0 cells in</w:t>
      </w:r>
      <w:r w:rsidRPr="009C4C74">
        <w:t xml:space="preserve"> </w:t>
      </w:r>
      <w:r>
        <w:t xml:space="preserve">the </w:t>
      </w:r>
      <w:r w:rsidRPr="009C4C74">
        <w:t>broader HCIS 1 cell</w:t>
      </w:r>
      <w:r>
        <w:t xml:space="preserve"> that the particular HCIS 0 cell is located within</w:t>
      </w:r>
      <w:r w:rsidRPr="009C4C74">
        <w:t>.</w:t>
      </w:r>
      <w:r w:rsidDel="009B4675">
        <w:t xml:space="preserve"> </w:t>
      </w:r>
      <w:r>
        <w:t>There are 25 HCIS 0 cells within one HCIS 1 cell.</w:t>
      </w:r>
      <w:r w:rsidR="00B01FAD">
        <w:t xml:space="preserve"> </w:t>
      </w:r>
      <w:r w:rsidR="00451F62">
        <w:t xml:space="preserve">We </w:t>
      </w:r>
      <w:r w:rsidR="00B01FAD">
        <w:t xml:space="preserve">maintain on </w:t>
      </w:r>
      <w:r w:rsidR="00451F62">
        <w:t>our</w:t>
      </w:r>
      <w:r w:rsidR="00B01FAD">
        <w:t xml:space="preserve"> website a document that sets out the population of each HCIS cell or block.</w:t>
      </w:r>
      <w:r w:rsidR="00450DB9">
        <w:rPr>
          <w:rStyle w:val="FootnoteReference"/>
        </w:rPr>
        <w:footnoteReference w:id="10"/>
      </w:r>
    </w:p>
    <w:p w14:paraId="314E22FC" w14:textId="77777777" w:rsidR="00440112" w:rsidRDefault="00440112" w:rsidP="00FE69BE">
      <w:pPr>
        <w:pStyle w:val="ListBullet"/>
        <w:numPr>
          <w:ilvl w:val="0"/>
          <w:numId w:val="0"/>
        </w:numPr>
        <w:spacing w:after="240"/>
      </w:pPr>
      <w:r>
        <w:t>The ACMA is proposing the same rate of tax for AWL rx, to be calculated in the same manner.</w:t>
      </w:r>
    </w:p>
    <w:p w14:paraId="60745F95" w14:textId="315AE2E7" w:rsidR="00094811" w:rsidRDefault="00094811" w:rsidP="00094811">
      <w:pPr>
        <w:pStyle w:val="Paragraph"/>
      </w:pPr>
      <w:r>
        <w:t xml:space="preserve">The </w:t>
      </w:r>
      <w:r w:rsidR="0086370A">
        <w:t xml:space="preserve">receiver and </w:t>
      </w:r>
      <w:r w:rsidR="008E3B64">
        <w:t>transmitter</w:t>
      </w:r>
      <w:r>
        <w:t xml:space="preserve"> licence tax for licences with durations less than a year will be adjusted on a pro rata basis.</w:t>
      </w:r>
    </w:p>
    <w:p w14:paraId="6B83D3A9" w14:textId="6474285B" w:rsidR="00094811" w:rsidRDefault="00094811" w:rsidP="00094811">
      <w:r>
        <w:t>Where the tax calculated using the method above is less than the minimum annual tax, the tax will be the minimum annual tax</w:t>
      </w:r>
      <w:r w:rsidR="00827A44">
        <w:t xml:space="preserve"> (currently</w:t>
      </w:r>
      <w:r>
        <w:t xml:space="preserve"> $41.37</w:t>
      </w:r>
      <w:r w:rsidR="00827A44">
        <w:t>)</w:t>
      </w:r>
      <w:r>
        <w:t>.</w:t>
      </w:r>
    </w:p>
    <w:p w14:paraId="4FB59344" w14:textId="1359CC24" w:rsidR="00094811" w:rsidRDefault="00094811" w:rsidP="00094811">
      <w:pPr>
        <w:pStyle w:val="Heading3"/>
      </w:pPr>
      <w:r>
        <w:t xml:space="preserve">Context to the </w:t>
      </w:r>
      <w:r w:rsidR="009745C0">
        <w:t xml:space="preserve">taxation </w:t>
      </w:r>
      <w:r>
        <w:t>arrangements</w:t>
      </w:r>
    </w:p>
    <w:p w14:paraId="03DF7AC3" w14:textId="4152C232" w:rsidR="00094811" w:rsidRDefault="00094811" w:rsidP="00094811">
      <w:r>
        <w:t xml:space="preserve">The AWL </w:t>
      </w:r>
      <w:r w:rsidR="006F7ED2">
        <w:t xml:space="preserve">and proposed AWL rx </w:t>
      </w:r>
      <w:r>
        <w:t>taxation arrangements differ from most apparatus licence tax arrangements, which are typically based on the number of stations or spectrum accesses included in the licence. AWL</w:t>
      </w:r>
      <w:r w:rsidR="000F1B29">
        <w:t>s</w:t>
      </w:r>
      <w:r>
        <w:t xml:space="preserve"> </w:t>
      </w:r>
      <w:r w:rsidR="000F1B29">
        <w:t>and AWLs rx</w:t>
      </w:r>
      <w:r w:rsidR="0094557E">
        <w:t xml:space="preserve"> </w:t>
      </w:r>
      <w:r>
        <w:t xml:space="preserve">permit any number of </w:t>
      </w:r>
      <w:r w:rsidR="00AC76F0">
        <w:t>transmitters and receivers, respectively</w:t>
      </w:r>
      <w:r>
        <w:t xml:space="preserve"> to be used within any given area, </w:t>
      </w:r>
      <w:r w:rsidR="00DD2E69">
        <w:t>if</w:t>
      </w:r>
      <w:r>
        <w:t xml:space="preserve"> these </w:t>
      </w:r>
      <w:r w:rsidR="00702CEE">
        <w:t>comply with licence conditions and otherwise satisfy the technical framework</w:t>
      </w:r>
      <w:r>
        <w:t xml:space="preserve">. Accordingly, the tax </w:t>
      </w:r>
      <w:r w:rsidR="004A70D1">
        <w:t>rate for AWLs</w:t>
      </w:r>
      <w:r w:rsidR="00DF0558">
        <w:t xml:space="preserve"> and AWLs rx</w:t>
      </w:r>
      <w:r>
        <w:t xml:space="preserve"> is not based on the number of stations, but rather on the amount of spectrum and the population of the geographic area </w:t>
      </w:r>
      <w:r w:rsidR="001F6F64">
        <w:t>in whi</w:t>
      </w:r>
      <w:r w:rsidR="00CA31C8">
        <w:t xml:space="preserve">ch operation of radiocommunications devices </w:t>
      </w:r>
      <w:r w:rsidR="00BB60D7">
        <w:t xml:space="preserve">is </w:t>
      </w:r>
      <w:r>
        <w:t xml:space="preserve">authorised. </w:t>
      </w:r>
    </w:p>
    <w:p w14:paraId="2F754343" w14:textId="1539FE9E" w:rsidR="00094811" w:rsidRDefault="00094811" w:rsidP="00094811">
      <w:pPr>
        <w:pStyle w:val="Paragraph"/>
      </w:pPr>
      <w:r>
        <w:lastRenderedPageBreak/>
        <w:t xml:space="preserve">The proposed tax </w:t>
      </w:r>
      <w:r w:rsidR="00085CD4">
        <w:t>formula</w:t>
      </w:r>
      <w:r>
        <w:t xml:space="preserve"> </w:t>
      </w:r>
      <w:r w:rsidR="000F3F19">
        <w:t>is</w:t>
      </w:r>
      <w:r>
        <w:t xml:space="preserve"> similar to </w:t>
      </w:r>
      <w:r w:rsidR="00DC70AF">
        <w:t xml:space="preserve">that </w:t>
      </w:r>
      <w:r>
        <w:t>for PMTS Class B licences</w:t>
      </w:r>
      <w:r w:rsidR="00DB5E63">
        <w:t>, which</w:t>
      </w:r>
      <w:r>
        <w:t xml:space="preserve"> also use a $/MHz/</w:t>
      </w:r>
      <w:r w:rsidR="00FA6092">
        <w:t>p</w:t>
      </w:r>
      <w:r>
        <w:t xml:space="preserve">op </w:t>
      </w:r>
      <w:r w:rsidR="00CA31C8">
        <w:t xml:space="preserve">formula </w:t>
      </w:r>
      <w:r>
        <w:t>to determine the tax.</w:t>
      </w:r>
      <w:r>
        <w:rPr>
          <w:rStyle w:val="FootnoteReference"/>
        </w:rPr>
        <w:footnoteReference w:id="11"/>
      </w:r>
      <w:r>
        <w:t xml:space="preserve"> The tax rate for AWLs in the 3.4–4.0 GHz </w:t>
      </w:r>
      <w:r w:rsidR="00DD2E69">
        <w:t>band and</w:t>
      </w:r>
      <w:r w:rsidR="000464F9">
        <w:t xml:space="preserve"> </w:t>
      </w:r>
      <w:r w:rsidR="00930175">
        <w:t>proposed for AWL rx</w:t>
      </w:r>
      <w:r>
        <w:t xml:space="preserve"> of $0.0041/MHz/</w:t>
      </w:r>
      <w:r w:rsidR="00FA6092">
        <w:t>p</w:t>
      </w:r>
      <w:r>
        <w:t>op is the same as the tax rate for PMTS Class B licences in the 3.5 GHz and 3.6 GHz bands. Given that similar services will be using AWLs across the broader spectrum range, we consider that a similar tax rate to that for PMTS Class B licences should apply.</w:t>
      </w:r>
    </w:p>
    <w:p w14:paraId="6608334F" w14:textId="2F69052B" w:rsidR="007F7848" w:rsidRPr="00DD2E69" w:rsidRDefault="007F7848" w:rsidP="00DD2E69">
      <w:pPr>
        <w:pStyle w:val="Heading3"/>
      </w:pPr>
      <w:bookmarkStart w:id="36" w:name="_Toc89092140"/>
      <w:bookmarkStart w:id="37" w:name="_Toc92727181"/>
      <w:r w:rsidRPr="00DD2E69">
        <w:t>Examples of taxes</w:t>
      </w:r>
      <w:bookmarkEnd w:id="36"/>
      <w:bookmarkEnd w:id="37"/>
    </w:p>
    <w:p w14:paraId="63A53D88" w14:textId="6E81F54D" w:rsidR="007F7848" w:rsidRDefault="007F7848" w:rsidP="007F7848">
      <w:pPr>
        <w:pStyle w:val="Paragraph"/>
      </w:pPr>
      <w:r>
        <w:t xml:space="preserve">To </w:t>
      </w:r>
      <w:r w:rsidR="00BC3A27">
        <w:t>illustrate</w:t>
      </w:r>
      <w:r w:rsidR="00DD033E">
        <w:t xml:space="preserve"> the tax arrangements for AWLs</w:t>
      </w:r>
      <w:r w:rsidR="00D97597">
        <w:t xml:space="preserve"> and proposed for </w:t>
      </w:r>
      <w:r w:rsidR="005B664A">
        <w:t>AWLs rx</w:t>
      </w:r>
      <w:r w:rsidR="00B84BAA">
        <w:t>,</w:t>
      </w:r>
      <w:r w:rsidR="006448E5">
        <w:t xml:space="preserve"> the</w:t>
      </w:r>
      <w:r>
        <w:t xml:space="preserve"> following examples are provided using </w:t>
      </w:r>
      <w:r w:rsidR="003A491B">
        <w:t xml:space="preserve">3 </w:t>
      </w:r>
      <w:r>
        <w:t xml:space="preserve">locations, based on </w:t>
      </w:r>
      <w:r w:rsidR="00F060B2">
        <w:t>1</w:t>
      </w:r>
      <w:r>
        <w:t xml:space="preserve">0 MHz of bandwidth and </w:t>
      </w:r>
      <w:r w:rsidR="00B70DE9">
        <w:t>6</w:t>
      </w:r>
      <w:r>
        <w:t xml:space="preserve"> geographic areas </w:t>
      </w:r>
      <w:r w:rsidR="00A45903">
        <w:t xml:space="preserve">of different sizes </w:t>
      </w:r>
      <w:r>
        <w:t xml:space="preserve">(one </w:t>
      </w:r>
      <w:r w:rsidR="00A45903">
        <w:t xml:space="preserve">HCIS 0 </w:t>
      </w:r>
      <w:r>
        <w:t>cell</w:t>
      </w:r>
      <w:r w:rsidR="006C68E2">
        <w:rPr>
          <w:rStyle w:val="FootnoteReference"/>
        </w:rPr>
        <w:footnoteReference w:id="12"/>
      </w:r>
      <w:r>
        <w:t xml:space="preserve">, 4 </w:t>
      </w:r>
      <w:r w:rsidR="00A45903">
        <w:t xml:space="preserve">HCIS 0 </w:t>
      </w:r>
      <w:r>
        <w:t>cells, one HCIS 1 block</w:t>
      </w:r>
      <w:r w:rsidR="00D8404F">
        <w:rPr>
          <w:rStyle w:val="FootnoteReference"/>
        </w:rPr>
        <w:footnoteReference w:id="13"/>
      </w:r>
      <w:r w:rsidR="00553EC9">
        <w:t xml:space="preserve">, </w:t>
      </w:r>
      <w:r>
        <w:t>one HCIS 2 block</w:t>
      </w:r>
      <w:r w:rsidR="00721664">
        <w:rPr>
          <w:rStyle w:val="FootnoteReference"/>
        </w:rPr>
        <w:footnoteReference w:id="14"/>
      </w:r>
      <w:r w:rsidR="00553EC9">
        <w:t>, one HCIS 3 block</w:t>
      </w:r>
      <w:r w:rsidR="00E754E9">
        <w:rPr>
          <w:rStyle w:val="FootnoteReference"/>
        </w:rPr>
        <w:footnoteReference w:id="15"/>
      </w:r>
      <w:r w:rsidR="00553EC9">
        <w:t>,</w:t>
      </w:r>
      <w:r>
        <w:t xml:space="preserve"> and one HCIS </w:t>
      </w:r>
      <w:r w:rsidR="00553EC9">
        <w:t>4</w:t>
      </w:r>
      <w:r>
        <w:t xml:space="preserve"> block</w:t>
      </w:r>
      <w:r w:rsidR="00721664">
        <w:rPr>
          <w:rStyle w:val="FootnoteReference"/>
        </w:rPr>
        <w:footnoteReference w:id="16"/>
      </w:r>
      <w:r>
        <w:t xml:space="preserve">). The locations chosen have relatively large populations at the HCIS 1 level to highlight how to calculate the taxes. Other locations will have lower populations and therefore taxes will be lower. </w:t>
      </w:r>
    </w:p>
    <w:p w14:paraId="55367075" w14:textId="12177A76" w:rsidR="007F7848" w:rsidRDefault="007F7848" w:rsidP="00C42881">
      <w:pPr>
        <w:pStyle w:val="Paragraphbeforelist"/>
      </w:pPr>
      <w:r>
        <w:t xml:space="preserve">The following examples use the $0.0041/MHz/pop tax rate in several different regions located in </w:t>
      </w:r>
      <w:r w:rsidR="00B74F18">
        <w:t>metro</w:t>
      </w:r>
      <w:r w:rsidR="005B664A">
        <w:t>politan</w:t>
      </w:r>
      <w:r w:rsidR="00B74F18">
        <w:t xml:space="preserve"> and regional</w:t>
      </w:r>
      <w:r>
        <w:t xml:space="preserve"> </w:t>
      </w:r>
      <w:r w:rsidR="008415A0">
        <w:t>areas</w:t>
      </w:r>
      <w:r>
        <w:t xml:space="preserve"> proposed to be included in this allocation:</w:t>
      </w:r>
    </w:p>
    <w:p w14:paraId="71FD8111" w14:textId="66A1D568" w:rsidR="00084EAA" w:rsidRDefault="00FD209A" w:rsidP="00FE69BE">
      <w:pPr>
        <w:pStyle w:val="Bulletlevel1"/>
      </w:pPr>
      <w:r>
        <w:t xml:space="preserve">HCIS </w:t>
      </w:r>
      <w:r w:rsidR="004147C3">
        <w:t>1</w:t>
      </w:r>
      <w:r w:rsidR="009969C5">
        <w:t xml:space="preserve"> cell NV7M</w:t>
      </w:r>
      <w:r w:rsidR="00221367">
        <w:t>6</w:t>
      </w:r>
      <w:r w:rsidR="00A32823">
        <w:t xml:space="preserve"> is </w:t>
      </w:r>
      <w:r w:rsidR="00FD601E">
        <w:t xml:space="preserve">in </w:t>
      </w:r>
      <w:r w:rsidR="00256703">
        <w:t xml:space="preserve">Sydney </w:t>
      </w:r>
      <w:r w:rsidR="00FD601E">
        <w:t xml:space="preserve">and has a population of </w:t>
      </w:r>
      <w:r w:rsidR="001645C5" w:rsidRPr="001645C5">
        <w:t>372</w:t>
      </w:r>
      <w:r w:rsidR="001645C5">
        <w:t>,</w:t>
      </w:r>
      <w:r w:rsidR="001645C5" w:rsidRPr="001645C5">
        <w:t>076</w:t>
      </w:r>
      <w:r w:rsidR="001645C5">
        <w:t xml:space="preserve"> </w:t>
      </w:r>
      <w:r w:rsidR="00C427AE">
        <w:t xml:space="preserve">on the 2021 Census date, which </w:t>
      </w:r>
      <w:r w:rsidR="00857CF7">
        <w:t xml:space="preserve">was the </w:t>
      </w:r>
      <w:r w:rsidR="00A3079D">
        <w:t xml:space="preserve">most populous of all HCIS </w:t>
      </w:r>
      <w:r w:rsidR="001645C5">
        <w:t>1</w:t>
      </w:r>
      <w:r w:rsidR="00A3079D">
        <w:t xml:space="preserve"> cells. </w:t>
      </w:r>
      <w:r w:rsidR="005C3772">
        <w:t>Based on the $0.0041/MHz/pop</w:t>
      </w:r>
      <w:r w:rsidR="00A3079D">
        <w:t xml:space="preserve"> </w:t>
      </w:r>
      <w:r w:rsidR="001744C7">
        <w:t xml:space="preserve">tax rate, the </w:t>
      </w:r>
      <w:r w:rsidR="00AB4E0F">
        <w:t xml:space="preserve">AWL </w:t>
      </w:r>
      <w:r w:rsidR="001744C7">
        <w:t xml:space="preserve">tax for this </w:t>
      </w:r>
      <w:r w:rsidR="00AB4E0F">
        <w:t xml:space="preserve">area is </w:t>
      </w:r>
      <w:r w:rsidR="00AB4E0F">
        <w:rPr>
          <w:color w:val="000000"/>
          <w:szCs w:val="20"/>
        </w:rPr>
        <w:t>$15,255.</w:t>
      </w:r>
      <w:r w:rsidR="00A3079D">
        <w:rPr>
          <w:color w:val="000000"/>
          <w:szCs w:val="20"/>
        </w:rPr>
        <w:t xml:space="preserve"> </w:t>
      </w:r>
      <w:r w:rsidR="004E354E">
        <w:rPr>
          <w:color w:val="000000"/>
          <w:szCs w:val="20"/>
        </w:rPr>
        <w:t>W</w:t>
      </w:r>
      <w:r w:rsidR="00C91457">
        <w:rPr>
          <w:color w:val="000000"/>
          <w:szCs w:val="20"/>
        </w:rPr>
        <w:t xml:space="preserve">e have calculated the taxes for </w:t>
      </w:r>
      <w:r w:rsidR="00124388">
        <w:rPr>
          <w:color w:val="000000"/>
          <w:szCs w:val="20"/>
        </w:rPr>
        <w:t xml:space="preserve">6 different sized geographies </w:t>
      </w:r>
      <w:r w:rsidR="006D4C99">
        <w:rPr>
          <w:color w:val="000000"/>
          <w:szCs w:val="20"/>
        </w:rPr>
        <w:t xml:space="preserve">in </w:t>
      </w:r>
      <w:r w:rsidR="00C5411C">
        <w:rPr>
          <w:color w:val="000000"/>
          <w:szCs w:val="20"/>
        </w:rPr>
        <w:t xml:space="preserve">and </w:t>
      </w:r>
      <w:r w:rsidR="006D4C99">
        <w:rPr>
          <w:color w:val="000000"/>
          <w:szCs w:val="20"/>
        </w:rPr>
        <w:t xml:space="preserve">around the </w:t>
      </w:r>
      <w:r w:rsidR="00BD5350">
        <w:rPr>
          <w:color w:val="000000"/>
          <w:szCs w:val="20"/>
        </w:rPr>
        <w:t xml:space="preserve">NV7M6 Sydney area, shown in table </w:t>
      </w:r>
      <w:r w:rsidR="00975877">
        <w:rPr>
          <w:color w:val="000000"/>
          <w:szCs w:val="20"/>
        </w:rPr>
        <w:t>6</w:t>
      </w:r>
      <w:r w:rsidR="00BD5350">
        <w:rPr>
          <w:color w:val="000000"/>
          <w:szCs w:val="20"/>
        </w:rPr>
        <w:t xml:space="preserve">. </w:t>
      </w:r>
    </w:p>
    <w:p w14:paraId="79C73A30" w14:textId="6984F542" w:rsidR="00BD5350" w:rsidRDefault="00BD5350" w:rsidP="00FE69BE">
      <w:pPr>
        <w:pStyle w:val="Bulletlevel1"/>
      </w:pPr>
      <w:r>
        <w:t xml:space="preserve">HCIS 1 cell </w:t>
      </w:r>
      <w:r w:rsidR="00D84878" w:rsidRPr="00D84878">
        <w:t>IW3L4</w:t>
      </w:r>
      <w:r>
        <w:t xml:space="preserve"> is in </w:t>
      </w:r>
      <w:r w:rsidR="0017669A">
        <w:t>the Adelaide Hills</w:t>
      </w:r>
      <w:r>
        <w:t xml:space="preserve"> and has a population of </w:t>
      </w:r>
      <w:r w:rsidR="00AB5805">
        <w:t>7,924</w:t>
      </w:r>
      <w:r>
        <w:t xml:space="preserve"> on the 2021 Census date. Based on the $0.0041/MHz/pop tax rate, the AWL tax for this area is </w:t>
      </w:r>
      <w:r>
        <w:rPr>
          <w:color w:val="000000"/>
          <w:szCs w:val="20"/>
        </w:rPr>
        <w:t>$</w:t>
      </w:r>
      <w:r w:rsidR="009D67F4">
        <w:rPr>
          <w:color w:val="000000"/>
          <w:szCs w:val="20"/>
        </w:rPr>
        <w:t>325</w:t>
      </w:r>
      <w:r>
        <w:rPr>
          <w:color w:val="000000"/>
          <w:szCs w:val="20"/>
        </w:rPr>
        <w:t xml:space="preserve">. We have calculated the taxes for 6 different sized geographies in </w:t>
      </w:r>
      <w:r w:rsidR="00C5411C">
        <w:rPr>
          <w:color w:val="000000"/>
          <w:szCs w:val="20"/>
        </w:rPr>
        <w:t xml:space="preserve">and </w:t>
      </w:r>
      <w:r>
        <w:rPr>
          <w:color w:val="000000"/>
          <w:szCs w:val="20"/>
        </w:rPr>
        <w:t xml:space="preserve">around the </w:t>
      </w:r>
      <w:r w:rsidR="00C5411C">
        <w:rPr>
          <w:color w:val="000000"/>
          <w:szCs w:val="20"/>
        </w:rPr>
        <w:t>Adelaide Hills</w:t>
      </w:r>
      <w:r>
        <w:rPr>
          <w:color w:val="000000"/>
          <w:szCs w:val="20"/>
        </w:rPr>
        <w:t xml:space="preserve"> area</w:t>
      </w:r>
      <w:r w:rsidR="00C5411C">
        <w:rPr>
          <w:color w:val="000000"/>
          <w:szCs w:val="20"/>
        </w:rPr>
        <w:t xml:space="preserve"> (but excluding </w:t>
      </w:r>
      <w:r w:rsidR="00AD686A">
        <w:rPr>
          <w:color w:val="000000"/>
          <w:szCs w:val="20"/>
        </w:rPr>
        <w:t xml:space="preserve">central </w:t>
      </w:r>
      <w:r w:rsidR="00C5411C">
        <w:rPr>
          <w:color w:val="000000"/>
          <w:szCs w:val="20"/>
        </w:rPr>
        <w:t>Adelaide</w:t>
      </w:r>
      <w:r w:rsidR="00AD686A">
        <w:rPr>
          <w:color w:val="000000"/>
          <w:szCs w:val="20"/>
        </w:rPr>
        <w:t>)</w:t>
      </w:r>
      <w:r>
        <w:rPr>
          <w:color w:val="000000"/>
          <w:szCs w:val="20"/>
        </w:rPr>
        <w:t xml:space="preserve">, shown in table </w:t>
      </w:r>
      <w:r w:rsidR="00E844E4">
        <w:rPr>
          <w:color w:val="000000"/>
          <w:szCs w:val="20"/>
        </w:rPr>
        <w:t>6</w:t>
      </w:r>
      <w:r>
        <w:rPr>
          <w:color w:val="000000"/>
          <w:szCs w:val="20"/>
        </w:rPr>
        <w:t xml:space="preserve">. </w:t>
      </w:r>
    </w:p>
    <w:p w14:paraId="57256499" w14:textId="2CC1D632" w:rsidR="00C313CF" w:rsidRDefault="00C313CF" w:rsidP="00FE69BE">
      <w:pPr>
        <w:pStyle w:val="Bulletlevel1"/>
        <w:spacing w:after="240"/>
      </w:pPr>
      <w:r>
        <w:t xml:space="preserve">HCIS 1 cell </w:t>
      </w:r>
      <w:r w:rsidR="005F6BAC">
        <w:t>LQ1O9</w:t>
      </w:r>
      <w:r>
        <w:t xml:space="preserve"> is in the </w:t>
      </w:r>
      <w:r w:rsidR="005F6BAC">
        <w:t>Cairns</w:t>
      </w:r>
      <w:r>
        <w:t xml:space="preserve"> and has a population of </w:t>
      </w:r>
      <w:r w:rsidR="00E8777E">
        <w:t>45</w:t>
      </w:r>
      <w:r>
        <w:t>,</w:t>
      </w:r>
      <w:r w:rsidR="00E8777E">
        <w:t>776</w:t>
      </w:r>
      <w:r>
        <w:t xml:space="preserve"> on the 2021 Census date. Based on the $0.0041/MHz/pop tax rate, the AWL tax for this area is </w:t>
      </w:r>
      <w:r>
        <w:rPr>
          <w:color w:val="000000"/>
          <w:szCs w:val="20"/>
        </w:rPr>
        <w:t>$</w:t>
      </w:r>
      <w:r w:rsidR="00954647">
        <w:rPr>
          <w:color w:val="000000"/>
          <w:szCs w:val="20"/>
        </w:rPr>
        <w:t>1,877</w:t>
      </w:r>
      <w:r>
        <w:rPr>
          <w:color w:val="000000"/>
          <w:szCs w:val="20"/>
        </w:rPr>
        <w:t xml:space="preserve">. We have calculated the taxes for 6 different sized geographies in and around the </w:t>
      </w:r>
      <w:r w:rsidR="00954647">
        <w:rPr>
          <w:color w:val="000000"/>
          <w:szCs w:val="20"/>
        </w:rPr>
        <w:t xml:space="preserve">Cairns </w:t>
      </w:r>
      <w:r>
        <w:rPr>
          <w:color w:val="000000"/>
          <w:szCs w:val="20"/>
        </w:rPr>
        <w:t xml:space="preserve">area, shown in table </w:t>
      </w:r>
      <w:r w:rsidR="00AE2DF6">
        <w:rPr>
          <w:color w:val="000000"/>
          <w:szCs w:val="20"/>
        </w:rPr>
        <w:t>6</w:t>
      </w:r>
      <w:r>
        <w:rPr>
          <w:color w:val="000000"/>
          <w:szCs w:val="20"/>
        </w:rPr>
        <w:t xml:space="preserve">. </w:t>
      </w:r>
    </w:p>
    <w:p w14:paraId="3F841B40" w14:textId="2A4DFCF2" w:rsidR="00A55689" w:rsidRDefault="007F7848" w:rsidP="00DD2E69">
      <w:pPr>
        <w:pStyle w:val="Paragraph"/>
      </w:pPr>
      <w:r>
        <w:t xml:space="preserve">Table </w:t>
      </w:r>
      <w:r w:rsidR="005F5873">
        <w:t xml:space="preserve">6 </w:t>
      </w:r>
      <w:r>
        <w:t>details the potential annual tax</w:t>
      </w:r>
      <w:r w:rsidR="000A127F">
        <w:t xml:space="preserve"> amounts</w:t>
      </w:r>
      <w:r>
        <w:t xml:space="preserve"> for the examples above, noting that the taxes are rounded to the nearest dollar and the minimum annual tax </w:t>
      </w:r>
      <w:r w:rsidR="002D6929">
        <w:t xml:space="preserve">(currently </w:t>
      </w:r>
      <w:r>
        <w:t>$41.37</w:t>
      </w:r>
      <w:r w:rsidR="00DC616B">
        <w:t>)</w:t>
      </w:r>
      <w:r>
        <w:t xml:space="preserve"> </w:t>
      </w:r>
      <w:r w:rsidR="00806903">
        <w:t xml:space="preserve">will </w:t>
      </w:r>
      <w:r>
        <w:t>also appl</w:t>
      </w:r>
      <w:r w:rsidR="00806903">
        <w:t>y</w:t>
      </w:r>
      <w:r>
        <w:t>.</w:t>
      </w:r>
    </w:p>
    <w:p w14:paraId="546EDD68" w14:textId="77777777" w:rsidR="003109D2" w:rsidRDefault="003109D2">
      <w:pPr>
        <w:spacing w:after="0" w:line="240" w:lineRule="auto"/>
        <w:rPr>
          <w:i/>
          <w:iCs/>
          <w:color w:val="323232"/>
          <w:szCs w:val="20"/>
        </w:rPr>
      </w:pPr>
      <w:bookmarkStart w:id="38" w:name="_Ref46926480"/>
      <w:r>
        <w:rPr>
          <w:b/>
          <w:bCs/>
          <w:i/>
          <w:iCs/>
        </w:rPr>
        <w:br w:type="page"/>
      </w:r>
    </w:p>
    <w:p w14:paraId="27676D04" w14:textId="03F8F0C6" w:rsidR="007F7848" w:rsidRPr="00E0635A" w:rsidRDefault="007F7848" w:rsidP="00FE69BE">
      <w:pPr>
        <w:pStyle w:val="Tableheading"/>
      </w:pPr>
      <w:r w:rsidRPr="00FE69BE">
        <w:lastRenderedPageBreak/>
        <w:t xml:space="preserve">$/MHz/pop annual </w:t>
      </w:r>
      <w:r w:rsidR="00DF7C52" w:rsidRPr="00FE69BE">
        <w:t xml:space="preserve">transmitter </w:t>
      </w:r>
      <w:r w:rsidRPr="00FE69BE">
        <w:t xml:space="preserve">licence taxes (using </w:t>
      </w:r>
      <w:r w:rsidR="005D6559" w:rsidRPr="00FE69BE">
        <w:t>10</w:t>
      </w:r>
      <w:r w:rsidRPr="00FE69BE">
        <w:t xml:space="preserve"> MHz) in various </w:t>
      </w:r>
      <w:r w:rsidR="002A01FD" w:rsidRPr="00FE69BE">
        <w:t>metro and regional</w:t>
      </w:r>
      <w:r w:rsidRPr="00FE69BE">
        <w:t xml:space="preserve"> locations</w:t>
      </w:r>
    </w:p>
    <w:bookmarkEnd w:id="38"/>
    <w:p w14:paraId="14189D00" w14:textId="0CEDA975" w:rsidR="00452FB4" w:rsidRPr="007B1C6A" w:rsidRDefault="00452FB4" w:rsidP="00165C8E">
      <w:pPr>
        <w:spacing w:after="0" w:line="240" w:lineRule="auto"/>
      </w:pPr>
    </w:p>
    <w:tbl>
      <w:tblPr>
        <w:tblW w:w="7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300"/>
        <w:gridCol w:w="1740"/>
        <w:gridCol w:w="1620"/>
        <w:gridCol w:w="1560"/>
      </w:tblGrid>
      <w:tr w:rsidR="007F7848" w:rsidRPr="0003343D" w14:paraId="67E24917" w14:textId="77777777" w:rsidTr="00FE69BE">
        <w:trPr>
          <w:trHeight w:val="300"/>
        </w:trPr>
        <w:tc>
          <w:tcPr>
            <w:tcW w:w="2300" w:type="dxa"/>
            <w:vMerge w:val="restart"/>
            <w:shd w:val="clear" w:color="auto" w:fill="404040" w:themeFill="text1" w:themeFillTint="BF"/>
            <w:vAlign w:val="center"/>
            <w:hideMark/>
          </w:tcPr>
          <w:p w14:paraId="56875B93" w14:textId="2607E3C0" w:rsidR="007F7848" w:rsidRPr="00FE69BE" w:rsidRDefault="007F7848" w:rsidP="00016831">
            <w:pPr>
              <w:spacing w:after="0" w:line="240" w:lineRule="auto"/>
              <w:rPr>
                <w:rFonts w:cs="Arial"/>
                <w:b/>
                <w:bCs/>
                <w:color w:val="FFFFFF" w:themeColor="background1"/>
                <w:szCs w:val="20"/>
              </w:rPr>
            </w:pPr>
            <w:r w:rsidRPr="00FE69BE">
              <w:rPr>
                <w:rFonts w:cs="Arial"/>
                <w:b/>
                <w:bCs/>
                <w:color w:val="FFFFFF" w:themeColor="background1"/>
                <w:szCs w:val="20"/>
              </w:rPr>
              <w:t>Price</w:t>
            </w:r>
            <w:r w:rsidRPr="00FE69BE">
              <w:rPr>
                <w:rFonts w:cs="Arial"/>
                <w:b/>
                <w:bCs/>
                <w:color w:val="FFFFFF" w:themeColor="background1"/>
                <w:szCs w:val="20"/>
              </w:rPr>
              <w:br/>
              <w:t>($0.0041/MHz/pop)</w:t>
            </w:r>
          </w:p>
        </w:tc>
        <w:tc>
          <w:tcPr>
            <w:tcW w:w="4920" w:type="dxa"/>
            <w:gridSpan w:val="3"/>
            <w:shd w:val="clear" w:color="auto" w:fill="404040" w:themeFill="text1" w:themeFillTint="BF"/>
            <w:vAlign w:val="center"/>
            <w:hideMark/>
          </w:tcPr>
          <w:p w14:paraId="21D0F20B" w14:textId="20936808" w:rsidR="007F7848" w:rsidRPr="00FE69BE" w:rsidRDefault="007F7848" w:rsidP="00016831">
            <w:pPr>
              <w:spacing w:after="0" w:line="240" w:lineRule="auto"/>
              <w:jc w:val="center"/>
              <w:rPr>
                <w:rFonts w:cs="Arial"/>
                <w:b/>
                <w:bCs/>
                <w:color w:val="FFFFFF" w:themeColor="background1"/>
                <w:szCs w:val="20"/>
              </w:rPr>
            </w:pPr>
            <w:r w:rsidRPr="00FE69BE">
              <w:rPr>
                <w:rFonts w:cs="Arial"/>
                <w:b/>
                <w:bCs/>
                <w:color w:val="FFFFFF" w:themeColor="background1"/>
                <w:szCs w:val="20"/>
              </w:rPr>
              <w:t>HCIS 1 cell</w:t>
            </w:r>
          </w:p>
        </w:tc>
      </w:tr>
      <w:tr w:rsidR="007F7848" w:rsidRPr="0003343D" w14:paraId="7E97C1E0" w14:textId="77777777" w:rsidTr="00FE69BE">
        <w:trPr>
          <w:trHeight w:val="790"/>
        </w:trPr>
        <w:tc>
          <w:tcPr>
            <w:tcW w:w="2300" w:type="dxa"/>
            <w:vMerge/>
            <w:shd w:val="clear" w:color="auto" w:fill="404040" w:themeFill="text1" w:themeFillTint="BF"/>
            <w:vAlign w:val="center"/>
            <w:hideMark/>
          </w:tcPr>
          <w:p w14:paraId="6F1AE0ED" w14:textId="77777777" w:rsidR="007F7848" w:rsidRPr="00FE69BE" w:rsidRDefault="007F7848" w:rsidP="00016831">
            <w:pPr>
              <w:spacing w:after="0" w:line="240" w:lineRule="auto"/>
              <w:rPr>
                <w:rFonts w:cs="Arial"/>
                <w:b/>
                <w:bCs/>
                <w:color w:val="FFFFFF" w:themeColor="background1"/>
                <w:szCs w:val="20"/>
              </w:rPr>
            </w:pPr>
          </w:p>
        </w:tc>
        <w:tc>
          <w:tcPr>
            <w:tcW w:w="1740" w:type="dxa"/>
            <w:shd w:val="clear" w:color="auto" w:fill="404040" w:themeFill="text1" w:themeFillTint="BF"/>
            <w:vAlign w:val="center"/>
            <w:hideMark/>
          </w:tcPr>
          <w:p w14:paraId="0B8B7C9B" w14:textId="77777777" w:rsidR="007F7848" w:rsidRPr="00FE69BE" w:rsidRDefault="007F7848" w:rsidP="00016831">
            <w:pPr>
              <w:spacing w:after="0" w:line="240" w:lineRule="auto"/>
              <w:jc w:val="center"/>
              <w:rPr>
                <w:rFonts w:cs="Arial"/>
                <w:b/>
                <w:bCs/>
                <w:color w:val="FFFFFF" w:themeColor="background1"/>
                <w:szCs w:val="20"/>
              </w:rPr>
            </w:pPr>
            <w:r w:rsidRPr="00FE69BE">
              <w:rPr>
                <w:rFonts w:cs="Arial"/>
                <w:b/>
                <w:bCs/>
                <w:color w:val="FFFFFF" w:themeColor="background1"/>
                <w:szCs w:val="20"/>
              </w:rPr>
              <w:br/>
            </w:r>
            <w:r w:rsidR="002A01FD" w:rsidRPr="00FE69BE">
              <w:rPr>
                <w:rFonts w:cs="Arial"/>
                <w:b/>
                <w:bCs/>
                <w:color w:val="FFFFFF" w:themeColor="background1"/>
                <w:szCs w:val="20"/>
              </w:rPr>
              <w:t>Inner Sydney</w:t>
            </w:r>
          </w:p>
          <w:p w14:paraId="7533E1AD" w14:textId="725B3F15" w:rsidR="007F7848" w:rsidRPr="00FE69BE" w:rsidRDefault="00C65584" w:rsidP="00016831">
            <w:pPr>
              <w:spacing w:after="0" w:line="240" w:lineRule="auto"/>
              <w:jc w:val="center"/>
              <w:rPr>
                <w:rFonts w:cs="Arial"/>
                <w:b/>
                <w:bCs/>
                <w:color w:val="FFFFFF" w:themeColor="background1"/>
                <w:szCs w:val="20"/>
              </w:rPr>
            </w:pPr>
            <w:r w:rsidRPr="00FE69BE">
              <w:rPr>
                <w:rFonts w:cs="Arial"/>
                <w:b/>
                <w:bCs/>
                <w:color w:val="FFFFFF" w:themeColor="background1"/>
                <w:szCs w:val="20"/>
              </w:rPr>
              <w:t>(</w:t>
            </w:r>
            <w:r w:rsidR="000921D8" w:rsidRPr="00FE69BE">
              <w:rPr>
                <w:rFonts w:cs="Arial"/>
                <w:b/>
                <w:bCs/>
                <w:color w:val="FFFFFF" w:themeColor="background1"/>
                <w:szCs w:val="20"/>
              </w:rPr>
              <w:t>NV7M</w:t>
            </w:r>
            <w:r w:rsidR="00D236F7" w:rsidRPr="00FE69BE">
              <w:rPr>
                <w:rFonts w:cs="Arial"/>
                <w:b/>
                <w:bCs/>
                <w:color w:val="FFFFFF" w:themeColor="background1"/>
                <w:szCs w:val="20"/>
              </w:rPr>
              <w:t>6</w:t>
            </w:r>
            <w:r w:rsidR="000921D8" w:rsidRPr="00FE69BE">
              <w:rPr>
                <w:rFonts w:cs="Arial"/>
                <w:b/>
                <w:bCs/>
                <w:color w:val="FFFFFF" w:themeColor="background1"/>
                <w:szCs w:val="20"/>
              </w:rPr>
              <w:t>)</w:t>
            </w:r>
          </w:p>
        </w:tc>
        <w:tc>
          <w:tcPr>
            <w:tcW w:w="1620" w:type="dxa"/>
            <w:shd w:val="clear" w:color="auto" w:fill="404040" w:themeFill="text1" w:themeFillTint="BF"/>
            <w:vAlign w:val="center"/>
            <w:hideMark/>
          </w:tcPr>
          <w:p w14:paraId="30B319CA" w14:textId="77777777" w:rsidR="007F7848" w:rsidRPr="00FE69BE" w:rsidRDefault="007F7848" w:rsidP="00016831">
            <w:pPr>
              <w:spacing w:after="0" w:line="240" w:lineRule="auto"/>
              <w:jc w:val="center"/>
              <w:rPr>
                <w:rFonts w:cs="Arial"/>
                <w:b/>
                <w:bCs/>
                <w:color w:val="FFFFFF" w:themeColor="background1"/>
                <w:szCs w:val="20"/>
              </w:rPr>
            </w:pPr>
            <w:r w:rsidRPr="00FE69BE">
              <w:rPr>
                <w:rFonts w:cs="Arial"/>
                <w:b/>
                <w:bCs/>
                <w:color w:val="FFFFFF" w:themeColor="background1"/>
                <w:szCs w:val="20"/>
              </w:rPr>
              <w:br/>
            </w:r>
            <w:r w:rsidR="00EA59DE" w:rsidRPr="00FE69BE">
              <w:rPr>
                <w:rFonts w:cs="Arial"/>
                <w:b/>
                <w:bCs/>
                <w:color w:val="FFFFFF" w:themeColor="background1"/>
                <w:szCs w:val="20"/>
              </w:rPr>
              <w:t>Adelaide</w:t>
            </w:r>
            <w:r w:rsidR="00C4645A" w:rsidRPr="00FE69BE">
              <w:rPr>
                <w:rFonts w:cs="Arial"/>
                <w:b/>
                <w:bCs/>
                <w:color w:val="FFFFFF" w:themeColor="background1"/>
                <w:szCs w:val="20"/>
              </w:rPr>
              <w:t xml:space="preserve"> Hills</w:t>
            </w:r>
          </w:p>
          <w:p w14:paraId="6265942B" w14:textId="45AC5B91" w:rsidR="007F7848" w:rsidRPr="00FE69BE" w:rsidRDefault="000921D8" w:rsidP="00016831">
            <w:pPr>
              <w:spacing w:after="0" w:line="240" w:lineRule="auto"/>
              <w:jc w:val="center"/>
              <w:rPr>
                <w:rFonts w:cs="Arial"/>
                <w:b/>
                <w:bCs/>
                <w:color w:val="FFFFFF" w:themeColor="background1"/>
                <w:szCs w:val="20"/>
              </w:rPr>
            </w:pPr>
            <w:r w:rsidRPr="00FE69BE">
              <w:rPr>
                <w:rFonts w:cs="Arial"/>
                <w:b/>
                <w:bCs/>
                <w:color w:val="FFFFFF" w:themeColor="background1"/>
                <w:szCs w:val="20"/>
              </w:rPr>
              <w:t>(IW3L</w:t>
            </w:r>
            <w:r w:rsidR="00020143" w:rsidRPr="00FE69BE">
              <w:rPr>
                <w:rFonts w:cs="Arial"/>
                <w:b/>
                <w:bCs/>
                <w:color w:val="FFFFFF" w:themeColor="background1"/>
                <w:szCs w:val="20"/>
              </w:rPr>
              <w:t>4</w:t>
            </w:r>
            <w:r w:rsidRPr="00FE69BE">
              <w:rPr>
                <w:rFonts w:cs="Arial"/>
                <w:b/>
                <w:bCs/>
                <w:color w:val="FFFFFF" w:themeColor="background1"/>
                <w:szCs w:val="20"/>
              </w:rPr>
              <w:t>)</w:t>
            </w:r>
          </w:p>
        </w:tc>
        <w:tc>
          <w:tcPr>
            <w:tcW w:w="1560" w:type="dxa"/>
            <w:shd w:val="clear" w:color="auto" w:fill="404040" w:themeFill="text1" w:themeFillTint="BF"/>
            <w:vAlign w:val="center"/>
            <w:hideMark/>
          </w:tcPr>
          <w:p w14:paraId="2F9A719B" w14:textId="77777777" w:rsidR="007F7848" w:rsidRPr="00FE69BE" w:rsidRDefault="002F22A1" w:rsidP="00016831">
            <w:pPr>
              <w:spacing w:after="0" w:line="240" w:lineRule="auto"/>
              <w:jc w:val="center"/>
              <w:rPr>
                <w:rFonts w:cs="Arial"/>
                <w:b/>
                <w:bCs/>
                <w:color w:val="FFFFFF" w:themeColor="background1"/>
                <w:szCs w:val="20"/>
              </w:rPr>
            </w:pPr>
            <w:r w:rsidRPr="00FE69BE">
              <w:rPr>
                <w:rFonts w:cs="Arial"/>
                <w:b/>
                <w:bCs/>
                <w:color w:val="FFFFFF" w:themeColor="background1"/>
                <w:szCs w:val="20"/>
              </w:rPr>
              <w:br/>
              <w:t>Cairns</w:t>
            </w:r>
          </w:p>
          <w:p w14:paraId="6DF22C3B" w14:textId="2C33755F" w:rsidR="007F7848" w:rsidRPr="00FE69BE" w:rsidRDefault="000921D8" w:rsidP="00016831">
            <w:pPr>
              <w:spacing w:after="0" w:line="240" w:lineRule="auto"/>
              <w:jc w:val="center"/>
              <w:rPr>
                <w:rFonts w:cs="Arial"/>
                <w:b/>
                <w:bCs/>
                <w:color w:val="FFFFFF" w:themeColor="background1"/>
                <w:szCs w:val="20"/>
              </w:rPr>
            </w:pPr>
            <w:r w:rsidRPr="00FE69BE">
              <w:rPr>
                <w:rFonts w:cs="Arial"/>
                <w:b/>
                <w:bCs/>
                <w:color w:val="FFFFFF" w:themeColor="background1"/>
                <w:szCs w:val="20"/>
              </w:rPr>
              <w:t>(LQ1O</w:t>
            </w:r>
            <w:r w:rsidR="0042020F" w:rsidRPr="00FE69BE">
              <w:rPr>
                <w:rFonts w:cs="Arial"/>
                <w:b/>
                <w:bCs/>
                <w:color w:val="FFFFFF" w:themeColor="background1"/>
                <w:szCs w:val="20"/>
              </w:rPr>
              <w:t>9</w:t>
            </w:r>
            <w:r w:rsidRPr="00FE69BE">
              <w:rPr>
                <w:rFonts w:cs="Arial"/>
                <w:b/>
                <w:bCs/>
                <w:color w:val="FFFFFF" w:themeColor="background1"/>
                <w:szCs w:val="20"/>
              </w:rPr>
              <w:t>)</w:t>
            </w:r>
          </w:p>
        </w:tc>
      </w:tr>
      <w:tr w:rsidR="007F7848" w:rsidRPr="0003343D" w14:paraId="5502A505" w14:textId="77777777" w:rsidTr="00876E87">
        <w:trPr>
          <w:trHeight w:val="300"/>
        </w:trPr>
        <w:tc>
          <w:tcPr>
            <w:tcW w:w="2300" w:type="dxa"/>
            <w:shd w:val="clear" w:color="auto" w:fill="auto"/>
            <w:noWrap/>
            <w:vAlign w:val="center"/>
            <w:hideMark/>
          </w:tcPr>
          <w:p w14:paraId="1EF5A4B0" w14:textId="283C886A" w:rsidR="007F7848" w:rsidRPr="0003343D" w:rsidRDefault="007F7848" w:rsidP="00016831">
            <w:pPr>
              <w:spacing w:after="0" w:line="240" w:lineRule="auto"/>
              <w:rPr>
                <w:rFonts w:cs="Arial"/>
                <w:color w:val="000000"/>
                <w:szCs w:val="20"/>
              </w:rPr>
            </w:pPr>
            <w:r w:rsidRPr="0003343D">
              <w:rPr>
                <w:rFonts w:cs="Arial"/>
                <w:color w:val="000000"/>
                <w:szCs w:val="20"/>
                <w:lang w:eastAsia="en-US"/>
              </w:rPr>
              <w:t xml:space="preserve">1 </w:t>
            </w:r>
            <w:r w:rsidR="00A45903">
              <w:t xml:space="preserve">HCIS 0 </w:t>
            </w:r>
            <w:r w:rsidRPr="0003343D">
              <w:rPr>
                <w:rFonts w:cs="Arial"/>
                <w:color w:val="000000"/>
                <w:szCs w:val="20"/>
                <w:lang w:eastAsia="en-US"/>
              </w:rPr>
              <w:t>cell</w:t>
            </w:r>
          </w:p>
        </w:tc>
        <w:tc>
          <w:tcPr>
            <w:tcW w:w="1740" w:type="dxa"/>
            <w:shd w:val="clear" w:color="auto" w:fill="auto"/>
            <w:vAlign w:val="center"/>
            <w:hideMark/>
          </w:tcPr>
          <w:p w14:paraId="50BBC695" w14:textId="2342372B" w:rsidR="007F7848" w:rsidRPr="0003343D" w:rsidRDefault="007F7848" w:rsidP="00016831">
            <w:pPr>
              <w:spacing w:after="0" w:line="240" w:lineRule="auto"/>
              <w:jc w:val="center"/>
              <w:rPr>
                <w:rFonts w:cs="Arial"/>
                <w:color w:val="000000"/>
                <w:szCs w:val="20"/>
              </w:rPr>
            </w:pPr>
            <w:r>
              <w:rPr>
                <w:rFonts w:cs="Arial"/>
                <w:color w:val="000000"/>
                <w:szCs w:val="20"/>
              </w:rPr>
              <w:t>$</w:t>
            </w:r>
            <w:r w:rsidR="00E874E6">
              <w:rPr>
                <w:rFonts w:cs="Arial"/>
                <w:color w:val="000000"/>
                <w:szCs w:val="20"/>
              </w:rPr>
              <w:t>610</w:t>
            </w:r>
          </w:p>
        </w:tc>
        <w:tc>
          <w:tcPr>
            <w:tcW w:w="1620" w:type="dxa"/>
            <w:shd w:val="clear" w:color="auto" w:fill="auto"/>
            <w:vAlign w:val="center"/>
            <w:hideMark/>
          </w:tcPr>
          <w:p w14:paraId="4EBE2961" w14:textId="184E3AB5" w:rsidR="007F7848" w:rsidRPr="0003343D" w:rsidRDefault="007F7848" w:rsidP="00016831">
            <w:pPr>
              <w:spacing w:after="0" w:line="240" w:lineRule="auto"/>
              <w:jc w:val="center"/>
              <w:rPr>
                <w:rFonts w:cs="Arial"/>
                <w:color w:val="000000"/>
                <w:szCs w:val="20"/>
              </w:rPr>
            </w:pPr>
            <w:r w:rsidRPr="0003343D">
              <w:rPr>
                <w:rFonts w:cs="Arial"/>
                <w:color w:val="000000"/>
                <w:szCs w:val="20"/>
              </w:rPr>
              <w:t>$41</w:t>
            </w:r>
            <w:r>
              <w:rPr>
                <w:rFonts w:cs="Arial"/>
                <w:color w:val="000000"/>
                <w:szCs w:val="20"/>
              </w:rPr>
              <w:t>*</w:t>
            </w:r>
          </w:p>
        </w:tc>
        <w:tc>
          <w:tcPr>
            <w:tcW w:w="1560" w:type="dxa"/>
            <w:shd w:val="clear" w:color="auto" w:fill="auto"/>
            <w:vAlign w:val="center"/>
            <w:hideMark/>
          </w:tcPr>
          <w:p w14:paraId="7046539D" w14:textId="14BDD934" w:rsidR="007F7848" w:rsidRPr="0003343D" w:rsidRDefault="007F7848" w:rsidP="00016831">
            <w:pPr>
              <w:spacing w:after="0" w:line="240" w:lineRule="auto"/>
              <w:jc w:val="center"/>
              <w:rPr>
                <w:rFonts w:cs="Arial"/>
                <w:color w:val="000000"/>
                <w:szCs w:val="20"/>
              </w:rPr>
            </w:pPr>
            <w:r w:rsidRPr="0003343D">
              <w:rPr>
                <w:rFonts w:cs="Arial"/>
                <w:color w:val="000000"/>
                <w:szCs w:val="20"/>
              </w:rPr>
              <w:t>$</w:t>
            </w:r>
            <w:r w:rsidR="00D725B2">
              <w:rPr>
                <w:rFonts w:cs="Arial"/>
                <w:color w:val="000000"/>
                <w:szCs w:val="20"/>
              </w:rPr>
              <w:t>75</w:t>
            </w:r>
          </w:p>
        </w:tc>
      </w:tr>
      <w:tr w:rsidR="007F7848" w:rsidRPr="0003343D" w14:paraId="2A1FE9FD" w14:textId="77777777" w:rsidTr="00876E87">
        <w:trPr>
          <w:trHeight w:val="300"/>
        </w:trPr>
        <w:tc>
          <w:tcPr>
            <w:tcW w:w="2300" w:type="dxa"/>
            <w:shd w:val="clear" w:color="auto" w:fill="F2F2F2" w:themeFill="background1" w:themeFillShade="F2"/>
            <w:noWrap/>
            <w:vAlign w:val="center"/>
            <w:hideMark/>
          </w:tcPr>
          <w:p w14:paraId="61819BBD" w14:textId="354A1FDA" w:rsidR="007F7848" w:rsidRPr="0003343D" w:rsidRDefault="007F7848" w:rsidP="00016831">
            <w:pPr>
              <w:spacing w:after="0" w:line="240" w:lineRule="auto"/>
              <w:rPr>
                <w:rFonts w:cs="Arial"/>
                <w:color w:val="000000"/>
                <w:szCs w:val="20"/>
              </w:rPr>
            </w:pPr>
            <w:r w:rsidRPr="0003343D">
              <w:rPr>
                <w:rFonts w:cs="Arial"/>
                <w:color w:val="000000"/>
                <w:szCs w:val="20"/>
                <w:lang w:eastAsia="en-US"/>
              </w:rPr>
              <w:t xml:space="preserve">4 </w:t>
            </w:r>
            <w:r w:rsidR="00A45903">
              <w:rPr>
                <w:rFonts w:cs="Arial"/>
                <w:color w:val="000000"/>
                <w:szCs w:val="20"/>
                <w:lang w:eastAsia="en-US"/>
              </w:rPr>
              <w:t xml:space="preserve">HCIS 0 </w:t>
            </w:r>
            <w:r w:rsidRPr="0003343D">
              <w:rPr>
                <w:rFonts w:cs="Arial"/>
                <w:color w:val="000000"/>
                <w:szCs w:val="20"/>
                <w:lang w:eastAsia="en-US"/>
              </w:rPr>
              <w:t>cells</w:t>
            </w:r>
          </w:p>
        </w:tc>
        <w:tc>
          <w:tcPr>
            <w:tcW w:w="1740" w:type="dxa"/>
            <w:shd w:val="clear" w:color="auto" w:fill="F2F2F2" w:themeFill="background1" w:themeFillShade="F2"/>
            <w:vAlign w:val="center"/>
            <w:hideMark/>
          </w:tcPr>
          <w:p w14:paraId="44408338" w14:textId="76AC2807" w:rsidR="007F7848" w:rsidRPr="0003343D" w:rsidRDefault="00291389" w:rsidP="00016831">
            <w:pPr>
              <w:spacing w:after="0" w:line="240" w:lineRule="auto"/>
              <w:jc w:val="center"/>
              <w:rPr>
                <w:rFonts w:cs="Arial"/>
                <w:color w:val="000000"/>
                <w:szCs w:val="20"/>
              </w:rPr>
            </w:pPr>
            <w:r>
              <w:rPr>
                <w:rFonts w:cs="Arial"/>
                <w:color w:val="000000"/>
                <w:szCs w:val="20"/>
              </w:rPr>
              <w:t>$2,441</w:t>
            </w:r>
          </w:p>
        </w:tc>
        <w:tc>
          <w:tcPr>
            <w:tcW w:w="1620" w:type="dxa"/>
            <w:shd w:val="clear" w:color="auto" w:fill="F2F2F2" w:themeFill="background1" w:themeFillShade="F2"/>
            <w:vAlign w:val="center"/>
            <w:hideMark/>
          </w:tcPr>
          <w:p w14:paraId="79F6C1D9" w14:textId="60A884FC" w:rsidR="007F7848" w:rsidRPr="0003343D" w:rsidRDefault="007F7848" w:rsidP="00016831">
            <w:pPr>
              <w:spacing w:after="0" w:line="240" w:lineRule="auto"/>
              <w:jc w:val="center"/>
              <w:rPr>
                <w:rFonts w:cs="Arial"/>
                <w:color w:val="000000"/>
                <w:szCs w:val="20"/>
              </w:rPr>
            </w:pPr>
            <w:r w:rsidRPr="0003343D">
              <w:rPr>
                <w:rFonts w:cs="Arial"/>
                <w:color w:val="000000"/>
                <w:szCs w:val="20"/>
              </w:rPr>
              <w:t>$</w:t>
            </w:r>
            <w:r w:rsidR="00553357">
              <w:rPr>
                <w:rFonts w:cs="Arial"/>
                <w:color w:val="000000"/>
                <w:szCs w:val="20"/>
              </w:rPr>
              <w:t>52</w:t>
            </w:r>
          </w:p>
        </w:tc>
        <w:tc>
          <w:tcPr>
            <w:tcW w:w="1560" w:type="dxa"/>
            <w:shd w:val="clear" w:color="auto" w:fill="F2F2F2" w:themeFill="background1" w:themeFillShade="F2"/>
            <w:vAlign w:val="center"/>
            <w:hideMark/>
          </w:tcPr>
          <w:p w14:paraId="0A779F1E" w14:textId="52425D7B" w:rsidR="007F7848" w:rsidRPr="0003343D" w:rsidRDefault="007F7848" w:rsidP="00016831">
            <w:pPr>
              <w:spacing w:after="0" w:line="240" w:lineRule="auto"/>
              <w:jc w:val="center"/>
              <w:rPr>
                <w:rFonts w:cs="Arial"/>
                <w:color w:val="000000"/>
                <w:szCs w:val="20"/>
              </w:rPr>
            </w:pPr>
            <w:r w:rsidRPr="0003343D">
              <w:rPr>
                <w:rFonts w:cs="Arial"/>
                <w:color w:val="000000"/>
                <w:szCs w:val="20"/>
              </w:rPr>
              <w:t>$</w:t>
            </w:r>
            <w:r w:rsidR="005A6219">
              <w:rPr>
                <w:rFonts w:cs="Arial"/>
                <w:color w:val="000000"/>
                <w:szCs w:val="20"/>
              </w:rPr>
              <w:t>300</w:t>
            </w:r>
          </w:p>
        </w:tc>
      </w:tr>
      <w:tr w:rsidR="007F7848" w:rsidRPr="0003343D" w14:paraId="7FACE519" w14:textId="77777777" w:rsidTr="00876E87">
        <w:trPr>
          <w:trHeight w:val="300"/>
        </w:trPr>
        <w:tc>
          <w:tcPr>
            <w:tcW w:w="2300" w:type="dxa"/>
            <w:shd w:val="clear" w:color="auto" w:fill="auto"/>
            <w:noWrap/>
            <w:vAlign w:val="center"/>
            <w:hideMark/>
          </w:tcPr>
          <w:p w14:paraId="25604935" w14:textId="374CF570" w:rsidR="007F7848" w:rsidRPr="0003343D" w:rsidRDefault="007F7848" w:rsidP="00016831">
            <w:pPr>
              <w:spacing w:after="0" w:line="240" w:lineRule="auto"/>
              <w:rPr>
                <w:rFonts w:cs="Arial"/>
                <w:color w:val="000000"/>
                <w:szCs w:val="20"/>
              </w:rPr>
            </w:pPr>
            <w:r w:rsidRPr="0003343D">
              <w:rPr>
                <w:rFonts w:cs="Arial"/>
                <w:color w:val="000000"/>
                <w:szCs w:val="20"/>
                <w:lang w:eastAsia="en-US"/>
              </w:rPr>
              <w:t>1 HCIS 1 block</w:t>
            </w:r>
            <w:r>
              <w:rPr>
                <w:rFonts w:cs="Arial"/>
                <w:color w:val="000000"/>
                <w:szCs w:val="20"/>
                <w:lang w:eastAsia="en-US"/>
              </w:rPr>
              <w:t xml:space="preserve"> (equivalent to 25 </w:t>
            </w:r>
            <w:r w:rsidR="00A45903">
              <w:rPr>
                <w:rFonts w:cs="Arial"/>
                <w:color w:val="000000"/>
                <w:szCs w:val="20"/>
                <w:lang w:eastAsia="en-US"/>
              </w:rPr>
              <w:t>HCIS</w:t>
            </w:r>
            <w:r w:rsidR="00EC57C2">
              <w:rPr>
                <w:rFonts w:cs="Arial"/>
                <w:color w:val="000000"/>
                <w:szCs w:val="20"/>
                <w:lang w:eastAsia="en-US"/>
              </w:rPr>
              <w:t> </w:t>
            </w:r>
            <w:r w:rsidR="00A45903">
              <w:rPr>
                <w:rFonts w:cs="Arial"/>
                <w:color w:val="000000"/>
                <w:szCs w:val="20"/>
                <w:lang w:eastAsia="en-US"/>
              </w:rPr>
              <w:t xml:space="preserve">0 </w:t>
            </w:r>
            <w:r>
              <w:rPr>
                <w:rFonts w:cs="Arial"/>
                <w:color w:val="000000"/>
                <w:szCs w:val="20"/>
                <w:lang w:eastAsia="en-US"/>
              </w:rPr>
              <w:t>cells)</w:t>
            </w:r>
          </w:p>
        </w:tc>
        <w:tc>
          <w:tcPr>
            <w:tcW w:w="1740" w:type="dxa"/>
            <w:shd w:val="clear" w:color="auto" w:fill="auto"/>
            <w:vAlign w:val="center"/>
            <w:hideMark/>
          </w:tcPr>
          <w:p w14:paraId="79E535DD" w14:textId="4708FB3A" w:rsidR="007F7848" w:rsidRPr="0003343D" w:rsidRDefault="00291389" w:rsidP="00016831">
            <w:pPr>
              <w:spacing w:after="0" w:line="240" w:lineRule="auto"/>
              <w:jc w:val="center"/>
              <w:rPr>
                <w:rFonts w:cs="Arial"/>
                <w:color w:val="000000"/>
                <w:szCs w:val="20"/>
              </w:rPr>
            </w:pPr>
            <w:r>
              <w:rPr>
                <w:rFonts w:cs="Arial"/>
                <w:color w:val="000000"/>
                <w:szCs w:val="20"/>
              </w:rPr>
              <w:t>$15,255</w:t>
            </w:r>
          </w:p>
        </w:tc>
        <w:tc>
          <w:tcPr>
            <w:tcW w:w="1620" w:type="dxa"/>
            <w:shd w:val="clear" w:color="auto" w:fill="auto"/>
            <w:vAlign w:val="center"/>
            <w:hideMark/>
          </w:tcPr>
          <w:p w14:paraId="695067A7" w14:textId="1D9E8AC5" w:rsidR="007F7848" w:rsidRPr="0003343D" w:rsidRDefault="007F7848" w:rsidP="00016831">
            <w:pPr>
              <w:spacing w:after="0" w:line="240" w:lineRule="auto"/>
              <w:jc w:val="center"/>
              <w:rPr>
                <w:rFonts w:cs="Arial"/>
                <w:color w:val="000000"/>
                <w:szCs w:val="20"/>
              </w:rPr>
            </w:pPr>
            <w:r w:rsidRPr="0003343D">
              <w:rPr>
                <w:rFonts w:cs="Arial"/>
                <w:color w:val="000000"/>
                <w:szCs w:val="20"/>
              </w:rPr>
              <w:t>$</w:t>
            </w:r>
            <w:r w:rsidR="00F4636C">
              <w:rPr>
                <w:rFonts w:cs="Arial"/>
                <w:color w:val="000000"/>
                <w:szCs w:val="20"/>
              </w:rPr>
              <w:t>325</w:t>
            </w:r>
          </w:p>
        </w:tc>
        <w:tc>
          <w:tcPr>
            <w:tcW w:w="1560" w:type="dxa"/>
            <w:shd w:val="clear" w:color="auto" w:fill="auto"/>
            <w:vAlign w:val="center"/>
            <w:hideMark/>
          </w:tcPr>
          <w:p w14:paraId="4CA561FC" w14:textId="13B83EEC" w:rsidR="007F7848" w:rsidRPr="0003343D" w:rsidRDefault="00291389" w:rsidP="00016831">
            <w:pPr>
              <w:spacing w:after="0" w:line="240" w:lineRule="auto"/>
              <w:jc w:val="center"/>
              <w:rPr>
                <w:rFonts w:cs="Arial"/>
                <w:color w:val="000000"/>
                <w:szCs w:val="20"/>
              </w:rPr>
            </w:pPr>
            <w:r>
              <w:rPr>
                <w:rFonts w:cs="Arial"/>
                <w:color w:val="000000"/>
                <w:szCs w:val="20"/>
              </w:rPr>
              <w:t>$</w:t>
            </w:r>
            <w:r w:rsidR="001221FB">
              <w:rPr>
                <w:rFonts w:cs="Arial"/>
                <w:color w:val="000000"/>
                <w:szCs w:val="20"/>
              </w:rPr>
              <w:t>1,</w:t>
            </w:r>
            <w:r w:rsidR="00B13E8E">
              <w:rPr>
                <w:rFonts w:cs="Arial"/>
                <w:color w:val="000000"/>
                <w:szCs w:val="20"/>
              </w:rPr>
              <w:t>877</w:t>
            </w:r>
          </w:p>
        </w:tc>
      </w:tr>
      <w:tr w:rsidR="007F7848" w:rsidRPr="0003343D" w14:paraId="0778867C" w14:textId="77777777" w:rsidTr="00876E87">
        <w:trPr>
          <w:trHeight w:val="300"/>
        </w:trPr>
        <w:tc>
          <w:tcPr>
            <w:tcW w:w="2300" w:type="dxa"/>
            <w:shd w:val="clear" w:color="auto" w:fill="F2F2F2" w:themeFill="background1" w:themeFillShade="F2"/>
            <w:noWrap/>
            <w:vAlign w:val="center"/>
            <w:hideMark/>
          </w:tcPr>
          <w:p w14:paraId="26DDE725" w14:textId="0752CB19" w:rsidR="007F7848" w:rsidRPr="0003343D" w:rsidRDefault="007F7848" w:rsidP="00016831">
            <w:pPr>
              <w:spacing w:after="0" w:line="240" w:lineRule="auto"/>
              <w:rPr>
                <w:rFonts w:cs="Arial"/>
                <w:color w:val="000000"/>
                <w:szCs w:val="20"/>
              </w:rPr>
            </w:pPr>
            <w:r w:rsidRPr="0003343D">
              <w:rPr>
                <w:rFonts w:cs="Arial"/>
                <w:color w:val="000000"/>
                <w:szCs w:val="20"/>
                <w:lang w:eastAsia="en-US"/>
              </w:rPr>
              <w:t>1 HCIS 2 block</w:t>
            </w:r>
          </w:p>
        </w:tc>
        <w:tc>
          <w:tcPr>
            <w:tcW w:w="1740" w:type="dxa"/>
            <w:shd w:val="clear" w:color="auto" w:fill="F2F2F2" w:themeFill="background1" w:themeFillShade="F2"/>
            <w:vAlign w:val="center"/>
            <w:hideMark/>
          </w:tcPr>
          <w:p w14:paraId="29F9420C" w14:textId="19F8F349" w:rsidR="007F7848" w:rsidRPr="0003343D" w:rsidRDefault="00CB2E60" w:rsidP="00016831">
            <w:pPr>
              <w:spacing w:after="0" w:line="240" w:lineRule="auto"/>
              <w:jc w:val="center"/>
              <w:rPr>
                <w:rFonts w:cs="Arial"/>
                <w:color w:val="000000"/>
                <w:szCs w:val="20"/>
              </w:rPr>
            </w:pPr>
            <w:r w:rsidRPr="002D1345">
              <w:rPr>
                <w:rFonts w:cs="Arial"/>
                <w:szCs w:val="20"/>
              </w:rPr>
              <w:t>$8</w:t>
            </w:r>
            <w:r>
              <w:rPr>
                <w:rFonts w:cs="Arial"/>
                <w:szCs w:val="20"/>
              </w:rPr>
              <w:t>7,074</w:t>
            </w:r>
          </w:p>
        </w:tc>
        <w:tc>
          <w:tcPr>
            <w:tcW w:w="1620" w:type="dxa"/>
            <w:shd w:val="clear" w:color="auto" w:fill="F2F2F2" w:themeFill="background1" w:themeFillShade="F2"/>
            <w:vAlign w:val="center"/>
            <w:hideMark/>
          </w:tcPr>
          <w:p w14:paraId="5A678466" w14:textId="63D1C162" w:rsidR="007F7848" w:rsidRPr="0003343D" w:rsidRDefault="005852F0" w:rsidP="00016831">
            <w:pPr>
              <w:spacing w:after="0" w:line="240" w:lineRule="auto"/>
              <w:jc w:val="center"/>
              <w:rPr>
                <w:rFonts w:cs="Arial"/>
                <w:color w:val="000000"/>
                <w:szCs w:val="20"/>
              </w:rPr>
            </w:pPr>
            <w:r>
              <w:rPr>
                <w:rFonts w:cs="Arial"/>
                <w:szCs w:val="20"/>
              </w:rPr>
              <w:t>$</w:t>
            </w:r>
            <w:r w:rsidRPr="00774339">
              <w:rPr>
                <w:rFonts w:cs="Arial"/>
                <w:szCs w:val="20"/>
              </w:rPr>
              <w:t>937</w:t>
            </w:r>
          </w:p>
        </w:tc>
        <w:tc>
          <w:tcPr>
            <w:tcW w:w="1560" w:type="dxa"/>
            <w:shd w:val="clear" w:color="auto" w:fill="F2F2F2" w:themeFill="background1" w:themeFillShade="F2"/>
            <w:vAlign w:val="center"/>
            <w:hideMark/>
          </w:tcPr>
          <w:p w14:paraId="504F262E" w14:textId="6D19CE05" w:rsidR="007F7848" w:rsidRPr="0003343D" w:rsidRDefault="00CB2E60" w:rsidP="00016831">
            <w:pPr>
              <w:spacing w:after="0" w:line="240" w:lineRule="auto"/>
              <w:jc w:val="center"/>
              <w:rPr>
                <w:rFonts w:cs="Arial"/>
                <w:color w:val="000000"/>
                <w:szCs w:val="20"/>
              </w:rPr>
            </w:pPr>
            <w:r w:rsidRPr="002D1345">
              <w:rPr>
                <w:rFonts w:cs="Arial"/>
                <w:szCs w:val="20"/>
              </w:rPr>
              <w:t>$4,</w:t>
            </w:r>
            <w:r>
              <w:rPr>
                <w:rFonts w:cs="Arial"/>
                <w:szCs w:val="20"/>
              </w:rPr>
              <w:t>692</w:t>
            </w:r>
          </w:p>
        </w:tc>
      </w:tr>
      <w:tr w:rsidR="003C7F1B" w:rsidRPr="0003343D" w14:paraId="2F6D7486" w14:textId="77777777" w:rsidTr="00FE69BE">
        <w:trPr>
          <w:trHeight w:val="300"/>
        </w:trPr>
        <w:tc>
          <w:tcPr>
            <w:tcW w:w="2300" w:type="dxa"/>
            <w:shd w:val="clear" w:color="auto" w:fill="FFFFFF" w:themeFill="background1"/>
            <w:noWrap/>
            <w:vAlign w:val="center"/>
          </w:tcPr>
          <w:p w14:paraId="1D0D7AD5" w14:textId="79E1183D" w:rsidR="003C7F1B" w:rsidRPr="0003343D" w:rsidRDefault="003C7F1B" w:rsidP="00016831">
            <w:pPr>
              <w:spacing w:after="0" w:line="240" w:lineRule="auto"/>
              <w:rPr>
                <w:rFonts w:cs="Arial"/>
                <w:color w:val="000000"/>
                <w:szCs w:val="20"/>
                <w:lang w:eastAsia="en-US"/>
              </w:rPr>
            </w:pPr>
            <w:r>
              <w:rPr>
                <w:rFonts w:cs="Arial"/>
                <w:color w:val="000000"/>
                <w:szCs w:val="20"/>
                <w:lang w:eastAsia="en-US"/>
              </w:rPr>
              <w:t>1</w:t>
            </w:r>
            <w:r w:rsidR="00C105A4" w:rsidRPr="0003343D">
              <w:rPr>
                <w:rFonts w:cs="Arial"/>
                <w:color w:val="000000"/>
                <w:szCs w:val="20"/>
                <w:lang w:eastAsia="en-US"/>
              </w:rPr>
              <w:t xml:space="preserve"> HCIS </w:t>
            </w:r>
            <w:r w:rsidR="003D6D6A">
              <w:rPr>
                <w:rFonts w:cs="Arial"/>
                <w:color w:val="000000"/>
                <w:szCs w:val="20"/>
                <w:lang w:eastAsia="en-US"/>
              </w:rPr>
              <w:t>3</w:t>
            </w:r>
            <w:r w:rsidR="00C105A4" w:rsidRPr="0003343D">
              <w:rPr>
                <w:rFonts w:cs="Arial"/>
                <w:color w:val="000000"/>
                <w:szCs w:val="20"/>
                <w:lang w:eastAsia="en-US"/>
              </w:rPr>
              <w:t xml:space="preserve"> block</w:t>
            </w:r>
          </w:p>
        </w:tc>
        <w:tc>
          <w:tcPr>
            <w:tcW w:w="1740" w:type="dxa"/>
            <w:shd w:val="clear" w:color="auto" w:fill="FFFFFF" w:themeFill="background1"/>
            <w:vAlign w:val="center"/>
          </w:tcPr>
          <w:p w14:paraId="292E0D2E" w14:textId="79BBB7DA" w:rsidR="003C7F1B" w:rsidRPr="0003343D" w:rsidRDefault="00572D90" w:rsidP="00016831">
            <w:pPr>
              <w:spacing w:after="0" w:line="240" w:lineRule="auto"/>
              <w:jc w:val="center"/>
              <w:rPr>
                <w:rFonts w:cs="Arial"/>
                <w:color w:val="000000"/>
                <w:szCs w:val="20"/>
              </w:rPr>
            </w:pPr>
            <w:r w:rsidRPr="002D1345">
              <w:rPr>
                <w:rFonts w:cs="Arial"/>
                <w:szCs w:val="20"/>
              </w:rPr>
              <w:t>$12</w:t>
            </w:r>
            <w:r>
              <w:rPr>
                <w:rFonts w:cs="Arial"/>
                <w:szCs w:val="20"/>
              </w:rPr>
              <w:t>9</w:t>
            </w:r>
            <w:r w:rsidRPr="002D1345">
              <w:rPr>
                <w:rFonts w:cs="Arial"/>
                <w:szCs w:val="20"/>
              </w:rPr>
              <w:t>,</w:t>
            </w:r>
            <w:r>
              <w:rPr>
                <w:rFonts w:cs="Arial"/>
                <w:szCs w:val="20"/>
              </w:rPr>
              <w:t>294</w:t>
            </w:r>
          </w:p>
        </w:tc>
        <w:tc>
          <w:tcPr>
            <w:tcW w:w="1620" w:type="dxa"/>
            <w:shd w:val="clear" w:color="auto" w:fill="FFFFFF" w:themeFill="background1"/>
            <w:vAlign w:val="center"/>
          </w:tcPr>
          <w:p w14:paraId="66BC6258" w14:textId="54C46F26" w:rsidR="003C7F1B" w:rsidRPr="0003343D" w:rsidRDefault="00A960BB" w:rsidP="00016831">
            <w:pPr>
              <w:spacing w:after="0" w:line="240" w:lineRule="auto"/>
              <w:jc w:val="center"/>
              <w:rPr>
                <w:rFonts w:cs="Arial"/>
                <w:color w:val="000000"/>
                <w:szCs w:val="20"/>
                <w:lang w:eastAsia="en-US"/>
              </w:rPr>
            </w:pPr>
            <w:r w:rsidRPr="00A960BB">
              <w:rPr>
                <w:rFonts w:cs="Arial"/>
                <w:color w:val="000000"/>
                <w:szCs w:val="20"/>
                <w:lang w:eastAsia="en-US"/>
              </w:rPr>
              <w:t>$44,573</w:t>
            </w:r>
          </w:p>
        </w:tc>
        <w:tc>
          <w:tcPr>
            <w:tcW w:w="1560" w:type="dxa"/>
            <w:shd w:val="clear" w:color="auto" w:fill="FFFFFF" w:themeFill="background1"/>
            <w:vAlign w:val="center"/>
          </w:tcPr>
          <w:p w14:paraId="6415B27E" w14:textId="239F6B99" w:rsidR="003C7F1B" w:rsidRPr="0003343D" w:rsidRDefault="00FA3E0D" w:rsidP="00016831">
            <w:pPr>
              <w:spacing w:after="0" w:line="240" w:lineRule="auto"/>
              <w:jc w:val="center"/>
              <w:rPr>
                <w:rFonts w:cs="Arial"/>
                <w:color w:val="000000"/>
                <w:szCs w:val="20"/>
              </w:rPr>
            </w:pPr>
            <w:r w:rsidRPr="002D1345">
              <w:rPr>
                <w:rFonts w:cs="Arial"/>
                <w:szCs w:val="20"/>
              </w:rPr>
              <w:t>$6,</w:t>
            </w:r>
            <w:r>
              <w:rPr>
                <w:rFonts w:cs="Arial"/>
                <w:szCs w:val="20"/>
              </w:rPr>
              <w:t>541</w:t>
            </w:r>
          </w:p>
        </w:tc>
      </w:tr>
      <w:tr w:rsidR="003C7F1B" w:rsidRPr="0003343D" w14:paraId="57D240E2" w14:textId="77777777" w:rsidTr="00876E87">
        <w:trPr>
          <w:trHeight w:val="300"/>
        </w:trPr>
        <w:tc>
          <w:tcPr>
            <w:tcW w:w="2300" w:type="dxa"/>
            <w:shd w:val="clear" w:color="auto" w:fill="F2F2F2" w:themeFill="background1" w:themeFillShade="F2"/>
            <w:noWrap/>
            <w:vAlign w:val="center"/>
          </w:tcPr>
          <w:p w14:paraId="71F6713A" w14:textId="3ECB5C64" w:rsidR="003C7F1B" w:rsidRPr="0003343D" w:rsidRDefault="003D6D6A" w:rsidP="00016831">
            <w:pPr>
              <w:spacing w:after="0" w:line="240" w:lineRule="auto"/>
              <w:rPr>
                <w:rFonts w:cs="Arial"/>
                <w:color w:val="000000"/>
                <w:szCs w:val="20"/>
                <w:lang w:eastAsia="en-US"/>
              </w:rPr>
            </w:pPr>
            <w:r>
              <w:rPr>
                <w:rFonts w:cs="Arial"/>
                <w:color w:val="000000"/>
                <w:szCs w:val="20"/>
                <w:lang w:eastAsia="en-US"/>
              </w:rPr>
              <w:t xml:space="preserve">1 </w:t>
            </w:r>
            <w:r w:rsidRPr="0003343D">
              <w:rPr>
                <w:rFonts w:cs="Arial"/>
                <w:color w:val="000000"/>
                <w:szCs w:val="20"/>
                <w:lang w:eastAsia="en-US"/>
              </w:rPr>
              <w:t xml:space="preserve">HCIS </w:t>
            </w:r>
            <w:r>
              <w:rPr>
                <w:rFonts w:cs="Arial"/>
                <w:color w:val="000000"/>
                <w:szCs w:val="20"/>
                <w:lang w:eastAsia="en-US"/>
              </w:rPr>
              <w:t>4</w:t>
            </w:r>
            <w:r w:rsidRPr="0003343D">
              <w:rPr>
                <w:rFonts w:cs="Arial"/>
                <w:color w:val="000000"/>
                <w:szCs w:val="20"/>
                <w:lang w:eastAsia="en-US"/>
              </w:rPr>
              <w:t xml:space="preserve"> block</w:t>
            </w:r>
            <w:r>
              <w:rPr>
                <w:rFonts w:cs="Arial"/>
                <w:color w:val="000000"/>
                <w:szCs w:val="20"/>
                <w:lang w:eastAsia="en-US"/>
              </w:rPr>
              <w:t>**</w:t>
            </w:r>
          </w:p>
        </w:tc>
        <w:tc>
          <w:tcPr>
            <w:tcW w:w="1740" w:type="dxa"/>
            <w:shd w:val="clear" w:color="auto" w:fill="F2F2F2" w:themeFill="background1" w:themeFillShade="F2"/>
            <w:vAlign w:val="center"/>
          </w:tcPr>
          <w:p w14:paraId="1662ABC5" w14:textId="098C9264" w:rsidR="003C7F1B" w:rsidRPr="0003343D" w:rsidRDefault="00DA7D14" w:rsidP="00016831">
            <w:pPr>
              <w:spacing w:after="0" w:line="240" w:lineRule="auto"/>
              <w:jc w:val="center"/>
              <w:rPr>
                <w:rFonts w:cs="Arial"/>
                <w:color w:val="000000"/>
                <w:szCs w:val="20"/>
              </w:rPr>
            </w:pPr>
            <w:r>
              <w:rPr>
                <w:rFonts w:cs="Arial"/>
                <w:szCs w:val="20"/>
              </w:rPr>
              <w:t>$160,421</w:t>
            </w:r>
          </w:p>
        </w:tc>
        <w:tc>
          <w:tcPr>
            <w:tcW w:w="1620" w:type="dxa"/>
            <w:shd w:val="clear" w:color="auto" w:fill="F2F2F2" w:themeFill="background1" w:themeFillShade="F2"/>
            <w:vAlign w:val="center"/>
          </w:tcPr>
          <w:p w14:paraId="6264550B" w14:textId="7FD00C37" w:rsidR="003C7F1B" w:rsidRPr="0003343D" w:rsidRDefault="00EF40CE" w:rsidP="00016831">
            <w:pPr>
              <w:spacing w:after="0" w:line="240" w:lineRule="auto"/>
              <w:jc w:val="center"/>
              <w:rPr>
                <w:rFonts w:cs="Arial"/>
                <w:color w:val="000000"/>
                <w:szCs w:val="20"/>
                <w:lang w:eastAsia="en-US"/>
              </w:rPr>
            </w:pPr>
            <w:r w:rsidRPr="00EF40CE">
              <w:rPr>
                <w:rFonts w:cs="Arial"/>
                <w:color w:val="000000"/>
                <w:szCs w:val="20"/>
                <w:lang w:eastAsia="en-US"/>
              </w:rPr>
              <w:t>$61,425</w:t>
            </w:r>
          </w:p>
        </w:tc>
        <w:tc>
          <w:tcPr>
            <w:tcW w:w="1560" w:type="dxa"/>
            <w:shd w:val="clear" w:color="auto" w:fill="F2F2F2" w:themeFill="background1" w:themeFillShade="F2"/>
            <w:vAlign w:val="center"/>
          </w:tcPr>
          <w:p w14:paraId="3E1F74D7" w14:textId="0A0F961A" w:rsidR="003C7F1B" w:rsidRPr="0003343D" w:rsidRDefault="00B8125E" w:rsidP="00016831">
            <w:pPr>
              <w:spacing w:after="0" w:line="240" w:lineRule="auto"/>
              <w:jc w:val="center"/>
              <w:rPr>
                <w:rFonts w:cs="Arial"/>
                <w:color w:val="000000"/>
                <w:szCs w:val="20"/>
              </w:rPr>
            </w:pPr>
            <w:r>
              <w:rPr>
                <w:rFonts w:cs="Arial"/>
                <w:szCs w:val="20"/>
              </w:rPr>
              <w:t>$11,172</w:t>
            </w:r>
          </w:p>
        </w:tc>
      </w:tr>
    </w:tbl>
    <w:p w14:paraId="2C4CA100" w14:textId="742C00FF" w:rsidR="007F7848" w:rsidRPr="005A2871" w:rsidRDefault="007F7848" w:rsidP="007F7848">
      <w:pPr>
        <w:pStyle w:val="Tableorfigurenote"/>
      </w:pPr>
      <w:r w:rsidRPr="005A2871">
        <w:t>*</w:t>
      </w:r>
      <w:r>
        <w:t xml:space="preserve"> </w:t>
      </w:r>
      <w:r w:rsidRPr="005A2871">
        <w:t xml:space="preserve">Tax amounts </w:t>
      </w:r>
      <w:r>
        <w:t xml:space="preserve">were lower than $41.37 minimum tax, causing the minimum tax to be applied (rounded to the nearest dollar). </w:t>
      </w:r>
    </w:p>
    <w:p w14:paraId="33F2A63B" w14:textId="694008BE" w:rsidR="001F252F" w:rsidRPr="005A2871" w:rsidRDefault="001F252F" w:rsidP="007F7848">
      <w:pPr>
        <w:pStyle w:val="Tableorfigurenote"/>
      </w:pPr>
      <w:r w:rsidRPr="001F252F">
        <w:t>** Where the population figure for a HCIS 4 cell was not available, the sum of the populations of all HCIS level 3 cells with the same prefix was used</w:t>
      </w:r>
    </w:p>
    <w:p w14:paraId="6D2A7F6F" w14:textId="734539C1" w:rsidR="007F7848" w:rsidRDefault="007F7848" w:rsidP="007F7848">
      <w:pPr>
        <w:pStyle w:val="Paragraph"/>
      </w:pPr>
      <w:r>
        <w:t xml:space="preserve">Population information for the HCIS system can be found on the </w:t>
      </w:r>
      <w:hyperlink r:id="rId52" w:history="1">
        <w:r w:rsidRPr="00211DB6">
          <w:rPr>
            <w:rStyle w:val="Hyperlink"/>
          </w:rPr>
          <w:t>ACMA website</w:t>
        </w:r>
      </w:hyperlink>
      <w:r>
        <w:t>.</w:t>
      </w:r>
    </w:p>
    <w:p w14:paraId="6C715ABE" w14:textId="2C52138F" w:rsidR="003F1BBE" w:rsidRDefault="007F7848" w:rsidP="00094811">
      <w:pPr>
        <w:pStyle w:val="Paragraph"/>
      </w:pPr>
      <w:r>
        <w:t xml:space="preserve">We have </w:t>
      </w:r>
      <w:r w:rsidR="006A3E0C">
        <w:t xml:space="preserve">also </w:t>
      </w:r>
      <w:r w:rsidRPr="007F3E41">
        <w:t xml:space="preserve">developed </w:t>
      </w:r>
      <w:r w:rsidRPr="0027750D">
        <w:t>a fee calculator</w:t>
      </w:r>
      <w:r>
        <w:t xml:space="preserve"> </w:t>
      </w:r>
      <w:r w:rsidR="00692A7B">
        <w:t xml:space="preserve">(available </w:t>
      </w:r>
      <w:r w:rsidR="00240AFF">
        <w:t>with</w:t>
      </w:r>
      <w:r w:rsidR="000C2A38">
        <w:t xml:space="preserve"> this consultation </w:t>
      </w:r>
      <w:r w:rsidR="00692A7B">
        <w:t xml:space="preserve">on the ACMA website) </w:t>
      </w:r>
      <w:r>
        <w:t xml:space="preserve">to help work out how much tax </w:t>
      </w:r>
      <w:r w:rsidR="00A06DF8">
        <w:t>would be paid</w:t>
      </w:r>
      <w:r w:rsidR="00E35549">
        <w:t xml:space="preserve"> under the proposed arrangements</w:t>
      </w:r>
      <w:r w:rsidR="00B778A3">
        <w:t xml:space="preserve"> </w:t>
      </w:r>
      <w:r>
        <w:t>for the combination of spectrum and geographic area wanted.</w:t>
      </w:r>
    </w:p>
    <w:p w14:paraId="63F07781" w14:textId="18D5F959" w:rsidR="00176581" w:rsidRPr="00DD2E69" w:rsidRDefault="00272889" w:rsidP="00DD2E69">
      <w:pPr>
        <w:pStyle w:val="Heading3"/>
      </w:pPr>
      <w:r w:rsidRPr="00DD2E69">
        <w:t xml:space="preserve">Proposed </w:t>
      </w:r>
      <w:r w:rsidR="00176581" w:rsidRPr="00DD2E69">
        <w:t>FSS Earth Receive</w:t>
      </w:r>
      <w:r w:rsidR="00214404" w:rsidRPr="00DD2E69">
        <w:t xml:space="preserve"> pricing arrangements in </w:t>
      </w:r>
      <w:r w:rsidR="00854BAE" w:rsidRPr="00DD2E69">
        <w:t xml:space="preserve">the </w:t>
      </w:r>
      <w:r w:rsidR="00214404" w:rsidRPr="00DD2E69">
        <w:t>4</w:t>
      </w:r>
      <w:r w:rsidR="00854BAE" w:rsidRPr="00DD2E69">
        <w:t>.0</w:t>
      </w:r>
      <w:r w:rsidR="00214404" w:rsidRPr="00DD2E69">
        <w:t xml:space="preserve"> to 4.2 GHz</w:t>
      </w:r>
      <w:r w:rsidR="00381C50" w:rsidRPr="00DD2E69">
        <w:t xml:space="preserve"> band</w:t>
      </w:r>
    </w:p>
    <w:p w14:paraId="02B538B8" w14:textId="00398D03" w:rsidR="004904D3" w:rsidRDefault="00AC019D" w:rsidP="00AC019D">
      <w:pPr>
        <w:spacing w:after="0" w:line="240" w:lineRule="auto"/>
      </w:pPr>
      <w:r w:rsidRPr="00AC019D">
        <w:t>Spectrum in the 4.0</w:t>
      </w:r>
      <w:r w:rsidR="00DD2E69">
        <w:t>–</w:t>
      </w:r>
      <w:r w:rsidRPr="00AC019D">
        <w:t xml:space="preserve">4.2 GHz range has been planned for FSS </w:t>
      </w:r>
      <w:r w:rsidR="00933DF1">
        <w:t>earth receive</w:t>
      </w:r>
      <w:r w:rsidR="00A910FB">
        <w:t xml:space="preserve"> stations</w:t>
      </w:r>
      <w:r w:rsidR="00A4566B">
        <w:t>. It is proposed that</w:t>
      </w:r>
      <w:r w:rsidRPr="00AC019D">
        <w:t xml:space="preserve"> users operating in </w:t>
      </w:r>
      <w:r w:rsidR="00D31224">
        <w:t>the 4</w:t>
      </w:r>
      <w:r w:rsidR="00025758">
        <w:t>.0</w:t>
      </w:r>
      <w:r w:rsidR="00D31224">
        <w:t xml:space="preserve"> to 4.2 GHz</w:t>
      </w:r>
      <w:r w:rsidRPr="00AC019D">
        <w:t xml:space="preserve"> frequency range can</w:t>
      </w:r>
      <w:r w:rsidR="009D5BF5">
        <w:t xml:space="preserve"> be issued</w:t>
      </w:r>
      <w:r w:rsidRPr="00AC019D">
        <w:t xml:space="preserve"> </w:t>
      </w:r>
      <w:r w:rsidR="0098637B">
        <w:t>space receive licences</w:t>
      </w:r>
      <w:r w:rsidR="0098637B" w:rsidRPr="00AC019D">
        <w:t xml:space="preserve"> </w:t>
      </w:r>
      <w:r w:rsidR="00C4433C">
        <w:t xml:space="preserve">or </w:t>
      </w:r>
      <w:r w:rsidR="0098637B" w:rsidRPr="00AC019D">
        <w:t xml:space="preserve">site-based </w:t>
      </w:r>
      <w:r w:rsidR="0098637B">
        <w:t>earth receive licences</w:t>
      </w:r>
      <w:r w:rsidR="00AA141A">
        <w:t xml:space="preserve"> </w:t>
      </w:r>
      <w:r w:rsidRPr="00AC019D">
        <w:t xml:space="preserve">priced at the minimum </w:t>
      </w:r>
      <w:r w:rsidR="00523AB5">
        <w:t xml:space="preserve">annual </w:t>
      </w:r>
      <w:r w:rsidRPr="00AC019D">
        <w:t>tax</w:t>
      </w:r>
      <w:r w:rsidR="00523AB5">
        <w:t xml:space="preserve"> (currently</w:t>
      </w:r>
      <w:r w:rsidRPr="00AC019D">
        <w:t xml:space="preserve"> $41.37</w:t>
      </w:r>
      <w:r w:rsidR="000D6D61">
        <w:t>)</w:t>
      </w:r>
      <w:r w:rsidRPr="00AC019D">
        <w:t xml:space="preserve">. </w:t>
      </w:r>
      <w:r w:rsidR="00D54F51" w:rsidRPr="00AC019D">
        <w:t xml:space="preserve">The proposed new tax is designed to provide an alternative to FSS </w:t>
      </w:r>
      <w:r w:rsidR="00D54F51">
        <w:t>earth receive</w:t>
      </w:r>
      <w:r w:rsidR="00D54F51" w:rsidRPr="00AC019D">
        <w:t xml:space="preserve"> </w:t>
      </w:r>
      <w:r w:rsidR="00D54F51">
        <w:t>operators</w:t>
      </w:r>
      <w:r w:rsidR="00D54F51" w:rsidRPr="00AC019D">
        <w:t xml:space="preserve"> in the 3.8 </w:t>
      </w:r>
      <w:r w:rsidR="00D54F51">
        <w:t>GHz band.</w:t>
      </w:r>
    </w:p>
    <w:p w14:paraId="4A6E2412" w14:textId="3FB0B108" w:rsidR="004904D3" w:rsidRDefault="004904D3" w:rsidP="002345E0">
      <w:pPr>
        <w:pStyle w:val="Heading2"/>
      </w:pPr>
      <w:bookmarkStart w:id="39" w:name="_Toc137808621"/>
      <w:r>
        <w:t xml:space="preserve">Proposed amendments to the </w:t>
      </w:r>
      <w:r w:rsidR="004C283B">
        <w:t>t</w:t>
      </w:r>
      <w:r w:rsidR="00CE0C67">
        <w:t xml:space="preserve">ax </w:t>
      </w:r>
      <w:r w:rsidR="004C283B">
        <w:t>d</w:t>
      </w:r>
      <w:r w:rsidR="003E7882">
        <w:t>eterminations</w:t>
      </w:r>
      <w:bookmarkEnd w:id="39"/>
    </w:p>
    <w:p w14:paraId="792F1ACF" w14:textId="40EE5AED" w:rsidR="003E7882" w:rsidRDefault="003E7882" w:rsidP="003E7882">
      <w:pPr>
        <w:pStyle w:val="Paragraph"/>
      </w:pPr>
      <w:r>
        <w:t xml:space="preserve">As the ACMA has just made amendments to the </w:t>
      </w:r>
      <w:hyperlink r:id="rId53" w:history="1">
        <w:r w:rsidRPr="00FE69BE">
          <w:rPr>
            <w:rStyle w:val="Hyperlink"/>
          </w:rPr>
          <w:t>Radiocommunications (Transmitter Licence Tax) Determination 2015</w:t>
        </w:r>
      </w:hyperlink>
      <w:r>
        <w:t xml:space="preserve"> (Transmitter Licence Tax Determination) to specify a tax rate for AWLs in the 3.4 to 4 GHz range no further amendment </w:t>
      </w:r>
      <w:r w:rsidR="002B1A63">
        <w:t>is required to the Transmitter Licence Tax Determination to</w:t>
      </w:r>
      <w:r w:rsidR="00172941">
        <w:t xml:space="preserve"> specify</w:t>
      </w:r>
      <w:r w:rsidR="00312512">
        <w:t xml:space="preserve"> the AWL tax rate</w:t>
      </w:r>
      <w:r w:rsidR="00ED6EEA">
        <w:t xml:space="preserve"> of $0.0041</w:t>
      </w:r>
      <w:r w:rsidR="00C674FF">
        <w:t>/M</w:t>
      </w:r>
      <w:r w:rsidR="005007D1">
        <w:t>Hz/</w:t>
      </w:r>
      <w:r w:rsidR="00C674FF">
        <w:t>pop</w:t>
      </w:r>
      <w:r>
        <w:t xml:space="preserve">. </w:t>
      </w:r>
    </w:p>
    <w:p w14:paraId="35B8ADD3" w14:textId="5726F706" w:rsidR="003E7882" w:rsidRDefault="00AB7760" w:rsidP="00811CD1">
      <w:pPr>
        <w:pStyle w:val="Paragraph"/>
      </w:pPr>
      <w:r>
        <w:t xml:space="preserve">However </w:t>
      </w:r>
      <w:r w:rsidRPr="00DD2E69">
        <w:t xml:space="preserve">the </w:t>
      </w:r>
      <w:hyperlink r:id="rId54" w:history="1">
        <w:r w:rsidR="00744593" w:rsidRPr="00FE69BE">
          <w:rPr>
            <w:rStyle w:val="Hyperlink"/>
          </w:rPr>
          <w:t>Radiocommunications (Receiver Licence Tax) Determination 2015</w:t>
        </w:r>
      </w:hyperlink>
      <w:r w:rsidR="00744593">
        <w:t xml:space="preserve"> </w:t>
      </w:r>
      <w:r w:rsidR="00054C93">
        <w:t>(the</w:t>
      </w:r>
      <w:r w:rsidR="002203AE">
        <w:t xml:space="preserve"> </w:t>
      </w:r>
      <w:r>
        <w:t>Receiver Licence Tax Determination</w:t>
      </w:r>
      <w:r w:rsidR="0080091B">
        <w:t>)</w:t>
      </w:r>
      <w:r>
        <w:t xml:space="preserve"> </w:t>
      </w:r>
      <w:r w:rsidR="00470178">
        <w:t>will need to be amend</w:t>
      </w:r>
      <w:r w:rsidR="00542B34">
        <w:t xml:space="preserve">ed to include the proposed </w:t>
      </w:r>
      <w:r w:rsidR="00203162">
        <w:t xml:space="preserve">AWL </w:t>
      </w:r>
      <w:r w:rsidR="00542B34">
        <w:t>tax rate</w:t>
      </w:r>
      <w:r w:rsidR="003E1C91">
        <w:t xml:space="preserve">, </w:t>
      </w:r>
      <w:r w:rsidR="0003714D">
        <w:t>as</w:t>
      </w:r>
      <w:r w:rsidR="005E1BCE">
        <w:t xml:space="preserve"> </w:t>
      </w:r>
      <w:r w:rsidR="003E1C91">
        <w:t xml:space="preserve">the rate </w:t>
      </w:r>
      <w:r w:rsidR="005E1BCE">
        <w:t xml:space="preserve">that </w:t>
      </w:r>
      <w:r w:rsidR="003E1C91">
        <w:t>will appl</w:t>
      </w:r>
      <w:r w:rsidR="009F062D">
        <w:t xml:space="preserve">y to the </w:t>
      </w:r>
      <w:r w:rsidR="00563FA1">
        <w:t>3.75 to 4 GHz frequency range</w:t>
      </w:r>
      <w:r w:rsidR="00363362">
        <w:t xml:space="preserve">. </w:t>
      </w:r>
      <w:r w:rsidR="00440372">
        <w:t xml:space="preserve">Part 4 of </w:t>
      </w:r>
      <w:r w:rsidR="005D4D06">
        <w:t>the Receiver Licence Tax Determination</w:t>
      </w:r>
      <w:r w:rsidR="00363362">
        <w:t xml:space="preserve"> will also need to </w:t>
      </w:r>
      <w:r w:rsidR="00FC089F">
        <w:t xml:space="preserve">be </w:t>
      </w:r>
      <w:r w:rsidR="000E4E90">
        <w:t xml:space="preserve">amended to </w:t>
      </w:r>
      <w:r w:rsidR="00981A2E">
        <w:t xml:space="preserve">specify that </w:t>
      </w:r>
      <w:r w:rsidR="0097732A">
        <w:t>earth receive licences and space receive licences authorising the operation of receivers</w:t>
      </w:r>
      <w:r w:rsidR="0097732A" w:rsidDel="0097732A">
        <w:t xml:space="preserve"> </w:t>
      </w:r>
      <w:r w:rsidR="00981A2E">
        <w:t>in the frequency range 4 to 4.2 GHz</w:t>
      </w:r>
      <w:r w:rsidR="007255A8">
        <w:t xml:space="preserve"> </w:t>
      </w:r>
      <w:r w:rsidR="00837F0E">
        <w:t xml:space="preserve">will be taxed the minimum </w:t>
      </w:r>
      <w:r w:rsidR="000C41B9">
        <w:t>annual amount, currently $41.37</w:t>
      </w:r>
      <w:r w:rsidR="00527525">
        <w:t>.</w:t>
      </w:r>
    </w:p>
    <w:p w14:paraId="40A23290" w14:textId="77777777" w:rsidR="00094811" w:rsidRPr="004C283B" w:rsidRDefault="00094811" w:rsidP="004C283B">
      <w:pPr>
        <w:pStyle w:val="Heading2"/>
      </w:pPr>
      <w:bookmarkStart w:id="40" w:name="_Toc94785838"/>
      <w:bookmarkStart w:id="41" w:name="_Toc137808622"/>
      <w:r w:rsidRPr="004C283B">
        <w:lastRenderedPageBreak/>
        <w:t>Charging arrangements</w:t>
      </w:r>
      <w:bookmarkEnd w:id="40"/>
      <w:bookmarkEnd w:id="41"/>
    </w:p>
    <w:p w14:paraId="2762CFB2" w14:textId="4AAA56A1" w:rsidR="00DB3811" w:rsidRPr="00BD4495" w:rsidRDefault="00DB3811" w:rsidP="00FE69BE">
      <w:pPr>
        <w:pStyle w:val="Paragraphbeforelist"/>
      </w:pPr>
      <w:r>
        <w:t>A cost-recovery charge is payable for considering an application for the issue of an apparatus licence. This charge is payable whether or not the application results in the issue of a licence. The charge recovers the direct costs of the ACMA spectrum management activities in consideri</w:t>
      </w:r>
      <w:r w:rsidRPr="00BC4705">
        <w:t xml:space="preserve">ng the application. Different charges are applicable to different types of apparatus licence. </w:t>
      </w:r>
    </w:p>
    <w:p w14:paraId="25D6A025" w14:textId="3E1FFA60" w:rsidR="00961758" w:rsidRDefault="00961758" w:rsidP="00FE69BE">
      <w:pPr>
        <w:pStyle w:val="Paragraphbeforelist"/>
      </w:pPr>
      <w:r>
        <w:t xml:space="preserve">As specified under </w:t>
      </w:r>
      <w:r w:rsidR="00F45423">
        <w:t>S</w:t>
      </w:r>
      <w:r>
        <w:t xml:space="preserve">chedule 1 </w:t>
      </w:r>
      <w:r w:rsidR="00984A56">
        <w:t xml:space="preserve">to </w:t>
      </w:r>
      <w:r>
        <w:t xml:space="preserve">the </w:t>
      </w:r>
      <w:hyperlink r:id="rId55" w:history="1">
        <w:r>
          <w:rPr>
            <w:rStyle w:val="Hyperlink"/>
          </w:rPr>
          <w:t>Radiocommunications (Charges) Determination 2022</w:t>
        </w:r>
      </w:hyperlink>
      <w:r>
        <w:t xml:space="preserve">, the charge for </w:t>
      </w:r>
      <w:r w:rsidR="36387039">
        <w:t xml:space="preserve">considering </w:t>
      </w:r>
      <w:r w:rsidR="2C523017">
        <w:t xml:space="preserve">an application </w:t>
      </w:r>
      <w:r w:rsidR="2C523017" w:rsidRPr="00BC4705">
        <w:t xml:space="preserve">for </w:t>
      </w:r>
      <w:r w:rsidRPr="00BC4705">
        <w:t xml:space="preserve">an AWL is $847. </w:t>
      </w:r>
      <w:r w:rsidR="66B342C8" w:rsidRPr="00BC4705">
        <w:t>An additional amount may apply if the application for the AWL needs to be assessed against one or more other applications (</w:t>
      </w:r>
      <w:r w:rsidR="004C283B">
        <w:t>that is</w:t>
      </w:r>
      <w:r w:rsidR="66B342C8" w:rsidRPr="00BC4705">
        <w:t xml:space="preserve">, there are multiple applications for the same spectrum in the same area). </w:t>
      </w:r>
      <w:r w:rsidR="2107270C" w:rsidRPr="00BC4705">
        <w:t>The amount of the additional charge</w:t>
      </w:r>
      <w:r w:rsidR="2B279EC6" w:rsidRPr="00BC4705">
        <w:t xml:space="preserve"> is </w:t>
      </w:r>
      <w:r w:rsidR="2107270C" w:rsidRPr="00BC4705">
        <w:t xml:space="preserve">dependent </w:t>
      </w:r>
      <w:r w:rsidR="137E0145" w:rsidRPr="00BC4705">
        <w:t>on the time taken</w:t>
      </w:r>
      <w:r w:rsidR="2B279EC6" w:rsidRPr="00BC4705">
        <w:t xml:space="preserve"> to </w:t>
      </w:r>
      <w:r w:rsidR="137E0145" w:rsidRPr="00BC4705">
        <w:t xml:space="preserve">undertake the additional assessment and the number of contending applications. </w:t>
      </w:r>
      <w:r w:rsidR="004A79E8">
        <w:t>The ACMA is proposing</w:t>
      </w:r>
      <w:r w:rsidR="75F723DE" w:rsidRPr="00BC4705">
        <w:t xml:space="preserve"> to </w:t>
      </w:r>
      <w:r w:rsidR="7C1C8169" w:rsidRPr="00BC4705">
        <w:t>apply the same</w:t>
      </w:r>
      <w:r w:rsidR="1F8D068F" w:rsidRPr="00BC4705">
        <w:t xml:space="preserve"> </w:t>
      </w:r>
      <w:r w:rsidR="12134124" w:rsidRPr="00BC4705">
        <w:t>charg</w:t>
      </w:r>
      <w:r w:rsidR="376909C4" w:rsidRPr="00BC4705">
        <w:t>ing arrangements</w:t>
      </w:r>
      <w:r w:rsidRPr="00BC4705">
        <w:t xml:space="preserve"> for </w:t>
      </w:r>
      <w:r w:rsidR="3770F74A" w:rsidRPr="00BC4705">
        <w:t xml:space="preserve">consideration of </w:t>
      </w:r>
      <w:r w:rsidR="008B076D">
        <w:t xml:space="preserve">an </w:t>
      </w:r>
      <w:r w:rsidR="3770F74A" w:rsidRPr="00BC4705">
        <w:t>application</w:t>
      </w:r>
      <w:r w:rsidRPr="00BC4705">
        <w:t xml:space="preserve"> </w:t>
      </w:r>
      <w:r w:rsidR="3770F74A" w:rsidRPr="00BC4705">
        <w:t xml:space="preserve">for an </w:t>
      </w:r>
      <w:r w:rsidRPr="00BC4705">
        <w:t xml:space="preserve">AWL rx. </w:t>
      </w:r>
    </w:p>
    <w:p w14:paraId="070CABA5" w14:textId="03CE8EB3" w:rsidR="00085833" w:rsidRDefault="00085833" w:rsidP="00811CD1">
      <w:pPr>
        <w:spacing w:after="0" w:line="276" w:lineRule="auto"/>
        <w:rPr>
          <w:rFonts w:cs="Arial"/>
          <w:bCs/>
          <w:color w:val="323232"/>
          <w:kern w:val="32"/>
          <w:sz w:val="53"/>
          <w:szCs w:val="32"/>
        </w:rPr>
      </w:pPr>
      <w:r>
        <w:br w:type="page"/>
      </w:r>
    </w:p>
    <w:p w14:paraId="168BC519" w14:textId="0D22B1D3" w:rsidR="00715722" w:rsidRDefault="00715722" w:rsidP="00715722">
      <w:pPr>
        <w:pStyle w:val="Heading1"/>
      </w:pPr>
      <w:bookmarkStart w:id="42" w:name="_Toc137808623"/>
      <w:r>
        <w:lastRenderedPageBreak/>
        <w:t>Issue</w:t>
      </w:r>
      <w:r w:rsidRPr="00194351">
        <w:t>s</w:t>
      </w:r>
      <w:r>
        <w:t xml:space="preserve"> for comment</w:t>
      </w:r>
      <w:bookmarkEnd w:id="3"/>
      <w:bookmarkEnd w:id="42"/>
    </w:p>
    <w:p w14:paraId="2E00EB5E" w14:textId="6BD509D7" w:rsidR="009F6C36" w:rsidRPr="004C283B" w:rsidRDefault="00557267" w:rsidP="00FE69BE">
      <w:pPr>
        <w:pStyle w:val="Paragraphbeforelist"/>
      </w:pPr>
      <w:r w:rsidRPr="004C283B">
        <w:t>We</w:t>
      </w:r>
      <w:r w:rsidR="00194351" w:rsidRPr="004C283B">
        <w:t xml:space="preserve"> welcome comment from interested stakeholders on</w:t>
      </w:r>
      <w:r w:rsidR="00AE60AB" w:rsidRPr="004C283B">
        <w:t xml:space="preserve"> any aspect of the consultation package. In addition, </w:t>
      </w:r>
      <w:r w:rsidRPr="004C283B">
        <w:t xml:space="preserve">we </w:t>
      </w:r>
      <w:r w:rsidR="00715722" w:rsidRPr="004C283B">
        <w:t xml:space="preserve">invite comments on </w:t>
      </w:r>
      <w:r w:rsidR="00631682" w:rsidRPr="004C283B">
        <w:t>the following</w:t>
      </w:r>
      <w:r w:rsidR="004C283B">
        <w:t>.</w:t>
      </w:r>
      <w:r w:rsidR="00631682" w:rsidRPr="004C283B">
        <w:t xml:space="preserve"> </w:t>
      </w:r>
      <w:r w:rsidR="00A11C20" w:rsidRPr="004C283B">
        <w:t xml:space="preserve"> </w:t>
      </w:r>
    </w:p>
    <w:p w14:paraId="348C5FC5" w14:textId="1E81C464" w:rsidR="003A5190" w:rsidRDefault="003A5190" w:rsidP="00811CD1">
      <w:pPr>
        <w:pStyle w:val="Heading2"/>
      </w:pPr>
      <w:bookmarkStart w:id="43" w:name="_Toc137808624"/>
      <w:r>
        <w:t>Technical framework</w:t>
      </w:r>
      <w:bookmarkEnd w:id="43"/>
      <w:r>
        <w:t xml:space="preserve"> </w:t>
      </w:r>
    </w:p>
    <w:p w14:paraId="58541A85" w14:textId="7024DA43" w:rsidR="00763040" w:rsidRDefault="0067287E" w:rsidP="00763040">
      <w:pPr>
        <w:pStyle w:val="Paragraph"/>
      </w:pPr>
      <w:r>
        <w:t xml:space="preserve">We invite comments on all aspects on the technical framework </w:t>
      </w:r>
      <w:r w:rsidR="00697F37">
        <w:t>that are relevant to this allocation process.</w:t>
      </w:r>
    </w:p>
    <w:p w14:paraId="7BD69D4F" w14:textId="2AB63246" w:rsidR="00697F37" w:rsidRPr="00763040" w:rsidRDefault="00697F37" w:rsidP="009469A5">
      <w:pPr>
        <w:pStyle w:val="Paragraph"/>
      </w:pPr>
      <w:r>
        <w:t>We invite comments on</w:t>
      </w:r>
      <w:r w:rsidR="00387AB8">
        <w:t xml:space="preserve"> the additional</w:t>
      </w:r>
      <w:r>
        <w:t xml:space="preserve"> proposed changes to the </w:t>
      </w:r>
      <w:r w:rsidR="00747697">
        <w:t>RAG T</w:t>
      </w:r>
      <w:r w:rsidR="00387AB8">
        <w:t>x</w:t>
      </w:r>
      <w:r w:rsidR="00802A74">
        <w:t>.</w:t>
      </w:r>
    </w:p>
    <w:p w14:paraId="254D40EC" w14:textId="71E2217C" w:rsidR="003A5190" w:rsidRDefault="003A5190" w:rsidP="003A5190">
      <w:pPr>
        <w:pStyle w:val="Heading2"/>
      </w:pPr>
      <w:bookmarkStart w:id="44" w:name="_Toc137808625"/>
      <w:r>
        <w:t>Allocation process</w:t>
      </w:r>
      <w:bookmarkEnd w:id="44"/>
      <w:r>
        <w:t xml:space="preserve"> </w:t>
      </w:r>
    </w:p>
    <w:p w14:paraId="4601A569" w14:textId="2B23B308" w:rsidR="003A5190" w:rsidRDefault="003A5190" w:rsidP="003A5190">
      <w:pPr>
        <w:pStyle w:val="Paragraph"/>
      </w:pPr>
      <w:r>
        <w:t xml:space="preserve">We invite comments on the general suitability of allocation </w:t>
      </w:r>
      <w:r w:rsidR="002C0CC2">
        <w:t>options</w:t>
      </w:r>
      <w:r>
        <w:t xml:space="preserve"> and whether they are fit-for-purpose in supporting our allocation principles and </w:t>
      </w:r>
      <w:r w:rsidR="00667FDB">
        <w:t xml:space="preserve">identified </w:t>
      </w:r>
      <w:r>
        <w:t>objectives</w:t>
      </w:r>
      <w:r w:rsidR="00667FDB">
        <w:t xml:space="preserve"> for this allocation</w:t>
      </w:r>
      <w:r>
        <w:t xml:space="preserve">. </w:t>
      </w:r>
    </w:p>
    <w:p w14:paraId="48338795" w14:textId="66E77C8E" w:rsidR="003A5190" w:rsidRPr="00811CD1" w:rsidRDefault="003A5190" w:rsidP="00FE69BE">
      <w:pPr>
        <w:pStyle w:val="Heading3"/>
      </w:pPr>
      <w:r w:rsidRPr="00811CD1">
        <w:t xml:space="preserve">Allocation </w:t>
      </w:r>
      <w:r w:rsidR="00284F09">
        <w:t>O</w:t>
      </w:r>
      <w:r w:rsidRPr="00811CD1">
        <w:t xml:space="preserve">ption 1: 6-month LA WBB priority period </w:t>
      </w:r>
    </w:p>
    <w:p w14:paraId="2528E3DC" w14:textId="0E31513C" w:rsidR="003A5190" w:rsidRDefault="003A5190" w:rsidP="003A5190">
      <w:pPr>
        <w:pStyle w:val="Paragraph"/>
      </w:pPr>
      <w:r>
        <w:t xml:space="preserve">We invite comments on the </w:t>
      </w:r>
      <w:r w:rsidR="004C283B">
        <w:t>2</w:t>
      </w:r>
      <w:r>
        <w:t xml:space="preserve">-window allocation approach and its suitability in facilitating the ACMA’s and wider government policy objectives, particularly in facilitating a wide range of use cases in this spectrum bands and providing priority access to LA WBB use cases. </w:t>
      </w:r>
    </w:p>
    <w:p w14:paraId="5EF3BBFD" w14:textId="6036FD13" w:rsidR="006A05A8" w:rsidRDefault="006A05A8" w:rsidP="003A5190">
      <w:pPr>
        <w:pStyle w:val="Paragraph"/>
      </w:pPr>
      <w:r>
        <w:t xml:space="preserve">We invite comments on whether an allocation window or first-in-time approach would be suitable for the second allocation process. </w:t>
      </w:r>
    </w:p>
    <w:p w14:paraId="2CBA4038" w14:textId="77777777" w:rsidR="003A5190" w:rsidRPr="00811CD1" w:rsidRDefault="003A5190" w:rsidP="00FE69BE">
      <w:pPr>
        <w:pStyle w:val="Heading3"/>
      </w:pPr>
      <w:r w:rsidRPr="00811CD1">
        <w:t xml:space="preserve">Allocation limits </w:t>
      </w:r>
    </w:p>
    <w:p w14:paraId="78F17D71" w14:textId="73BD3BEC" w:rsidR="003A5190" w:rsidRDefault="003A5190" w:rsidP="003A5190">
      <w:pPr>
        <w:pStyle w:val="Paragraph"/>
      </w:pPr>
      <w:r>
        <w:t>We invite comments on the proposed statutory limits (</w:t>
      </w:r>
      <w:r w:rsidR="004C283B">
        <w:t>n</w:t>
      </w:r>
      <w:r>
        <w:t xml:space="preserve">il MHz limit, </w:t>
      </w:r>
      <w:r w:rsidR="004C283B">
        <w:t>c</w:t>
      </w:r>
      <w:r>
        <w:t xml:space="preserve">ross-band limit, </w:t>
      </w:r>
      <w:r w:rsidR="004C283B">
        <w:t>l</w:t>
      </w:r>
      <w:r>
        <w:t xml:space="preserve">icence trading </w:t>
      </w:r>
      <w:r w:rsidR="004C283B">
        <w:t>and</w:t>
      </w:r>
      <w:r>
        <w:t xml:space="preserve"> third-party restrictions). </w:t>
      </w:r>
    </w:p>
    <w:p w14:paraId="0624A50E" w14:textId="12BF1947" w:rsidR="006A05A8" w:rsidRDefault="006A05A8" w:rsidP="003A5190">
      <w:pPr>
        <w:pStyle w:val="Paragraph"/>
      </w:pPr>
      <w:r>
        <w:t>We invite comments on the proposed options of 50/60/70 MHz for the allocation quantum policy.</w:t>
      </w:r>
    </w:p>
    <w:p w14:paraId="596BDD36" w14:textId="54562D9E" w:rsidR="006A05A8" w:rsidRDefault="006A05A8" w:rsidP="003A5190">
      <w:pPr>
        <w:pStyle w:val="Paragraph"/>
      </w:pPr>
      <w:r>
        <w:t xml:space="preserve">We invite comments on the proposed time limits of 3 months/6 months/12 months </w:t>
      </w:r>
      <w:r w:rsidR="00657706">
        <w:t xml:space="preserve">for the nil MHz limit. </w:t>
      </w:r>
    </w:p>
    <w:p w14:paraId="685DB93F" w14:textId="11B621D7" w:rsidR="00657706" w:rsidRDefault="00657706" w:rsidP="00FE69BE">
      <w:pPr>
        <w:pStyle w:val="Paragraph"/>
        <w:spacing w:after="80"/>
      </w:pPr>
      <w:r>
        <w:t xml:space="preserve">We invite comments on the cross-band limit options: </w:t>
      </w:r>
    </w:p>
    <w:p w14:paraId="10EEE87E" w14:textId="6EEEE18F" w:rsidR="00657706" w:rsidRDefault="00657706" w:rsidP="00FE69BE">
      <w:pPr>
        <w:pStyle w:val="ListBullet"/>
      </w:pPr>
      <w:r>
        <w:t>140 MHz in metropolitan/regional areas in the 3.4-3.95 GHz band</w:t>
      </w:r>
    </w:p>
    <w:p w14:paraId="6C8AFC12" w14:textId="59333BA4" w:rsidR="00657706" w:rsidRDefault="00657706" w:rsidP="00FE69BE">
      <w:pPr>
        <w:pStyle w:val="ListBullet"/>
      </w:pPr>
      <w:r>
        <w:t xml:space="preserve">140 MHz in metropolitan areas </w:t>
      </w:r>
      <w:r w:rsidR="004C283B">
        <w:t>and</w:t>
      </w:r>
      <w:r>
        <w:t xml:space="preserve"> 160 MHz in regional areas in the 3.4–3.95 GHz band</w:t>
      </w:r>
    </w:p>
    <w:p w14:paraId="6DCE30C6" w14:textId="28DAB205" w:rsidR="00657706" w:rsidRDefault="004C283B" w:rsidP="00FE69BE">
      <w:pPr>
        <w:pStyle w:val="ListBullet"/>
        <w:spacing w:after="240"/>
      </w:pPr>
      <w:r>
        <w:t>n</w:t>
      </w:r>
      <w:r w:rsidR="00657706">
        <w:t>o limits.</w:t>
      </w:r>
    </w:p>
    <w:p w14:paraId="2913EE34" w14:textId="7E2B5533" w:rsidR="00657706" w:rsidRDefault="00657706" w:rsidP="004C283B">
      <w:pPr>
        <w:pStyle w:val="Paragraph"/>
      </w:pPr>
      <w:r>
        <w:t xml:space="preserve">We invite comments on the proposed time of 3 months/6 months/12 months for the cross-band limits to be in effect. </w:t>
      </w:r>
    </w:p>
    <w:p w14:paraId="12BF837A" w14:textId="05B6A5AA" w:rsidR="003A5190" w:rsidRPr="00811CD1" w:rsidRDefault="003A5190" w:rsidP="00FE69BE">
      <w:pPr>
        <w:pStyle w:val="Heading3"/>
      </w:pPr>
      <w:r w:rsidRPr="00811CD1">
        <w:t xml:space="preserve">Allocation </w:t>
      </w:r>
      <w:r w:rsidR="00284F09">
        <w:t>O</w:t>
      </w:r>
      <w:r w:rsidRPr="00811CD1">
        <w:t xml:space="preserve">ption 2: </w:t>
      </w:r>
      <w:r w:rsidR="00284F09">
        <w:t>g</w:t>
      </w:r>
      <w:r w:rsidRPr="00811CD1">
        <w:t xml:space="preserve">eneral allocation approach </w:t>
      </w:r>
    </w:p>
    <w:p w14:paraId="4B3AE110" w14:textId="71588881" w:rsidR="003A5190" w:rsidRDefault="003A5190" w:rsidP="003A5190">
      <w:pPr>
        <w:pStyle w:val="Paragraph"/>
      </w:pPr>
      <w:r>
        <w:t>We invite comment on whether a general allocation approach on agreed</w:t>
      </w:r>
      <w:r w:rsidR="00634378">
        <w:t xml:space="preserve"> criteria indicated in the consultation paper would be fit</w:t>
      </w:r>
      <w:r w:rsidR="00605ADC">
        <w:t xml:space="preserve"> for purpose.</w:t>
      </w:r>
    </w:p>
    <w:p w14:paraId="6C989D3E" w14:textId="77777777" w:rsidR="00657706" w:rsidRDefault="00657706" w:rsidP="00657706">
      <w:pPr>
        <w:pStyle w:val="Paragraph"/>
      </w:pPr>
      <w:r>
        <w:t>We invite comments on the proposed options of 50/60/70 MHz for the allocation quantum policy.</w:t>
      </w:r>
    </w:p>
    <w:p w14:paraId="6C90C306" w14:textId="77777777" w:rsidR="00657706" w:rsidRDefault="00657706" w:rsidP="00FE69BE">
      <w:pPr>
        <w:pStyle w:val="Paragraph"/>
        <w:spacing w:after="80"/>
      </w:pPr>
      <w:r>
        <w:lastRenderedPageBreak/>
        <w:t xml:space="preserve">We invite comments on the cross-band limit options: </w:t>
      </w:r>
    </w:p>
    <w:p w14:paraId="0896AEC6" w14:textId="3D8CF3B0" w:rsidR="00657706" w:rsidRDefault="00657706" w:rsidP="00FE69BE">
      <w:pPr>
        <w:pStyle w:val="Bulletlevel1"/>
      </w:pPr>
      <w:r>
        <w:t>140 MHz in metropolitan/regional areas in the 3.4</w:t>
      </w:r>
      <w:r w:rsidR="004C283B">
        <w:t>–</w:t>
      </w:r>
      <w:r>
        <w:t xml:space="preserve">3.95 GHz band </w:t>
      </w:r>
    </w:p>
    <w:p w14:paraId="17BBA37F" w14:textId="0F57D9FE" w:rsidR="00657706" w:rsidRDefault="00657706" w:rsidP="00FE69BE">
      <w:pPr>
        <w:pStyle w:val="Bulletlevel1"/>
      </w:pPr>
      <w:r>
        <w:t xml:space="preserve">140 MHz in metropolitan areas </w:t>
      </w:r>
      <w:r w:rsidR="004C283B">
        <w:t>and</w:t>
      </w:r>
      <w:r>
        <w:t xml:space="preserve"> 160 MHz in regional areas in the 3.4–3.95 GHz band. </w:t>
      </w:r>
    </w:p>
    <w:p w14:paraId="147BF025" w14:textId="38528F02" w:rsidR="00657706" w:rsidRDefault="004C283B" w:rsidP="00FE69BE">
      <w:pPr>
        <w:pStyle w:val="Bulletlevel1"/>
        <w:spacing w:after="240"/>
      </w:pPr>
      <w:r>
        <w:t>n</w:t>
      </w:r>
      <w:r w:rsidR="00657706">
        <w:t xml:space="preserve">o limits.  </w:t>
      </w:r>
    </w:p>
    <w:p w14:paraId="27C77BDE" w14:textId="086782E6" w:rsidR="00657706" w:rsidRDefault="00657706" w:rsidP="003A5190">
      <w:pPr>
        <w:pStyle w:val="Paragraph"/>
      </w:pPr>
      <w:r>
        <w:t xml:space="preserve">We invite comments on the proposed time of </w:t>
      </w:r>
      <w:r w:rsidR="0080686E">
        <w:t>6</w:t>
      </w:r>
      <w:r>
        <w:t xml:space="preserve"> months/</w:t>
      </w:r>
      <w:r w:rsidR="008A2318">
        <w:t>12</w:t>
      </w:r>
      <w:r>
        <w:t xml:space="preserve"> months/1</w:t>
      </w:r>
      <w:r w:rsidR="008A2318">
        <w:t>8</w:t>
      </w:r>
      <w:r>
        <w:t xml:space="preserve"> months for the cross-band limits to be in effect. </w:t>
      </w:r>
    </w:p>
    <w:p w14:paraId="29AE1727" w14:textId="40F275D6" w:rsidR="003A5190" w:rsidRDefault="003A5190" w:rsidP="003A5190">
      <w:pPr>
        <w:pStyle w:val="Heading2"/>
      </w:pPr>
      <w:bookmarkStart w:id="45" w:name="_Toc137808626"/>
      <w:r>
        <w:t>Questions from</w:t>
      </w:r>
      <w:r w:rsidR="00284F09">
        <w:t xml:space="preserve"> the</w:t>
      </w:r>
      <w:r>
        <w:t xml:space="preserve"> ACCC</w:t>
      </w:r>
      <w:bookmarkEnd w:id="45"/>
    </w:p>
    <w:p w14:paraId="3A654F17" w14:textId="309F7CFE" w:rsidR="003A5190" w:rsidRPr="00811CD1" w:rsidRDefault="003A5190" w:rsidP="00FE69BE">
      <w:pPr>
        <w:pStyle w:val="Heading3"/>
      </w:pPr>
      <w:r w:rsidRPr="00811CD1">
        <w:t>Use</w:t>
      </w:r>
      <w:r w:rsidR="00550A15">
        <w:t xml:space="preserve"> </w:t>
      </w:r>
      <w:r w:rsidRPr="00811CD1">
        <w:t>cases</w:t>
      </w:r>
    </w:p>
    <w:p w14:paraId="5B97EC03" w14:textId="363ADA49" w:rsidR="003A5190" w:rsidRDefault="003A5190" w:rsidP="00FE69BE">
      <w:pPr>
        <w:pStyle w:val="ListNumber"/>
        <w:numPr>
          <w:ilvl w:val="0"/>
          <w:numId w:val="77"/>
        </w:numPr>
      </w:pPr>
      <w:r>
        <w:t>What are the likely intended uses of 3.8–3.95 GHz band spectrum?</w:t>
      </w:r>
    </w:p>
    <w:p w14:paraId="6E4613F1" w14:textId="45CF08F0" w:rsidR="003A5190" w:rsidRDefault="003A5190" w:rsidP="00FE69BE">
      <w:pPr>
        <w:pStyle w:val="Numberlistlevel1"/>
      </w:pPr>
      <w:r>
        <w:t>In which geographic areas is the spectrum intended to be used</w:t>
      </w:r>
      <w:r w:rsidR="00545799">
        <w:t>?</w:t>
      </w:r>
    </w:p>
    <w:p w14:paraId="416A13BE" w14:textId="46F2996B" w:rsidR="003A5190" w:rsidRDefault="003A5190" w:rsidP="00FE69BE">
      <w:pPr>
        <w:pStyle w:val="Numberlistlevel1"/>
        <w:spacing w:after="240"/>
      </w:pPr>
      <w:r>
        <w:t>How much spectrum is needed to support the intended use case</w:t>
      </w:r>
      <w:r w:rsidR="00545799">
        <w:t>?</w:t>
      </w:r>
    </w:p>
    <w:p w14:paraId="1D8445EE" w14:textId="77777777" w:rsidR="003A5190" w:rsidRPr="00811CD1" w:rsidRDefault="003A5190" w:rsidP="00FE69BE">
      <w:pPr>
        <w:pStyle w:val="Heading3"/>
        <w:spacing w:after="80"/>
      </w:pPr>
      <w:r w:rsidRPr="00811CD1">
        <w:t>Downstream markets</w:t>
      </w:r>
    </w:p>
    <w:p w14:paraId="767B7022" w14:textId="19F196E5" w:rsidR="003A5190" w:rsidRDefault="003A5190" w:rsidP="00FE69BE">
      <w:pPr>
        <w:pStyle w:val="ListNumber"/>
        <w:numPr>
          <w:ilvl w:val="0"/>
          <w:numId w:val="78"/>
        </w:numPr>
      </w:pPr>
      <w:r>
        <w:t>What is the good or service that the 3.8–3.95 GHz spectrum can support the production of?</w:t>
      </w:r>
    </w:p>
    <w:p w14:paraId="7889BCC9" w14:textId="206481F2" w:rsidR="003A5190" w:rsidRDefault="003A5190" w:rsidP="00FE69BE">
      <w:pPr>
        <w:pStyle w:val="Numberlistlevel1"/>
      </w:pPr>
      <w:r>
        <w:t>Where is the good or service intended to be supplied to?</w:t>
      </w:r>
    </w:p>
    <w:p w14:paraId="571C75B6" w14:textId="3BCF0DC8" w:rsidR="003A5190" w:rsidRDefault="003A5190" w:rsidP="00FE69BE">
      <w:pPr>
        <w:pStyle w:val="Numberlistlevel1"/>
      </w:pPr>
      <w:r>
        <w:t>Are there substitutes available to the good or service?</w:t>
      </w:r>
    </w:p>
    <w:p w14:paraId="21599A32" w14:textId="58A7215B" w:rsidR="003A5190" w:rsidRDefault="003A5190" w:rsidP="00FE69BE">
      <w:pPr>
        <w:pStyle w:val="Numberlistlevel1"/>
        <w:spacing w:after="240"/>
      </w:pPr>
      <w:r>
        <w:t>How could the spectrum allocation impact the state of competition and/or incentives to invest in downstream markets?</w:t>
      </w:r>
    </w:p>
    <w:p w14:paraId="057D2225" w14:textId="77777777" w:rsidR="003A5190" w:rsidRPr="00811CD1" w:rsidRDefault="003A5190" w:rsidP="00FE69BE">
      <w:pPr>
        <w:pStyle w:val="Heading3"/>
      </w:pPr>
      <w:r w:rsidRPr="00811CD1">
        <w:t xml:space="preserve">Alternative </w:t>
      </w:r>
      <w:r w:rsidRPr="004C283B">
        <w:t>spectrum</w:t>
      </w:r>
    </w:p>
    <w:p w14:paraId="265F4EF2" w14:textId="33875D84" w:rsidR="003A5190" w:rsidRDefault="003A5190" w:rsidP="00FE69BE">
      <w:pPr>
        <w:pStyle w:val="ListNumber"/>
        <w:numPr>
          <w:ilvl w:val="0"/>
          <w:numId w:val="79"/>
        </w:numPr>
        <w:spacing w:after="240"/>
      </w:pPr>
      <w:r>
        <w:t>Do you consider that substitutable spectrum exists for the 3.8–3.95 GHz bands that can similarly enable the production of the goods or services in downstream markets? If so, what spectrum bands do you consider to be substitutable?</w:t>
      </w:r>
    </w:p>
    <w:p w14:paraId="55E3355D" w14:textId="030C37A6" w:rsidR="009D7724" w:rsidRDefault="009D7724" w:rsidP="00FE69BE">
      <w:pPr>
        <w:pStyle w:val="Heading3"/>
      </w:pPr>
      <w:r>
        <w:t>Pricing</w:t>
      </w:r>
    </w:p>
    <w:p w14:paraId="66CEF9F1" w14:textId="376E3D70" w:rsidR="009D7724" w:rsidRPr="009D7724" w:rsidRDefault="00301528" w:rsidP="00FE69BE">
      <w:pPr>
        <w:pStyle w:val="ListNumber"/>
        <w:numPr>
          <w:ilvl w:val="0"/>
          <w:numId w:val="80"/>
        </w:numPr>
        <w:spacing w:after="240"/>
      </w:pPr>
      <w:r>
        <w:t>Do you have any comments on the suite of pricing arrangements proposed?</w:t>
      </w:r>
    </w:p>
    <w:p w14:paraId="064BA46E" w14:textId="77777777" w:rsidR="006A65A3" w:rsidRDefault="006A65A3" w:rsidP="006A65A3">
      <w:pPr>
        <w:pStyle w:val="Heading1"/>
      </w:pPr>
      <w:bookmarkStart w:id="46" w:name="_Toc137808627"/>
      <w:r>
        <w:lastRenderedPageBreak/>
        <w:t>Invitation to comment</w:t>
      </w:r>
      <w:bookmarkEnd w:id="46"/>
    </w:p>
    <w:p w14:paraId="1EEFBC19" w14:textId="1CBB0124" w:rsidR="006A65A3" w:rsidRDefault="006A65A3" w:rsidP="006A65A3">
      <w:pPr>
        <w:pStyle w:val="Heading2"/>
      </w:pPr>
      <w:bookmarkStart w:id="47" w:name="_Toc137808628"/>
      <w:r>
        <w:t>Making a submission</w:t>
      </w:r>
      <w:bookmarkEnd w:id="47"/>
    </w:p>
    <w:p w14:paraId="6E0FBE08" w14:textId="42AF8B76" w:rsidR="006A65A3" w:rsidRDefault="006A65A3" w:rsidP="006A65A3">
      <w:r>
        <w:t xml:space="preserve">The ACMA invites comments on the issues set out in this </w:t>
      </w:r>
      <w:r w:rsidR="00BF0C97">
        <w:t xml:space="preserve">consultation </w:t>
      </w:r>
      <w:r>
        <w:t xml:space="preserve">paper. </w:t>
      </w:r>
    </w:p>
    <w:p w14:paraId="6CFA2686" w14:textId="77777777" w:rsidR="006A65A3" w:rsidRPr="00B76591" w:rsidRDefault="0080686E" w:rsidP="006A65A3">
      <w:pPr>
        <w:pStyle w:val="Bulletlevel1"/>
      </w:pPr>
      <w:hyperlink r:id="rId56">
        <w:r w:rsidR="3FCAA5F4" w:rsidRPr="00415A29">
          <w:rPr>
            <w:rStyle w:val="Hyperlink"/>
          </w:rPr>
          <w:t>Online submissions</w:t>
        </w:r>
      </w:hyperlink>
      <w:r w:rsidR="3FCAA5F4" w:rsidRPr="00415A29">
        <w:t xml:space="preserve"> can be made by uploading a document. Submissions in PDF,</w:t>
      </w:r>
      <w:r w:rsidR="3FCAA5F4">
        <w:t xml:space="preserve"> Microsoft Word or Rich Text Format are preferred.</w:t>
      </w:r>
    </w:p>
    <w:p w14:paraId="53A4D8FE" w14:textId="77777777" w:rsidR="006A65A3" w:rsidRPr="00415A29" w:rsidRDefault="3FCAA5F4" w:rsidP="006A65A3">
      <w:pPr>
        <w:pStyle w:val="Bulletlevel1"/>
      </w:pPr>
      <w:r w:rsidRPr="00415A29">
        <w:t xml:space="preserve">Submissions by post can be sent to: </w:t>
      </w:r>
    </w:p>
    <w:p w14:paraId="76255AEB" w14:textId="77777777" w:rsidR="006A65A3" w:rsidRPr="00415A29" w:rsidRDefault="006A65A3" w:rsidP="006A65A3">
      <w:pPr>
        <w:tabs>
          <w:tab w:val="num" w:pos="295"/>
        </w:tabs>
        <w:spacing w:after="0"/>
        <w:ind w:left="295"/>
        <w:rPr>
          <w:szCs w:val="20"/>
        </w:rPr>
      </w:pPr>
      <w:r w:rsidRPr="00415A29">
        <w:rPr>
          <w:szCs w:val="20"/>
        </w:rPr>
        <w:t>The Manager</w:t>
      </w:r>
    </w:p>
    <w:p w14:paraId="121DD0A0" w14:textId="5C5D6578" w:rsidR="006A65A3" w:rsidRPr="00415A29" w:rsidRDefault="00E470F6" w:rsidP="006A65A3">
      <w:pPr>
        <w:spacing w:after="0"/>
        <w:ind w:left="295"/>
        <w:rPr>
          <w:szCs w:val="20"/>
        </w:rPr>
      </w:pPr>
      <w:r w:rsidRPr="00415A29">
        <w:rPr>
          <w:szCs w:val="20"/>
        </w:rPr>
        <w:t>Major Spectrums Allocation Section</w:t>
      </w:r>
    </w:p>
    <w:p w14:paraId="1CD9494B" w14:textId="77777777" w:rsidR="006A65A3" w:rsidRDefault="006A65A3" w:rsidP="006A65A3">
      <w:pPr>
        <w:spacing w:after="0"/>
        <w:ind w:left="295"/>
        <w:rPr>
          <w:szCs w:val="20"/>
        </w:rPr>
      </w:pPr>
      <w:r w:rsidRPr="00415A29">
        <w:rPr>
          <w:szCs w:val="20"/>
        </w:rPr>
        <w:t>Australian Communications and Media Authority</w:t>
      </w:r>
    </w:p>
    <w:p w14:paraId="281F6291" w14:textId="77777777" w:rsidR="00415A29" w:rsidRDefault="00415A29" w:rsidP="00415A29">
      <w:pPr>
        <w:spacing w:after="0"/>
        <w:ind w:left="295"/>
        <w:rPr>
          <w:szCs w:val="20"/>
        </w:rPr>
      </w:pPr>
      <w:r w:rsidRPr="00415A29">
        <w:rPr>
          <w:szCs w:val="20"/>
        </w:rPr>
        <w:t>PO Box 13112</w:t>
      </w:r>
    </w:p>
    <w:p w14:paraId="60E725BA" w14:textId="77777777" w:rsidR="00415A29" w:rsidRDefault="00415A29" w:rsidP="00415A29">
      <w:pPr>
        <w:spacing w:after="0"/>
        <w:ind w:left="295"/>
        <w:rPr>
          <w:szCs w:val="20"/>
        </w:rPr>
      </w:pPr>
      <w:r w:rsidRPr="00415A29">
        <w:rPr>
          <w:szCs w:val="20"/>
        </w:rPr>
        <w:t>Law Courts Melbourne VIC 8010</w:t>
      </w:r>
    </w:p>
    <w:p w14:paraId="0673532F" w14:textId="77777777" w:rsidR="00415A29" w:rsidRDefault="00415A29" w:rsidP="00415A29">
      <w:pPr>
        <w:spacing w:after="0"/>
        <w:rPr>
          <w:szCs w:val="20"/>
        </w:rPr>
      </w:pPr>
    </w:p>
    <w:p w14:paraId="1EFA9F3E" w14:textId="2B60974B" w:rsidR="006A65A3" w:rsidRPr="00415A29" w:rsidRDefault="006A65A3" w:rsidP="00415A29">
      <w:pPr>
        <w:spacing w:after="0"/>
        <w:rPr>
          <w:szCs w:val="20"/>
          <w:highlight w:val="yellow"/>
        </w:rPr>
      </w:pPr>
      <w:r w:rsidRPr="00B76591">
        <w:t xml:space="preserve">The closing date for submissions is </w:t>
      </w:r>
      <w:r w:rsidRPr="004D6B7E">
        <w:rPr>
          <w:b/>
          <w:bCs/>
        </w:rPr>
        <w:t xml:space="preserve">COB, </w:t>
      </w:r>
      <w:r w:rsidR="006348EC">
        <w:rPr>
          <w:b/>
          <w:bCs/>
        </w:rPr>
        <w:t>Tuesday 1</w:t>
      </w:r>
      <w:r w:rsidR="0028668B">
        <w:rPr>
          <w:b/>
          <w:bCs/>
        </w:rPr>
        <w:t xml:space="preserve"> Augu</w:t>
      </w:r>
      <w:r w:rsidR="0080686E">
        <w:rPr>
          <w:b/>
          <w:bCs/>
        </w:rPr>
        <w:t>st</w:t>
      </w:r>
      <w:r w:rsidR="007C5770" w:rsidRPr="004D6B7E">
        <w:rPr>
          <w:b/>
          <w:bCs/>
        </w:rPr>
        <w:t xml:space="preserve"> </w:t>
      </w:r>
      <w:r w:rsidRPr="004D6B7E">
        <w:rPr>
          <w:b/>
          <w:bCs/>
        </w:rPr>
        <w:t>20</w:t>
      </w:r>
      <w:r w:rsidR="00A13448" w:rsidRPr="004D6B7E">
        <w:rPr>
          <w:b/>
          <w:bCs/>
        </w:rPr>
        <w:t>2</w:t>
      </w:r>
      <w:r w:rsidR="00FF4044">
        <w:rPr>
          <w:b/>
          <w:bCs/>
        </w:rPr>
        <w:t>3</w:t>
      </w:r>
      <w:r w:rsidRPr="004D6B7E">
        <w:t>.</w:t>
      </w:r>
    </w:p>
    <w:p w14:paraId="0FBBCCFE" w14:textId="5BC364AA" w:rsidR="006A65A3" w:rsidRDefault="006A65A3" w:rsidP="006A65A3">
      <w:pPr>
        <w:rPr>
          <w:szCs w:val="20"/>
        </w:rPr>
      </w:pPr>
      <w:r w:rsidRPr="00B76591">
        <w:t xml:space="preserve">Consultation enquiries can be emailed </w:t>
      </w:r>
      <w:r w:rsidRPr="00B76591">
        <w:rPr>
          <w:szCs w:val="20"/>
        </w:rPr>
        <w:t xml:space="preserve">to </w:t>
      </w:r>
      <w:hyperlink r:id="rId57" w:history="1">
        <w:r w:rsidR="00415A29" w:rsidRPr="002A0B65">
          <w:rPr>
            <w:rStyle w:val="Hyperlink"/>
          </w:rPr>
          <w:t>SpectrumAllocations@acma.gov.au</w:t>
        </w:r>
      </w:hyperlink>
      <w:r w:rsidR="00415A29">
        <w:t xml:space="preserve">. </w:t>
      </w:r>
    </w:p>
    <w:p w14:paraId="32B3D9FB" w14:textId="77777777" w:rsidR="006A65A3" w:rsidRDefault="006A65A3" w:rsidP="006A65A3">
      <w:pPr>
        <w:pStyle w:val="Heading4"/>
      </w:pPr>
      <w:r>
        <w:t xml:space="preserve">Publication of </w:t>
      </w:r>
      <w:r w:rsidRPr="005B2F0D">
        <w:t>submissions</w:t>
      </w:r>
    </w:p>
    <w:p w14:paraId="38BE4461" w14:textId="77777777" w:rsidR="006A65A3" w:rsidRDefault="006A65A3" w:rsidP="006A65A3">
      <w:r>
        <w:t>The ACMA publishes submissions on our website</w:t>
      </w:r>
      <w:r>
        <w:rPr>
          <w:rFonts w:cs="Arial"/>
        </w:rPr>
        <w:t>, including personal information (such as names and contact details)</w:t>
      </w:r>
      <w:r>
        <w:t xml:space="preserve">, except for information that you have claimed (and we have accepted) is confidential. </w:t>
      </w:r>
    </w:p>
    <w:p w14:paraId="7652210A" w14:textId="77777777" w:rsidR="006A65A3" w:rsidRDefault="006A65A3" w:rsidP="006A65A3">
      <w:r>
        <w:t>Confidential information will not be published or otherwise released unless required or authorised by law.</w:t>
      </w:r>
    </w:p>
    <w:p w14:paraId="47CA7ABD" w14:textId="77777777" w:rsidR="006A65A3" w:rsidRDefault="006A65A3" w:rsidP="006A65A3">
      <w:pPr>
        <w:pStyle w:val="Heading4"/>
      </w:pPr>
      <w:r>
        <w:t>Privacy</w:t>
      </w:r>
    </w:p>
    <w:p w14:paraId="3DD3731C" w14:textId="77777777" w:rsidR="006A65A3" w:rsidRDefault="006A65A3" w:rsidP="006A65A3">
      <w:pPr>
        <w:pStyle w:val="Paragraph"/>
      </w:pPr>
      <w:r>
        <w:t xml:space="preserve">View information about our policy on the </w:t>
      </w:r>
      <w:hyperlink r:id="rId58" w:history="1">
        <w:r>
          <w:rPr>
            <w:rStyle w:val="Hyperlink"/>
          </w:rPr>
          <w:t>p</w:t>
        </w:r>
        <w:r w:rsidRPr="00E21056">
          <w:rPr>
            <w:rStyle w:val="Hyperlink"/>
          </w:rPr>
          <w:t>ublication of submissions</w:t>
        </w:r>
      </w:hyperlink>
      <w:r>
        <w:t>, including collection of personal information during consultation and how we handle that information.</w:t>
      </w:r>
    </w:p>
    <w:p w14:paraId="236BFFE4" w14:textId="1E2C8ABD" w:rsidR="00356CF7" w:rsidRPr="005178A9" w:rsidRDefault="006A65A3" w:rsidP="005178A9">
      <w:pPr>
        <w:pStyle w:val="Paragraph"/>
      </w:pPr>
      <w:r>
        <w:t xml:space="preserve">Information on the </w:t>
      </w:r>
      <w:r>
        <w:rPr>
          <w:i/>
        </w:rPr>
        <w:t xml:space="preserve">Privacy Act 1988, </w:t>
      </w:r>
      <w:r>
        <w:t xml:space="preserve">how to access or correct personal information, how to make a privacy complaint and how we will deal with the complaint, is available in our </w:t>
      </w:r>
      <w:hyperlink r:id="rId59" w:history="1">
        <w:r w:rsidRPr="00E21056">
          <w:rPr>
            <w:rStyle w:val="Hyperlink"/>
          </w:rPr>
          <w:t>privacy policy</w:t>
        </w:r>
      </w:hyperlink>
      <w:r>
        <w:t>.</w:t>
      </w:r>
      <w:bookmarkStart w:id="48" w:name="_Appendix_A:_Allocation"/>
      <w:bookmarkStart w:id="49" w:name="_Appendix_A:_Taxation"/>
      <w:bookmarkStart w:id="50" w:name="_Appendix_A"/>
      <w:bookmarkEnd w:id="48"/>
      <w:bookmarkEnd w:id="49"/>
      <w:bookmarkEnd w:id="50"/>
    </w:p>
    <w:sectPr w:rsidR="00356CF7" w:rsidRPr="005178A9" w:rsidSect="00C77380">
      <w:headerReference w:type="even" r:id="rId60"/>
      <w:headerReference w:type="default" r:id="rId61"/>
      <w:footerReference w:type="even" r:id="rId62"/>
      <w:footerReference w:type="default" r:id="rId63"/>
      <w:pgSz w:w="11906" w:h="16838" w:code="9"/>
      <w:pgMar w:top="1945" w:right="3101" w:bottom="1134" w:left="1134" w:header="709" w:footer="11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C15F7" w14:textId="77777777" w:rsidR="00440CC5" w:rsidRDefault="00440CC5">
      <w:r>
        <w:separator/>
      </w:r>
    </w:p>
  </w:endnote>
  <w:endnote w:type="continuationSeparator" w:id="0">
    <w:p w14:paraId="5B573442" w14:textId="77777777" w:rsidR="00440CC5" w:rsidRDefault="00440CC5">
      <w:r>
        <w:continuationSeparator/>
      </w:r>
    </w:p>
  </w:endnote>
  <w:endnote w:type="continuationNotice" w:id="1">
    <w:p w14:paraId="36980943" w14:textId="77777777" w:rsidR="00440CC5" w:rsidRDefault="00440C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NeueLT Std Lt">
    <w:altName w:val="Arial"/>
    <w:panose1 w:val="020B0403020202020204"/>
    <w:charset w:val="00"/>
    <w:family w:val="swiss"/>
    <w:notTrueType/>
    <w:pitch w:val="variable"/>
    <w:sig w:usb0="800000AF" w:usb1="4000204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29440" w14:textId="77777777" w:rsidR="00793F6C" w:rsidRDefault="2AAE4496" w:rsidP="005E250B">
    <w:pPr>
      <w:pStyle w:val="Footer"/>
      <w:jc w:val="right"/>
    </w:pPr>
    <w:r>
      <w:rPr>
        <w:noProof/>
      </w:rPr>
      <w:drawing>
        <wp:inline distT="0" distB="0" distL="0" distR="0" wp14:anchorId="7300B668" wp14:editId="6B8A10D9">
          <wp:extent cx="1066800" cy="277368"/>
          <wp:effectExtent l="0" t="0" r="0" b="0"/>
          <wp:docPr id="1296188459" name="Picture 1296188459" descr="acma.gov.a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
                    <a:extLst>
                      <a:ext uri="{28A0092B-C50C-407E-A947-70E740481C1C}">
                        <a14:useLocalDpi xmlns:a14="http://schemas.microsoft.com/office/drawing/2010/main" val="0"/>
                      </a:ext>
                    </a:extLst>
                  </a:blip>
                  <a:stretch>
                    <a:fillRect/>
                  </a:stretch>
                </pic:blipFill>
                <pic:spPr>
                  <a:xfrm>
                    <a:off x="0" y="0"/>
                    <a:ext cx="1066800" cy="277368"/>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72949" w14:textId="77777777" w:rsidR="00793F6C" w:rsidRDefault="00793F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B9187" w14:textId="77777777" w:rsidR="00793F6C" w:rsidRDefault="00793F6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30468" w14:textId="77777777" w:rsidR="00793F6C" w:rsidRPr="00622A3B" w:rsidRDefault="00793F6C" w:rsidP="00971914">
    <w:pPr>
      <w:pStyle w:val="Footer"/>
      <w:framePr w:w="1334" w:h="357" w:hRule="exact" w:vSpace="425" w:wrap="around" w:vAnchor="page" w:hAnchor="page" w:x="1156" w:y="16166"/>
      <w:pBdr>
        <w:top w:val="single" w:sz="4" w:space="1" w:color="auto"/>
      </w:pBdr>
      <w:tabs>
        <w:tab w:val="clear" w:pos="113"/>
        <w:tab w:val="left" w:pos="284"/>
      </w:tabs>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iv</w:t>
    </w:r>
    <w:r w:rsidRPr="002E4DDC">
      <w:rPr>
        <w:color w:val="505050"/>
      </w:rPr>
      <w:fldChar w:fldCharType="end"/>
    </w:r>
  </w:p>
  <w:p w14:paraId="074CE51F" w14:textId="77777777" w:rsidR="00793F6C" w:rsidRPr="00A5474E" w:rsidRDefault="00793F6C" w:rsidP="00A547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0ED86" w14:textId="77777777" w:rsidR="00793F6C" w:rsidRPr="00622A3B" w:rsidRDefault="00793F6C" w:rsidP="00971914">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v</w:t>
    </w:r>
    <w:r w:rsidRPr="002E4DDC">
      <w:rPr>
        <w:color w:val="505050"/>
      </w:rPr>
      <w:fldChar w:fldCharType="end"/>
    </w:r>
  </w:p>
  <w:p w14:paraId="5E8529C2" w14:textId="77777777" w:rsidR="00793F6C" w:rsidRPr="00A5474E" w:rsidRDefault="00793F6C" w:rsidP="00A547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2AD55" w14:textId="77777777" w:rsidR="00793F6C" w:rsidRPr="00622A3B" w:rsidRDefault="00793F6C" w:rsidP="0094078F">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iii</w:t>
    </w:r>
    <w:r w:rsidRPr="002E4DDC">
      <w:rPr>
        <w:color w:val="505050"/>
      </w:rPr>
      <w:fldChar w:fldCharType="end"/>
    </w:r>
  </w:p>
  <w:p w14:paraId="6E8075DC" w14:textId="77777777" w:rsidR="00793F6C" w:rsidRPr="00A5474E" w:rsidRDefault="00793F6C" w:rsidP="00A5474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0FDE1" w14:textId="77777777" w:rsidR="00793F6C" w:rsidRPr="00622A3B" w:rsidRDefault="00793F6C" w:rsidP="00B43262">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rPr>
        <w:noProof/>
      </w:rPr>
      <w:t>6</w:t>
    </w:r>
    <w:r w:rsidRPr="00575AC5">
      <w:fldChar w:fldCharType="end"/>
    </w:r>
    <w:r w:rsidRPr="0094078F">
      <w:tab/>
    </w:r>
    <w:r w:rsidRPr="00622A3B">
      <w:t>|</w:t>
    </w:r>
    <w:r>
      <w:tab/>
    </w:r>
    <w:r w:rsidRPr="00622A3B">
      <w:rPr>
        <w:b/>
        <w:noProof/>
        <w:spacing w:val="-16"/>
        <w:sz w:val="20"/>
        <w:szCs w:val="20"/>
      </w:rPr>
      <w:t>a</w:t>
    </w:r>
    <w:r w:rsidRPr="00622A3B">
      <w:rPr>
        <w:b/>
        <w:noProof/>
        <w:spacing w:val="-15"/>
        <w:sz w:val="20"/>
        <w:szCs w:val="20"/>
      </w:rPr>
      <w:t>c</w:t>
    </w:r>
    <w:r w:rsidRPr="00622A3B">
      <w:rPr>
        <w:b/>
        <w:noProof/>
        <w:spacing w:val="-16"/>
        <w:sz w:val="20"/>
        <w:szCs w:val="20"/>
      </w:rPr>
      <w:t>m</w:t>
    </w:r>
    <w:r w:rsidRPr="00622A3B">
      <w:rPr>
        <w:b/>
        <w:noProof/>
        <w:spacing w:val="-14"/>
        <w:sz w:val="20"/>
        <w:szCs w:val="20"/>
      </w:rPr>
      <w:t>a</w:t>
    </w:r>
  </w:p>
  <w:p w14:paraId="6BF88331" w14:textId="77777777" w:rsidR="00793F6C" w:rsidRPr="00A5474E" w:rsidRDefault="00793F6C" w:rsidP="00A5474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9A093" w14:textId="77777777" w:rsidR="00793F6C" w:rsidRPr="00622A3B" w:rsidRDefault="00793F6C" w:rsidP="00447037">
    <w:pPr>
      <w:pStyle w:val="Footer"/>
      <w:framePr w:w="1440"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Pr>
        <w:noProof/>
        <w:color w:val="505050"/>
      </w:rPr>
      <w:t>1</w:t>
    </w:r>
    <w:r w:rsidRPr="00575AC5">
      <w:rPr>
        <w:color w:val="505050"/>
      </w:rPr>
      <w:fldChar w:fldCharType="end"/>
    </w:r>
  </w:p>
  <w:p w14:paraId="051227AF" w14:textId="77777777" w:rsidR="00793F6C" w:rsidRPr="00A5474E" w:rsidRDefault="00793F6C" w:rsidP="00A547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5F704" w14:textId="77777777" w:rsidR="00440CC5" w:rsidRDefault="00440CC5" w:rsidP="0087611E">
      <w:pPr>
        <w:spacing w:after="0"/>
      </w:pPr>
      <w:r>
        <w:separator/>
      </w:r>
    </w:p>
  </w:footnote>
  <w:footnote w:type="continuationSeparator" w:id="0">
    <w:p w14:paraId="184FBB8D" w14:textId="77777777" w:rsidR="00440CC5" w:rsidRDefault="00440CC5">
      <w:r>
        <w:continuationSeparator/>
      </w:r>
    </w:p>
  </w:footnote>
  <w:footnote w:type="continuationNotice" w:id="1">
    <w:p w14:paraId="7918F314" w14:textId="77777777" w:rsidR="00440CC5" w:rsidRDefault="00440CC5">
      <w:pPr>
        <w:spacing w:after="0" w:line="240" w:lineRule="auto"/>
      </w:pPr>
    </w:p>
  </w:footnote>
  <w:footnote w:id="2">
    <w:p w14:paraId="34BC127D" w14:textId="3EF2824A" w:rsidR="00B2318C" w:rsidRPr="008E5919" w:rsidRDefault="00B2318C">
      <w:pPr>
        <w:pStyle w:val="FootnoteText"/>
        <w:rPr>
          <w:sz w:val="18"/>
          <w:szCs w:val="18"/>
        </w:rPr>
      </w:pPr>
      <w:r w:rsidRPr="008E5919">
        <w:rPr>
          <w:rStyle w:val="FootnoteReference"/>
          <w:sz w:val="18"/>
          <w:szCs w:val="18"/>
        </w:rPr>
        <w:footnoteRef/>
      </w:r>
      <w:r w:rsidR="00B62462" w:rsidRPr="008E5919">
        <w:rPr>
          <w:sz w:val="18"/>
          <w:szCs w:val="18"/>
        </w:rPr>
        <w:tab/>
        <w:t xml:space="preserve">AWL rx arrangements will extend up to 4.0 GHz </w:t>
      </w:r>
      <w:r w:rsidR="004E06A0" w:rsidRPr="008E5919">
        <w:rPr>
          <w:sz w:val="18"/>
          <w:szCs w:val="18"/>
        </w:rPr>
        <w:t>in some areas.</w:t>
      </w:r>
    </w:p>
  </w:footnote>
  <w:footnote w:id="3">
    <w:p w14:paraId="2C1ACCE2" w14:textId="14503451" w:rsidR="007C5005" w:rsidRPr="00E5490E" w:rsidRDefault="007C5005" w:rsidP="007C5005">
      <w:pPr>
        <w:pStyle w:val="FootnoteText"/>
        <w:rPr>
          <w:sz w:val="18"/>
          <w:szCs w:val="18"/>
        </w:rPr>
      </w:pPr>
      <w:r w:rsidRPr="00E5490E">
        <w:rPr>
          <w:rStyle w:val="FootnoteReference"/>
          <w:sz w:val="18"/>
          <w:szCs w:val="18"/>
        </w:rPr>
        <w:footnoteRef/>
      </w:r>
      <w:r w:rsidRPr="00E5490E">
        <w:rPr>
          <w:sz w:val="18"/>
          <w:szCs w:val="18"/>
        </w:rPr>
        <w:t xml:space="preserve"> </w:t>
      </w:r>
      <w:r w:rsidRPr="00E5490E">
        <w:rPr>
          <w:sz w:val="18"/>
          <w:szCs w:val="18"/>
        </w:rPr>
        <w:tab/>
        <w:t xml:space="preserve">Urban excise areas include inner metropolitan areas in Melbourne, Sydney, Brisbane, </w:t>
      </w:r>
      <w:r w:rsidR="00420A5B" w:rsidRPr="00E5490E">
        <w:rPr>
          <w:sz w:val="18"/>
          <w:szCs w:val="18"/>
        </w:rPr>
        <w:t>Adelaide,</w:t>
      </w:r>
      <w:r w:rsidRPr="00E5490E">
        <w:rPr>
          <w:sz w:val="18"/>
          <w:szCs w:val="18"/>
        </w:rPr>
        <w:t xml:space="preserve"> and Perth where NBN </w:t>
      </w:r>
      <w:r>
        <w:rPr>
          <w:sz w:val="18"/>
          <w:szCs w:val="18"/>
        </w:rPr>
        <w:t>Co</w:t>
      </w:r>
      <w:r w:rsidRPr="00E5490E">
        <w:rPr>
          <w:sz w:val="18"/>
          <w:szCs w:val="18"/>
        </w:rPr>
        <w:t xml:space="preserve"> surrendered part of its 3.4 GHz spectrum licences.</w:t>
      </w:r>
    </w:p>
    <w:p w14:paraId="1B32CF99" w14:textId="77777777" w:rsidR="007C5005" w:rsidRDefault="007C5005" w:rsidP="007C5005">
      <w:pPr>
        <w:pStyle w:val="FootnoteText"/>
      </w:pPr>
    </w:p>
  </w:footnote>
  <w:footnote w:id="4">
    <w:p w14:paraId="2D81D876" w14:textId="315B0C55" w:rsidR="002C606D" w:rsidRDefault="002C606D" w:rsidP="008E5919">
      <w:pPr>
        <w:pStyle w:val="FootnoteText"/>
        <w:spacing w:line="240" w:lineRule="auto"/>
      </w:pPr>
      <w:r>
        <w:rPr>
          <w:rStyle w:val="FootnoteReference"/>
        </w:rPr>
        <w:footnoteRef/>
      </w:r>
      <w:r>
        <w:t xml:space="preserve"> </w:t>
      </w:r>
      <w:r w:rsidR="0075078E">
        <w:t>We note that u</w:t>
      </w:r>
      <w:r w:rsidR="005C05BA" w:rsidRPr="005C05BA">
        <w:t>nless an applicant can demonstrate satisfactory coordination measures, the ACMA will generally not issue AWLs authorising the operation of radiocommunications transmitters in in the 15 MHz of spectrum directly adjacent to a 3.4 GHz spectrum licence</w:t>
      </w:r>
      <w:r w:rsidR="0075078E">
        <w:t xml:space="preserve"> to help </w:t>
      </w:r>
      <w:r w:rsidR="005C05BA" w:rsidRPr="005C05BA">
        <w:t>manage interference between 3.4 GHz spectrum licences and AWLs in the 3.8 GHz band.</w:t>
      </w:r>
    </w:p>
  </w:footnote>
  <w:footnote w:id="5">
    <w:p w14:paraId="18DEA033" w14:textId="78F4EC4E" w:rsidR="00581327" w:rsidRDefault="004E79CF" w:rsidP="00581327">
      <w:pPr>
        <w:pStyle w:val="FootnoteText"/>
      </w:pPr>
      <w:r>
        <w:rPr>
          <w:rStyle w:val="FootnoteReference"/>
        </w:rPr>
        <w:footnoteRef/>
      </w:r>
      <w:r>
        <w:t xml:space="preserve"> </w:t>
      </w:r>
      <w:r w:rsidR="00581327">
        <w:t xml:space="preserve">We acknowledge that there are potentially other allocation options for this spectrum, however, these are the two </w:t>
      </w:r>
      <w:r w:rsidR="00973E62">
        <w:t>options that</w:t>
      </w:r>
      <w:r w:rsidR="00581327">
        <w:t xml:space="preserve"> the ACMA </w:t>
      </w:r>
      <w:r w:rsidR="00F02E35">
        <w:t>considers</w:t>
      </w:r>
      <w:r w:rsidR="00581327">
        <w:t xml:space="preserve"> are most likely to support the</w:t>
      </w:r>
      <w:r w:rsidR="00F02E35">
        <w:t xml:space="preserve"> state</w:t>
      </w:r>
      <w:r w:rsidR="0072159C">
        <w:t>d</w:t>
      </w:r>
      <w:r w:rsidR="00581327">
        <w:t xml:space="preserve"> allocation objectives for the 3.8 GHz band. </w:t>
      </w:r>
    </w:p>
    <w:p w14:paraId="00172FC5" w14:textId="2FB47F46" w:rsidR="004E79CF" w:rsidRDefault="004E79CF">
      <w:pPr>
        <w:pStyle w:val="FootnoteText"/>
      </w:pPr>
    </w:p>
  </w:footnote>
  <w:footnote w:id="6">
    <w:p w14:paraId="0B3783F1" w14:textId="77777777" w:rsidR="003073BE" w:rsidRPr="00305AEE" w:rsidRDefault="003073BE" w:rsidP="003073BE">
      <w:pPr>
        <w:pStyle w:val="FootnoteText"/>
        <w:rPr>
          <w:rFonts w:asciiTheme="minorHAnsi" w:hAnsiTheme="minorHAnsi" w:cstheme="minorHAnsi"/>
        </w:rPr>
      </w:pPr>
      <w:r w:rsidRPr="00305AEE">
        <w:rPr>
          <w:rStyle w:val="FootnoteReference"/>
          <w:rFonts w:asciiTheme="minorHAnsi" w:hAnsiTheme="minorHAnsi" w:cstheme="minorHAnsi"/>
        </w:rPr>
        <w:footnoteRef/>
      </w:r>
      <w:r w:rsidRPr="00305AEE">
        <w:rPr>
          <w:rFonts w:asciiTheme="minorHAnsi" w:hAnsiTheme="minorHAnsi" w:cstheme="minorHAnsi"/>
        </w:rPr>
        <w:t xml:space="preserve"> Similar to that being proposed for the upcoming Q2 2023 allocation of apparatus licences in the 3.4-4.0 GHz band in remote Australia (ref. pg. 11 of </w:t>
      </w:r>
      <w:hyperlink r:id="rId1" w:history="1">
        <w:r w:rsidRPr="00305AEE">
          <w:rPr>
            <w:rStyle w:val="Hyperlink"/>
            <w:rFonts w:asciiTheme="minorHAnsi" w:hAnsiTheme="minorHAnsi" w:cstheme="minorHAnsi"/>
          </w:rPr>
          <w:t>the consultation paper</w:t>
        </w:r>
      </w:hyperlink>
      <w:r w:rsidRPr="00305AEE">
        <w:rPr>
          <w:rFonts w:asciiTheme="minorHAnsi" w:hAnsiTheme="minorHAnsi" w:cstheme="minorHAnsi"/>
        </w:rPr>
        <w:t>).</w:t>
      </w:r>
    </w:p>
  </w:footnote>
  <w:footnote w:id="7">
    <w:p w14:paraId="297DBE9E" w14:textId="34B2444A" w:rsidR="00271103" w:rsidRDefault="00271103">
      <w:pPr>
        <w:pStyle w:val="FootnoteText"/>
      </w:pPr>
      <w:r>
        <w:rPr>
          <w:rStyle w:val="FootnoteReference"/>
        </w:rPr>
        <w:footnoteRef/>
      </w:r>
      <w:r>
        <w:t xml:space="preserve"> For the full definition of </w:t>
      </w:r>
      <w:r w:rsidR="004E2D71">
        <w:t>‘arrangement, agreement or understanding</w:t>
      </w:r>
      <w:r w:rsidR="00786AF2">
        <w:t xml:space="preserve">’ refer to the draft </w:t>
      </w:r>
      <w:r w:rsidR="00B91A6E" w:rsidRPr="00FE69BE">
        <w:t xml:space="preserve">Radiocommunications (Limitation of Authorisation of </w:t>
      </w:r>
      <w:r w:rsidR="00B469F2" w:rsidRPr="00FE69BE">
        <w:t>Third-Party</w:t>
      </w:r>
      <w:r w:rsidR="00B91A6E" w:rsidRPr="00FE69BE">
        <w:t xml:space="preserve"> Users and Transfer of Area-Wide </w:t>
      </w:r>
      <w:r w:rsidR="002C75E5" w:rsidRPr="00FE69BE">
        <w:t>Licences) Determination 202</w:t>
      </w:r>
      <w:r w:rsidR="00792686" w:rsidRPr="00FE69BE">
        <w:t>3</w:t>
      </w:r>
      <w:r w:rsidR="002A009A">
        <w:rPr>
          <w:i/>
          <w:iCs/>
        </w:rPr>
        <w:t xml:space="preserve"> </w:t>
      </w:r>
      <w:r w:rsidR="002A009A">
        <w:t>or the</w:t>
      </w:r>
      <w:r w:rsidR="00792686">
        <w:t xml:space="preserve"> </w:t>
      </w:r>
      <w:r w:rsidR="00792686" w:rsidRPr="00B469F2">
        <w:t>draft</w:t>
      </w:r>
      <w:r w:rsidR="002A009A" w:rsidRPr="00B469F2">
        <w:t xml:space="preserve"> </w:t>
      </w:r>
      <w:r w:rsidR="002A009A" w:rsidRPr="00FE69BE">
        <w:t>Radiocommunications (Area</w:t>
      </w:r>
      <w:r w:rsidR="00F36742" w:rsidRPr="00FE69BE">
        <w:t>-Wide Licence Allocation Limits) Determination 2023</w:t>
      </w:r>
      <w:r w:rsidR="00346757" w:rsidRPr="00B469F2">
        <w:t xml:space="preserve"> provided</w:t>
      </w:r>
      <w:r w:rsidR="00346757">
        <w:t xml:space="preserve"> as part of this consultation.</w:t>
      </w:r>
    </w:p>
  </w:footnote>
  <w:footnote w:id="8">
    <w:p w14:paraId="6A31044B" w14:textId="3EA5D1DC" w:rsidR="00D812E1" w:rsidRDefault="00D812E1">
      <w:pPr>
        <w:pStyle w:val="FootnoteText"/>
      </w:pPr>
      <w:r>
        <w:rPr>
          <w:rStyle w:val="FootnoteReference"/>
        </w:rPr>
        <w:footnoteRef/>
      </w:r>
      <w:r>
        <w:t xml:space="preserve"> </w:t>
      </w:r>
      <w:r w:rsidRPr="00D812E1">
        <w:t xml:space="preserve">Where other apparatus licence types are permitted in the 3.4-4.0 GHz range, the existing tax arrangements are detailed in the </w:t>
      </w:r>
      <w:r w:rsidR="00DD6ACF" w:rsidRPr="00FE69BE">
        <w:t xml:space="preserve">Radiocommunications (Transmitter Licence Tax) Determination 2015 </w:t>
      </w:r>
      <w:r w:rsidR="00DD6ACF" w:rsidRPr="00DD2E69">
        <w:t>and</w:t>
      </w:r>
      <w:r w:rsidR="00DD6ACF">
        <w:t xml:space="preserve"> the </w:t>
      </w:r>
      <w:r w:rsidRPr="00D812E1">
        <w:t>apparatus licence fee schedule.</w:t>
      </w:r>
      <w:r w:rsidR="00E5028F">
        <w:t xml:space="preserve"> We are not proposing changes to the arrangements for those licences.</w:t>
      </w:r>
    </w:p>
  </w:footnote>
  <w:footnote w:id="9">
    <w:p w14:paraId="3856785A" w14:textId="04223A1B" w:rsidR="00094811" w:rsidRDefault="00094811" w:rsidP="00094811">
      <w:pPr>
        <w:pStyle w:val="FootnoteText"/>
        <w:rPr>
          <w:highlight w:val="yellow"/>
        </w:rPr>
      </w:pPr>
      <w:r>
        <w:rPr>
          <w:rStyle w:val="FootnoteReference"/>
        </w:rPr>
        <w:footnoteRef/>
      </w:r>
      <w:r>
        <w:t xml:space="preserve"> </w:t>
      </w:r>
      <w:r w:rsidRPr="006D48DE">
        <w:t>The HCIS is the system used to define geographic areas for radiocommunications licensing and is based on the Australian Spectrum Map Grid (ASMG</w:t>
      </w:r>
      <w:r>
        <w:t>).</w:t>
      </w:r>
      <w:r w:rsidRPr="00B1357C">
        <w:t xml:space="preserve"> HCIS is a naming convention developed by the ACMA that applies unique ‘names’ to each of the cells that make up the Australian Spectrum Map Grid (ASMG)</w:t>
      </w:r>
      <w:r w:rsidR="00451F62">
        <w:t>. M</w:t>
      </w:r>
      <w:r w:rsidRPr="00B1357C">
        <w:t xml:space="preserve">ore information is on </w:t>
      </w:r>
      <w:r w:rsidR="00451F62">
        <w:t xml:space="preserve">our </w:t>
      </w:r>
      <w:r w:rsidRPr="000276A8">
        <w:t>website</w:t>
      </w:r>
      <w:r w:rsidR="00451F62">
        <w:t>:</w:t>
      </w:r>
      <w:r w:rsidRPr="000276A8">
        <w:t xml:space="preserve"> </w:t>
      </w:r>
      <w:hyperlink r:id="rId2" w:history="1">
        <w:r w:rsidR="00820760" w:rsidRPr="00820760">
          <w:rPr>
            <w:rStyle w:val="Hyperlink"/>
          </w:rPr>
          <w:t>https://www.acma.gov.au/australian-spectrum-map-grid</w:t>
        </w:r>
      </w:hyperlink>
      <w:r w:rsidR="00451F62" w:rsidRPr="00AC7BEA">
        <w:rPr>
          <w:rStyle w:val="Hyperlink"/>
          <w:color w:val="auto"/>
          <w:u w:val="none"/>
        </w:rPr>
        <w:t>.</w:t>
      </w:r>
    </w:p>
  </w:footnote>
  <w:footnote w:id="10">
    <w:p w14:paraId="29CA3C06" w14:textId="0DF893A9" w:rsidR="00450DB9" w:rsidRDefault="00450DB9">
      <w:pPr>
        <w:pStyle w:val="FootnoteText"/>
      </w:pPr>
      <w:r>
        <w:rPr>
          <w:rStyle w:val="FootnoteReference"/>
        </w:rPr>
        <w:footnoteRef/>
      </w:r>
      <w:r>
        <w:t xml:space="preserve"> See </w:t>
      </w:r>
      <w:hyperlink r:id="rId3" w:history="1">
        <w:r w:rsidR="00966DC1" w:rsidRPr="00EF18EC">
          <w:rPr>
            <w:rStyle w:val="Hyperlink"/>
          </w:rPr>
          <w:t>Hierarchical Cell Identification Cell Identification Scheme (HCIS) - List of Population Data</w:t>
        </w:r>
      </w:hyperlink>
      <w:r w:rsidR="00966DC1">
        <w:t xml:space="preserve"> document. </w:t>
      </w:r>
      <w:r w:rsidR="00613ABC">
        <w:t xml:space="preserve">  </w:t>
      </w:r>
    </w:p>
  </w:footnote>
  <w:footnote w:id="11">
    <w:p w14:paraId="6853DE0C" w14:textId="0C094709" w:rsidR="00094811" w:rsidRDefault="00094811" w:rsidP="00094811">
      <w:pPr>
        <w:pStyle w:val="FootnoteText"/>
      </w:pPr>
      <w:r>
        <w:rPr>
          <w:rStyle w:val="FootnoteReference"/>
        </w:rPr>
        <w:footnoteRef/>
      </w:r>
      <w:r>
        <w:t xml:space="preserve"> The taxation arrangements for PMTS Class B licences that use the $/MHz/Pop pricing construct assume a population from at least an HCIS 2 cell. If more than one HCIS 2 cell is </w:t>
      </w:r>
      <w:r w:rsidR="004A0FFD">
        <w:t>authorised,</w:t>
      </w:r>
      <w:r>
        <w:t xml:space="preserve"> then the populations from those cells are added together to estimate the population in the tax calculation. HCIS 2 cells are larger than HCIS 0 cells, which are the proposed minimum for AWLs</w:t>
      </w:r>
      <w:r w:rsidR="00F50CBC">
        <w:t xml:space="preserve"> and AWLs rx</w:t>
      </w:r>
      <w:r>
        <w:t xml:space="preserve"> in the 3</w:t>
      </w:r>
      <w:r w:rsidR="00770C10">
        <w:t>.</w:t>
      </w:r>
      <w:r w:rsidR="00DB06EE">
        <w:t>8</w:t>
      </w:r>
      <w:r w:rsidR="00942E86">
        <w:t xml:space="preserve"> </w:t>
      </w:r>
      <w:r w:rsidR="00770C10">
        <w:t xml:space="preserve">GHz </w:t>
      </w:r>
      <w:r>
        <w:t>band.</w:t>
      </w:r>
    </w:p>
  </w:footnote>
  <w:footnote w:id="12">
    <w:p w14:paraId="7CF6670D" w14:textId="5AF6D592" w:rsidR="006C68E2" w:rsidRDefault="006C68E2">
      <w:pPr>
        <w:pStyle w:val="FootnoteText"/>
      </w:pPr>
      <w:r>
        <w:rPr>
          <w:rStyle w:val="FootnoteReference"/>
        </w:rPr>
        <w:footnoteRef/>
      </w:r>
      <w:r>
        <w:t xml:space="preserve"> </w:t>
      </w:r>
      <w:r w:rsidR="002D6929">
        <w:t>A</w:t>
      </w:r>
      <w:r w:rsidRPr="006C68E2">
        <w:t>pproximately 1.8 km × 1.8 km</w:t>
      </w:r>
      <w:r>
        <w:t>.</w:t>
      </w:r>
    </w:p>
  </w:footnote>
  <w:footnote w:id="13">
    <w:p w14:paraId="1734BB93" w14:textId="2ECB71A4" w:rsidR="00D8404F" w:rsidRDefault="00D8404F">
      <w:pPr>
        <w:pStyle w:val="FootnoteText"/>
      </w:pPr>
      <w:r>
        <w:rPr>
          <w:rStyle w:val="FootnoteReference"/>
        </w:rPr>
        <w:footnoteRef/>
      </w:r>
      <w:r>
        <w:t xml:space="preserve"> </w:t>
      </w:r>
      <w:r w:rsidR="00C42881">
        <w:t>E</w:t>
      </w:r>
      <w:r w:rsidR="00C42881" w:rsidRPr="00721664">
        <w:t xml:space="preserve">quivalent </w:t>
      </w:r>
      <w:r w:rsidR="00721664" w:rsidRPr="00721664">
        <w:t>to 25 HCIS 0 cells</w:t>
      </w:r>
      <w:r w:rsidR="00906D12">
        <w:t xml:space="preserve">, </w:t>
      </w:r>
      <w:r w:rsidR="00DD2E69">
        <w:t xml:space="preserve">approximately </w:t>
      </w:r>
      <w:r w:rsidR="00DD2E69" w:rsidRPr="00484025">
        <w:t>9</w:t>
      </w:r>
      <w:r w:rsidR="00484025" w:rsidRPr="00484025">
        <w:t>.25km x 9.25km</w:t>
      </w:r>
      <w:r w:rsidR="00484025">
        <w:t>.</w:t>
      </w:r>
      <w:r w:rsidR="00484025" w:rsidRPr="00484025">
        <w:t xml:space="preserve"> </w:t>
      </w:r>
    </w:p>
  </w:footnote>
  <w:footnote w:id="14">
    <w:p w14:paraId="7DE00804" w14:textId="19959647" w:rsidR="00721664" w:rsidRDefault="00721664">
      <w:pPr>
        <w:pStyle w:val="FootnoteText"/>
      </w:pPr>
      <w:r>
        <w:rPr>
          <w:rStyle w:val="FootnoteReference"/>
        </w:rPr>
        <w:footnoteRef/>
      </w:r>
      <w:r>
        <w:t xml:space="preserve"> </w:t>
      </w:r>
      <w:r w:rsidR="00C42881">
        <w:t>E</w:t>
      </w:r>
      <w:r w:rsidR="00C42881" w:rsidRPr="00721664">
        <w:t xml:space="preserve">quivalent </w:t>
      </w:r>
      <w:r w:rsidRPr="00721664">
        <w:t>to 225 HCIS 0 cells</w:t>
      </w:r>
      <w:r w:rsidR="00484025">
        <w:t xml:space="preserve">, </w:t>
      </w:r>
      <w:r w:rsidR="00E754E9">
        <w:t xml:space="preserve">approximately </w:t>
      </w:r>
      <w:r w:rsidR="00E754E9" w:rsidRPr="00E754E9">
        <w:t>27.75km x 27.75km</w:t>
      </w:r>
      <w:r w:rsidR="00E754E9">
        <w:t>.</w:t>
      </w:r>
    </w:p>
  </w:footnote>
  <w:footnote w:id="15">
    <w:p w14:paraId="477B0A39" w14:textId="1F99DF88" w:rsidR="00E754E9" w:rsidRDefault="00E754E9">
      <w:pPr>
        <w:pStyle w:val="FootnoteText"/>
      </w:pPr>
      <w:r>
        <w:rPr>
          <w:rStyle w:val="FootnoteReference"/>
        </w:rPr>
        <w:footnoteRef/>
      </w:r>
      <w:r>
        <w:t xml:space="preserve"> </w:t>
      </w:r>
      <w:r w:rsidR="00FE17AF">
        <w:t>E</w:t>
      </w:r>
      <w:r w:rsidR="00FE17AF" w:rsidRPr="00721664">
        <w:t xml:space="preserve">quivalent to </w:t>
      </w:r>
      <w:r w:rsidR="001554AB">
        <w:t>3600</w:t>
      </w:r>
      <w:r w:rsidR="00FE17AF" w:rsidRPr="00721664">
        <w:t xml:space="preserve"> HCIS 0 cells</w:t>
      </w:r>
      <w:r w:rsidR="00FE17AF">
        <w:t>, approximately</w:t>
      </w:r>
      <w:r w:rsidR="00A11806">
        <w:t xml:space="preserve">, </w:t>
      </w:r>
      <w:r w:rsidR="00A11806" w:rsidRPr="00A11806">
        <w:t>111km x 111km</w:t>
      </w:r>
      <w:r w:rsidR="00A11806">
        <w:t>.</w:t>
      </w:r>
    </w:p>
  </w:footnote>
  <w:footnote w:id="16">
    <w:p w14:paraId="5E0CB305" w14:textId="14E02E41" w:rsidR="00721664" w:rsidRDefault="00721664">
      <w:pPr>
        <w:pStyle w:val="FootnoteText"/>
      </w:pPr>
      <w:r>
        <w:rPr>
          <w:rStyle w:val="FootnoteReference"/>
        </w:rPr>
        <w:footnoteRef/>
      </w:r>
      <w:r>
        <w:t xml:space="preserve"> </w:t>
      </w:r>
      <w:r w:rsidR="00C42881">
        <w:t>E</w:t>
      </w:r>
      <w:r w:rsidR="00C42881" w:rsidRPr="00721664">
        <w:t xml:space="preserve">quivalent </w:t>
      </w:r>
      <w:r w:rsidRPr="00721664">
        <w:t xml:space="preserve">to </w:t>
      </w:r>
      <w:r w:rsidR="001554AB">
        <w:t>32400</w:t>
      </w:r>
      <w:r w:rsidRPr="00721664">
        <w:t xml:space="preserve"> HCIS 0 cells</w:t>
      </w:r>
      <w:r w:rsidR="00FE17AF">
        <w:t>, approximately</w:t>
      </w:r>
      <w:r w:rsidR="00397D9F">
        <w:t xml:space="preserve">, </w:t>
      </w:r>
      <w:r w:rsidR="00397D9F" w:rsidRPr="00397D9F">
        <w:t>333km x 333km</w:t>
      </w:r>
      <w:r w:rsidR="00397D9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5AD82" w14:textId="77777777" w:rsidR="00793F6C" w:rsidRPr="00A5474E" w:rsidRDefault="2AAE4496" w:rsidP="00A5474E">
    <w:pPr>
      <w:pStyle w:val="Header"/>
    </w:pPr>
    <w:r>
      <w:rPr>
        <w:noProof/>
      </w:rPr>
      <w:drawing>
        <wp:inline distT="0" distB="0" distL="0" distR="0" wp14:anchorId="0A8669D5" wp14:editId="689F43C8">
          <wp:extent cx="6210298" cy="571134"/>
          <wp:effectExtent l="0" t="0" r="0" b="0"/>
          <wp:docPr id="1067435785" name="Picture 1067435785" descr="AC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6210298" cy="57113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06508" w14:textId="77777777" w:rsidR="00793F6C" w:rsidRPr="00A5474E" w:rsidRDefault="00793F6C" w:rsidP="00594E9C">
    <w:pPr>
      <w:pStyle w:val="TOCHeading"/>
    </w:pPr>
    <w:r w:rsidRPr="0029593B">
      <w:t>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A3919" w14:textId="77777777" w:rsidR="00793F6C" w:rsidRDefault="00793F6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FF7AB" w14:textId="77777777" w:rsidR="00793F6C" w:rsidRDefault="00793F6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678" w:type="dxa"/>
      <w:tblLayout w:type="fixed"/>
      <w:tblCellMar>
        <w:left w:w="0" w:type="dxa"/>
        <w:right w:w="0" w:type="dxa"/>
      </w:tblCellMar>
      <w:tblLook w:val="01E0" w:firstRow="1" w:lastRow="1" w:firstColumn="1" w:lastColumn="1" w:noHBand="0" w:noVBand="0"/>
    </w:tblPr>
    <w:tblGrid>
      <w:gridCol w:w="7678"/>
    </w:tblGrid>
    <w:tr w:rsidR="00793F6C" w14:paraId="3401F9B4" w14:textId="77777777" w:rsidTr="00FB12EB">
      <w:trPr>
        <w:trHeight w:hRule="exact" w:val="988"/>
      </w:trPr>
      <w:tc>
        <w:tcPr>
          <w:tcW w:w="7678" w:type="dxa"/>
          <w:shd w:val="clear" w:color="auto" w:fill="auto"/>
        </w:tcPr>
        <w:p w14:paraId="06F9B0D8" w14:textId="77777777" w:rsidR="00793F6C" w:rsidRDefault="00793F6C" w:rsidP="00971914">
          <w:pPr>
            <w:pStyle w:val="Header"/>
          </w:pPr>
        </w:p>
      </w:tc>
    </w:tr>
    <w:tr w:rsidR="00793F6C" w14:paraId="72243DE8" w14:textId="77777777" w:rsidTr="00FB12EB">
      <w:tc>
        <w:tcPr>
          <w:tcW w:w="7678" w:type="dxa"/>
          <w:shd w:val="clear" w:color="auto" w:fill="auto"/>
        </w:tcPr>
        <w:p w14:paraId="4AD540D0" w14:textId="77777777" w:rsidR="00793F6C" w:rsidRDefault="00793F6C" w:rsidP="00971914">
          <w:pPr>
            <w:pStyle w:val="GridTable31"/>
          </w:pPr>
          <w:r>
            <w:t xml:space="preserve">Contents </w:t>
          </w:r>
          <w:r w:rsidRPr="00915B1C">
            <w:rPr>
              <w:b w:val="0"/>
              <w:spacing w:val="0"/>
              <w:sz w:val="28"/>
              <w:szCs w:val="28"/>
            </w:rPr>
            <w:t>(Continued)</w:t>
          </w:r>
        </w:p>
      </w:tc>
    </w:tr>
    <w:tr w:rsidR="00793F6C" w14:paraId="72E3B8D3" w14:textId="77777777" w:rsidTr="00FB12EB">
      <w:trPr>
        <w:trHeight w:val="1220"/>
      </w:trPr>
      <w:tc>
        <w:tcPr>
          <w:tcW w:w="7678" w:type="dxa"/>
          <w:shd w:val="clear" w:color="auto" w:fill="auto"/>
        </w:tcPr>
        <w:p w14:paraId="7367DF05" w14:textId="77777777" w:rsidR="00793F6C" w:rsidRDefault="00793F6C" w:rsidP="00971914"/>
      </w:tc>
    </w:tr>
  </w:tbl>
  <w:p w14:paraId="25367A27" w14:textId="77777777" w:rsidR="00793F6C" w:rsidRDefault="00793F6C" w:rsidP="0097191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678" w:type="dxa"/>
      <w:tblLayout w:type="fixed"/>
      <w:tblCellMar>
        <w:left w:w="0" w:type="dxa"/>
        <w:right w:w="0" w:type="dxa"/>
      </w:tblCellMar>
      <w:tblLook w:val="01E0" w:firstRow="1" w:lastRow="1" w:firstColumn="1" w:lastColumn="1" w:noHBand="0" w:noVBand="0"/>
    </w:tblPr>
    <w:tblGrid>
      <w:gridCol w:w="7678"/>
    </w:tblGrid>
    <w:tr w:rsidR="00793F6C" w14:paraId="56FDD8B0" w14:textId="77777777" w:rsidTr="00FB12EB">
      <w:trPr>
        <w:trHeight w:hRule="exact" w:val="988"/>
      </w:trPr>
      <w:tc>
        <w:tcPr>
          <w:tcW w:w="7678" w:type="dxa"/>
          <w:shd w:val="clear" w:color="auto" w:fill="auto"/>
        </w:tcPr>
        <w:p w14:paraId="2BD9A0E2" w14:textId="77777777" w:rsidR="00793F6C" w:rsidRDefault="00793F6C" w:rsidP="00971914">
          <w:pPr>
            <w:pStyle w:val="Header"/>
          </w:pPr>
        </w:p>
      </w:tc>
    </w:tr>
    <w:tr w:rsidR="00793F6C" w14:paraId="2C1F2901" w14:textId="77777777" w:rsidTr="00FB12EB">
      <w:tc>
        <w:tcPr>
          <w:tcW w:w="7678" w:type="dxa"/>
          <w:shd w:val="clear" w:color="auto" w:fill="auto"/>
        </w:tcPr>
        <w:p w14:paraId="636EC8ED" w14:textId="77777777" w:rsidR="00793F6C" w:rsidRDefault="00793F6C" w:rsidP="00971914">
          <w:pPr>
            <w:pStyle w:val="GridTable31"/>
          </w:pPr>
          <w:r>
            <w:t xml:space="preserve">Contents </w:t>
          </w:r>
          <w:r w:rsidRPr="00915B1C">
            <w:rPr>
              <w:b w:val="0"/>
              <w:spacing w:val="0"/>
              <w:sz w:val="28"/>
              <w:szCs w:val="28"/>
            </w:rPr>
            <w:t>(Continued)</w:t>
          </w:r>
        </w:p>
      </w:tc>
    </w:tr>
    <w:tr w:rsidR="00793F6C" w14:paraId="185BFB25" w14:textId="77777777" w:rsidTr="00FB12EB">
      <w:trPr>
        <w:trHeight w:val="1220"/>
      </w:trPr>
      <w:tc>
        <w:tcPr>
          <w:tcW w:w="7678" w:type="dxa"/>
          <w:shd w:val="clear" w:color="auto" w:fill="auto"/>
        </w:tcPr>
        <w:p w14:paraId="4274DD56" w14:textId="77777777" w:rsidR="00793F6C" w:rsidRDefault="00793F6C" w:rsidP="00971914"/>
      </w:tc>
    </w:tr>
  </w:tbl>
  <w:p w14:paraId="1BBE782F" w14:textId="77777777" w:rsidR="00793F6C" w:rsidRPr="00A5474E" w:rsidRDefault="00793F6C" w:rsidP="00A5474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D0761" w14:textId="77777777" w:rsidR="00793F6C" w:rsidRDefault="00793F6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7882D" w14:textId="77777777" w:rsidR="00793F6C" w:rsidRDefault="00793F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5F22F60"/>
    <w:lvl w:ilvl="0">
      <w:start w:val="1"/>
      <w:numFmt w:val="lowerRoman"/>
      <w:pStyle w:val="ListNumber2"/>
      <w:lvlText w:val="%1."/>
      <w:lvlJc w:val="right"/>
      <w:pPr>
        <w:ind w:left="717" w:hanging="360"/>
      </w:pPr>
      <w:rPr>
        <w:rFonts w:hint="default"/>
      </w:rPr>
    </w:lvl>
  </w:abstractNum>
  <w:abstractNum w:abstractNumId="1" w15:restartNumberingAfterBreak="0">
    <w:nsid w:val="FFFFFF83"/>
    <w:multiLevelType w:val="singleLevel"/>
    <w:tmpl w:val="8D7A0C3A"/>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2" w15:restartNumberingAfterBreak="0">
    <w:nsid w:val="FFFFFF88"/>
    <w:multiLevelType w:val="singleLevel"/>
    <w:tmpl w:val="5FCEBB56"/>
    <w:lvl w:ilvl="0">
      <w:start w:val="1"/>
      <w:numFmt w:val="decimal"/>
      <w:lvlText w:val="%1."/>
      <w:lvlJc w:val="left"/>
      <w:pPr>
        <w:ind w:left="360" w:hanging="360"/>
      </w:pPr>
      <w:rPr>
        <w:rFonts w:hint="default"/>
        <w:b w:val="0"/>
        <w:bCs/>
        <w:caps/>
        <w:sz w:val="20"/>
      </w:rPr>
    </w:lvl>
  </w:abstractNum>
  <w:abstractNum w:abstractNumId="3" w15:restartNumberingAfterBreak="0">
    <w:nsid w:val="FFFFFF89"/>
    <w:multiLevelType w:val="singleLevel"/>
    <w:tmpl w:val="E21E3950"/>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4" w15:restartNumberingAfterBreak="0">
    <w:nsid w:val="04266477"/>
    <w:multiLevelType w:val="hybridMultilevel"/>
    <w:tmpl w:val="28327ADC"/>
    <w:lvl w:ilvl="0" w:tplc="0C090001">
      <w:start w:val="1"/>
      <w:numFmt w:val="bullet"/>
      <w:lvlText w:val=""/>
      <w:lvlJc w:val="left"/>
      <w:pPr>
        <w:ind w:left="360" w:hanging="360"/>
      </w:pPr>
      <w:rPr>
        <w:rFonts w:ascii="Symbol" w:hAnsi="Symbol" w:hint="default"/>
        <w:b w:val="0"/>
        <w:bCs w:val="0"/>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 w15:restartNumberingAfterBreak="0">
    <w:nsid w:val="04B53B8A"/>
    <w:multiLevelType w:val="hybridMultilevel"/>
    <w:tmpl w:val="D430E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7C1231"/>
    <w:multiLevelType w:val="hybridMultilevel"/>
    <w:tmpl w:val="9F60CF24"/>
    <w:lvl w:ilvl="0" w:tplc="39886E8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5E84320"/>
    <w:multiLevelType w:val="hybridMultilevel"/>
    <w:tmpl w:val="CCEAC41E"/>
    <w:lvl w:ilvl="0" w:tplc="0C09000F">
      <w:start w:val="1"/>
      <w:numFmt w:val="decimal"/>
      <w:lvlText w:val="%1."/>
      <w:lvlJc w:val="left"/>
      <w:pPr>
        <w:ind w:left="773" w:hanging="360"/>
      </w:pPr>
    </w:lvl>
    <w:lvl w:ilvl="1" w:tplc="0C090019" w:tentative="1">
      <w:start w:val="1"/>
      <w:numFmt w:val="lowerLetter"/>
      <w:lvlText w:val="%2."/>
      <w:lvlJc w:val="left"/>
      <w:pPr>
        <w:ind w:left="1493" w:hanging="360"/>
      </w:pPr>
    </w:lvl>
    <w:lvl w:ilvl="2" w:tplc="0C09001B" w:tentative="1">
      <w:start w:val="1"/>
      <w:numFmt w:val="lowerRoman"/>
      <w:lvlText w:val="%3."/>
      <w:lvlJc w:val="right"/>
      <w:pPr>
        <w:ind w:left="2213" w:hanging="180"/>
      </w:pPr>
    </w:lvl>
    <w:lvl w:ilvl="3" w:tplc="0C09000F" w:tentative="1">
      <w:start w:val="1"/>
      <w:numFmt w:val="decimal"/>
      <w:lvlText w:val="%4."/>
      <w:lvlJc w:val="left"/>
      <w:pPr>
        <w:ind w:left="2933" w:hanging="360"/>
      </w:pPr>
    </w:lvl>
    <w:lvl w:ilvl="4" w:tplc="0C090019" w:tentative="1">
      <w:start w:val="1"/>
      <w:numFmt w:val="lowerLetter"/>
      <w:lvlText w:val="%5."/>
      <w:lvlJc w:val="left"/>
      <w:pPr>
        <w:ind w:left="3653" w:hanging="360"/>
      </w:pPr>
    </w:lvl>
    <w:lvl w:ilvl="5" w:tplc="0C09001B" w:tentative="1">
      <w:start w:val="1"/>
      <w:numFmt w:val="lowerRoman"/>
      <w:lvlText w:val="%6."/>
      <w:lvlJc w:val="right"/>
      <w:pPr>
        <w:ind w:left="4373" w:hanging="180"/>
      </w:pPr>
    </w:lvl>
    <w:lvl w:ilvl="6" w:tplc="0C09000F" w:tentative="1">
      <w:start w:val="1"/>
      <w:numFmt w:val="decimal"/>
      <w:lvlText w:val="%7."/>
      <w:lvlJc w:val="left"/>
      <w:pPr>
        <w:ind w:left="5093" w:hanging="360"/>
      </w:pPr>
    </w:lvl>
    <w:lvl w:ilvl="7" w:tplc="0C090019" w:tentative="1">
      <w:start w:val="1"/>
      <w:numFmt w:val="lowerLetter"/>
      <w:lvlText w:val="%8."/>
      <w:lvlJc w:val="left"/>
      <w:pPr>
        <w:ind w:left="5813" w:hanging="360"/>
      </w:pPr>
    </w:lvl>
    <w:lvl w:ilvl="8" w:tplc="0C09001B" w:tentative="1">
      <w:start w:val="1"/>
      <w:numFmt w:val="lowerRoman"/>
      <w:lvlText w:val="%9."/>
      <w:lvlJc w:val="right"/>
      <w:pPr>
        <w:ind w:left="6533" w:hanging="180"/>
      </w:pPr>
    </w:lvl>
  </w:abstractNum>
  <w:abstractNum w:abstractNumId="8" w15:restartNumberingAfterBreak="0">
    <w:nsid w:val="08A01B1D"/>
    <w:multiLevelType w:val="hybridMultilevel"/>
    <w:tmpl w:val="A2D2D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9DA214C"/>
    <w:multiLevelType w:val="hybridMultilevel"/>
    <w:tmpl w:val="1B4EFD24"/>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15:restartNumberingAfterBreak="0">
    <w:nsid w:val="0AC84550"/>
    <w:multiLevelType w:val="hybridMultilevel"/>
    <w:tmpl w:val="59265C12"/>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0AD54542"/>
    <w:multiLevelType w:val="hybridMultilevel"/>
    <w:tmpl w:val="2C089F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BA61A80"/>
    <w:multiLevelType w:val="hybridMultilevel"/>
    <w:tmpl w:val="97762344"/>
    <w:lvl w:ilvl="0" w:tplc="9CD2D3DA">
      <w:start w:val="1"/>
      <w:numFmt w:val="bullet"/>
      <w:lvlText w:val="&gt;"/>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BC23E4A"/>
    <w:multiLevelType w:val="hybridMultilevel"/>
    <w:tmpl w:val="9170DA08"/>
    <w:lvl w:ilvl="0" w:tplc="FB6E5FD4">
      <w:start w:val="1"/>
      <w:numFmt w:val="bullet"/>
      <w:lvlText w:val="×"/>
      <w:lvlJc w:val="left"/>
      <w:pPr>
        <w:ind w:left="360" w:hanging="360"/>
      </w:pPr>
      <w:rPr>
        <w:rFonts w:ascii="Calibri" w:hAnsi="Calibri" w:hint="default"/>
        <w:b/>
        <w:bC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C6E05CE"/>
    <w:multiLevelType w:val="hybridMultilevel"/>
    <w:tmpl w:val="5CF206DA"/>
    <w:lvl w:ilvl="0" w:tplc="DEF4F7CC">
      <w:start w:val="1"/>
      <w:numFmt w:val="decimal"/>
      <w:lvlText w:val="%1."/>
      <w:lvlJc w:val="left"/>
      <w:pPr>
        <w:ind w:left="360" w:hanging="360"/>
      </w:pPr>
      <w:rPr>
        <w:rFonts w:ascii="Arial" w:hAnsi="Arial" w:cs="Arial" w:hint="default"/>
        <w:b w:val="0"/>
        <w:bCs w:val="0"/>
        <w:i w:val="0"/>
        <w:iCs w:val="0"/>
        <w:sz w:val="22"/>
        <w:szCs w:val="22"/>
      </w:rPr>
    </w:lvl>
    <w:lvl w:ilvl="1" w:tplc="6EC058B2">
      <w:start w:val="1"/>
      <w:numFmt w:val="bullet"/>
      <w:lvlText w:val=""/>
      <w:lvlJc w:val="left"/>
      <w:pPr>
        <w:ind w:left="1080" w:hanging="360"/>
      </w:pPr>
      <w:rPr>
        <w:rFonts w:ascii="Symbol" w:hAnsi="Symbol" w:hint="default"/>
        <w:b w:val="0"/>
        <w:bCs w:val="0"/>
      </w:rPr>
    </w:lvl>
    <w:lvl w:ilvl="2" w:tplc="0C090001">
      <w:start w:val="1"/>
      <w:numFmt w:val="bullet"/>
      <w:lvlText w:val=""/>
      <w:lvlJc w:val="left"/>
      <w:pPr>
        <w:ind w:left="1800" w:hanging="180"/>
      </w:pPr>
      <w:rPr>
        <w:rFonts w:ascii="Symbol" w:hAnsi="Symbol"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0CAF48B3"/>
    <w:multiLevelType w:val="hybridMultilevel"/>
    <w:tmpl w:val="1B4EFD2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 w15:restartNumberingAfterBreak="0">
    <w:nsid w:val="0D4B3B5C"/>
    <w:multiLevelType w:val="multilevel"/>
    <w:tmpl w:val="FFAAC3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0DD2542B"/>
    <w:multiLevelType w:val="hybridMultilevel"/>
    <w:tmpl w:val="1FDE067C"/>
    <w:lvl w:ilvl="0" w:tplc="FFFAA1D6">
      <w:start w:val="1"/>
      <w:numFmt w:val="decimal"/>
      <w:lvlText w:val="%1."/>
      <w:lvlJc w:val="left"/>
      <w:pPr>
        <w:ind w:left="340" w:hanging="34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8" w15:restartNumberingAfterBreak="0">
    <w:nsid w:val="0EC42CE9"/>
    <w:multiLevelType w:val="hybridMultilevel"/>
    <w:tmpl w:val="5D840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F2105E3"/>
    <w:multiLevelType w:val="hybridMultilevel"/>
    <w:tmpl w:val="2D301950"/>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1151123"/>
    <w:multiLevelType w:val="hybridMultilevel"/>
    <w:tmpl w:val="1D662C8C"/>
    <w:lvl w:ilvl="0" w:tplc="32B0ED7C">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67A7076"/>
    <w:multiLevelType w:val="hybridMultilevel"/>
    <w:tmpl w:val="FC5E6E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74C6C14"/>
    <w:multiLevelType w:val="hybridMultilevel"/>
    <w:tmpl w:val="FD02F3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C80117E"/>
    <w:multiLevelType w:val="hybridMultilevel"/>
    <w:tmpl w:val="A44A4ACA"/>
    <w:lvl w:ilvl="0" w:tplc="6EC058B2">
      <w:start w:val="1"/>
      <w:numFmt w:val="bullet"/>
      <w:lvlText w:val=""/>
      <w:lvlJc w:val="left"/>
      <w:pPr>
        <w:ind w:left="720" w:hanging="360"/>
      </w:pPr>
      <w:rPr>
        <w:rFonts w:ascii="Symbol" w:hAnsi="Symbol" w:hint="default"/>
        <w:b w:val="0"/>
        <w:bCs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2AE13C1"/>
    <w:multiLevelType w:val="hybridMultilevel"/>
    <w:tmpl w:val="80301B90"/>
    <w:lvl w:ilvl="0" w:tplc="32B0ED7C">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4657E62"/>
    <w:multiLevelType w:val="hybridMultilevel"/>
    <w:tmpl w:val="89A26F5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5D22BB4"/>
    <w:multiLevelType w:val="hybridMultilevel"/>
    <w:tmpl w:val="40DC9252"/>
    <w:lvl w:ilvl="0" w:tplc="99ACEB16">
      <w:start w:val="1"/>
      <w:numFmt w:val="decimal"/>
      <w:pStyle w:val="ListNumber"/>
      <w:lvlText w:val="%1."/>
      <w:lvlJc w:val="left"/>
      <w:pPr>
        <w:ind w:left="360" w:hanging="360"/>
      </w:pPr>
      <w:rPr>
        <w:rFonts w:hint="default"/>
        <w:b w:val="0"/>
        <w:bCs/>
        <w:caps/>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80D367D"/>
    <w:multiLevelType w:val="hybridMultilevel"/>
    <w:tmpl w:val="C7848C6A"/>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81D1869"/>
    <w:multiLevelType w:val="hybridMultilevel"/>
    <w:tmpl w:val="44CCDBB4"/>
    <w:lvl w:ilvl="0" w:tplc="B4DE576E">
      <w:start w:val="1"/>
      <w:numFmt w:val="decimal"/>
      <w:pStyle w:val="ACMANumberedLis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28AB5D6E"/>
    <w:multiLevelType w:val="hybridMultilevel"/>
    <w:tmpl w:val="F11686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B0B0111"/>
    <w:multiLevelType w:val="hybridMultilevel"/>
    <w:tmpl w:val="27CC1EE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2" w15:restartNumberingAfterBreak="0">
    <w:nsid w:val="2F5A5080"/>
    <w:multiLevelType w:val="hybridMultilevel"/>
    <w:tmpl w:val="BE2AF6CE"/>
    <w:lvl w:ilvl="0" w:tplc="D05E2434">
      <w:start w:val="1"/>
      <w:numFmt w:val="bullet"/>
      <w:pStyle w:val="ACMABulletLevel1"/>
      <w:lvlText w:val="●"/>
      <w:lvlJc w:val="left"/>
      <w:pPr>
        <w:ind w:left="357" w:hanging="357"/>
      </w:pPr>
      <w:rPr>
        <w:rFonts w:ascii="Arial" w:hAnsi="Arial" w:cs="Arial" w:hint="default"/>
        <w:sz w:val="20"/>
        <w:szCs w:val="20"/>
      </w:rPr>
    </w:lvl>
    <w:lvl w:ilvl="1" w:tplc="04090003">
      <w:start w:val="1"/>
      <w:numFmt w:val="bullet"/>
      <w:lvlText w:val="o"/>
      <w:lvlJc w:val="left"/>
      <w:pPr>
        <w:tabs>
          <w:tab w:val="num" w:pos="1728"/>
        </w:tabs>
        <w:ind w:left="1728" w:hanging="360"/>
      </w:pPr>
      <w:rPr>
        <w:rFonts w:ascii="Courier New" w:hAnsi="Courier New" w:cs="Times New Roman" w:hint="default"/>
      </w:rPr>
    </w:lvl>
    <w:lvl w:ilvl="2" w:tplc="04090005">
      <w:start w:val="1"/>
      <w:numFmt w:val="bullet"/>
      <w:lvlText w:val=""/>
      <w:lvlJc w:val="left"/>
      <w:pPr>
        <w:tabs>
          <w:tab w:val="num" w:pos="2448"/>
        </w:tabs>
        <w:ind w:left="2448" w:hanging="360"/>
      </w:pPr>
      <w:rPr>
        <w:rFonts w:ascii="Wingdings" w:hAnsi="Wingdings" w:hint="default"/>
      </w:rPr>
    </w:lvl>
    <w:lvl w:ilvl="3" w:tplc="04090001">
      <w:start w:val="1"/>
      <w:numFmt w:val="bullet"/>
      <w:lvlText w:val=""/>
      <w:lvlJc w:val="left"/>
      <w:pPr>
        <w:tabs>
          <w:tab w:val="num" w:pos="3168"/>
        </w:tabs>
        <w:ind w:left="3168" w:hanging="360"/>
      </w:pPr>
      <w:rPr>
        <w:rFonts w:ascii="Symbol" w:hAnsi="Symbol" w:hint="default"/>
      </w:rPr>
    </w:lvl>
    <w:lvl w:ilvl="4" w:tplc="04090003">
      <w:start w:val="1"/>
      <w:numFmt w:val="bullet"/>
      <w:lvlText w:val="o"/>
      <w:lvlJc w:val="left"/>
      <w:pPr>
        <w:tabs>
          <w:tab w:val="num" w:pos="3888"/>
        </w:tabs>
        <w:ind w:left="3888" w:hanging="360"/>
      </w:pPr>
      <w:rPr>
        <w:rFonts w:ascii="Courier New" w:hAnsi="Courier New" w:cs="Times New Roman" w:hint="default"/>
      </w:rPr>
    </w:lvl>
    <w:lvl w:ilvl="5" w:tplc="04090005">
      <w:start w:val="1"/>
      <w:numFmt w:val="bullet"/>
      <w:lvlText w:val=""/>
      <w:lvlJc w:val="left"/>
      <w:pPr>
        <w:tabs>
          <w:tab w:val="num" w:pos="4608"/>
        </w:tabs>
        <w:ind w:left="4608" w:hanging="360"/>
      </w:pPr>
      <w:rPr>
        <w:rFonts w:ascii="Wingdings" w:hAnsi="Wingdings" w:hint="default"/>
      </w:rPr>
    </w:lvl>
    <w:lvl w:ilvl="6" w:tplc="04090001">
      <w:start w:val="1"/>
      <w:numFmt w:val="bullet"/>
      <w:lvlText w:val=""/>
      <w:lvlJc w:val="left"/>
      <w:pPr>
        <w:tabs>
          <w:tab w:val="num" w:pos="5328"/>
        </w:tabs>
        <w:ind w:left="5328" w:hanging="360"/>
      </w:pPr>
      <w:rPr>
        <w:rFonts w:ascii="Symbol" w:hAnsi="Symbol" w:hint="default"/>
      </w:rPr>
    </w:lvl>
    <w:lvl w:ilvl="7" w:tplc="04090003">
      <w:start w:val="1"/>
      <w:numFmt w:val="bullet"/>
      <w:lvlText w:val="o"/>
      <w:lvlJc w:val="left"/>
      <w:pPr>
        <w:tabs>
          <w:tab w:val="num" w:pos="6048"/>
        </w:tabs>
        <w:ind w:left="6048" w:hanging="360"/>
      </w:pPr>
      <w:rPr>
        <w:rFonts w:ascii="Courier New" w:hAnsi="Courier New" w:cs="Times New Roman" w:hint="default"/>
      </w:rPr>
    </w:lvl>
    <w:lvl w:ilvl="8" w:tplc="04090005">
      <w:start w:val="1"/>
      <w:numFmt w:val="bullet"/>
      <w:lvlText w:val=""/>
      <w:lvlJc w:val="left"/>
      <w:pPr>
        <w:tabs>
          <w:tab w:val="num" w:pos="6768"/>
        </w:tabs>
        <w:ind w:left="6768" w:hanging="360"/>
      </w:pPr>
      <w:rPr>
        <w:rFonts w:ascii="Wingdings" w:hAnsi="Wingdings" w:hint="default"/>
      </w:rPr>
    </w:lvl>
  </w:abstractNum>
  <w:abstractNum w:abstractNumId="33" w15:restartNumberingAfterBreak="0">
    <w:nsid w:val="31984A5F"/>
    <w:multiLevelType w:val="hybridMultilevel"/>
    <w:tmpl w:val="77100DA0"/>
    <w:lvl w:ilvl="0" w:tplc="AA0E5AD8">
      <w:start w:val="1"/>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34BE2606"/>
    <w:multiLevelType w:val="hybridMultilevel"/>
    <w:tmpl w:val="89A26F52"/>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35CA3658"/>
    <w:multiLevelType w:val="hybridMultilevel"/>
    <w:tmpl w:val="1182F05A"/>
    <w:lvl w:ilvl="0" w:tplc="9CD2D3DA">
      <w:start w:val="1"/>
      <w:numFmt w:val="bullet"/>
      <w:lvlText w:val="&gt;"/>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B783632"/>
    <w:multiLevelType w:val="hybridMultilevel"/>
    <w:tmpl w:val="23249D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CA2593E"/>
    <w:multiLevelType w:val="hybridMultilevel"/>
    <w:tmpl w:val="08BC61E0"/>
    <w:lvl w:ilvl="0" w:tplc="36EC73F8">
      <w:start w:val="1"/>
      <w:numFmt w:val="decimal"/>
      <w:lvlText w:val="%1."/>
      <w:lvlJc w:val="left"/>
      <w:pPr>
        <w:ind w:left="360" w:hanging="360"/>
      </w:pPr>
      <w:rPr>
        <w:b w:val="0"/>
        <w:bCs w:val="0"/>
        <w:i w:val="0"/>
        <w:iCs w:val="0"/>
      </w:rPr>
    </w:lvl>
    <w:lvl w:ilvl="1" w:tplc="6EC058B2">
      <w:start w:val="1"/>
      <w:numFmt w:val="bullet"/>
      <w:lvlText w:val=""/>
      <w:lvlJc w:val="left"/>
      <w:pPr>
        <w:ind w:left="1080" w:hanging="360"/>
      </w:pPr>
      <w:rPr>
        <w:rFonts w:ascii="Symbol" w:hAnsi="Symbol" w:hint="default"/>
        <w:b w:val="0"/>
        <w:bCs w:val="0"/>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3D0237C6"/>
    <w:multiLevelType w:val="hybridMultilevel"/>
    <w:tmpl w:val="E430A218"/>
    <w:lvl w:ilvl="0" w:tplc="9CD2D3DA">
      <w:start w:val="1"/>
      <w:numFmt w:val="bullet"/>
      <w:lvlText w:val="&gt;"/>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D6761DF"/>
    <w:multiLevelType w:val="hybridMultilevel"/>
    <w:tmpl w:val="DA603D9A"/>
    <w:lvl w:ilvl="0" w:tplc="9CD2D3DA">
      <w:start w:val="1"/>
      <w:numFmt w:val="bullet"/>
      <w:lvlText w:val="&gt;"/>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F0975E5"/>
    <w:multiLevelType w:val="hybridMultilevel"/>
    <w:tmpl w:val="601CB11A"/>
    <w:lvl w:ilvl="0" w:tplc="9CD2D3DA">
      <w:start w:val="1"/>
      <w:numFmt w:val="bullet"/>
      <w:lvlText w:val="&gt;"/>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F1013F2"/>
    <w:multiLevelType w:val="hybridMultilevel"/>
    <w:tmpl w:val="298424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0A37FD4"/>
    <w:multiLevelType w:val="hybridMultilevel"/>
    <w:tmpl w:val="37AC43F2"/>
    <w:lvl w:ilvl="0" w:tplc="316A2436">
      <w:start w:val="1"/>
      <w:numFmt w:val="bullet"/>
      <w:lvlText w:val="×"/>
      <w:lvlJc w:val="left"/>
      <w:pPr>
        <w:ind w:left="720" w:hanging="360"/>
      </w:pPr>
      <w:rPr>
        <w:rFonts w:ascii="Calibri" w:hAnsi="Calibri" w:hint="default"/>
        <w:b/>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6CC54BE"/>
    <w:multiLevelType w:val="hybridMultilevel"/>
    <w:tmpl w:val="EB48B36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7D27B5E"/>
    <w:multiLevelType w:val="hybridMultilevel"/>
    <w:tmpl w:val="5B1CD1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97262ED"/>
    <w:multiLevelType w:val="hybridMultilevel"/>
    <w:tmpl w:val="F3BE8B2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A432FB2"/>
    <w:multiLevelType w:val="hybridMultilevel"/>
    <w:tmpl w:val="4A2CFA2C"/>
    <w:lvl w:ilvl="0" w:tplc="1706C00E">
      <w:start w:val="1"/>
      <w:numFmt w:val="bullet"/>
      <w:lvlText w:val=""/>
      <w:lvlJc w:val="left"/>
      <w:pPr>
        <w:ind w:left="947" w:hanging="360"/>
      </w:pPr>
      <w:rPr>
        <w:rFonts w:ascii="Symbol" w:hAnsi="Symbol" w:hint="default"/>
      </w:rPr>
    </w:lvl>
    <w:lvl w:ilvl="1" w:tplc="0C090003">
      <w:start w:val="1"/>
      <w:numFmt w:val="bullet"/>
      <w:lvlText w:val="o"/>
      <w:lvlJc w:val="left"/>
      <w:pPr>
        <w:ind w:left="1667" w:hanging="360"/>
      </w:pPr>
      <w:rPr>
        <w:rFonts w:ascii="Courier New" w:hAnsi="Courier New" w:cs="Courier New" w:hint="default"/>
      </w:rPr>
    </w:lvl>
    <w:lvl w:ilvl="2" w:tplc="0C090005">
      <w:start w:val="1"/>
      <w:numFmt w:val="bullet"/>
      <w:lvlText w:val=""/>
      <w:lvlJc w:val="left"/>
      <w:pPr>
        <w:ind w:left="2387" w:hanging="360"/>
      </w:pPr>
      <w:rPr>
        <w:rFonts w:ascii="Wingdings" w:hAnsi="Wingdings" w:hint="default"/>
      </w:rPr>
    </w:lvl>
    <w:lvl w:ilvl="3" w:tplc="0C090001">
      <w:start w:val="1"/>
      <w:numFmt w:val="bullet"/>
      <w:lvlText w:val=""/>
      <w:lvlJc w:val="left"/>
      <w:pPr>
        <w:ind w:left="3107" w:hanging="360"/>
      </w:pPr>
      <w:rPr>
        <w:rFonts w:ascii="Symbol" w:hAnsi="Symbol" w:hint="default"/>
      </w:rPr>
    </w:lvl>
    <w:lvl w:ilvl="4" w:tplc="0C090003">
      <w:start w:val="1"/>
      <w:numFmt w:val="bullet"/>
      <w:lvlText w:val="o"/>
      <w:lvlJc w:val="left"/>
      <w:pPr>
        <w:ind w:left="3827" w:hanging="360"/>
      </w:pPr>
      <w:rPr>
        <w:rFonts w:ascii="Courier New" w:hAnsi="Courier New" w:cs="Courier New" w:hint="default"/>
      </w:rPr>
    </w:lvl>
    <w:lvl w:ilvl="5" w:tplc="0C090005">
      <w:start w:val="1"/>
      <w:numFmt w:val="bullet"/>
      <w:lvlText w:val=""/>
      <w:lvlJc w:val="left"/>
      <w:pPr>
        <w:ind w:left="4547" w:hanging="360"/>
      </w:pPr>
      <w:rPr>
        <w:rFonts w:ascii="Wingdings" w:hAnsi="Wingdings" w:hint="default"/>
      </w:rPr>
    </w:lvl>
    <w:lvl w:ilvl="6" w:tplc="0C090001">
      <w:start w:val="1"/>
      <w:numFmt w:val="bullet"/>
      <w:lvlText w:val=""/>
      <w:lvlJc w:val="left"/>
      <w:pPr>
        <w:ind w:left="5267" w:hanging="360"/>
      </w:pPr>
      <w:rPr>
        <w:rFonts w:ascii="Symbol" w:hAnsi="Symbol" w:hint="default"/>
      </w:rPr>
    </w:lvl>
    <w:lvl w:ilvl="7" w:tplc="0C090003">
      <w:start w:val="1"/>
      <w:numFmt w:val="bullet"/>
      <w:lvlText w:val="o"/>
      <w:lvlJc w:val="left"/>
      <w:pPr>
        <w:ind w:left="5987" w:hanging="360"/>
      </w:pPr>
      <w:rPr>
        <w:rFonts w:ascii="Courier New" w:hAnsi="Courier New" w:cs="Courier New" w:hint="default"/>
      </w:rPr>
    </w:lvl>
    <w:lvl w:ilvl="8" w:tplc="0C090005">
      <w:start w:val="1"/>
      <w:numFmt w:val="bullet"/>
      <w:lvlText w:val=""/>
      <w:lvlJc w:val="left"/>
      <w:pPr>
        <w:ind w:left="6707" w:hanging="360"/>
      </w:pPr>
      <w:rPr>
        <w:rFonts w:ascii="Wingdings" w:hAnsi="Wingdings" w:hint="default"/>
      </w:rPr>
    </w:lvl>
  </w:abstractNum>
  <w:abstractNum w:abstractNumId="47" w15:restartNumberingAfterBreak="0">
    <w:nsid w:val="4E560BB1"/>
    <w:multiLevelType w:val="hybridMultilevel"/>
    <w:tmpl w:val="49849DD4"/>
    <w:lvl w:ilvl="0" w:tplc="9CD2D3DA">
      <w:start w:val="1"/>
      <w:numFmt w:val="bullet"/>
      <w:lvlText w:val="&gt;"/>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F0245C6"/>
    <w:multiLevelType w:val="hybridMultilevel"/>
    <w:tmpl w:val="E2B26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F6D3EF5"/>
    <w:multiLevelType w:val="hybridMultilevel"/>
    <w:tmpl w:val="F16A326A"/>
    <w:lvl w:ilvl="0" w:tplc="32B0ED7C">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15A2282"/>
    <w:multiLevelType w:val="hybridMultilevel"/>
    <w:tmpl w:val="3418EE14"/>
    <w:lvl w:ilvl="0" w:tplc="030AD3B8">
      <w:start w:val="1"/>
      <w:numFmt w:val="decimal"/>
      <w:lvlText w:val="%1."/>
      <w:lvlJc w:val="left"/>
      <w:pPr>
        <w:ind w:left="720" w:hanging="360"/>
      </w:pPr>
      <w:rPr>
        <w:rFonts w:asciiTheme="minorHAnsi" w:eastAsiaTheme="minorHAnsi" w:hAnsiTheme="minorHAnsi" w:cstheme="minorBid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54382725"/>
    <w:multiLevelType w:val="hybridMultilevel"/>
    <w:tmpl w:val="CFCEAB50"/>
    <w:lvl w:ilvl="0" w:tplc="0C09000D">
      <w:start w:val="1"/>
      <w:numFmt w:val="bullet"/>
      <w:lvlText w:val=""/>
      <w:lvlJc w:val="left"/>
      <w:pPr>
        <w:ind w:left="926" w:hanging="360"/>
      </w:pPr>
      <w:rPr>
        <w:rFonts w:ascii="Wingdings" w:hAnsi="Wingdings" w:hint="default"/>
      </w:rPr>
    </w:lvl>
    <w:lvl w:ilvl="1" w:tplc="0C090003" w:tentative="1">
      <w:start w:val="1"/>
      <w:numFmt w:val="bullet"/>
      <w:lvlText w:val="o"/>
      <w:lvlJc w:val="left"/>
      <w:pPr>
        <w:ind w:left="1646" w:hanging="360"/>
      </w:pPr>
      <w:rPr>
        <w:rFonts w:ascii="Courier New" w:hAnsi="Courier New" w:cs="Courier New" w:hint="default"/>
      </w:rPr>
    </w:lvl>
    <w:lvl w:ilvl="2" w:tplc="0C090005" w:tentative="1">
      <w:start w:val="1"/>
      <w:numFmt w:val="bullet"/>
      <w:lvlText w:val=""/>
      <w:lvlJc w:val="left"/>
      <w:pPr>
        <w:ind w:left="2366" w:hanging="360"/>
      </w:pPr>
      <w:rPr>
        <w:rFonts w:ascii="Wingdings" w:hAnsi="Wingdings" w:hint="default"/>
      </w:rPr>
    </w:lvl>
    <w:lvl w:ilvl="3" w:tplc="0C090001" w:tentative="1">
      <w:start w:val="1"/>
      <w:numFmt w:val="bullet"/>
      <w:lvlText w:val=""/>
      <w:lvlJc w:val="left"/>
      <w:pPr>
        <w:ind w:left="3086" w:hanging="360"/>
      </w:pPr>
      <w:rPr>
        <w:rFonts w:ascii="Symbol" w:hAnsi="Symbol" w:hint="default"/>
      </w:rPr>
    </w:lvl>
    <w:lvl w:ilvl="4" w:tplc="0C090003" w:tentative="1">
      <w:start w:val="1"/>
      <w:numFmt w:val="bullet"/>
      <w:lvlText w:val="o"/>
      <w:lvlJc w:val="left"/>
      <w:pPr>
        <w:ind w:left="3806" w:hanging="360"/>
      </w:pPr>
      <w:rPr>
        <w:rFonts w:ascii="Courier New" w:hAnsi="Courier New" w:cs="Courier New" w:hint="default"/>
      </w:rPr>
    </w:lvl>
    <w:lvl w:ilvl="5" w:tplc="0C090005" w:tentative="1">
      <w:start w:val="1"/>
      <w:numFmt w:val="bullet"/>
      <w:lvlText w:val=""/>
      <w:lvlJc w:val="left"/>
      <w:pPr>
        <w:ind w:left="4526" w:hanging="360"/>
      </w:pPr>
      <w:rPr>
        <w:rFonts w:ascii="Wingdings" w:hAnsi="Wingdings" w:hint="default"/>
      </w:rPr>
    </w:lvl>
    <w:lvl w:ilvl="6" w:tplc="0C090001" w:tentative="1">
      <w:start w:val="1"/>
      <w:numFmt w:val="bullet"/>
      <w:lvlText w:val=""/>
      <w:lvlJc w:val="left"/>
      <w:pPr>
        <w:ind w:left="5246" w:hanging="360"/>
      </w:pPr>
      <w:rPr>
        <w:rFonts w:ascii="Symbol" w:hAnsi="Symbol" w:hint="default"/>
      </w:rPr>
    </w:lvl>
    <w:lvl w:ilvl="7" w:tplc="0C090003" w:tentative="1">
      <w:start w:val="1"/>
      <w:numFmt w:val="bullet"/>
      <w:lvlText w:val="o"/>
      <w:lvlJc w:val="left"/>
      <w:pPr>
        <w:ind w:left="5966" w:hanging="360"/>
      </w:pPr>
      <w:rPr>
        <w:rFonts w:ascii="Courier New" w:hAnsi="Courier New" w:cs="Courier New" w:hint="default"/>
      </w:rPr>
    </w:lvl>
    <w:lvl w:ilvl="8" w:tplc="0C090005" w:tentative="1">
      <w:start w:val="1"/>
      <w:numFmt w:val="bullet"/>
      <w:lvlText w:val=""/>
      <w:lvlJc w:val="left"/>
      <w:pPr>
        <w:ind w:left="6686" w:hanging="360"/>
      </w:pPr>
      <w:rPr>
        <w:rFonts w:ascii="Wingdings" w:hAnsi="Wingdings" w:hint="default"/>
      </w:rPr>
    </w:lvl>
  </w:abstractNum>
  <w:abstractNum w:abstractNumId="52" w15:restartNumberingAfterBreak="0">
    <w:nsid w:val="55AA21F0"/>
    <w:multiLevelType w:val="hybridMultilevel"/>
    <w:tmpl w:val="9B5CB936"/>
    <w:lvl w:ilvl="0" w:tplc="CCA08FFA">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8881FF8"/>
    <w:multiLevelType w:val="hybridMultilevel"/>
    <w:tmpl w:val="4FF00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AA06CF5"/>
    <w:multiLevelType w:val="hybridMultilevel"/>
    <w:tmpl w:val="DC44966C"/>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DE30AC2"/>
    <w:multiLevelType w:val="hybridMultilevel"/>
    <w:tmpl w:val="D1649E6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6" w15:restartNumberingAfterBreak="0">
    <w:nsid w:val="5E5F2BBB"/>
    <w:multiLevelType w:val="hybridMultilevel"/>
    <w:tmpl w:val="35D8E8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FBB5381"/>
    <w:multiLevelType w:val="hybridMultilevel"/>
    <w:tmpl w:val="C4CE9F3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62175A57"/>
    <w:multiLevelType w:val="hybridMultilevel"/>
    <w:tmpl w:val="9BE89CCC"/>
    <w:lvl w:ilvl="0" w:tplc="FFFFFFF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9" w15:restartNumberingAfterBreak="0">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5071478"/>
    <w:multiLevelType w:val="hybridMultilevel"/>
    <w:tmpl w:val="16D2B96E"/>
    <w:lvl w:ilvl="0" w:tplc="3A9CF91A">
      <w:start w:val="1"/>
      <w:numFmt w:val="decimal"/>
      <w:pStyle w:val="ACMAFigureHeader"/>
      <w:lvlText w:val="Figure %1: "/>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5FC4E7D"/>
    <w:multiLevelType w:val="hybridMultilevel"/>
    <w:tmpl w:val="CF3E068C"/>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7EF7EC0"/>
    <w:multiLevelType w:val="hybridMultilevel"/>
    <w:tmpl w:val="3072CC9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8FF3970"/>
    <w:multiLevelType w:val="hybridMultilevel"/>
    <w:tmpl w:val="5A5E28A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AD25234"/>
    <w:multiLevelType w:val="hybridMultilevel"/>
    <w:tmpl w:val="2F6475A6"/>
    <w:lvl w:ilvl="0" w:tplc="32B0ED7C">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C287C67"/>
    <w:multiLevelType w:val="hybridMultilevel"/>
    <w:tmpl w:val="B63EDE8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6D757AE6"/>
    <w:multiLevelType w:val="hybridMultilevel"/>
    <w:tmpl w:val="FF5E6800"/>
    <w:lvl w:ilvl="0" w:tplc="2DEC2A7E">
      <w:start w:val="1"/>
      <w:numFmt w:val="decimal"/>
      <w:pStyle w:val="Caption"/>
      <w:lvlText w:val="Table %1:"/>
      <w:lvlJc w:val="left"/>
      <w:pPr>
        <w:tabs>
          <w:tab w:val="num" w:pos="964"/>
        </w:tabs>
        <w:ind w:left="964" w:hanging="9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E353DF8"/>
    <w:multiLevelType w:val="hybridMultilevel"/>
    <w:tmpl w:val="41EC71F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F4446A8"/>
    <w:multiLevelType w:val="hybridMultilevel"/>
    <w:tmpl w:val="81FE900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1E776B8"/>
    <w:multiLevelType w:val="hybridMultilevel"/>
    <w:tmpl w:val="6D20DD2A"/>
    <w:lvl w:ilvl="0" w:tplc="FFFFFFFF">
      <w:start w:val="1"/>
      <w:numFmt w:val="decimal"/>
      <w:lvlText w:val="%1."/>
      <w:lvlJc w:val="left"/>
      <w:pPr>
        <w:ind w:left="720" w:hanging="360"/>
      </w:pPr>
    </w:lvl>
    <w:lvl w:ilvl="1" w:tplc="9CD2D3DA">
      <w:start w:val="1"/>
      <w:numFmt w:val="bullet"/>
      <w:lvlText w:val="&gt;"/>
      <w:lvlJc w:val="left"/>
      <w:pPr>
        <w:ind w:left="1440" w:hanging="360"/>
      </w:pPr>
      <w:rPr>
        <w:rFonts w:ascii="Arial" w:hAnsi="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4844647"/>
    <w:multiLevelType w:val="hybridMultilevel"/>
    <w:tmpl w:val="3DCAE8FA"/>
    <w:lvl w:ilvl="0" w:tplc="0C09000F">
      <w:start w:val="1"/>
      <w:numFmt w:val="decimal"/>
      <w:lvlText w:val="%1."/>
      <w:lvlJc w:val="left"/>
      <w:pPr>
        <w:ind w:left="720" w:hanging="360"/>
      </w:pPr>
    </w:lvl>
    <w:lvl w:ilvl="1" w:tplc="9CD2D3DA">
      <w:start w:val="1"/>
      <w:numFmt w:val="bullet"/>
      <w:lvlText w:val="&gt;"/>
      <w:lvlJc w:val="left"/>
      <w:pPr>
        <w:ind w:left="1440" w:hanging="360"/>
      </w:pPr>
      <w:rPr>
        <w:rFonts w:ascii="Arial" w:hAnsi="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5837733"/>
    <w:multiLevelType w:val="hybridMultilevel"/>
    <w:tmpl w:val="7D86D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7107C20"/>
    <w:multiLevelType w:val="hybridMultilevel"/>
    <w:tmpl w:val="9DCC1E3A"/>
    <w:lvl w:ilvl="0" w:tplc="DD84A00A">
      <w:numFmt w:val="bullet"/>
      <w:lvlText w:val="·"/>
      <w:lvlJc w:val="left"/>
      <w:pPr>
        <w:ind w:left="1828" w:hanging="608"/>
      </w:pPr>
      <w:rPr>
        <w:rFonts w:ascii="Arial" w:eastAsia="Times New Roman" w:hAnsi="Arial" w:cs="Arial" w:hint="default"/>
      </w:rPr>
    </w:lvl>
    <w:lvl w:ilvl="1" w:tplc="0C090003" w:tentative="1">
      <w:start w:val="1"/>
      <w:numFmt w:val="bullet"/>
      <w:lvlText w:val="o"/>
      <w:lvlJc w:val="left"/>
      <w:pPr>
        <w:ind w:left="2300" w:hanging="360"/>
      </w:pPr>
      <w:rPr>
        <w:rFonts w:ascii="Courier New" w:hAnsi="Courier New" w:cs="Courier New" w:hint="default"/>
      </w:rPr>
    </w:lvl>
    <w:lvl w:ilvl="2" w:tplc="0C090005" w:tentative="1">
      <w:start w:val="1"/>
      <w:numFmt w:val="bullet"/>
      <w:lvlText w:val=""/>
      <w:lvlJc w:val="left"/>
      <w:pPr>
        <w:ind w:left="3020" w:hanging="360"/>
      </w:pPr>
      <w:rPr>
        <w:rFonts w:ascii="Wingdings" w:hAnsi="Wingdings" w:hint="default"/>
      </w:rPr>
    </w:lvl>
    <w:lvl w:ilvl="3" w:tplc="0C090001" w:tentative="1">
      <w:start w:val="1"/>
      <w:numFmt w:val="bullet"/>
      <w:lvlText w:val=""/>
      <w:lvlJc w:val="left"/>
      <w:pPr>
        <w:ind w:left="3740" w:hanging="360"/>
      </w:pPr>
      <w:rPr>
        <w:rFonts w:ascii="Symbol" w:hAnsi="Symbol" w:hint="default"/>
      </w:rPr>
    </w:lvl>
    <w:lvl w:ilvl="4" w:tplc="0C090003" w:tentative="1">
      <w:start w:val="1"/>
      <w:numFmt w:val="bullet"/>
      <w:lvlText w:val="o"/>
      <w:lvlJc w:val="left"/>
      <w:pPr>
        <w:ind w:left="4460" w:hanging="360"/>
      </w:pPr>
      <w:rPr>
        <w:rFonts w:ascii="Courier New" w:hAnsi="Courier New" w:cs="Courier New" w:hint="default"/>
      </w:rPr>
    </w:lvl>
    <w:lvl w:ilvl="5" w:tplc="0C090005" w:tentative="1">
      <w:start w:val="1"/>
      <w:numFmt w:val="bullet"/>
      <w:lvlText w:val=""/>
      <w:lvlJc w:val="left"/>
      <w:pPr>
        <w:ind w:left="5180" w:hanging="360"/>
      </w:pPr>
      <w:rPr>
        <w:rFonts w:ascii="Wingdings" w:hAnsi="Wingdings" w:hint="default"/>
      </w:rPr>
    </w:lvl>
    <w:lvl w:ilvl="6" w:tplc="0C090001" w:tentative="1">
      <w:start w:val="1"/>
      <w:numFmt w:val="bullet"/>
      <w:lvlText w:val=""/>
      <w:lvlJc w:val="left"/>
      <w:pPr>
        <w:ind w:left="5900" w:hanging="360"/>
      </w:pPr>
      <w:rPr>
        <w:rFonts w:ascii="Symbol" w:hAnsi="Symbol" w:hint="default"/>
      </w:rPr>
    </w:lvl>
    <w:lvl w:ilvl="7" w:tplc="0C090003" w:tentative="1">
      <w:start w:val="1"/>
      <w:numFmt w:val="bullet"/>
      <w:lvlText w:val="o"/>
      <w:lvlJc w:val="left"/>
      <w:pPr>
        <w:ind w:left="6620" w:hanging="360"/>
      </w:pPr>
      <w:rPr>
        <w:rFonts w:ascii="Courier New" w:hAnsi="Courier New" w:cs="Courier New" w:hint="default"/>
      </w:rPr>
    </w:lvl>
    <w:lvl w:ilvl="8" w:tplc="0C090005" w:tentative="1">
      <w:start w:val="1"/>
      <w:numFmt w:val="bullet"/>
      <w:lvlText w:val=""/>
      <w:lvlJc w:val="left"/>
      <w:pPr>
        <w:ind w:left="7340" w:hanging="360"/>
      </w:pPr>
      <w:rPr>
        <w:rFonts w:ascii="Wingdings" w:hAnsi="Wingdings" w:hint="default"/>
      </w:rPr>
    </w:lvl>
  </w:abstractNum>
  <w:abstractNum w:abstractNumId="73" w15:restartNumberingAfterBreak="0">
    <w:nsid w:val="7A4F006E"/>
    <w:multiLevelType w:val="hybridMultilevel"/>
    <w:tmpl w:val="A0FC50E0"/>
    <w:lvl w:ilvl="0" w:tplc="3AAEA3D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4" w15:restartNumberingAfterBreak="0">
    <w:nsid w:val="7C35618F"/>
    <w:multiLevelType w:val="hybridMultilevel"/>
    <w:tmpl w:val="07BC09D2"/>
    <w:lvl w:ilvl="0" w:tplc="FFFFFFFF">
      <w:start w:val="1"/>
      <w:numFmt w:val="lowerLetter"/>
      <w:lvlText w:val="%1)"/>
      <w:lvlJc w:val="left"/>
      <w:pPr>
        <w:ind w:left="720" w:hanging="360"/>
      </w:pPr>
    </w:lvl>
    <w:lvl w:ilvl="1" w:tplc="2BFE3A0C">
      <w:start w:val="1"/>
      <w:numFmt w:val="lowerRoman"/>
      <w:lvlText w:val="(%2)"/>
      <w:lvlJc w:val="right"/>
      <w:pPr>
        <w:ind w:left="1440" w:hanging="360"/>
      </w:pPr>
      <w:rPr>
        <w:rFonts w:hint="default"/>
      </w:rPr>
    </w:lvl>
    <w:lvl w:ilvl="2" w:tplc="FFFFFFFF">
      <w:start w:val="1"/>
      <w:numFmt w:val="lowerRoman"/>
      <w:lvlText w:val="%3."/>
      <w:lvlJc w:val="right"/>
      <w:pPr>
        <w:ind w:left="2160" w:hanging="180"/>
      </w:pPr>
    </w:lvl>
    <w:lvl w:ilvl="3" w:tplc="0C090001">
      <w:start w:val="1"/>
      <w:numFmt w:val="bullet"/>
      <w:lvlText w:val=""/>
      <w:lvlJc w:val="left"/>
      <w:pPr>
        <w:ind w:left="2880" w:hanging="360"/>
      </w:pPr>
      <w:rPr>
        <w:rFonts w:ascii="Symbol" w:hAnsi="Symbol" w:hint="default"/>
      </w:rPr>
    </w:lvl>
    <w:lvl w:ilvl="4" w:tplc="E6EA2C1C">
      <w:numFmt w:val="bullet"/>
      <w:lvlText w:val=""/>
      <w:lvlJc w:val="left"/>
      <w:pPr>
        <w:ind w:left="3600" w:hanging="360"/>
      </w:pPr>
      <w:rPr>
        <w:rFonts w:ascii="Wingdings" w:eastAsia="Times New Roman" w:hAnsi="Wingdings" w:cs="Arial" w:hint="default"/>
      </w:rPr>
    </w:lvl>
    <w:lvl w:ilvl="5" w:tplc="2D846CB6">
      <w:start w:val="1"/>
      <w:numFmt w:val="lowerLetter"/>
      <w:lvlText w:val="(%6)"/>
      <w:lvlJc w:val="left"/>
      <w:pPr>
        <w:ind w:left="4500" w:hanging="360"/>
      </w:pPr>
      <w:rPr>
        <w:rFonts w:hint="default"/>
      </w:rPr>
    </w:lvl>
    <w:lvl w:ilvl="6" w:tplc="A5C0627E">
      <w:start w:val="1"/>
      <w:numFmt w:val="decimal"/>
      <w:lvlText w:val="%7)"/>
      <w:lvlJc w:val="left"/>
      <w:pPr>
        <w:ind w:left="5040" w:hanging="360"/>
      </w:pPr>
      <w:rPr>
        <w:rFonts w:hint="default"/>
      </w:rPr>
    </w:lvl>
    <w:lvl w:ilvl="7" w:tplc="11AC50C2">
      <w:start w:val="1"/>
      <w:numFmt w:val="upperLetter"/>
      <w:lvlText w:val="%8."/>
      <w:lvlJc w:val="left"/>
      <w:pPr>
        <w:ind w:left="5760" w:hanging="360"/>
      </w:pPr>
      <w:rPr>
        <w:rFonts w:hint="default"/>
      </w:rPr>
    </w:lvl>
    <w:lvl w:ilvl="8" w:tplc="FFFFFFFF" w:tentative="1">
      <w:start w:val="1"/>
      <w:numFmt w:val="lowerRoman"/>
      <w:lvlText w:val="%9."/>
      <w:lvlJc w:val="right"/>
      <w:pPr>
        <w:ind w:left="6480" w:hanging="180"/>
      </w:pPr>
    </w:lvl>
  </w:abstractNum>
  <w:abstractNum w:abstractNumId="75" w15:restartNumberingAfterBreak="0">
    <w:nsid w:val="7E7406B4"/>
    <w:multiLevelType w:val="hybridMultilevel"/>
    <w:tmpl w:val="F11686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21208269">
    <w:abstractNumId w:val="3"/>
  </w:num>
  <w:num w:numId="2" w16cid:durableId="1489906139">
    <w:abstractNumId w:val="1"/>
  </w:num>
  <w:num w:numId="3" w16cid:durableId="1798571561">
    <w:abstractNumId w:val="2"/>
  </w:num>
  <w:num w:numId="4" w16cid:durableId="1037121609">
    <w:abstractNumId w:val="0"/>
  </w:num>
  <w:num w:numId="5" w16cid:durableId="1815677915">
    <w:abstractNumId w:val="31"/>
  </w:num>
  <w:num w:numId="6" w16cid:durableId="709376601">
    <w:abstractNumId w:val="60"/>
  </w:num>
  <w:num w:numId="7" w16cid:durableId="805589090">
    <w:abstractNumId w:val="52"/>
  </w:num>
  <w:num w:numId="8" w16cid:durableId="1269316133">
    <w:abstractNumId w:val="59"/>
  </w:num>
  <w:num w:numId="9" w16cid:durableId="95491541">
    <w:abstractNumId w:val="66"/>
  </w:num>
  <w:num w:numId="10" w16cid:durableId="1750929951">
    <w:abstractNumId w:val="32"/>
  </w:num>
  <w:num w:numId="11" w16cid:durableId="1452283651">
    <w:abstractNumId w:val="28"/>
  </w:num>
  <w:num w:numId="12" w16cid:durableId="639388235">
    <w:abstractNumId w:val="25"/>
  </w:num>
  <w:num w:numId="13" w16cid:durableId="1061562144">
    <w:abstractNumId w:val="4"/>
  </w:num>
  <w:num w:numId="14" w16cid:durableId="186405587">
    <w:abstractNumId w:val="39"/>
  </w:num>
  <w:num w:numId="15" w16cid:durableId="1391343976">
    <w:abstractNumId w:val="23"/>
  </w:num>
  <w:num w:numId="16" w16cid:durableId="1683120487">
    <w:abstractNumId w:val="46"/>
  </w:num>
  <w:num w:numId="17" w16cid:durableId="1640571225">
    <w:abstractNumId w:val="73"/>
  </w:num>
  <w:num w:numId="18" w16cid:durableId="1118332308">
    <w:abstractNumId w:val="35"/>
  </w:num>
  <w:num w:numId="19" w16cid:durableId="133372089">
    <w:abstractNumId w:val="38"/>
  </w:num>
  <w:num w:numId="20" w16cid:durableId="553084723">
    <w:abstractNumId w:val="45"/>
  </w:num>
  <w:num w:numId="21" w16cid:durableId="1645620194">
    <w:abstractNumId w:val="74"/>
  </w:num>
  <w:num w:numId="22" w16cid:durableId="844630112">
    <w:abstractNumId w:val="70"/>
  </w:num>
  <w:num w:numId="23" w16cid:durableId="308246607">
    <w:abstractNumId w:val="14"/>
  </w:num>
  <w:num w:numId="24" w16cid:durableId="2138449462">
    <w:abstractNumId w:val="37"/>
  </w:num>
  <w:num w:numId="25" w16cid:durableId="1707218630">
    <w:abstractNumId w:val="34"/>
  </w:num>
  <w:num w:numId="26" w16cid:durableId="980966471">
    <w:abstractNumId w:val="69"/>
  </w:num>
  <w:num w:numId="27" w16cid:durableId="772629637">
    <w:abstractNumId w:val="68"/>
  </w:num>
  <w:num w:numId="28" w16cid:durableId="378744733">
    <w:abstractNumId w:val="13"/>
  </w:num>
  <w:num w:numId="29" w16cid:durableId="1681734314">
    <w:abstractNumId w:val="43"/>
  </w:num>
  <w:num w:numId="30" w16cid:durableId="2005668357">
    <w:abstractNumId w:val="47"/>
  </w:num>
  <w:num w:numId="31" w16cid:durableId="244922908">
    <w:abstractNumId w:val="12"/>
  </w:num>
  <w:num w:numId="32" w16cid:durableId="1168711587">
    <w:abstractNumId w:val="61"/>
  </w:num>
  <w:num w:numId="33" w16cid:durableId="1435125228">
    <w:abstractNumId w:val="50"/>
  </w:num>
  <w:num w:numId="34" w16cid:durableId="886332509">
    <w:abstractNumId w:val="19"/>
  </w:num>
  <w:num w:numId="35" w16cid:durableId="909539771">
    <w:abstractNumId w:val="62"/>
  </w:num>
  <w:num w:numId="36" w16cid:durableId="1554391472">
    <w:abstractNumId w:val="54"/>
  </w:num>
  <w:num w:numId="37" w16cid:durableId="578714066">
    <w:abstractNumId w:val="65"/>
  </w:num>
  <w:num w:numId="38" w16cid:durableId="1174878192">
    <w:abstractNumId w:val="44"/>
  </w:num>
  <w:num w:numId="39" w16cid:durableId="881479543">
    <w:abstractNumId w:val="21"/>
  </w:num>
  <w:num w:numId="40" w16cid:durableId="1529222642">
    <w:abstractNumId w:val="36"/>
  </w:num>
  <w:num w:numId="41" w16cid:durableId="121268908">
    <w:abstractNumId w:val="75"/>
  </w:num>
  <w:num w:numId="42" w16cid:durableId="315846398">
    <w:abstractNumId w:val="29"/>
  </w:num>
  <w:num w:numId="43" w16cid:durableId="1615017804">
    <w:abstractNumId w:val="22"/>
  </w:num>
  <w:num w:numId="44" w16cid:durableId="1328827090">
    <w:abstractNumId w:val="11"/>
  </w:num>
  <w:num w:numId="45" w16cid:durableId="329143919">
    <w:abstractNumId w:val="41"/>
  </w:num>
  <w:num w:numId="46" w16cid:durableId="645861116">
    <w:abstractNumId w:val="56"/>
  </w:num>
  <w:num w:numId="47" w16cid:durableId="1857962926">
    <w:abstractNumId w:val="24"/>
  </w:num>
  <w:num w:numId="48" w16cid:durableId="626398129">
    <w:abstractNumId w:val="55"/>
  </w:num>
  <w:num w:numId="49" w16cid:durableId="161094637">
    <w:abstractNumId w:val="20"/>
  </w:num>
  <w:num w:numId="50" w16cid:durableId="116414502">
    <w:abstractNumId w:val="64"/>
  </w:num>
  <w:num w:numId="51" w16cid:durableId="302466949">
    <w:abstractNumId w:val="57"/>
  </w:num>
  <w:num w:numId="52" w16cid:durableId="1571697298">
    <w:abstractNumId w:val="5"/>
  </w:num>
  <w:num w:numId="53" w16cid:durableId="983853054">
    <w:abstractNumId w:val="48"/>
  </w:num>
  <w:num w:numId="54" w16cid:durableId="1423793347">
    <w:abstractNumId w:val="53"/>
  </w:num>
  <w:num w:numId="55" w16cid:durableId="1724400264">
    <w:abstractNumId w:val="6"/>
  </w:num>
  <w:num w:numId="56" w16cid:durableId="717586411">
    <w:abstractNumId w:val="2"/>
    <w:lvlOverride w:ilvl="0">
      <w:startOverride w:val="1"/>
    </w:lvlOverride>
  </w:num>
  <w:num w:numId="57" w16cid:durableId="966160496">
    <w:abstractNumId w:val="7"/>
  </w:num>
  <w:num w:numId="58" w16cid:durableId="1358116367">
    <w:abstractNumId w:val="8"/>
  </w:num>
  <w:num w:numId="59" w16cid:durableId="14336236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684943417">
    <w:abstractNumId w:val="10"/>
  </w:num>
  <w:num w:numId="61" w16cid:durableId="860893218">
    <w:abstractNumId w:val="58"/>
  </w:num>
  <w:num w:numId="62" w16cid:durableId="851064896">
    <w:abstractNumId w:val="9"/>
  </w:num>
  <w:num w:numId="63" w16cid:durableId="832455717">
    <w:abstractNumId w:val="15"/>
  </w:num>
  <w:num w:numId="64" w16cid:durableId="332224197">
    <w:abstractNumId w:val="27"/>
  </w:num>
  <w:num w:numId="65" w16cid:durableId="173350729">
    <w:abstractNumId w:val="40"/>
  </w:num>
  <w:num w:numId="66" w16cid:durableId="1925408213">
    <w:abstractNumId w:val="42"/>
  </w:num>
  <w:num w:numId="67" w16cid:durableId="1473212209">
    <w:abstractNumId w:val="18"/>
  </w:num>
  <w:num w:numId="68" w16cid:durableId="2137672269">
    <w:abstractNumId w:val="33"/>
  </w:num>
  <w:num w:numId="69" w16cid:durableId="901716267">
    <w:abstractNumId w:val="16"/>
  </w:num>
  <w:num w:numId="70" w16cid:durableId="819270504">
    <w:abstractNumId w:val="71"/>
  </w:num>
  <w:num w:numId="71" w16cid:durableId="542255163">
    <w:abstractNumId w:val="49"/>
  </w:num>
  <w:num w:numId="72" w16cid:durableId="346833898">
    <w:abstractNumId w:val="30"/>
  </w:num>
  <w:num w:numId="73" w16cid:durableId="806437691">
    <w:abstractNumId w:val="51"/>
  </w:num>
  <w:num w:numId="74" w16cid:durableId="28184564">
    <w:abstractNumId w:val="63"/>
  </w:num>
  <w:num w:numId="75" w16cid:durableId="986738123">
    <w:abstractNumId w:val="67"/>
  </w:num>
  <w:num w:numId="76" w16cid:durableId="1356812612">
    <w:abstractNumId w:val="72"/>
  </w:num>
  <w:num w:numId="77" w16cid:durableId="608394477">
    <w:abstractNumId w:val="2"/>
    <w:lvlOverride w:ilvl="0">
      <w:startOverride w:val="1"/>
    </w:lvlOverride>
  </w:num>
  <w:num w:numId="78" w16cid:durableId="1431317608">
    <w:abstractNumId w:val="2"/>
    <w:lvlOverride w:ilvl="0">
      <w:startOverride w:val="1"/>
    </w:lvlOverride>
  </w:num>
  <w:num w:numId="79" w16cid:durableId="174075723">
    <w:abstractNumId w:val="2"/>
    <w:lvlOverride w:ilvl="0">
      <w:startOverride w:val="1"/>
    </w:lvlOverride>
  </w:num>
  <w:num w:numId="80" w16cid:durableId="1490945101">
    <w:abstractNumId w:val="2"/>
    <w:lvlOverride w:ilvl="0">
      <w:startOverride w:val="1"/>
    </w:lvlOverride>
  </w:num>
  <w:num w:numId="81" w16cid:durableId="754010340">
    <w:abstractNumId w:val="26"/>
  </w:num>
  <w:num w:numId="82" w16cid:durableId="771629315">
    <w:abstractNumId w:val="26"/>
    <w:lvlOverride w:ilvl="0">
      <w:startOverride w:val="1"/>
    </w:lvlOverride>
  </w:num>
  <w:num w:numId="83" w16cid:durableId="357782898">
    <w:abstractNumId w:val="26"/>
    <w:lvlOverride w:ilvl="0">
      <w:startOverride w:val="1"/>
    </w:lvlOverride>
  </w:num>
  <w:num w:numId="84" w16cid:durableId="1443106498">
    <w:abstractNumId w:val="26"/>
    <w:lvlOverride w:ilvl="0">
      <w:startOverride w:val="1"/>
    </w:lvlOverride>
  </w:num>
  <w:num w:numId="85" w16cid:durableId="1834685273">
    <w:abstractNumId w:val="26"/>
    <w:lvlOverride w:ilvl="0">
      <w:startOverride w:val="1"/>
    </w:lvlOverride>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284"/>
  <w:evenAndOddHeaders/>
  <w:drawingGridHorizontalSpacing w:val="100"/>
  <w:displayHorizontalDrawingGridEvery w:val="2"/>
  <w:characterSpacingControl w:val="doNotCompress"/>
  <w:hdrShapeDefaults>
    <o:shapedefaults v:ext="edit" spidmax="2050">
      <o:colormru v:ext="edit" colors="red,#4d4d4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172"/>
    <w:rsid w:val="00000162"/>
    <w:rsid w:val="000002ED"/>
    <w:rsid w:val="00000524"/>
    <w:rsid w:val="0000068E"/>
    <w:rsid w:val="00001893"/>
    <w:rsid w:val="000019DD"/>
    <w:rsid w:val="00001A1D"/>
    <w:rsid w:val="00001C3C"/>
    <w:rsid w:val="00001D50"/>
    <w:rsid w:val="00001E03"/>
    <w:rsid w:val="00001FBF"/>
    <w:rsid w:val="00002195"/>
    <w:rsid w:val="000021B1"/>
    <w:rsid w:val="000024D6"/>
    <w:rsid w:val="000026D1"/>
    <w:rsid w:val="000029FE"/>
    <w:rsid w:val="00002A5C"/>
    <w:rsid w:val="00002AFB"/>
    <w:rsid w:val="00002BB5"/>
    <w:rsid w:val="00002C26"/>
    <w:rsid w:val="00002C67"/>
    <w:rsid w:val="00002D5F"/>
    <w:rsid w:val="00002DCC"/>
    <w:rsid w:val="000030E3"/>
    <w:rsid w:val="000031B4"/>
    <w:rsid w:val="00003982"/>
    <w:rsid w:val="00003BCF"/>
    <w:rsid w:val="00004041"/>
    <w:rsid w:val="000040A3"/>
    <w:rsid w:val="0000428A"/>
    <w:rsid w:val="0000463B"/>
    <w:rsid w:val="0000482A"/>
    <w:rsid w:val="0000483A"/>
    <w:rsid w:val="00004939"/>
    <w:rsid w:val="00004B69"/>
    <w:rsid w:val="00004CFF"/>
    <w:rsid w:val="00004FFA"/>
    <w:rsid w:val="00005044"/>
    <w:rsid w:val="000051BC"/>
    <w:rsid w:val="000058E1"/>
    <w:rsid w:val="00005A18"/>
    <w:rsid w:val="00006555"/>
    <w:rsid w:val="000067C2"/>
    <w:rsid w:val="0000685A"/>
    <w:rsid w:val="0000698C"/>
    <w:rsid w:val="00006B03"/>
    <w:rsid w:val="00006DB6"/>
    <w:rsid w:val="00007304"/>
    <w:rsid w:val="00007340"/>
    <w:rsid w:val="00007515"/>
    <w:rsid w:val="000075F4"/>
    <w:rsid w:val="000077F6"/>
    <w:rsid w:val="0000798F"/>
    <w:rsid w:val="000079F2"/>
    <w:rsid w:val="00007A5D"/>
    <w:rsid w:val="00007C75"/>
    <w:rsid w:val="00007F9C"/>
    <w:rsid w:val="0001027B"/>
    <w:rsid w:val="0001064D"/>
    <w:rsid w:val="00010667"/>
    <w:rsid w:val="00010696"/>
    <w:rsid w:val="000108A1"/>
    <w:rsid w:val="000108B6"/>
    <w:rsid w:val="00010A7A"/>
    <w:rsid w:val="00010B31"/>
    <w:rsid w:val="00011471"/>
    <w:rsid w:val="000118DB"/>
    <w:rsid w:val="00011EF6"/>
    <w:rsid w:val="00012188"/>
    <w:rsid w:val="0001218B"/>
    <w:rsid w:val="0001297D"/>
    <w:rsid w:val="000129D5"/>
    <w:rsid w:val="00012A4C"/>
    <w:rsid w:val="00012B1A"/>
    <w:rsid w:val="00012B64"/>
    <w:rsid w:val="000130D5"/>
    <w:rsid w:val="000134A8"/>
    <w:rsid w:val="00013690"/>
    <w:rsid w:val="00013713"/>
    <w:rsid w:val="0001381E"/>
    <w:rsid w:val="000138FF"/>
    <w:rsid w:val="0001394A"/>
    <w:rsid w:val="00013B38"/>
    <w:rsid w:val="00013CF3"/>
    <w:rsid w:val="00013E4C"/>
    <w:rsid w:val="00013EB4"/>
    <w:rsid w:val="0001417B"/>
    <w:rsid w:val="000142EA"/>
    <w:rsid w:val="0001434D"/>
    <w:rsid w:val="000144FD"/>
    <w:rsid w:val="000147AC"/>
    <w:rsid w:val="00014C93"/>
    <w:rsid w:val="00014C96"/>
    <w:rsid w:val="00014CEB"/>
    <w:rsid w:val="00014E4E"/>
    <w:rsid w:val="00015149"/>
    <w:rsid w:val="00015292"/>
    <w:rsid w:val="00015482"/>
    <w:rsid w:val="000155AE"/>
    <w:rsid w:val="0001568F"/>
    <w:rsid w:val="00015823"/>
    <w:rsid w:val="00015979"/>
    <w:rsid w:val="00015A35"/>
    <w:rsid w:val="00015AE7"/>
    <w:rsid w:val="00015C3E"/>
    <w:rsid w:val="00015CEB"/>
    <w:rsid w:val="000160DC"/>
    <w:rsid w:val="00016497"/>
    <w:rsid w:val="0001671A"/>
    <w:rsid w:val="0001678D"/>
    <w:rsid w:val="00016831"/>
    <w:rsid w:val="00016844"/>
    <w:rsid w:val="00016BDA"/>
    <w:rsid w:val="00016D81"/>
    <w:rsid w:val="00016E21"/>
    <w:rsid w:val="00016EE0"/>
    <w:rsid w:val="00016FE0"/>
    <w:rsid w:val="00017011"/>
    <w:rsid w:val="0001711C"/>
    <w:rsid w:val="0001719C"/>
    <w:rsid w:val="00017263"/>
    <w:rsid w:val="00017421"/>
    <w:rsid w:val="00017804"/>
    <w:rsid w:val="00017AB4"/>
    <w:rsid w:val="00017ADB"/>
    <w:rsid w:val="00017B74"/>
    <w:rsid w:val="000200A2"/>
    <w:rsid w:val="00020114"/>
    <w:rsid w:val="00020143"/>
    <w:rsid w:val="00020526"/>
    <w:rsid w:val="00020869"/>
    <w:rsid w:val="0002091F"/>
    <w:rsid w:val="00020A21"/>
    <w:rsid w:val="00020BB3"/>
    <w:rsid w:val="00020E99"/>
    <w:rsid w:val="00020EAE"/>
    <w:rsid w:val="00020F17"/>
    <w:rsid w:val="00020F84"/>
    <w:rsid w:val="00021024"/>
    <w:rsid w:val="0002119C"/>
    <w:rsid w:val="00021232"/>
    <w:rsid w:val="000215E4"/>
    <w:rsid w:val="0002172C"/>
    <w:rsid w:val="00021EA4"/>
    <w:rsid w:val="00022096"/>
    <w:rsid w:val="0002220C"/>
    <w:rsid w:val="0002224E"/>
    <w:rsid w:val="00022768"/>
    <w:rsid w:val="00022978"/>
    <w:rsid w:val="00022AF8"/>
    <w:rsid w:val="00022B17"/>
    <w:rsid w:val="00022B33"/>
    <w:rsid w:val="00022E1F"/>
    <w:rsid w:val="00023069"/>
    <w:rsid w:val="00023141"/>
    <w:rsid w:val="00023771"/>
    <w:rsid w:val="00023FF3"/>
    <w:rsid w:val="0002412B"/>
    <w:rsid w:val="0002428A"/>
    <w:rsid w:val="000242C4"/>
    <w:rsid w:val="000245E5"/>
    <w:rsid w:val="00024801"/>
    <w:rsid w:val="0002480A"/>
    <w:rsid w:val="00024A61"/>
    <w:rsid w:val="00024AA9"/>
    <w:rsid w:val="00024C88"/>
    <w:rsid w:val="00025238"/>
    <w:rsid w:val="00025758"/>
    <w:rsid w:val="00025A60"/>
    <w:rsid w:val="00025B9B"/>
    <w:rsid w:val="00025BE1"/>
    <w:rsid w:val="00025D6E"/>
    <w:rsid w:val="00026528"/>
    <w:rsid w:val="00026529"/>
    <w:rsid w:val="00026549"/>
    <w:rsid w:val="00026554"/>
    <w:rsid w:val="0002658F"/>
    <w:rsid w:val="00026938"/>
    <w:rsid w:val="00026991"/>
    <w:rsid w:val="00026E6A"/>
    <w:rsid w:val="00026F91"/>
    <w:rsid w:val="00027336"/>
    <w:rsid w:val="000274B5"/>
    <w:rsid w:val="000276A8"/>
    <w:rsid w:val="00027779"/>
    <w:rsid w:val="000279CC"/>
    <w:rsid w:val="000279D5"/>
    <w:rsid w:val="00027B85"/>
    <w:rsid w:val="00027CEF"/>
    <w:rsid w:val="00027DAE"/>
    <w:rsid w:val="000301CB"/>
    <w:rsid w:val="000303BE"/>
    <w:rsid w:val="000304E9"/>
    <w:rsid w:val="00030649"/>
    <w:rsid w:val="00030691"/>
    <w:rsid w:val="0003075B"/>
    <w:rsid w:val="000307D4"/>
    <w:rsid w:val="000309F0"/>
    <w:rsid w:val="00030A86"/>
    <w:rsid w:val="00030CAC"/>
    <w:rsid w:val="00030F97"/>
    <w:rsid w:val="000310DD"/>
    <w:rsid w:val="00031165"/>
    <w:rsid w:val="00031571"/>
    <w:rsid w:val="000316F1"/>
    <w:rsid w:val="00031702"/>
    <w:rsid w:val="0003195D"/>
    <w:rsid w:val="00031BFF"/>
    <w:rsid w:val="00031CDE"/>
    <w:rsid w:val="00031D8F"/>
    <w:rsid w:val="00031F0B"/>
    <w:rsid w:val="000320ED"/>
    <w:rsid w:val="00032621"/>
    <w:rsid w:val="00032820"/>
    <w:rsid w:val="00032FD8"/>
    <w:rsid w:val="0003352A"/>
    <w:rsid w:val="000335BC"/>
    <w:rsid w:val="0003362F"/>
    <w:rsid w:val="000337EA"/>
    <w:rsid w:val="00033B36"/>
    <w:rsid w:val="0003446A"/>
    <w:rsid w:val="0003457D"/>
    <w:rsid w:val="000348A8"/>
    <w:rsid w:val="00034AC9"/>
    <w:rsid w:val="00034C29"/>
    <w:rsid w:val="00034EE3"/>
    <w:rsid w:val="00035149"/>
    <w:rsid w:val="00035212"/>
    <w:rsid w:val="00035516"/>
    <w:rsid w:val="00035579"/>
    <w:rsid w:val="00035BBB"/>
    <w:rsid w:val="00035C3D"/>
    <w:rsid w:val="00035EB6"/>
    <w:rsid w:val="00035EBF"/>
    <w:rsid w:val="000362DF"/>
    <w:rsid w:val="000363B9"/>
    <w:rsid w:val="0003677C"/>
    <w:rsid w:val="000369F5"/>
    <w:rsid w:val="00036C7C"/>
    <w:rsid w:val="00036D43"/>
    <w:rsid w:val="0003714D"/>
    <w:rsid w:val="00037498"/>
    <w:rsid w:val="00037719"/>
    <w:rsid w:val="00037C44"/>
    <w:rsid w:val="00037D2E"/>
    <w:rsid w:val="000405F7"/>
    <w:rsid w:val="00040674"/>
    <w:rsid w:val="00040C00"/>
    <w:rsid w:val="00040E57"/>
    <w:rsid w:val="000411A0"/>
    <w:rsid w:val="0004144E"/>
    <w:rsid w:val="000415B0"/>
    <w:rsid w:val="00041723"/>
    <w:rsid w:val="00041791"/>
    <w:rsid w:val="00041D73"/>
    <w:rsid w:val="00041F4D"/>
    <w:rsid w:val="00042120"/>
    <w:rsid w:val="00042185"/>
    <w:rsid w:val="0004218C"/>
    <w:rsid w:val="00042890"/>
    <w:rsid w:val="000428FA"/>
    <w:rsid w:val="00042AA5"/>
    <w:rsid w:val="00042F01"/>
    <w:rsid w:val="00043099"/>
    <w:rsid w:val="0004340A"/>
    <w:rsid w:val="00043893"/>
    <w:rsid w:val="0004390C"/>
    <w:rsid w:val="000439B8"/>
    <w:rsid w:val="000439CD"/>
    <w:rsid w:val="00043CAA"/>
    <w:rsid w:val="00043CB1"/>
    <w:rsid w:val="00043CFF"/>
    <w:rsid w:val="000440CB"/>
    <w:rsid w:val="0004413E"/>
    <w:rsid w:val="00044302"/>
    <w:rsid w:val="000444A5"/>
    <w:rsid w:val="00044EDB"/>
    <w:rsid w:val="00044F3A"/>
    <w:rsid w:val="00044FC5"/>
    <w:rsid w:val="00045029"/>
    <w:rsid w:val="0004502A"/>
    <w:rsid w:val="00045046"/>
    <w:rsid w:val="000454BC"/>
    <w:rsid w:val="000454D0"/>
    <w:rsid w:val="0004553B"/>
    <w:rsid w:val="0004588A"/>
    <w:rsid w:val="00045AD8"/>
    <w:rsid w:val="00045BD4"/>
    <w:rsid w:val="00045CDD"/>
    <w:rsid w:val="000464F9"/>
    <w:rsid w:val="00046C60"/>
    <w:rsid w:val="00046C6A"/>
    <w:rsid w:val="00046EC8"/>
    <w:rsid w:val="0004734B"/>
    <w:rsid w:val="000475C8"/>
    <w:rsid w:val="0004764C"/>
    <w:rsid w:val="0004787C"/>
    <w:rsid w:val="00047B76"/>
    <w:rsid w:val="00047D1B"/>
    <w:rsid w:val="00047D89"/>
    <w:rsid w:val="00047E6B"/>
    <w:rsid w:val="0005000D"/>
    <w:rsid w:val="00050058"/>
    <w:rsid w:val="0005011A"/>
    <w:rsid w:val="00050383"/>
    <w:rsid w:val="00050417"/>
    <w:rsid w:val="0005045A"/>
    <w:rsid w:val="00050635"/>
    <w:rsid w:val="0005077B"/>
    <w:rsid w:val="00050AFE"/>
    <w:rsid w:val="00050CC2"/>
    <w:rsid w:val="00050DEC"/>
    <w:rsid w:val="00051179"/>
    <w:rsid w:val="000512A8"/>
    <w:rsid w:val="00051372"/>
    <w:rsid w:val="000513F5"/>
    <w:rsid w:val="00051534"/>
    <w:rsid w:val="00051C1E"/>
    <w:rsid w:val="0005204B"/>
    <w:rsid w:val="00052173"/>
    <w:rsid w:val="0005268C"/>
    <w:rsid w:val="00052D13"/>
    <w:rsid w:val="00053313"/>
    <w:rsid w:val="00053413"/>
    <w:rsid w:val="00053761"/>
    <w:rsid w:val="000539AE"/>
    <w:rsid w:val="000539F5"/>
    <w:rsid w:val="000539F9"/>
    <w:rsid w:val="00053C37"/>
    <w:rsid w:val="00053D25"/>
    <w:rsid w:val="00053E3B"/>
    <w:rsid w:val="00053EFB"/>
    <w:rsid w:val="00053FAC"/>
    <w:rsid w:val="00054294"/>
    <w:rsid w:val="0005430B"/>
    <w:rsid w:val="000545BA"/>
    <w:rsid w:val="0005468C"/>
    <w:rsid w:val="00054927"/>
    <w:rsid w:val="00054AB2"/>
    <w:rsid w:val="00054B6F"/>
    <w:rsid w:val="00054C27"/>
    <w:rsid w:val="00054C93"/>
    <w:rsid w:val="00054DC1"/>
    <w:rsid w:val="00054DCD"/>
    <w:rsid w:val="00055037"/>
    <w:rsid w:val="00055196"/>
    <w:rsid w:val="000552DC"/>
    <w:rsid w:val="00055352"/>
    <w:rsid w:val="00055483"/>
    <w:rsid w:val="000555D9"/>
    <w:rsid w:val="0005593F"/>
    <w:rsid w:val="00055943"/>
    <w:rsid w:val="0005597E"/>
    <w:rsid w:val="00055EC3"/>
    <w:rsid w:val="00056003"/>
    <w:rsid w:val="000563CE"/>
    <w:rsid w:val="0005678B"/>
    <w:rsid w:val="000567D0"/>
    <w:rsid w:val="00056A08"/>
    <w:rsid w:val="00056A97"/>
    <w:rsid w:val="00056E23"/>
    <w:rsid w:val="00056E5D"/>
    <w:rsid w:val="000570FF"/>
    <w:rsid w:val="0005723D"/>
    <w:rsid w:val="000572D9"/>
    <w:rsid w:val="00057461"/>
    <w:rsid w:val="00057573"/>
    <w:rsid w:val="00057618"/>
    <w:rsid w:val="000577AB"/>
    <w:rsid w:val="000577CF"/>
    <w:rsid w:val="000578ED"/>
    <w:rsid w:val="00057A38"/>
    <w:rsid w:val="00057D70"/>
    <w:rsid w:val="00057E0B"/>
    <w:rsid w:val="00057E1F"/>
    <w:rsid w:val="00057E75"/>
    <w:rsid w:val="00060014"/>
    <w:rsid w:val="000601B8"/>
    <w:rsid w:val="000604B7"/>
    <w:rsid w:val="00060783"/>
    <w:rsid w:val="000609C1"/>
    <w:rsid w:val="00060AFF"/>
    <w:rsid w:val="00060B72"/>
    <w:rsid w:val="00060C28"/>
    <w:rsid w:val="00060D67"/>
    <w:rsid w:val="00060FC4"/>
    <w:rsid w:val="00060FED"/>
    <w:rsid w:val="000614D1"/>
    <w:rsid w:val="0006162D"/>
    <w:rsid w:val="00061A09"/>
    <w:rsid w:val="00061AFF"/>
    <w:rsid w:val="00061B49"/>
    <w:rsid w:val="00061FA4"/>
    <w:rsid w:val="00061FB1"/>
    <w:rsid w:val="00062445"/>
    <w:rsid w:val="0006267E"/>
    <w:rsid w:val="0006299B"/>
    <w:rsid w:val="00062CFD"/>
    <w:rsid w:val="00063076"/>
    <w:rsid w:val="00063094"/>
    <w:rsid w:val="000638A8"/>
    <w:rsid w:val="00063BEC"/>
    <w:rsid w:val="00063D7E"/>
    <w:rsid w:val="000640DC"/>
    <w:rsid w:val="000642A6"/>
    <w:rsid w:val="00064557"/>
    <w:rsid w:val="00064617"/>
    <w:rsid w:val="00064D4F"/>
    <w:rsid w:val="00064E19"/>
    <w:rsid w:val="00064EF5"/>
    <w:rsid w:val="000650EC"/>
    <w:rsid w:val="00065273"/>
    <w:rsid w:val="00065729"/>
    <w:rsid w:val="000659B6"/>
    <w:rsid w:val="000659F5"/>
    <w:rsid w:val="00065B85"/>
    <w:rsid w:val="00065D9D"/>
    <w:rsid w:val="00065DD3"/>
    <w:rsid w:val="0006612A"/>
    <w:rsid w:val="0006623A"/>
    <w:rsid w:val="000663DB"/>
    <w:rsid w:val="0006686F"/>
    <w:rsid w:val="00066A37"/>
    <w:rsid w:val="00066A5E"/>
    <w:rsid w:val="0006722A"/>
    <w:rsid w:val="0006723C"/>
    <w:rsid w:val="000672BA"/>
    <w:rsid w:val="000673C0"/>
    <w:rsid w:val="000674AC"/>
    <w:rsid w:val="00067D06"/>
    <w:rsid w:val="00067D0F"/>
    <w:rsid w:val="00067F7B"/>
    <w:rsid w:val="000704BC"/>
    <w:rsid w:val="000706EB"/>
    <w:rsid w:val="000707D2"/>
    <w:rsid w:val="0007120F"/>
    <w:rsid w:val="00071271"/>
    <w:rsid w:val="00071391"/>
    <w:rsid w:val="000713A0"/>
    <w:rsid w:val="00071502"/>
    <w:rsid w:val="00072075"/>
    <w:rsid w:val="00072719"/>
    <w:rsid w:val="0007292F"/>
    <w:rsid w:val="0007311B"/>
    <w:rsid w:val="000732CF"/>
    <w:rsid w:val="00073815"/>
    <w:rsid w:val="00073E33"/>
    <w:rsid w:val="0007491D"/>
    <w:rsid w:val="00074D43"/>
    <w:rsid w:val="00074E5D"/>
    <w:rsid w:val="00075325"/>
    <w:rsid w:val="000753C4"/>
    <w:rsid w:val="00075512"/>
    <w:rsid w:val="00075628"/>
    <w:rsid w:val="00075706"/>
    <w:rsid w:val="00075728"/>
    <w:rsid w:val="000758A3"/>
    <w:rsid w:val="000759A7"/>
    <w:rsid w:val="00075B96"/>
    <w:rsid w:val="00075C98"/>
    <w:rsid w:val="00076380"/>
    <w:rsid w:val="0007644A"/>
    <w:rsid w:val="00076653"/>
    <w:rsid w:val="00076A10"/>
    <w:rsid w:val="00076AAC"/>
    <w:rsid w:val="00076C8F"/>
    <w:rsid w:val="00077005"/>
    <w:rsid w:val="000772A9"/>
    <w:rsid w:val="000774EB"/>
    <w:rsid w:val="000774EC"/>
    <w:rsid w:val="000779E2"/>
    <w:rsid w:val="00077B68"/>
    <w:rsid w:val="00077B7E"/>
    <w:rsid w:val="00077F5F"/>
    <w:rsid w:val="0008011A"/>
    <w:rsid w:val="00080184"/>
    <w:rsid w:val="00080356"/>
    <w:rsid w:val="000804F1"/>
    <w:rsid w:val="000806DC"/>
    <w:rsid w:val="000808E3"/>
    <w:rsid w:val="00080D50"/>
    <w:rsid w:val="00080E3A"/>
    <w:rsid w:val="00080F7C"/>
    <w:rsid w:val="00081159"/>
    <w:rsid w:val="00081173"/>
    <w:rsid w:val="00081320"/>
    <w:rsid w:val="00081447"/>
    <w:rsid w:val="00081896"/>
    <w:rsid w:val="00081913"/>
    <w:rsid w:val="0008196A"/>
    <w:rsid w:val="0008197A"/>
    <w:rsid w:val="00081CB2"/>
    <w:rsid w:val="00081D4E"/>
    <w:rsid w:val="00081DCF"/>
    <w:rsid w:val="00081F58"/>
    <w:rsid w:val="00082350"/>
    <w:rsid w:val="0008257F"/>
    <w:rsid w:val="00082A37"/>
    <w:rsid w:val="00082C3A"/>
    <w:rsid w:val="00082CE8"/>
    <w:rsid w:val="000831C5"/>
    <w:rsid w:val="00083345"/>
    <w:rsid w:val="000834F4"/>
    <w:rsid w:val="00083926"/>
    <w:rsid w:val="000839C7"/>
    <w:rsid w:val="000839DE"/>
    <w:rsid w:val="00083B50"/>
    <w:rsid w:val="00083FA6"/>
    <w:rsid w:val="0008412E"/>
    <w:rsid w:val="00084162"/>
    <w:rsid w:val="00084441"/>
    <w:rsid w:val="00084501"/>
    <w:rsid w:val="00084604"/>
    <w:rsid w:val="000848F7"/>
    <w:rsid w:val="00084BA7"/>
    <w:rsid w:val="00084D18"/>
    <w:rsid w:val="00084EAA"/>
    <w:rsid w:val="00084EAD"/>
    <w:rsid w:val="00085492"/>
    <w:rsid w:val="00085541"/>
    <w:rsid w:val="0008556F"/>
    <w:rsid w:val="0008574E"/>
    <w:rsid w:val="00085833"/>
    <w:rsid w:val="000859E8"/>
    <w:rsid w:val="00085B38"/>
    <w:rsid w:val="00085CD4"/>
    <w:rsid w:val="000860BD"/>
    <w:rsid w:val="0008643E"/>
    <w:rsid w:val="00086672"/>
    <w:rsid w:val="0008669B"/>
    <w:rsid w:val="00086AA6"/>
    <w:rsid w:val="00086B41"/>
    <w:rsid w:val="00086B94"/>
    <w:rsid w:val="00086C36"/>
    <w:rsid w:val="00086C93"/>
    <w:rsid w:val="0008709A"/>
    <w:rsid w:val="00087381"/>
    <w:rsid w:val="000875D0"/>
    <w:rsid w:val="00087A55"/>
    <w:rsid w:val="00087A82"/>
    <w:rsid w:val="00087B2C"/>
    <w:rsid w:val="00087EAB"/>
    <w:rsid w:val="00087EF3"/>
    <w:rsid w:val="00090920"/>
    <w:rsid w:val="00091044"/>
    <w:rsid w:val="000915DE"/>
    <w:rsid w:val="000915ED"/>
    <w:rsid w:val="00091D21"/>
    <w:rsid w:val="0009209D"/>
    <w:rsid w:val="000921D8"/>
    <w:rsid w:val="0009240F"/>
    <w:rsid w:val="000925DB"/>
    <w:rsid w:val="00092700"/>
    <w:rsid w:val="000928CC"/>
    <w:rsid w:val="000929A2"/>
    <w:rsid w:val="00092FE4"/>
    <w:rsid w:val="0009366D"/>
    <w:rsid w:val="000939D5"/>
    <w:rsid w:val="00094299"/>
    <w:rsid w:val="0009429D"/>
    <w:rsid w:val="0009441F"/>
    <w:rsid w:val="0009463C"/>
    <w:rsid w:val="0009466F"/>
    <w:rsid w:val="000947B8"/>
    <w:rsid w:val="00094811"/>
    <w:rsid w:val="000948D6"/>
    <w:rsid w:val="0009490D"/>
    <w:rsid w:val="00094A65"/>
    <w:rsid w:val="00094D86"/>
    <w:rsid w:val="00094E94"/>
    <w:rsid w:val="000950AE"/>
    <w:rsid w:val="00095A93"/>
    <w:rsid w:val="00095AAE"/>
    <w:rsid w:val="00095B7C"/>
    <w:rsid w:val="00095BC7"/>
    <w:rsid w:val="00095FC6"/>
    <w:rsid w:val="00096189"/>
    <w:rsid w:val="00096781"/>
    <w:rsid w:val="0009694E"/>
    <w:rsid w:val="000969BD"/>
    <w:rsid w:val="000969BF"/>
    <w:rsid w:val="00096A9F"/>
    <w:rsid w:val="00096AEB"/>
    <w:rsid w:val="00096C32"/>
    <w:rsid w:val="00097117"/>
    <w:rsid w:val="00097138"/>
    <w:rsid w:val="000971FB"/>
    <w:rsid w:val="000974D2"/>
    <w:rsid w:val="00097549"/>
    <w:rsid w:val="000976EB"/>
    <w:rsid w:val="00097809"/>
    <w:rsid w:val="00097815"/>
    <w:rsid w:val="0009782E"/>
    <w:rsid w:val="00097AFB"/>
    <w:rsid w:val="00097B3E"/>
    <w:rsid w:val="00097C98"/>
    <w:rsid w:val="00097F1D"/>
    <w:rsid w:val="000A037E"/>
    <w:rsid w:val="000A063D"/>
    <w:rsid w:val="000A0985"/>
    <w:rsid w:val="000A0C22"/>
    <w:rsid w:val="000A0ECA"/>
    <w:rsid w:val="000A11B5"/>
    <w:rsid w:val="000A127F"/>
    <w:rsid w:val="000A130C"/>
    <w:rsid w:val="000A13AF"/>
    <w:rsid w:val="000A1400"/>
    <w:rsid w:val="000A1537"/>
    <w:rsid w:val="000A1598"/>
    <w:rsid w:val="000A169D"/>
    <w:rsid w:val="000A1725"/>
    <w:rsid w:val="000A1968"/>
    <w:rsid w:val="000A1B46"/>
    <w:rsid w:val="000A1C34"/>
    <w:rsid w:val="000A1EC9"/>
    <w:rsid w:val="000A1F33"/>
    <w:rsid w:val="000A200D"/>
    <w:rsid w:val="000A22B3"/>
    <w:rsid w:val="000A268A"/>
    <w:rsid w:val="000A2977"/>
    <w:rsid w:val="000A2BAC"/>
    <w:rsid w:val="000A2BBD"/>
    <w:rsid w:val="000A2C1B"/>
    <w:rsid w:val="000A2D50"/>
    <w:rsid w:val="000A2E1B"/>
    <w:rsid w:val="000A36D1"/>
    <w:rsid w:val="000A3747"/>
    <w:rsid w:val="000A3815"/>
    <w:rsid w:val="000A396A"/>
    <w:rsid w:val="000A3A6B"/>
    <w:rsid w:val="000A3B6B"/>
    <w:rsid w:val="000A3C43"/>
    <w:rsid w:val="000A3EA9"/>
    <w:rsid w:val="000A42D8"/>
    <w:rsid w:val="000A44E7"/>
    <w:rsid w:val="000A462F"/>
    <w:rsid w:val="000A4A51"/>
    <w:rsid w:val="000A4EB2"/>
    <w:rsid w:val="000A5621"/>
    <w:rsid w:val="000A5876"/>
    <w:rsid w:val="000A5880"/>
    <w:rsid w:val="000A5A3B"/>
    <w:rsid w:val="000A5D2B"/>
    <w:rsid w:val="000A60DC"/>
    <w:rsid w:val="000A628C"/>
    <w:rsid w:val="000A6642"/>
    <w:rsid w:val="000A7358"/>
    <w:rsid w:val="000A7468"/>
    <w:rsid w:val="000A77DF"/>
    <w:rsid w:val="000A7A57"/>
    <w:rsid w:val="000A7D11"/>
    <w:rsid w:val="000B01A7"/>
    <w:rsid w:val="000B0423"/>
    <w:rsid w:val="000B077A"/>
    <w:rsid w:val="000B09D1"/>
    <w:rsid w:val="000B0A5D"/>
    <w:rsid w:val="000B0B44"/>
    <w:rsid w:val="000B0BEC"/>
    <w:rsid w:val="000B0D04"/>
    <w:rsid w:val="000B0D67"/>
    <w:rsid w:val="000B0F47"/>
    <w:rsid w:val="000B1172"/>
    <w:rsid w:val="000B1371"/>
    <w:rsid w:val="000B1A22"/>
    <w:rsid w:val="000B1BFE"/>
    <w:rsid w:val="000B1C7C"/>
    <w:rsid w:val="000B28A8"/>
    <w:rsid w:val="000B2BE3"/>
    <w:rsid w:val="000B2C13"/>
    <w:rsid w:val="000B2D8C"/>
    <w:rsid w:val="000B3330"/>
    <w:rsid w:val="000B33BE"/>
    <w:rsid w:val="000B34A7"/>
    <w:rsid w:val="000B3519"/>
    <w:rsid w:val="000B36F6"/>
    <w:rsid w:val="000B3949"/>
    <w:rsid w:val="000B3B06"/>
    <w:rsid w:val="000B3C89"/>
    <w:rsid w:val="000B3F9F"/>
    <w:rsid w:val="000B4065"/>
    <w:rsid w:val="000B4337"/>
    <w:rsid w:val="000B464F"/>
    <w:rsid w:val="000B4664"/>
    <w:rsid w:val="000B4BA7"/>
    <w:rsid w:val="000B5237"/>
    <w:rsid w:val="000B5333"/>
    <w:rsid w:val="000B5338"/>
    <w:rsid w:val="000B54C1"/>
    <w:rsid w:val="000B58C4"/>
    <w:rsid w:val="000B5989"/>
    <w:rsid w:val="000B5A62"/>
    <w:rsid w:val="000B5AE0"/>
    <w:rsid w:val="000B5C3D"/>
    <w:rsid w:val="000B5CDE"/>
    <w:rsid w:val="000B5DE3"/>
    <w:rsid w:val="000B66AC"/>
    <w:rsid w:val="000B6867"/>
    <w:rsid w:val="000B6ED6"/>
    <w:rsid w:val="000B7081"/>
    <w:rsid w:val="000B795B"/>
    <w:rsid w:val="000B796F"/>
    <w:rsid w:val="000B7B73"/>
    <w:rsid w:val="000B9E0C"/>
    <w:rsid w:val="000C037C"/>
    <w:rsid w:val="000C041B"/>
    <w:rsid w:val="000C061B"/>
    <w:rsid w:val="000C06E1"/>
    <w:rsid w:val="000C080C"/>
    <w:rsid w:val="000C088D"/>
    <w:rsid w:val="000C08D9"/>
    <w:rsid w:val="000C0A57"/>
    <w:rsid w:val="000C0AFB"/>
    <w:rsid w:val="000C0B60"/>
    <w:rsid w:val="000C0C70"/>
    <w:rsid w:val="000C12B1"/>
    <w:rsid w:val="000C1417"/>
    <w:rsid w:val="000C14BD"/>
    <w:rsid w:val="000C177A"/>
    <w:rsid w:val="000C1948"/>
    <w:rsid w:val="000C1C0D"/>
    <w:rsid w:val="000C1C1C"/>
    <w:rsid w:val="000C1C69"/>
    <w:rsid w:val="000C1E49"/>
    <w:rsid w:val="000C203D"/>
    <w:rsid w:val="000C21C6"/>
    <w:rsid w:val="000C230C"/>
    <w:rsid w:val="000C2337"/>
    <w:rsid w:val="000C241B"/>
    <w:rsid w:val="000C2692"/>
    <w:rsid w:val="000C284E"/>
    <w:rsid w:val="000C2994"/>
    <w:rsid w:val="000C2A38"/>
    <w:rsid w:val="000C2AD0"/>
    <w:rsid w:val="000C2C70"/>
    <w:rsid w:val="000C3A15"/>
    <w:rsid w:val="000C3B57"/>
    <w:rsid w:val="000C3F22"/>
    <w:rsid w:val="000C419E"/>
    <w:rsid w:val="000C41B9"/>
    <w:rsid w:val="000C42B0"/>
    <w:rsid w:val="000C4495"/>
    <w:rsid w:val="000C48CF"/>
    <w:rsid w:val="000C4AA7"/>
    <w:rsid w:val="000C4C19"/>
    <w:rsid w:val="000C4D58"/>
    <w:rsid w:val="000C4D82"/>
    <w:rsid w:val="000C514E"/>
    <w:rsid w:val="000C52DD"/>
    <w:rsid w:val="000C52DF"/>
    <w:rsid w:val="000C5336"/>
    <w:rsid w:val="000C5376"/>
    <w:rsid w:val="000C5649"/>
    <w:rsid w:val="000C565E"/>
    <w:rsid w:val="000C568F"/>
    <w:rsid w:val="000C56E2"/>
    <w:rsid w:val="000C582B"/>
    <w:rsid w:val="000C5F06"/>
    <w:rsid w:val="000C5F32"/>
    <w:rsid w:val="000C602F"/>
    <w:rsid w:val="000C6082"/>
    <w:rsid w:val="000C6171"/>
    <w:rsid w:val="000C62A9"/>
    <w:rsid w:val="000C62AF"/>
    <w:rsid w:val="000C639D"/>
    <w:rsid w:val="000C643D"/>
    <w:rsid w:val="000C6478"/>
    <w:rsid w:val="000C6651"/>
    <w:rsid w:val="000C69A5"/>
    <w:rsid w:val="000C6A44"/>
    <w:rsid w:val="000C6AB4"/>
    <w:rsid w:val="000C6E4B"/>
    <w:rsid w:val="000C6FF7"/>
    <w:rsid w:val="000C7B25"/>
    <w:rsid w:val="000C7B8A"/>
    <w:rsid w:val="000C7DD0"/>
    <w:rsid w:val="000D00AC"/>
    <w:rsid w:val="000D02AD"/>
    <w:rsid w:val="000D06C9"/>
    <w:rsid w:val="000D0C5E"/>
    <w:rsid w:val="000D0F1C"/>
    <w:rsid w:val="000D123C"/>
    <w:rsid w:val="000D12EE"/>
    <w:rsid w:val="000D1628"/>
    <w:rsid w:val="000D18EC"/>
    <w:rsid w:val="000D1C57"/>
    <w:rsid w:val="000D1F60"/>
    <w:rsid w:val="000D1FAB"/>
    <w:rsid w:val="000D252E"/>
    <w:rsid w:val="000D2760"/>
    <w:rsid w:val="000D2CBA"/>
    <w:rsid w:val="000D2DC0"/>
    <w:rsid w:val="000D33C7"/>
    <w:rsid w:val="000D34AC"/>
    <w:rsid w:val="000D3597"/>
    <w:rsid w:val="000D36ED"/>
    <w:rsid w:val="000D3934"/>
    <w:rsid w:val="000D3E8D"/>
    <w:rsid w:val="000D4500"/>
    <w:rsid w:val="000D4616"/>
    <w:rsid w:val="000D478F"/>
    <w:rsid w:val="000D47C6"/>
    <w:rsid w:val="000D49AC"/>
    <w:rsid w:val="000D4A84"/>
    <w:rsid w:val="000D4A90"/>
    <w:rsid w:val="000D4BA6"/>
    <w:rsid w:val="000D4D6E"/>
    <w:rsid w:val="000D4DF8"/>
    <w:rsid w:val="000D51F2"/>
    <w:rsid w:val="000D529E"/>
    <w:rsid w:val="000D536E"/>
    <w:rsid w:val="000D550B"/>
    <w:rsid w:val="000D560C"/>
    <w:rsid w:val="000D582B"/>
    <w:rsid w:val="000D58F5"/>
    <w:rsid w:val="000D59C5"/>
    <w:rsid w:val="000D5BDC"/>
    <w:rsid w:val="000D5CC6"/>
    <w:rsid w:val="000D6077"/>
    <w:rsid w:val="000D60F4"/>
    <w:rsid w:val="000D653C"/>
    <w:rsid w:val="000D6605"/>
    <w:rsid w:val="000D669D"/>
    <w:rsid w:val="000D6C36"/>
    <w:rsid w:val="000D6D61"/>
    <w:rsid w:val="000D6E72"/>
    <w:rsid w:val="000D6E74"/>
    <w:rsid w:val="000D71D9"/>
    <w:rsid w:val="000D7287"/>
    <w:rsid w:val="000D74EE"/>
    <w:rsid w:val="000D76E0"/>
    <w:rsid w:val="000D7AC1"/>
    <w:rsid w:val="000D7D0C"/>
    <w:rsid w:val="000D7DE6"/>
    <w:rsid w:val="000D7E8B"/>
    <w:rsid w:val="000D7EAD"/>
    <w:rsid w:val="000E0048"/>
    <w:rsid w:val="000E00A5"/>
    <w:rsid w:val="000E00E6"/>
    <w:rsid w:val="000E01DE"/>
    <w:rsid w:val="000E0366"/>
    <w:rsid w:val="000E0376"/>
    <w:rsid w:val="000E0E80"/>
    <w:rsid w:val="000E0F06"/>
    <w:rsid w:val="000E0F98"/>
    <w:rsid w:val="000E12DC"/>
    <w:rsid w:val="000E1363"/>
    <w:rsid w:val="000E14AC"/>
    <w:rsid w:val="000E162A"/>
    <w:rsid w:val="000E1C36"/>
    <w:rsid w:val="000E1CF9"/>
    <w:rsid w:val="000E1D68"/>
    <w:rsid w:val="000E1ECA"/>
    <w:rsid w:val="000E2151"/>
    <w:rsid w:val="000E2216"/>
    <w:rsid w:val="000E2233"/>
    <w:rsid w:val="000E23A7"/>
    <w:rsid w:val="000E2840"/>
    <w:rsid w:val="000E2936"/>
    <w:rsid w:val="000E29EB"/>
    <w:rsid w:val="000E2F7D"/>
    <w:rsid w:val="000E36E3"/>
    <w:rsid w:val="000E3807"/>
    <w:rsid w:val="000E3BBE"/>
    <w:rsid w:val="000E3CE0"/>
    <w:rsid w:val="000E3E0C"/>
    <w:rsid w:val="000E4318"/>
    <w:rsid w:val="000E4449"/>
    <w:rsid w:val="000E46E0"/>
    <w:rsid w:val="000E481F"/>
    <w:rsid w:val="000E4B33"/>
    <w:rsid w:val="000E4E2C"/>
    <w:rsid w:val="000E4E90"/>
    <w:rsid w:val="000E4F29"/>
    <w:rsid w:val="000E4FC8"/>
    <w:rsid w:val="000E50D4"/>
    <w:rsid w:val="000E5148"/>
    <w:rsid w:val="000E55DA"/>
    <w:rsid w:val="000E562B"/>
    <w:rsid w:val="000E57F2"/>
    <w:rsid w:val="000E5A7A"/>
    <w:rsid w:val="000E6097"/>
    <w:rsid w:val="000E611B"/>
    <w:rsid w:val="000E6570"/>
    <w:rsid w:val="000E6AB2"/>
    <w:rsid w:val="000E6BD4"/>
    <w:rsid w:val="000E7371"/>
    <w:rsid w:val="000E7752"/>
    <w:rsid w:val="000E795E"/>
    <w:rsid w:val="000E7DC0"/>
    <w:rsid w:val="000E7E37"/>
    <w:rsid w:val="000E7F6E"/>
    <w:rsid w:val="000EE4AC"/>
    <w:rsid w:val="000F0179"/>
    <w:rsid w:val="000F032A"/>
    <w:rsid w:val="000F0484"/>
    <w:rsid w:val="000F049E"/>
    <w:rsid w:val="000F08C1"/>
    <w:rsid w:val="000F1135"/>
    <w:rsid w:val="000F1254"/>
    <w:rsid w:val="000F137A"/>
    <w:rsid w:val="000F13CA"/>
    <w:rsid w:val="000F1460"/>
    <w:rsid w:val="000F19B8"/>
    <w:rsid w:val="000F1B29"/>
    <w:rsid w:val="000F1FA2"/>
    <w:rsid w:val="000F20B9"/>
    <w:rsid w:val="000F2482"/>
    <w:rsid w:val="000F2837"/>
    <w:rsid w:val="000F289A"/>
    <w:rsid w:val="000F2A4A"/>
    <w:rsid w:val="000F2ADB"/>
    <w:rsid w:val="000F2B9F"/>
    <w:rsid w:val="000F2C41"/>
    <w:rsid w:val="000F30D4"/>
    <w:rsid w:val="000F321A"/>
    <w:rsid w:val="000F32F2"/>
    <w:rsid w:val="000F33FA"/>
    <w:rsid w:val="000F340E"/>
    <w:rsid w:val="000F348E"/>
    <w:rsid w:val="000F348F"/>
    <w:rsid w:val="000F3621"/>
    <w:rsid w:val="000F362E"/>
    <w:rsid w:val="000F378E"/>
    <w:rsid w:val="000F3831"/>
    <w:rsid w:val="000F3A17"/>
    <w:rsid w:val="000F3BB7"/>
    <w:rsid w:val="000F3C4E"/>
    <w:rsid w:val="000F3DEA"/>
    <w:rsid w:val="000F3F19"/>
    <w:rsid w:val="000F42BF"/>
    <w:rsid w:val="000F4946"/>
    <w:rsid w:val="000F4A4F"/>
    <w:rsid w:val="000F507D"/>
    <w:rsid w:val="000F50DC"/>
    <w:rsid w:val="000F549D"/>
    <w:rsid w:val="000F5517"/>
    <w:rsid w:val="000F5865"/>
    <w:rsid w:val="000F5ADB"/>
    <w:rsid w:val="000F5B77"/>
    <w:rsid w:val="000F5BAE"/>
    <w:rsid w:val="000F619F"/>
    <w:rsid w:val="000F62D0"/>
    <w:rsid w:val="000F6730"/>
    <w:rsid w:val="000F680B"/>
    <w:rsid w:val="000F709F"/>
    <w:rsid w:val="000F72C3"/>
    <w:rsid w:val="000F73B2"/>
    <w:rsid w:val="000F7404"/>
    <w:rsid w:val="000F7467"/>
    <w:rsid w:val="000F74A2"/>
    <w:rsid w:val="000F76FE"/>
    <w:rsid w:val="000F79AF"/>
    <w:rsid w:val="000F79EC"/>
    <w:rsid w:val="000F7D17"/>
    <w:rsid w:val="000F7D4C"/>
    <w:rsid w:val="000F7DF3"/>
    <w:rsid w:val="000F7EBE"/>
    <w:rsid w:val="000F7FDF"/>
    <w:rsid w:val="00100328"/>
    <w:rsid w:val="00100456"/>
    <w:rsid w:val="001007E9"/>
    <w:rsid w:val="0010092F"/>
    <w:rsid w:val="00100A44"/>
    <w:rsid w:val="00100FAB"/>
    <w:rsid w:val="00100FB4"/>
    <w:rsid w:val="00101497"/>
    <w:rsid w:val="001014D1"/>
    <w:rsid w:val="0010154C"/>
    <w:rsid w:val="00101903"/>
    <w:rsid w:val="00101A35"/>
    <w:rsid w:val="00101BAA"/>
    <w:rsid w:val="00101D67"/>
    <w:rsid w:val="00101DC7"/>
    <w:rsid w:val="001021A5"/>
    <w:rsid w:val="001024FA"/>
    <w:rsid w:val="001026FB"/>
    <w:rsid w:val="00102A88"/>
    <w:rsid w:val="00102CA5"/>
    <w:rsid w:val="00102ED9"/>
    <w:rsid w:val="0010310F"/>
    <w:rsid w:val="00103236"/>
    <w:rsid w:val="00103305"/>
    <w:rsid w:val="00103322"/>
    <w:rsid w:val="00103632"/>
    <w:rsid w:val="00103829"/>
    <w:rsid w:val="00103BE4"/>
    <w:rsid w:val="00103BE6"/>
    <w:rsid w:val="00103C5E"/>
    <w:rsid w:val="00103F57"/>
    <w:rsid w:val="00104041"/>
    <w:rsid w:val="00104EBD"/>
    <w:rsid w:val="00105173"/>
    <w:rsid w:val="00105219"/>
    <w:rsid w:val="001055B0"/>
    <w:rsid w:val="001055DB"/>
    <w:rsid w:val="00105EFC"/>
    <w:rsid w:val="00106209"/>
    <w:rsid w:val="0010627C"/>
    <w:rsid w:val="001062CF"/>
    <w:rsid w:val="0010635B"/>
    <w:rsid w:val="001063C3"/>
    <w:rsid w:val="001064F5"/>
    <w:rsid w:val="001069AC"/>
    <w:rsid w:val="00106B9B"/>
    <w:rsid w:val="00106D9F"/>
    <w:rsid w:val="00106E63"/>
    <w:rsid w:val="00106F71"/>
    <w:rsid w:val="00106FA8"/>
    <w:rsid w:val="0010772A"/>
    <w:rsid w:val="00107752"/>
    <w:rsid w:val="001077D8"/>
    <w:rsid w:val="0010795D"/>
    <w:rsid w:val="00107A1A"/>
    <w:rsid w:val="00107A2C"/>
    <w:rsid w:val="00107A3C"/>
    <w:rsid w:val="00107B73"/>
    <w:rsid w:val="00107B9F"/>
    <w:rsid w:val="00107EA5"/>
    <w:rsid w:val="001101DB"/>
    <w:rsid w:val="0011058F"/>
    <w:rsid w:val="001108E4"/>
    <w:rsid w:val="00110B1C"/>
    <w:rsid w:val="00110C28"/>
    <w:rsid w:val="00110C5E"/>
    <w:rsid w:val="00110CA8"/>
    <w:rsid w:val="00110D45"/>
    <w:rsid w:val="0011189C"/>
    <w:rsid w:val="00111921"/>
    <w:rsid w:val="00111FCE"/>
    <w:rsid w:val="0011210E"/>
    <w:rsid w:val="0011218C"/>
    <w:rsid w:val="0011232F"/>
    <w:rsid w:val="00112894"/>
    <w:rsid w:val="00112908"/>
    <w:rsid w:val="00112976"/>
    <w:rsid w:val="00112BB9"/>
    <w:rsid w:val="00113128"/>
    <w:rsid w:val="00113299"/>
    <w:rsid w:val="00113996"/>
    <w:rsid w:val="00113CF1"/>
    <w:rsid w:val="00113D8C"/>
    <w:rsid w:val="0011406B"/>
    <w:rsid w:val="00114259"/>
    <w:rsid w:val="001147FD"/>
    <w:rsid w:val="00114881"/>
    <w:rsid w:val="00114949"/>
    <w:rsid w:val="00114962"/>
    <w:rsid w:val="00114B6B"/>
    <w:rsid w:val="001155DC"/>
    <w:rsid w:val="001158EC"/>
    <w:rsid w:val="0011591C"/>
    <w:rsid w:val="001159A2"/>
    <w:rsid w:val="00115ACD"/>
    <w:rsid w:val="00115C89"/>
    <w:rsid w:val="00115FEE"/>
    <w:rsid w:val="001162CE"/>
    <w:rsid w:val="001162E6"/>
    <w:rsid w:val="0011643D"/>
    <w:rsid w:val="00116645"/>
    <w:rsid w:val="00116726"/>
    <w:rsid w:val="00116D08"/>
    <w:rsid w:val="00116DC7"/>
    <w:rsid w:val="00116F77"/>
    <w:rsid w:val="00117306"/>
    <w:rsid w:val="001173DD"/>
    <w:rsid w:val="00117D8F"/>
    <w:rsid w:val="00117FA1"/>
    <w:rsid w:val="001201CA"/>
    <w:rsid w:val="001204E4"/>
    <w:rsid w:val="00120826"/>
    <w:rsid w:val="001208B7"/>
    <w:rsid w:val="0012092E"/>
    <w:rsid w:val="00120C38"/>
    <w:rsid w:val="00121076"/>
    <w:rsid w:val="0012172A"/>
    <w:rsid w:val="001219A0"/>
    <w:rsid w:val="00121AD6"/>
    <w:rsid w:val="00121B97"/>
    <w:rsid w:val="00121D96"/>
    <w:rsid w:val="00121EE1"/>
    <w:rsid w:val="00122009"/>
    <w:rsid w:val="001221FB"/>
    <w:rsid w:val="0012230E"/>
    <w:rsid w:val="0012269C"/>
    <w:rsid w:val="001229A5"/>
    <w:rsid w:val="00122B98"/>
    <w:rsid w:val="00122CDC"/>
    <w:rsid w:val="00122DC5"/>
    <w:rsid w:val="00122DE8"/>
    <w:rsid w:val="00122E9D"/>
    <w:rsid w:val="00122FD0"/>
    <w:rsid w:val="00123140"/>
    <w:rsid w:val="001232DA"/>
    <w:rsid w:val="00123D63"/>
    <w:rsid w:val="00123EA1"/>
    <w:rsid w:val="00124388"/>
    <w:rsid w:val="00124457"/>
    <w:rsid w:val="0012489B"/>
    <w:rsid w:val="00124A15"/>
    <w:rsid w:val="00124C58"/>
    <w:rsid w:val="00124DA2"/>
    <w:rsid w:val="0012504E"/>
    <w:rsid w:val="00125107"/>
    <w:rsid w:val="001255EE"/>
    <w:rsid w:val="0012573E"/>
    <w:rsid w:val="00125FFC"/>
    <w:rsid w:val="00126676"/>
    <w:rsid w:val="001266D7"/>
    <w:rsid w:val="001266F7"/>
    <w:rsid w:val="00126DDB"/>
    <w:rsid w:val="001270EC"/>
    <w:rsid w:val="00127244"/>
    <w:rsid w:val="00127597"/>
    <w:rsid w:val="0012783A"/>
    <w:rsid w:val="0012790A"/>
    <w:rsid w:val="00127AE1"/>
    <w:rsid w:val="00127B07"/>
    <w:rsid w:val="00127EFC"/>
    <w:rsid w:val="00130017"/>
    <w:rsid w:val="0013086D"/>
    <w:rsid w:val="00130B4B"/>
    <w:rsid w:val="00130F91"/>
    <w:rsid w:val="001311FA"/>
    <w:rsid w:val="00131297"/>
    <w:rsid w:val="001316AE"/>
    <w:rsid w:val="00131E5D"/>
    <w:rsid w:val="00131EFC"/>
    <w:rsid w:val="00131FFA"/>
    <w:rsid w:val="00132081"/>
    <w:rsid w:val="001323F1"/>
    <w:rsid w:val="00132870"/>
    <w:rsid w:val="00132DA2"/>
    <w:rsid w:val="001331ED"/>
    <w:rsid w:val="00133253"/>
    <w:rsid w:val="00133921"/>
    <w:rsid w:val="00133C4E"/>
    <w:rsid w:val="00133FF4"/>
    <w:rsid w:val="00134106"/>
    <w:rsid w:val="0013488A"/>
    <w:rsid w:val="00134936"/>
    <w:rsid w:val="001349ED"/>
    <w:rsid w:val="00134C49"/>
    <w:rsid w:val="00134C76"/>
    <w:rsid w:val="00134ED9"/>
    <w:rsid w:val="00135067"/>
    <w:rsid w:val="001350A9"/>
    <w:rsid w:val="00135340"/>
    <w:rsid w:val="00135417"/>
    <w:rsid w:val="0013541D"/>
    <w:rsid w:val="001354D8"/>
    <w:rsid w:val="00135C9E"/>
    <w:rsid w:val="00135FAC"/>
    <w:rsid w:val="00136154"/>
    <w:rsid w:val="00136411"/>
    <w:rsid w:val="00136641"/>
    <w:rsid w:val="00136A5E"/>
    <w:rsid w:val="00136CD9"/>
    <w:rsid w:val="00137310"/>
    <w:rsid w:val="00137424"/>
    <w:rsid w:val="001374A0"/>
    <w:rsid w:val="001374FD"/>
    <w:rsid w:val="00137666"/>
    <w:rsid w:val="00137E9C"/>
    <w:rsid w:val="00140064"/>
    <w:rsid w:val="001402F7"/>
    <w:rsid w:val="00140318"/>
    <w:rsid w:val="001404D9"/>
    <w:rsid w:val="0014076B"/>
    <w:rsid w:val="00140A9C"/>
    <w:rsid w:val="00140C33"/>
    <w:rsid w:val="00141562"/>
    <w:rsid w:val="00141848"/>
    <w:rsid w:val="00141AD9"/>
    <w:rsid w:val="00141EBA"/>
    <w:rsid w:val="00142874"/>
    <w:rsid w:val="00142B99"/>
    <w:rsid w:val="00142C96"/>
    <w:rsid w:val="00142D46"/>
    <w:rsid w:val="001435F3"/>
    <w:rsid w:val="0014386B"/>
    <w:rsid w:val="00143A21"/>
    <w:rsid w:val="00143D16"/>
    <w:rsid w:val="00143D49"/>
    <w:rsid w:val="00143D81"/>
    <w:rsid w:val="00143E7B"/>
    <w:rsid w:val="00143E81"/>
    <w:rsid w:val="001441C4"/>
    <w:rsid w:val="00144266"/>
    <w:rsid w:val="001447D8"/>
    <w:rsid w:val="00144C54"/>
    <w:rsid w:val="00144F6D"/>
    <w:rsid w:val="0014502C"/>
    <w:rsid w:val="001451BB"/>
    <w:rsid w:val="0014565F"/>
    <w:rsid w:val="001456FC"/>
    <w:rsid w:val="001459BA"/>
    <w:rsid w:val="00145E0B"/>
    <w:rsid w:val="00145F18"/>
    <w:rsid w:val="001463C0"/>
    <w:rsid w:val="001465B5"/>
    <w:rsid w:val="0014686F"/>
    <w:rsid w:val="00146BC2"/>
    <w:rsid w:val="00146CE6"/>
    <w:rsid w:val="00147323"/>
    <w:rsid w:val="0014760E"/>
    <w:rsid w:val="00147A89"/>
    <w:rsid w:val="00147ABB"/>
    <w:rsid w:val="00147B15"/>
    <w:rsid w:val="00147DB4"/>
    <w:rsid w:val="00147DBB"/>
    <w:rsid w:val="00147E49"/>
    <w:rsid w:val="00150049"/>
    <w:rsid w:val="001501D9"/>
    <w:rsid w:val="001503C9"/>
    <w:rsid w:val="001505B2"/>
    <w:rsid w:val="00150AC7"/>
    <w:rsid w:val="00150AF4"/>
    <w:rsid w:val="00150B79"/>
    <w:rsid w:val="00150BB4"/>
    <w:rsid w:val="00150C43"/>
    <w:rsid w:val="00150C6A"/>
    <w:rsid w:val="00150C85"/>
    <w:rsid w:val="00150D97"/>
    <w:rsid w:val="00150DB6"/>
    <w:rsid w:val="0015106D"/>
    <w:rsid w:val="001512BC"/>
    <w:rsid w:val="001514BA"/>
    <w:rsid w:val="001517F1"/>
    <w:rsid w:val="00151B63"/>
    <w:rsid w:val="00151B87"/>
    <w:rsid w:val="00151BAF"/>
    <w:rsid w:val="00151E48"/>
    <w:rsid w:val="00151EEB"/>
    <w:rsid w:val="001522E0"/>
    <w:rsid w:val="0015233E"/>
    <w:rsid w:val="0015250C"/>
    <w:rsid w:val="0015260E"/>
    <w:rsid w:val="00152903"/>
    <w:rsid w:val="00152C32"/>
    <w:rsid w:val="00152DC0"/>
    <w:rsid w:val="001530B4"/>
    <w:rsid w:val="0015310B"/>
    <w:rsid w:val="0015337E"/>
    <w:rsid w:val="00153419"/>
    <w:rsid w:val="001534DC"/>
    <w:rsid w:val="001537D4"/>
    <w:rsid w:val="00153935"/>
    <w:rsid w:val="00153FD5"/>
    <w:rsid w:val="00154004"/>
    <w:rsid w:val="0015429E"/>
    <w:rsid w:val="0015461C"/>
    <w:rsid w:val="001548E6"/>
    <w:rsid w:val="001548F4"/>
    <w:rsid w:val="00155005"/>
    <w:rsid w:val="00155495"/>
    <w:rsid w:val="001554AB"/>
    <w:rsid w:val="001555AA"/>
    <w:rsid w:val="0015580E"/>
    <w:rsid w:val="001558F0"/>
    <w:rsid w:val="00155CA4"/>
    <w:rsid w:val="0015614F"/>
    <w:rsid w:val="001561D1"/>
    <w:rsid w:val="001568AE"/>
    <w:rsid w:val="00156D6E"/>
    <w:rsid w:val="001570F1"/>
    <w:rsid w:val="00157307"/>
    <w:rsid w:val="00157509"/>
    <w:rsid w:val="001577C2"/>
    <w:rsid w:val="001577DD"/>
    <w:rsid w:val="00157817"/>
    <w:rsid w:val="00157DD2"/>
    <w:rsid w:val="00157E44"/>
    <w:rsid w:val="00160102"/>
    <w:rsid w:val="001601B4"/>
    <w:rsid w:val="001602E6"/>
    <w:rsid w:val="0016043C"/>
    <w:rsid w:val="0016065A"/>
    <w:rsid w:val="00160976"/>
    <w:rsid w:val="00160F01"/>
    <w:rsid w:val="00161172"/>
    <w:rsid w:val="001611CB"/>
    <w:rsid w:val="00161353"/>
    <w:rsid w:val="00161777"/>
    <w:rsid w:val="0016183C"/>
    <w:rsid w:val="0016204A"/>
    <w:rsid w:val="001620B4"/>
    <w:rsid w:val="001623BE"/>
    <w:rsid w:val="0016251E"/>
    <w:rsid w:val="00162794"/>
    <w:rsid w:val="00162818"/>
    <w:rsid w:val="001629AF"/>
    <w:rsid w:val="00162A4D"/>
    <w:rsid w:val="00162B9D"/>
    <w:rsid w:val="00163107"/>
    <w:rsid w:val="001633C4"/>
    <w:rsid w:val="001635BB"/>
    <w:rsid w:val="001637D1"/>
    <w:rsid w:val="00163AE8"/>
    <w:rsid w:val="00163C0E"/>
    <w:rsid w:val="00163C41"/>
    <w:rsid w:val="00163DA1"/>
    <w:rsid w:val="00163E55"/>
    <w:rsid w:val="00163EB5"/>
    <w:rsid w:val="00163ECC"/>
    <w:rsid w:val="00163F7A"/>
    <w:rsid w:val="00164108"/>
    <w:rsid w:val="001641C6"/>
    <w:rsid w:val="001643E2"/>
    <w:rsid w:val="0016448C"/>
    <w:rsid w:val="001645AE"/>
    <w:rsid w:val="001645C5"/>
    <w:rsid w:val="00164656"/>
    <w:rsid w:val="0016484F"/>
    <w:rsid w:val="00164C39"/>
    <w:rsid w:val="00164D95"/>
    <w:rsid w:val="00164E78"/>
    <w:rsid w:val="00164FF2"/>
    <w:rsid w:val="0016530C"/>
    <w:rsid w:val="00165397"/>
    <w:rsid w:val="00165744"/>
    <w:rsid w:val="001658A7"/>
    <w:rsid w:val="00165C8E"/>
    <w:rsid w:val="0016600B"/>
    <w:rsid w:val="00166043"/>
    <w:rsid w:val="00166113"/>
    <w:rsid w:val="001664F3"/>
    <w:rsid w:val="001665C6"/>
    <w:rsid w:val="00166609"/>
    <w:rsid w:val="00166631"/>
    <w:rsid w:val="0016699E"/>
    <w:rsid w:val="00166B9B"/>
    <w:rsid w:val="00166C04"/>
    <w:rsid w:val="00166DDD"/>
    <w:rsid w:val="001670B4"/>
    <w:rsid w:val="001671BD"/>
    <w:rsid w:val="001673B9"/>
    <w:rsid w:val="00167600"/>
    <w:rsid w:val="00167A06"/>
    <w:rsid w:val="00167A37"/>
    <w:rsid w:val="00167AFF"/>
    <w:rsid w:val="00170191"/>
    <w:rsid w:val="00170315"/>
    <w:rsid w:val="001704D5"/>
    <w:rsid w:val="00170778"/>
    <w:rsid w:val="00170914"/>
    <w:rsid w:val="00170B1E"/>
    <w:rsid w:val="00170BF1"/>
    <w:rsid w:val="00170C77"/>
    <w:rsid w:val="00170C96"/>
    <w:rsid w:val="00170E3B"/>
    <w:rsid w:val="00170F31"/>
    <w:rsid w:val="001711FD"/>
    <w:rsid w:val="00171223"/>
    <w:rsid w:val="001713DC"/>
    <w:rsid w:val="00171401"/>
    <w:rsid w:val="00171419"/>
    <w:rsid w:val="00171591"/>
    <w:rsid w:val="00171832"/>
    <w:rsid w:val="00171986"/>
    <w:rsid w:val="00171B19"/>
    <w:rsid w:val="00171C23"/>
    <w:rsid w:val="00171D37"/>
    <w:rsid w:val="00171D6E"/>
    <w:rsid w:val="00171F1F"/>
    <w:rsid w:val="001721A8"/>
    <w:rsid w:val="001722C7"/>
    <w:rsid w:val="001726AE"/>
    <w:rsid w:val="00172941"/>
    <w:rsid w:val="0017294D"/>
    <w:rsid w:val="00172A2E"/>
    <w:rsid w:val="00172E01"/>
    <w:rsid w:val="00173009"/>
    <w:rsid w:val="001730FF"/>
    <w:rsid w:val="0017365B"/>
    <w:rsid w:val="00173981"/>
    <w:rsid w:val="00173FDE"/>
    <w:rsid w:val="001740FD"/>
    <w:rsid w:val="00174115"/>
    <w:rsid w:val="00174172"/>
    <w:rsid w:val="001741C5"/>
    <w:rsid w:val="00174287"/>
    <w:rsid w:val="00174288"/>
    <w:rsid w:val="001744AD"/>
    <w:rsid w:val="001744C7"/>
    <w:rsid w:val="00174533"/>
    <w:rsid w:val="001745A6"/>
    <w:rsid w:val="0017476D"/>
    <w:rsid w:val="0017491D"/>
    <w:rsid w:val="001749FC"/>
    <w:rsid w:val="00174A6C"/>
    <w:rsid w:val="00174C6E"/>
    <w:rsid w:val="0017506D"/>
    <w:rsid w:val="00175199"/>
    <w:rsid w:val="0017542C"/>
    <w:rsid w:val="001756EA"/>
    <w:rsid w:val="001759AE"/>
    <w:rsid w:val="00175A88"/>
    <w:rsid w:val="00175F2C"/>
    <w:rsid w:val="001763B0"/>
    <w:rsid w:val="001764C9"/>
    <w:rsid w:val="00176581"/>
    <w:rsid w:val="001765F7"/>
    <w:rsid w:val="0017669A"/>
    <w:rsid w:val="00176981"/>
    <w:rsid w:val="0017698D"/>
    <w:rsid w:val="00176AAD"/>
    <w:rsid w:val="00176B23"/>
    <w:rsid w:val="00176B8B"/>
    <w:rsid w:val="00176B91"/>
    <w:rsid w:val="00176BD0"/>
    <w:rsid w:val="0017719D"/>
    <w:rsid w:val="00177434"/>
    <w:rsid w:val="001774F6"/>
    <w:rsid w:val="00177573"/>
    <w:rsid w:val="00177716"/>
    <w:rsid w:val="00177820"/>
    <w:rsid w:val="00177F8A"/>
    <w:rsid w:val="00180274"/>
    <w:rsid w:val="001804FE"/>
    <w:rsid w:val="0018070A"/>
    <w:rsid w:val="00180D74"/>
    <w:rsid w:val="00180EAE"/>
    <w:rsid w:val="001810C7"/>
    <w:rsid w:val="00181310"/>
    <w:rsid w:val="001814A9"/>
    <w:rsid w:val="001817AF"/>
    <w:rsid w:val="00181888"/>
    <w:rsid w:val="00181AA0"/>
    <w:rsid w:val="00181C27"/>
    <w:rsid w:val="00181D7D"/>
    <w:rsid w:val="00182198"/>
    <w:rsid w:val="00182346"/>
    <w:rsid w:val="00182421"/>
    <w:rsid w:val="00182467"/>
    <w:rsid w:val="001826A4"/>
    <w:rsid w:val="001829AE"/>
    <w:rsid w:val="00182EAC"/>
    <w:rsid w:val="00183084"/>
    <w:rsid w:val="001831B9"/>
    <w:rsid w:val="00183573"/>
    <w:rsid w:val="001836B8"/>
    <w:rsid w:val="00183CF9"/>
    <w:rsid w:val="00183D51"/>
    <w:rsid w:val="00183F50"/>
    <w:rsid w:val="00183FD7"/>
    <w:rsid w:val="00184016"/>
    <w:rsid w:val="0018454B"/>
    <w:rsid w:val="00184590"/>
    <w:rsid w:val="001848E5"/>
    <w:rsid w:val="00184D6C"/>
    <w:rsid w:val="00184E7E"/>
    <w:rsid w:val="00184ED5"/>
    <w:rsid w:val="001854DE"/>
    <w:rsid w:val="0018572A"/>
    <w:rsid w:val="001859AE"/>
    <w:rsid w:val="00185A35"/>
    <w:rsid w:val="00185CAB"/>
    <w:rsid w:val="00185DBE"/>
    <w:rsid w:val="00185DF9"/>
    <w:rsid w:val="00186005"/>
    <w:rsid w:val="0018613E"/>
    <w:rsid w:val="001863B1"/>
    <w:rsid w:val="00186504"/>
    <w:rsid w:val="00186759"/>
    <w:rsid w:val="001867C0"/>
    <w:rsid w:val="001867ED"/>
    <w:rsid w:val="0018681E"/>
    <w:rsid w:val="00186B10"/>
    <w:rsid w:val="0018705C"/>
    <w:rsid w:val="001873EA"/>
    <w:rsid w:val="001875B7"/>
    <w:rsid w:val="00187708"/>
    <w:rsid w:val="00187773"/>
    <w:rsid w:val="00187869"/>
    <w:rsid w:val="00187876"/>
    <w:rsid w:val="0018789E"/>
    <w:rsid w:val="00187A6A"/>
    <w:rsid w:val="00187A7C"/>
    <w:rsid w:val="00187B45"/>
    <w:rsid w:val="00187CB3"/>
    <w:rsid w:val="00187CC4"/>
    <w:rsid w:val="00187E44"/>
    <w:rsid w:val="00187EAD"/>
    <w:rsid w:val="001901DA"/>
    <w:rsid w:val="0019050A"/>
    <w:rsid w:val="00190907"/>
    <w:rsid w:val="00190B6C"/>
    <w:rsid w:val="00190CFB"/>
    <w:rsid w:val="00190E0D"/>
    <w:rsid w:val="00190F53"/>
    <w:rsid w:val="001910D4"/>
    <w:rsid w:val="00191270"/>
    <w:rsid w:val="001912A9"/>
    <w:rsid w:val="0019131D"/>
    <w:rsid w:val="00191328"/>
    <w:rsid w:val="0019184F"/>
    <w:rsid w:val="001918FD"/>
    <w:rsid w:val="0019199C"/>
    <w:rsid w:val="00191A22"/>
    <w:rsid w:val="00191A87"/>
    <w:rsid w:val="00191DE8"/>
    <w:rsid w:val="001921A8"/>
    <w:rsid w:val="0019243C"/>
    <w:rsid w:val="001925D9"/>
    <w:rsid w:val="001928C7"/>
    <w:rsid w:val="001929F1"/>
    <w:rsid w:val="00192D0D"/>
    <w:rsid w:val="00192D39"/>
    <w:rsid w:val="00192E3C"/>
    <w:rsid w:val="00192EE2"/>
    <w:rsid w:val="00193176"/>
    <w:rsid w:val="00193265"/>
    <w:rsid w:val="0019327B"/>
    <w:rsid w:val="00193513"/>
    <w:rsid w:val="00193562"/>
    <w:rsid w:val="00193703"/>
    <w:rsid w:val="00193862"/>
    <w:rsid w:val="001938F1"/>
    <w:rsid w:val="00193BD8"/>
    <w:rsid w:val="00193D47"/>
    <w:rsid w:val="00193E03"/>
    <w:rsid w:val="0019409D"/>
    <w:rsid w:val="00194351"/>
    <w:rsid w:val="001943D2"/>
    <w:rsid w:val="00194422"/>
    <w:rsid w:val="00194727"/>
    <w:rsid w:val="00194B1F"/>
    <w:rsid w:val="00194B8A"/>
    <w:rsid w:val="00194E47"/>
    <w:rsid w:val="00194E61"/>
    <w:rsid w:val="00195114"/>
    <w:rsid w:val="001951AA"/>
    <w:rsid w:val="0019522D"/>
    <w:rsid w:val="00195339"/>
    <w:rsid w:val="001955AD"/>
    <w:rsid w:val="00195640"/>
    <w:rsid w:val="0019589B"/>
    <w:rsid w:val="00195953"/>
    <w:rsid w:val="001960EF"/>
    <w:rsid w:val="00196242"/>
    <w:rsid w:val="001962A8"/>
    <w:rsid w:val="001968F4"/>
    <w:rsid w:val="00196E54"/>
    <w:rsid w:val="00196EB5"/>
    <w:rsid w:val="00197140"/>
    <w:rsid w:val="0019717A"/>
    <w:rsid w:val="001971AE"/>
    <w:rsid w:val="001971CC"/>
    <w:rsid w:val="001972FC"/>
    <w:rsid w:val="001976E3"/>
    <w:rsid w:val="00197CE1"/>
    <w:rsid w:val="00197DAA"/>
    <w:rsid w:val="00197DF9"/>
    <w:rsid w:val="001A00AC"/>
    <w:rsid w:val="001A03A7"/>
    <w:rsid w:val="001A0635"/>
    <w:rsid w:val="001A087F"/>
    <w:rsid w:val="001A0DF5"/>
    <w:rsid w:val="001A1635"/>
    <w:rsid w:val="001A173A"/>
    <w:rsid w:val="001A17BB"/>
    <w:rsid w:val="001A17C2"/>
    <w:rsid w:val="001A183B"/>
    <w:rsid w:val="001A1D3E"/>
    <w:rsid w:val="001A1FA4"/>
    <w:rsid w:val="001A224B"/>
    <w:rsid w:val="001A23F5"/>
    <w:rsid w:val="001A24BF"/>
    <w:rsid w:val="001A25A3"/>
    <w:rsid w:val="001A25ED"/>
    <w:rsid w:val="001A289F"/>
    <w:rsid w:val="001A2AE4"/>
    <w:rsid w:val="001A319D"/>
    <w:rsid w:val="001A3217"/>
    <w:rsid w:val="001A3299"/>
    <w:rsid w:val="001A33DB"/>
    <w:rsid w:val="001A3452"/>
    <w:rsid w:val="001A360C"/>
    <w:rsid w:val="001A3B03"/>
    <w:rsid w:val="001A3B63"/>
    <w:rsid w:val="001A3B7A"/>
    <w:rsid w:val="001A3C4F"/>
    <w:rsid w:val="001A3CF6"/>
    <w:rsid w:val="001A3E33"/>
    <w:rsid w:val="001A4333"/>
    <w:rsid w:val="001A43D1"/>
    <w:rsid w:val="001A44EC"/>
    <w:rsid w:val="001A4B40"/>
    <w:rsid w:val="001A4BA6"/>
    <w:rsid w:val="001A52FC"/>
    <w:rsid w:val="001A5373"/>
    <w:rsid w:val="001A53E8"/>
    <w:rsid w:val="001A55DD"/>
    <w:rsid w:val="001A56B4"/>
    <w:rsid w:val="001A5D39"/>
    <w:rsid w:val="001A604B"/>
    <w:rsid w:val="001A61C9"/>
    <w:rsid w:val="001A6416"/>
    <w:rsid w:val="001A64C2"/>
    <w:rsid w:val="001A65D0"/>
    <w:rsid w:val="001A67BD"/>
    <w:rsid w:val="001A6B5E"/>
    <w:rsid w:val="001A6C4F"/>
    <w:rsid w:val="001A6D1C"/>
    <w:rsid w:val="001A6F46"/>
    <w:rsid w:val="001A6F80"/>
    <w:rsid w:val="001A703C"/>
    <w:rsid w:val="001A7124"/>
    <w:rsid w:val="001A7577"/>
    <w:rsid w:val="001A78F4"/>
    <w:rsid w:val="001A79D5"/>
    <w:rsid w:val="001A7B12"/>
    <w:rsid w:val="001A7BB4"/>
    <w:rsid w:val="001A7D7D"/>
    <w:rsid w:val="001A7E7F"/>
    <w:rsid w:val="001B01C7"/>
    <w:rsid w:val="001B0360"/>
    <w:rsid w:val="001B04DA"/>
    <w:rsid w:val="001B0DDA"/>
    <w:rsid w:val="001B0EC7"/>
    <w:rsid w:val="001B0ED2"/>
    <w:rsid w:val="001B1128"/>
    <w:rsid w:val="001B1302"/>
    <w:rsid w:val="001B13EA"/>
    <w:rsid w:val="001B156C"/>
    <w:rsid w:val="001B15DD"/>
    <w:rsid w:val="001B1C88"/>
    <w:rsid w:val="001B1D4A"/>
    <w:rsid w:val="001B1D9E"/>
    <w:rsid w:val="001B1EB7"/>
    <w:rsid w:val="001B1FA3"/>
    <w:rsid w:val="001B208D"/>
    <w:rsid w:val="001B210A"/>
    <w:rsid w:val="001B2119"/>
    <w:rsid w:val="001B2135"/>
    <w:rsid w:val="001B216E"/>
    <w:rsid w:val="001B22AF"/>
    <w:rsid w:val="001B2509"/>
    <w:rsid w:val="001B2B33"/>
    <w:rsid w:val="001B2B8E"/>
    <w:rsid w:val="001B2DAB"/>
    <w:rsid w:val="001B2E5D"/>
    <w:rsid w:val="001B2E78"/>
    <w:rsid w:val="001B2ECC"/>
    <w:rsid w:val="001B2F88"/>
    <w:rsid w:val="001B3453"/>
    <w:rsid w:val="001B35FC"/>
    <w:rsid w:val="001B3797"/>
    <w:rsid w:val="001B3976"/>
    <w:rsid w:val="001B3B53"/>
    <w:rsid w:val="001B3C2D"/>
    <w:rsid w:val="001B4767"/>
    <w:rsid w:val="001B47A9"/>
    <w:rsid w:val="001B47AF"/>
    <w:rsid w:val="001B498B"/>
    <w:rsid w:val="001B4C36"/>
    <w:rsid w:val="001B4D6F"/>
    <w:rsid w:val="001B4DEC"/>
    <w:rsid w:val="001B4F49"/>
    <w:rsid w:val="001B4F60"/>
    <w:rsid w:val="001B5004"/>
    <w:rsid w:val="001B511E"/>
    <w:rsid w:val="001B53F0"/>
    <w:rsid w:val="001B56C9"/>
    <w:rsid w:val="001B56CB"/>
    <w:rsid w:val="001B58AA"/>
    <w:rsid w:val="001B5A05"/>
    <w:rsid w:val="001B5A7D"/>
    <w:rsid w:val="001B5B3E"/>
    <w:rsid w:val="001B5B4C"/>
    <w:rsid w:val="001B5E70"/>
    <w:rsid w:val="001B5E8A"/>
    <w:rsid w:val="001B635B"/>
    <w:rsid w:val="001B65BB"/>
    <w:rsid w:val="001B6AE4"/>
    <w:rsid w:val="001B6FCB"/>
    <w:rsid w:val="001B7029"/>
    <w:rsid w:val="001B7089"/>
    <w:rsid w:val="001B7114"/>
    <w:rsid w:val="001B711E"/>
    <w:rsid w:val="001B7549"/>
    <w:rsid w:val="001B7734"/>
    <w:rsid w:val="001B77C9"/>
    <w:rsid w:val="001B7B5C"/>
    <w:rsid w:val="001B7CF5"/>
    <w:rsid w:val="001B7E48"/>
    <w:rsid w:val="001B7FE5"/>
    <w:rsid w:val="001C020F"/>
    <w:rsid w:val="001C07DA"/>
    <w:rsid w:val="001C095F"/>
    <w:rsid w:val="001C0EAA"/>
    <w:rsid w:val="001C15D4"/>
    <w:rsid w:val="001C1605"/>
    <w:rsid w:val="001C17B8"/>
    <w:rsid w:val="001C17CE"/>
    <w:rsid w:val="001C1A42"/>
    <w:rsid w:val="001C1A7D"/>
    <w:rsid w:val="001C1A80"/>
    <w:rsid w:val="001C1D4F"/>
    <w:rsid w:val="001C1DD3"/>
    <w:rsid w:val="001C1F9D"/>
    <w:rsid w:val="001C204B"/>
    <w:rsid w:val="001C22D2"/>
    <w:rsid w:val="001C2988"/>
    <w:rsid w:val="001C2F4C"/>
    <w:rsid w:val="001C32D7"/>
    <w:rsid w:val="001C36B8"/>
    <w:rsid w:val="001C36CA"/>
    <w:rsid w:val="001C37FD"/>
    <w:rsid w:val="001C39DE"/>
    <w:rsid w:val="001C3B8B"/>
    <w:rsid w:val="001C3D4B"/>
    <w:rsid w:val="001C413D"/>
    <w:rsid w:val="001C42E4"/>
    <w:rsid w:val="001C44A3"/>
    <w:rsid w:val="001C44D1"/>
    <w:rsid w:val="001C471E"/>
    <w:rsid w:val="001C479D"/>
    <w:rsid w:val="001C4862"/>
    <w:rsid w:val="001C4AC6"/>
    <w:rsid w:val="001C4C71"/>
    <w:rsid w:val="001C4ECC"/>
    <w:rsid w:val="001C551A"/>
    <w:rsid w:val="001C551B"/>
    <w:rsid w:val="001C58FB"/>
    <w:rsid w:val="001C5A27"/>
    <w:rsid w:val="001C5B27"/>
    <w:rsid w:val="001C5B58"/>
    <w:rsid w:val="001C6021"/>
    <w:rsid w:val="001C62DD"/>
    <w:rsid w:val="001C63E5"/>
    <w:rsid w:val="001C661F"/>
    <w:rsid w:val="001C66A0"/>
    <w:rsid w:val="001C6AEE"/>
    <w:rsid w:val="001C6BC1"/>
    <w:rsid w:val="001C6E21"/>
    <w:rsid w:val="001C719C"/>
    <w:rsid w:val="001C7205"/>
    <w:rsid w:val="001C7630"/>
    <w:rsid w:val="001C76D9"/>
    <w:rsid w:val="001C7994"/>
    <w:rsid w:val="001C7AC0"/>
    <w:rsid w:val="001D00B9"/>
    <w:rsid w:val="001D0289"/>
    <w:rsid w:val="001D039F"/>
    <w:rsid w:val="001D03A5"/>
    <w:rsid w:val="001D0660"/>
    <w:rsid w:val="001D0A2F"/>
    <w:rsid w:val="001D0DAA"/>
    <w:rsid w:val="001D1198"/>
    <w:rsid w:val="001D134B"/>
    <w:rsid w:val="001D13E4"/>
    <w:rsid w:val="001D16A0"/>
    <w:rsid w:val="001D16C9"/>
    <w:rsid w:val="001D177E"/>
    <w:rsid w:val="001D18F6"/>
    <w:rsid w:val="001D204F"/>
    <w:rsid w:val="001D20B3"/>
    <w:rsid w:val="001D2117"/>
    <w:rsid w:val="001D241A"/>
    <w:rsid w:val="001D2A42"/>
    <w:rsid w:val="001D3247"/>
    <w:rsid w:val="001D332A"/>
    <w:rsid w:val="001D35D8"/>
    <w:rsid w:val="001D3DC5"/>
    <w:rsid w:val="001D3F1B"/>
    <w:rsid w:val="001D402C"/>
    <w:rsid w:val="001D4478"/>
    <w:rsid w:val="001D4575"/>
    <w:rsid w:val="001D461B"/>
    <w:rsid w:val="001D4625"/>
    <w:rsid w:val="001D4D29"/>
    <w:rsid w:val="001D54A9"/>
    <w:rsid w:val="001D572C"/>
    <w:rsid w:val="001D5793"/>
    <w:rsid w:val="001D58A5"/>
    <w:rsid w:val="001D6042"/>
    <w:rsid w:val="001D60A6"/>
    <w:rsid w:val="001D60F1"/>
    <w:rsid w:val="001D6574"/>
    <w:rsid w:val="001D6686"/>
    <w:rsid w:val="001D6AB3"/>
    <w:rsid w:val="001D6BDC"/>
    <w:rsid w:val="001D6D15"/>
    <w:rsid w:val="001D6DF8"/>
    <w:rsid w:val="001D6F1B"/>
    <w:rsid w:val="001D7330"/>
    <w:rsid w:val="001D734D"/>
    <w:rsid w:val="001D7496"/>
    <w:rsid w:val="001D75A9"/>
    <w:rsid w:val="001D799D"/>
    <w:rsid w:val="001D79F8"/>
    <w:rsid w:val="001D7E1A"/>
    <w:rsid w:val="001D7F38"/>
    <w:rsid w:val="001D7FD6"/>
    <w:rsid w:val="001E016D"/>
    <w:rsid w:val="001E03F7"/>
    <w:rsid w:val="001E05F2"/>
    <w:rsid w:val="001E07A5"/>
    <w:rsid w:val="001E0989"/>
    <w:rsid w:val="001E0D0E"/>
    <w:rsid w:val="001E0D50"/>
    <w:rsid w:val="001E120F"/>
    <w:rsid w:val="001E1505"/>
    <w:rsid w:val="001E1633"/>
    <w:rsid w:val="001E19D1"/>
    <w:rsid w:val="001E1A8B"/>
    <w:rsid w:val="001E1C60"/>
    <w:rsid w:val="001E1E6C"/>
    <w:rsid w:val="001E2010"/>
    <w:rsid w:val="001E20AF"/>
    <w:rsid w:val="001E21F0"/>
    <w:rsid w:val="001E224F"/>
    <w:rsid w:val="001E244C"/>
    <w:rsid w:val="001E2941"/>
    <w:rsid w:val="001E2989"/>
    <w:rsid w:val="001E2B21"/>
    <w:rsid w:val="001E2CE2"/>
    <w:rsid w:val="001E301B"/>
    <w:rsid w:val="001E3064"/>
    <w:rsid w:val="001E3084"/>
    <w:rsid w:val="001E30D2"/>
    <w:rsid w:val="001E3178"/>
    <w:rsid w:val="001E3226"/>
    <w:rsid w:val="001E336A"/>
    <w:rsid w:val="001E34A8"/>
    <w:rsid w:val="001E370A"/>
    <w:rsid w:val="001E3781"/>
    <w:rsid w:val="001E3AC4"/>
    <w:rsid w:val="001E3C71"/>
    <w:rsid w:val="001E3F30"/>
    <w:rsid w:val="001E4113"/>
    <w:rsid w:val="001E42DE"/>
    <w:rsid w:val="001E4594"/>
    <w:rsid w:val="001E4779"/>
    <w:rsid w:val="001E47D2"/>
    <w:rsid w:val="001E48E8"/>
    <w:rsid w:val="001E4DE9"/>
    <w:rsid w:val="001E4FFA"/>
    <w:rsid w:val="001E52F1"/>
    <w:rsid w:val="001E5321"/>
    <w:rsid w:val="001E58AA"/>
    <w:rsid w:val="001E5FAB"/>
    <w:rsid w:val="001E5FE5"/>
    <w:rsid w:val="001E6215"/>
    <w:rsid w:val="001E621A"/>
    <w:rsid w:val="001E682C"/>
    <w:rsid w:val="001E6905"/>
    <w:rsid w:val="001E6D68"/>
    <w:rsid w:val="001E6FA9"/>
    <w:rsid w:val="001E6FE9"/>
    <w:rsid w:val="001E701E"/>
    <w:rsid w:val="001E747B"/>
    <w:rsid w:val="001E74FB"/>
    <w:rsid w:val="001E7553"/>
    <w:rsid w:val="001E76F0"/>
    <w:rsid w:val="001E78F7"/>
    <w:rsid w:val="001E7AAA"/>
    <w:rsid w:val="001E7BF9"/>
    <w:rsid w:val="001E7DF2"/>
    <w:rsid w:val="001F0394"/>
    <w:rsid w:val="001F03F1"/>
    <w:rsid w:val="001F05DC"/>
    <w:rsid w:val="001F0986"/>
    <w:rsid w:val="001F0AE5"/>
    <w:rsid w:val="001F1133"/>
    <w:rsid w:val="001F13C2"/>
    <w:rsid w:val="001F14DA"/>
    <w:rsid w:val="001F1675"/>
    <w:rsid w:val="001F1A1D"/>
    <w:rsid w:val="001F1BE1"/>
    <w:rsid w:val="001F1D42"/>
    <w:rsid w:val="001F252F"/>
    <w:rsid w:val="001F2AA0"/>
    <w:rsid w:val="001F2C22"/>
    <w:rsid w:val="001F2C97"/>
    <w:rsid w:val="001F32BE"/>
    <w:rsid w:val="001F3551"/>
    <w:rsid w:val="001F39D4"/>
    <w:rsid w:val="001F3C5A"/>
    <w:rsid w:val="001F417F"/>
    <w:rsid w:val="001F4250"/>
    <w:rsid w:val="001F4433"/>
    <w:rsid w:val="001F4490"/>
    <w:rsid w:val="001F45EA"/>
    <w:rsid w:val="001F47BA"/>
    <w:rsid w:val="001F4B66"/>
    <w:rsid w:val="001F4DAF"/>
    <w:rsid w:val="001F4F2E"/>
    <w:rsid w:val="001F4F5A"/>
    <w:rsid w:val="001F50F7"/>
    <w:rsid w:val="001F535A"/>
    <w:rsid w:val="001F5533"/>
    <w:rsid w:val="001F5557"/>
    <w:rsid w:val="001F58B1"/>
    <w:rsid w:val="001F5974"/>
    <w:rsid w:val="001F5ACE"/>
    <w:rsid w:val="001F5C6F"/>
    <w:rsid w:val="001F6193"/>
    <w:rsid w:val="001F6782"/>
    <w:rsid w:val="001F69AF"/>
    <w:rsid w:val="001F6A22"/>
    <w:rsid w:val="001F6D7C"/>
    <w:rsid w:val="001F6F64"/>
    <w:rsid w:val="001F7172"/>
    <w:rsid w:val="001F743B"/>
    <w:rsid w:val="001F749E"/>
    <w:rsid w:val="001F7558"/>
    <w:rsid w:val="001F75FA"/>
    <w:rsid w:val="001F792B"/>
    <w:rsid w:val="001F7941"/>
    <w:rsid w:val="001F7A9B"/>
    <w:rsid w:val="00200148"/>
    <w:rsid w:val="00200514"/>
    <w:rsid w:val="0020051D"/>
    <w:rsid w:val="00200643"/>
    <w:rsid w:val="002007B5"/>
    <w:rsid w:val="002008A0"/>
    <w:rsid w:val="002008C1"/>
    <w:rsid w:val="00200934"/>
    <w:rsid w:val="00200A2C"/>
    <w:rsid w:val="002010E2"/>
    <w:rsid w:val="0020127E"/>
    <w:rsid w:val="00201662"/>
    <w:rsid w:val="00201863"/>
    <w:rsid w:val="00201ADD"/>
    <w:rsid w:val="00201C81"/>
    <w:rsid w:val="00201E6B"/>
    <w:rsid w:val="00201EE2"/>
    <w:rsid w:val="0020217C"/>
    <w:rsid w:val="00202499"/>
    <w:rsid w:val="002025C7"/>
    <w:rsid w:val="002029C6"/>
    <w:rsid w:val="00202A15"/>
    <w:rsid w:val="00202AFB"/>
    <w:rsid w:val="00202DB2"/>
    <w:rsid w:val="00202EB1"/>
    <w:rsid w:val="002030F5"/>
    <w:rsid w:val="00203162"/>
    <w:rsid w:val="0020320F"/>
    <w:rsid w:val="002034A8"/>
    <w:rsid w:val="002038FF"/>
    <w:rsid w:val="00203C4B"/>
    <w:rsid w:val="00203DED"/>
    <w:rsid w:val="00204077"/>
    <w:rsid w:val="00204119"/>
    <w:rsid w:val="002042D9"/>
    <w:rsid w:val="00204452"/>
    <w:rsid w:val="00204A31"/>
    <w:rsid w:val="00204AE6"/>
    <w:rsid w:val="00204B35"/>
    <w:rsid w:val="00204BA8"/>
    <w:rsid w:val="00204CA6"/>
    <w:rsid w:val="00204FAE"/>
    <w:rsid w:val="00204FE0"/>
    <w:rsid w:val="00204FF6"/>
    <w:rsid w:val="00205086"/>
    <w:rsid w:val="00205155"/>
    <w:rsid w:val="002051D1"/>
    <w:rsid w:val="002052DA"/>
    <w:rsid w:val="00205300"/>
    <w:rsid w:val="00205380"/>
    <w:rsid w:val="00205510"/>
    <w:rsid w:val="002056D1"/>
    <w:rsid w:val="002059A5"/>
    <w:rsid w:val="00205B57"/>
    <w:rsid w:val="00205C7A"/>
    <w:rsid w:val="00205E5C"/>
    <w:rsid w:val="0020607E"/>
    <w:rsid w:val="0020640F"/>
    <w:rsid w:val="002065E3"/>
    <w:rsid w:val="0020677E"/>
    <w:rsid w:val="00206A7C"/>
    <w:rsid w:val="00206BF7"/>
    <w:rsid w:val="00206CD1"/>
    <w:rsid w:val="00206E01"/>
    <w:rsid w:val="00207070"/>
    <w:rsid w:val="00207156"/>
    <w:rsid w:val="002073D8"/>
    <w:rsid w:val="00207CBF"/>
    <w:rsid w:val="00207E20"/>
    <w:rsid w:val="00210035"/>
    <w:rsid w:val="00210275"/>
    <w:rsid w:val="00210647"/>
    <w:rsid w:val="00210FA6"/>
    <w:rsid w:val="002110FD"/>
    <w:rsid w:val="00211368"/>
    <w:rsid w:val="002116E6"/>
    <w:rsid w:val="0021176E"/>
    <w:rsid w:val="00211B8F"/>
    <w:rsid w:val="00211F26"/>
    <w:rsid w:val="002122C1"/>
    <w:rsid w:val="0021288D"/>
    <w:rsid w:val="00212C52"/>
    <w:rsid w:val="00212D7F"/>
    <w:rsid w:val="00213087"/>
    <w:rsid w:val="002131DF"/>
    <w:rsid w:val="002135AC"/>
    <w:rsid w:val="002137F3"/>
    <w:rsid w:val="00213841"/>
    <w:rsid w:val="00213897"/>
    <w:rsid w:val="002139C4"/>
    <w:rsid w:val="002139DE"/>
    <w:rsid w:val="00213E5B"/>
    <w:rsid w:val="0021426C"/>
    <w:rsid w:val="002142EC"/>
    <w:rsid w:val="00214404"/>
    <w:rsid w:val="0021446E"/>
    <w:rsid w:val="00214535"/>
    <w:rsid w:val="00214869"/>
    <w:rsid w:val="002156C9"/>
    <w:rsid w:val="002157E0"/>
    <w:rsid w:val="00215944"/>
    <w:rsid w:val="0021596F"/>
    <w:rsid w:val="00215F13"/>
    <w:rsid w:val="00215FFA"/>
    <w:rsid w:val="002160B7"/>
    <w:rsid w:val="002161D0"/>
    <w:rsid w:val="00216339"/>
    <w:rsid w:val="002164A9"/>
    <w:rsid w:val="00216593"/>
    <w:rsid w:val="00216597"/>
    <w:rsid w:val="00216742"/>
    <w:rsid w:val="00216803"/>
    <w:rsid w:val="00216A57"/>
    <w:rsid w:val="00216B07"/>
    <w:rsid w:val="00216B59"/>
    <w:rsid w:val="00216E37"/>
    <w:rsid w:val="00216F8F"/>
    <w:rsid w:val="0021700F"/>
    <w:rsid w:val="00217085"/>
    <w:rsid w:val="002170EE"/>
    <w:rsid w:val="00217448"/>
    <w:rsid w:val="00217522"/>
    <w:rsid w:val="00217679"/>
    <w:rsid w:val="002176B6"/>
    <w:rsid w:val="00217803"/>
    <w:rsid w:val="00217850"/>
    <w:rsid w:val="00217A2C"/>
    <w:rsid w:val="00217BB5"/>
    <w:rsid w:val="00217CE6"/>
    <w:rsid w:val="00220091"/>
    <w:rsid w:val="002202A1"/>
    <w:rsid w:val="002203AE"/>
    <w:rsid w:val="0022060A"/>
    <w:rsid w:val="00220873"/>
    <w:rsid w:val="00220DE5"/>
    <w:rsid w:val="00220E22"/>
    <w:rsid w:val="00220E7D"/>
    <w:rsid w:val="00221210"/>
    <w:rsid w:val="00221367"/>
    <w:rsid w:val="0022196A"/>
    <w:rsid w:val="00221B7D"/>
    <w:rsid w:val="00221E65"/>
    <w:rsid w:val="00221E8C"/>
    <w:rsid w:val="00221EBB"/>
    <w:rsid w:val="00222025"/>
    <w:rsid w:val="002222EE"/>
    <w:rsid w:val="0022232D"/>
    <w:rsid w:val="00222A14"/>
    <w:rsid w:val="00222C89"/>
    <w:rsid w:val="002230D0"/>
    <w:rsid w:val="002230F4"/>
    <w:rsid w:val="0022334F"/>
    <w:rsid w:val="002234E7"/>
    <w:rsid w:val="002238B1"/>
    <w:rsid w:val="00223D7B"/>
    <w:rsid w:val="00223E64"/>
    <w:rsid w:val="00224191"/>
    <w:rsid w:val="00224223"/>
    <w:rsid w:val="00224501"/>
    <w:rsid w:val="002248AD"/>
    <w:rsid w:val="00224974"/>
    <w:rsid w:val="00224B51"/>
    <w:rsid w:val="00224C17"/>
    <w:rsid w:val="00224CDF"/>
    <w:rsid w:val="00224ED5"/>
    <w:rsid w:val="00224F7D"/>
    <w:rsid w:val="00225144"/>
    <w:rsid w:val="00225213"/>
    <w:rsid w:val="0022533C"/>
    <w:rsid w:val="00225829"/>
    <w:rsid w:val="002258B4"/>
    <w:rsid w:val="00226622"/>
    <w:rsid w:val="00226819"/>
    <w:rsid w:val="00226C77"/>
    <w:rsid w:val="00226D9F"/>
    <w:rsid w:val="00226DE0"/>
    <w:rsid w:val="002270A6"/>
    <w:rsid w:val="0022716A"/>
    <w:rsid w:val="00227666"/>
    <w:rsid w:val="00227A39"/>
    <w:rsid w:val="00230114"/>
    <w:rsid w:val="002305D7"/>
    <w:rsid w:val="00230896"/>
    <w:rsid w:val="00230AC0"/>
    <w:rsid w:val="00231080"/>
    <w:rsid w:val="002310F0"/>
    <w:rsid w:val="002311F3"/>
    <w:rsid w:val="00231245"/>
    <w:rsid w:val="00231321"/>
    <w:rsid w:val="002318A8"/>
    <w:rsid w:val="00231EE8"/>
    <w:rsid w:val="00232344"/>
    <w:rsid w:val="002325AD"/>
    <w:rsid w:val="00232A17"/>
    <w:rsid w:val="00232C5B"/>
    <w:rsid w:val="00232FD4"/>
    <w:rsid w:val="00233101"/>
    <w:rsid w:val="00233752"/>
    <w:rsid w:val="00233817"/>
    <w:rsid w:val="00233929"/>
    <w:rsid w:val="0023393B"/>
    <w:rsid w:val="00233A94"/>
    <w:rsid w:val="00233AD5"/>
    <w:rsid w:val="00233C8A"/>
    <w:rsid w:val="00233D6F"/>
    <w:rsid w:val="00233F1C"/>
    <w:rsid w:val="002342AC"/>
    <w:rsid w:val="002345E0"/>
    <w:rsid w:val="002347F5"/>
    <w:rsid w:val="002348E7"/>
    <w:rsid w:val="0023493E"/>
    <w:rsid w:val="00234ADC"/>
    <w:rsid w:val="00234C75"/>
    <w:rsid w:val="00234DC8"/>
    <w:rsid w:val="00234F03"/>
    <w:rsid w:val="0023506C"/>
    <w:rsid w:val="00235633"/>
    <w:rsid w:val="0023563F"/>
    <w:rsid w:val="0023580B"/>
    <w:rsid w:val="00235E16"/>
    <w:rsid w:val="00235E5D"/>
    <w:rsid w:val="0023630C"/>
    <w:rsid w:val="002363C9"/>
    <w:rsid w:val="002366CC"/>
    <w:rsid w:val="002367FF"/>
    <w:rsid w:val="00237027"/>
    <w:rsid w:val="0023704A"/>
    <w:rsid w:val="002373B7"/>
    <w:rsid w:val="0023753D"/>
    <w:rsid w:val="00237582"/>
    <w:rsid w:val="0023764C"/>
    <w:rsid w:val="00237814"/>
    <w:rsid w:val="00237865"/>
    <w:rsid w:val="0023794D"/>
    <w:rsid w:val="00237B9C"/>
    <w:rsid w:val="00237DD2"/>
    <w:rsid w:val="00237FF7"/>
    <w:rsid w:val="0024068D"/>
    <w:rsid w:val="00240A5D"/>
    <w:rsid w:val="00240AE0"/>
    <w:rsid w:val="00240AFF"/>
    <w:rsid w:val="00240CE9"/>
    <w:rsid w:val="002410C4"/>
    <w:rsid w:val="00241765"/>
    <w:rsid w:val="002417DB"/>
    <w:rsid w:val="00241808"/>
    <w:rsid w:val="00241B30"/>
    <w:rsid w:val="00241BF9"/>
    <w:rsid w:val="00241E30"/>
    <w:rsid w:val="002422A3"/>
    <w:rsid w:val="00242356"/>
    <w:rsid w:val="002423EE"/>
    <w:rsid w:val="00242407"/>
    <w:rsid w:val="00242A06"/>
    <w:rsid w:val="0024345D"/>
    <w:rsid w:val="002434BA"/>
    <w:rsid w:val="002437C6"/>
    <w:rsid w:val="0024383F"/>
    <w:rsid w:val="00243A23"/>
    <w:rsid w:val="00243C36"/>
    <w:rsid w:val="00243C80"/>
    <w:rsid w:val="00243D32"/>
    <w:rsid w:val="00243EC5"/>
    <w:rsid w:val="0024406A"/>
    <w:rsid w:val="0024489F"/>
    <w:rsid w:val="002448BA"/>
    <w:rsid w:val="00244BDE"/>
    <w:rsid w:val="00244CE4"/>
    <w:rsid w:val="0024517B"/>
    <w:rsid w:val="00245365"/>
    <w:rsid w:val="002453EE"/>
    <w:rsid w:val="00245428"/>
    <w:rsid w:val="0024544E"/>
    <w:rsid w:val="002454DA"/>
    <w:rsid w:val="002457B2"/>
    <w:rsid w:val="00245A73"/>
    <w:rsid w:val="00245D09"/>
    <w:rsid w:val="00245F3E"/>
    <w:rsid w:val="00246089"/>
    <w:rsid w:val="00246093"/>
    <w:rsid w:val="0024616E"/>
    <w:rsid w:val="002461B5"/>
    <w:rsid w:val="00246269"/>
    <w:rsid w:val="00246554"/>
    <w:rsid w:val="00246702"/>
    <w:rsid w:val="0024679F"/>
    <w:rsid w:val="00246A5C"/>
    <w:rsid w:val="00246AD1"/>
    <w:rsid w:val="00246AF6"/>
    <w:rsid w:val="00246DDA"/>
    <w:rsid w:val="00246DEF"/>
    <w:rsid w:val="00246EB5"/>
    <w:rsid w:val="00246F91"/>
    <w:rsid w:val="002473F1"/>
    <w:rsid w:val="002474A2"/>
    <w:rsid w:val="0024785F"/>
    <w:rsid w:val="002479C2"/>
    <w:rsid w:val="00247B13"/>
    <w:rsid w:val="00247C59"/>
    <w:rsid w:val="00247F2E"/>
    <w:rsid w:val="00250017"/>
    <w:rsid w:val="002501A9"/>
    <w:rsid w:val="00250409"/>
    <w:rsid w:val="0025053C"/>
    <w:rsid w:val="00250597"/>
    <w:rsid w:val="00250ADC"/>
    <w:rsid w:val="00250B07"/>
    <w:rsid w:val="00250EBE"/>
    <w:rsid w:val="00250F9A"/>
    <w:rsid w:val="00251588"/>
    <w:rsid w:val="00251832"/>
    <w:rsid w:val="00251A1D"/>
    <w:rsid w:val="00251E9B"/>
    <w:rsid w:val="00251F05"/>
    <w:rsid w:val="00251F7E"/>
    <w:rsid w:val="00251FA1"/>
    <w:rsid w:val="0025200A"/>
    <w:rsid w:val="0025238C"/>
    <w:rsid w:val="00252434"/>
    <w:rsid w:val="002528BA"/>
    <w:rsid w:val="00252B35"/>
    <w:rsid w:val="00253336"/>
    <w:rsid w:val="002533BA"/>
    <w:rsid w:val="00253450"/>
    <w:rsid w:val="00253688"/>
    <w:rsid w:val="00253876"/>
    <w:rsid w:val="00253BEB"/>
    <w:rsid w:val="00253C8F"/>
    <w:rsid w:val="00253D26"/>
    <w:rsid w:val="00253F27"/>
    <w:rsid w:val="002540A1"/>
    <w:rsid w:val="00254158"/>
    <w:rsid w:val="0025417E"/>
    <w:rsid w:val="002543B6"/>
    <w:rsid w:val="00254447"/>
    <w:rsid w:val="002544C7"/>
    <w:rsid w:val="0025471E"/>
    <w:rsid w:val="0025498D"/>
    <w:rsid w:val="00254B17"/>
    <w:rsid w:val="00254EA4"/>
    <w:rsid w:val="00254F11"/>
    <w:rsid w:val="00255524"/>
    <w:rsid w:val="0025581D"/>
    <w:rsid w:val="00255997"/>
    <w:rsid w:val="00255A6D"/>
    <w:rsid w:val="00255A8F"/>
    <w:rsid w:val="00255B84"/>
    <w:rsid w:val="00255DBB"/>
    <w:rsid w:val="00255E3D"/>
    <w:rsid w:val="00256238"/>
    <w:rsid w:val="002565E1"/>
    <w:rsid w:val="00256703"/>
    <w:rsid w:val="00256769"/>
    <w:rsid w:val="0025684B"/>
    <w:rsid w:val="00256CB1"/>
    <w:rsid w:val="00256EEF"/>
    <w:rsid w:val="00257022"/>
    <w:rsid w:val="0025736A"/>
    <w:rsid w:val="00257553"/>
    <w:rsid w:val="002577BB"/>
    <w:rsid w:val="002579DC"/>
    <w:rsid w:val="002579E4"/>
    <w:rsid w:val="00257C1A"/>
    <w:rsid w:val="00257CCF"/>
    <w:rsid w:val="00257CED"/>
    <w:rsid w:val="00260287"/>
    <w:rsid w:val="002606A4"/>
    <w:rsid w:val="00260788"/>
    <w:rsid w:val="002607AB"/>
    <w:rsid w:val="00260A28"/>
    <w:rsid w:val="00260D23"/>
    <w:rsid w:val="00260E12"/>
    <w:rsid w:val="00260E61"/>
    <w:rsid w:val="00260E6E"/>
    <w:rsid w:val="00260FA4"/>
    <w:rsid w:val="00260FB2"/>
    <w:rsid w:val="0026100A"/>
    <w:rsid w:val="002611A7"/>
    <w:rsid w:val="002611FD"/>
    <w:rsid w:val="002612D9"/>
    <w:rsid w:val="00261310"/>
    <w:rsid w:val="00261412"/>
    <w:rsid w:val="00261C79"/>
    <w:rsid w:val="00261C7B"/>
    <w:rsid w:val="00261CDC"/>
    <w:rsid w:val="00261ED4"/>
    <w:rsid w:val="00261F26"/>
    <w:rsid w:val="00262128"/>
    <w:rsid w:val="002621A6"/>
    <w:rsid w:val="00262930"/>
    <w:rsid w:val="00262A50"/>
    <w:rsid w:val="00262A8D"/>
    <w:rsid w:val="00262DD7"/>
    <w:rsid w:val="00262EE4"/>
    <w:rsid w:val="00262FCD"/>
    <w:rsid w:val="002630A4"/>
    <w:rsid w:val="002631D3"/>
    <w:rsid w:val="002636F0"/>
    <w:rsid w:val="00263D0E"/>
    <w:rsid w:val="002644CA"/>
    <w:rsid w:val="00264BF6"/>
    <w:rsid w:val="00264F76"/>
    <w:rsid w:val="00265056"/>
    <w:rsid w:val="002653A2"/>
    <w:rsid w:val="002659C5"/>
    <w:rsid w:val="00265D2F"/>
    <w:rsid w:val="00265DE5"/>
    <w:rsid w:val="00265F8E"/>
    <w:rsid w:val="002661BC"/>
    <w:rsid w:val="0026650D"/>
    <w:rsid w:val="0026650F"/>
    <w:rsid w:val="0026652F"/>
    <w:rsid w:val="0026658F"/>
    <w:rsid w:val="002666E8"/>
    <w:rsid w:val="00266A98"/>
    <w:rsid w:val="00266B36"/>
    <w:rsid w:val="00266B9A"/>
    <w:rsid w:val="00266CA3"/>
    <w:rsid w:val="0026739F"/>
    <w:rsid w:val="00267A6D"/>
    <w:rsid w:val="00267C43"/>
    <w:rsid w:val="002700B9"/>
    <w:rsid w:val="002701FE"/>
    <w:rsid w:val="0027034B"/>
    <w:rsid w:val="002707D9"/>
    <w:rsid w:val="00270E24"/>
    <w:rsid w:val="00270E57"/>
    <w:rsid w:val="00270EA6"/>
    <w:rsid w:val="00271068"/>
    <w:rsid w:val="00271103"/>
    <w:rsid w:val="002714FD"/>
    <w:rsid w:val="00271543"/>
    <w:rsid w:val="0027165D"/>
    <w:rsid w:val="00271920"/>
    <w:rsid w:val="00271A96"/>
    <w:rsid w:val="00271AF6"/>
    <w:rsid w:val="00271B4E"/>
    <w:rsid w:val="00272024"/>
    <w:rsid w:val="00272043"/>
    <w:rsid w:val="002725D3"/>
    <w:rsid w:val="00272889"/>
    <w:rsid w:val="002728F6"/>
    <w:rsid w:val="00272A61"/>
    <w:rsid w:val="00272D5C"/>
    <w:rsid w:val="00272F88"/>
    <w:rsid w:val="00272FCF"/>
    <w:rsid w:val="00273558"/>
    <w:rsid w:val="00273563"/>
    <w:rsid w:val="00273C64"/>
    <w:rsid w:val="00273CEB"/>
    <w:rsid w:val="002740D5"/>
    <w:rsid w:val="00274117"/>
    <w:rsid w:val="0027439D"/>
    <w:rsid w:val="002743AA"/>
    <w:rsid w:val="00274433"/>
    <w:rsid w:val="0027457F"/>
    <w:rsid w:val="00274719"/>
    <w:rsid w:val="00274784"/>
    <w:rsid w:val="0027484D"/>
    <w:rsid w:val="00274C72"/>
    <w:rsid w:val="0027506B"/>
    <w:rsid w:val="00275456"/>
    <w:rsid w:val="00275823"/>
    <w:rsid w:val="00275A57"/>
    <w:rsid w:val="00275EB9"/>
    <w:rsid w:val="00275F5F"/>
    <w:rsid w:val="002761DD"/>
    <w:rsid w:val="0027685F"/>
    <w:rsid w:val="002769FF"/>
    <w:rsid w:val="00276D7C"/>
    <w:rsid w:val="00277B7D"/>
    <w:rsid w:val="00277C13"/>
    <w:rsid w:val="00277CE2"/>
    <w:rsid w:val="00277D35"/>
    <w:rsid w:val="00277DD9"/>
    <w:rsid w:val="00280089"/>
    <w:rsid w:val="00280245"/>
    <w:rsid w:val="0028040A"/>
    <w:rsid w:val="002804C7"/>
    <w:rsid w:val="00280922"/>
    <w:rsid w:val="002809DF"/>
    <w:rsid w:val="00280C8B"/>
    <w:rsid w:val="002810BE"/>
    <w:rsid w:val="00281164"/>
    <w:rsid w:val="0028142E"/>
    <w:rsid w:val="0028145A"/>
    <w:rsid w:val="002814D2"/>
    <w:rsid w:val="0028186C"/>
    <w:rsid w:val="002818BA"/>
    <w:rsid w:val="00281A47"/>
    <w:rsid w:val="00281B2C"/>
    <w:rsid w:val="00281B6E"/>
    <w:rsid w:val="00281B72"/>
    <w:rsid w:val="00281BB1"/>
    <w:rsid w:val="00281C89"/>
    <w:rsid w:val="00281D13"/>
    <w:rsid w:val="00282136"/>
    <w:rsid w:val="002821BD"/>
    <w:rsid w:val="002821CC"/>
    <w:rsid w:val="0028235D"/>
    <w:rsid w:val="002826BD"/>
    <w:rsid w:val="0028282F"/>
    <w:rsid w:val="00282FC1"/>
    <w:rsid w:val="0028350B"/>
    <w:rsid w:val="002835B4"/>
    <w:rsid w:val="002836AB"/>
    <w:rsid w:val="002837EC"/>
    <w:rsid w:val="002838C0"/>
    <w:rsid w:val="00283ED4"/>
    <w:rsid w:val="00284115"/>
    <w:rsid w:val="0028411F"/>
    <w:rsid w:val="0028416F"/>
    <w:rsid w:val="00284399"/>
    <w:rsid w:val="002846F6"/>
    <w:rsid w:val="00284868"/>
    <w:rsid w:val="00284AC1"/>
    <w:rsid w:val="00284AE1"/>
    <w:rsid w:val="00284F09"/>
    <w:rsid w:val="00284FA8"/>
    <w:rsid w:val="00284FF4"/>
    <w:rsid w:val="0028512E"/>
    <w:rsid w:val="002851A6"/>
    <w:rsid w:val="002853EE"/>
    <w:rsid w:val="002858F4"/>
    <w:rsid w:val="002861DF"/>
    <w:rsid w:val="002862CE"/>
    <w:rsid w:val="002864ED"/>
    <w:rsid w:val="0028668B"/>
    <w:rsid w:val="002867B9"/>
    <w:rsid w:val="00286891"/>
    <w:rsid w:val="00286BDC"/>
    <w:rsid w:val="00286D8E"/>
    <w:rsid w:val="002871EC"/>
    <w:rsid w:val="002872D0"/>
    <w:rsid w:val="002878E4"/>
    <w:rsid w:val="0028794D"/>
    <w:rsid w:val="00287A9F"/>
    <w:rsid w:val="00287AD6"/>
    <w:rsid w:val="00287C8F"/>
    <w:rsid w:val="00290037"/>
    <w:rsid w:val="00290246"/>
    <w:rsid w:val="00290304"/>
    <w:rsid w:val="00290B23"/>
    <w:rsid w:val="00290E59"/>
    <w:rsid w:val="00291389"/>
    <w:rsid w:val="00291452"/>
    <w:rsid w:val="00291485"/>
    <w:rsid w:val="00291C02"/>
    <w:rsid w:val="00291FC8"/>
    <w:rsid w:val="00292086"/>
    <w:rsid w:val="00292292"/>
    <w:rsid w:val="00292763"/>
    <w:rsid w:val="0029282E"/>
    <w:rsid w:val="002928B3"/>
    <w:rsid w:val="00292A6E"/>
    <w:rsid w:val="00292B1D"/>
    <w:rsid w:val="00292D61"/>
    <w:rsid w:val="0029321B"/>
    <w:rsid w:val="00293338"/>
    <w:rsid w:val="002936ED"/>
    <w:rsid w:val="00293726"/>
    <w:rsid w:val="00293907"/>
    <w:rsid w:val="00293919"/>
    <w:rsid w:val="002939B8"/>
    <w:rsid w:val="00293BF0"/>
    <w:rsid w:val="00294DB6"/>
    <w:rsid w:val="00294E93"/>
    <w:rsid w:val="00294F4A"/>
    <w:rsid w:val="0029530A"/>
    <w:rsid w:val="00295391"/>
    <w:rsid w:val="00295556"/>
    <w:rsid w:val="00295813"/>
    <w:rsid w:val="0029593B"/>
    <w:rsid w:val="002959F9"/>
    <w:rsid w:val="00295B17"/>
    <w:rsid w:val="002962AE"/>
    <w:rsid w:val="00296352"/>
    <w:rsid w:val="00296704"/>
    <w:rsid w:val="00296790"/>
    <w:rsid w:val="00296A83"/>
    <w:rsid w:val="00296FF6"/>
    <w:rsid w:val="00297036"/>
    <w:rsid w:val="0029707F"/>
    <w:rsid w:val="00297084"/>
    <w:rsid w:val="00297126"/>
    <w:rsid w:val="00297311"/>
    <w:rsid w:val="002973FB"/>
    <w:rsid w:val="002974AA"/>
    <w:rsid w:val="00297990"/>
    <w:rsid w:val="00297AD4"/>
    <w:rsid w:val="00297B9A"/>
    <w:rsid w:val="00297BBB"/>
    <w:rsid w:val="00297C0C"/>
    <w:rsid w:val="00297C51"/>
    <w:rsid w:val="00297E55"/>
    <w:rsid w:val="00297EB9"/>
    <w:rsid w:val="00297F62"/>
    <w:rsid w:val="00297FC5"/>
    <w:rsid w:val="002A009A"/>
    <w:rsid w:val="002A01FD"/>
    <w:rsid w:val="002A022C"/>
    <w:rsid w:val="002A0417"/>
    <w:rsid w:val="002A05CC"/>
    <w:rsid w:val="002A0722"/>
    <w:rsid w:val="002A0910"/>
    <w:rsid w:val="002A0BDF"/>
    <w:rsid w:val="002A0D35"/>
    <w:rsid w:val="002A1048"/>
    <w:rsid w:val="002A1224"/>
    <w:rsid w:val="002A13B7"/>
    <w:rsid w:val="002A14DF"/>
    <w:rsid w:val="002A14FF"/>
    <w:rsid w:val="002A1616"/>
    <w:rsid w:val="002A16D8"/>
    <w:rsid w:val="002A175D"/>
    <w:rsid w:val="002A1B2D"/>
    <w:rsid w:val="002A1BC8"/>
    <w:rsid w:val="002A1BEF"/>
    <w:rsid w:val="002A1BF8"/>
    <w:rsid w:val="002A1E0A"/>
    <w:rsid w:val="002A2363"/>
    <w:rsid w:val="002A2B70"/>
    <w:rsid w:val="002A2D6C"/>
    <w:rsid w:val="002A2DA2"/>
    <w:rsid w:val="002A2E06"/>
    <w:rsid w:val="002A305F"/>
    <w:rsid w:val="002A3263"/>
    <w:rsid w:val="002A36E4"/>
    <w:rsid w:val="002A37AC"/>
    <w:rsid w:val="002A3EF2"/>
    <w:rsid w:val="002A40C2"/>
    <w:rsid w:val="002A4118"/>
    <w:rsid w:val="002A4383"/>
    <w:rsid w:val="002A43A7"/>
    <w:rsid w:val="002A46D6"/>
    <w:rsid w:val="002A4845"/>
    <w:rsid w:val="002A48BF"/>
    <w:rsid w:val="002A4D54"/>
    <w:rsid w:val="002A4DF7"/>
    <w:rsid w:val="002A4EBD"/>
    <w:rsid w:val="002A4F0B"/>
    <w:rsid w:val="002A51D2"/>
    <w:rsid w:val="002A5582"/>
    <w:rsid w:val="002A5666"/>
    <w:rsid w:val="002A571E"/>
    <w:rsid w:val="002A584F"/>
    <w:rsid w:val="002A58B6"/>
    <w:rsid w:val="002A59BC"/>
    <w:rsid w:val="002A59C2"/>
    <w:rsid w:val="002A5BB9"/>
    <w:rsid w:val="002A5E78"/>
    <w:rsid w:val="002A5EC2"/>
    <w:rsid w:val="002A5F14"/>
    <w:rsid w:val="002A6195"/>
    <w:rsid w:val="002A63DA"/>
    <w:rsid w:val="002A63E1"/>
    <w:rsid w:val="002A6A64"/>
    <w:rsid w:val="002A6EFF"/>
    <w:rsid w:val="002A752B"/>
    <w:rsid w:val="002A795F"/>
    <w:rsid w:val="002A7C1B"/>
    <w:rsid w:val="002A7DFB"/>
    <w:rsid w:val="002A7FC7"/>
    <w:rsid w:val="002B03D2"/>
    <w:rsid w:val="002B07D7"/>
    <w:rsid w:val="002B095E"/>
    <w:rsid w:val="002B09CB"/>
    <w:rsid w:val="002B09CD"/>
    <w:rsid w:val="002B09FF"/>
    <w:rsid w:val="002B0AF8"/>
    <w:rsid w:val="002B0B71"/>
    <w:rsid w:val="002B0DED"/>
    <w:rsid w:val="002B0EBC"/>
    <w:rsid w:val="002B11A7"/>
    <w:rsid w:val="002B14A9"/>
    <w:rsid w:val="002B17D1"/>
    <w:rsid w:val="002B1873"/>
    <w:rsid w:val="002B19A2"/>
    <w:rsid w:val="002B1A63"/>
    <w:rsid w:val="002B1DE7"/>
    <w:rsid w:val="002B26F6"/>
    <w:rsid w:val="002B2E77"/>
    <w:rsid w:val="002B345D"/>
    <w:rsid w:val="002B381A"/>
    <w:rsid w:val="002B386F"/>
    <w:rsid w:val="002B43B7"/>
    <w:rsid w:val="002B4428"/>
    <w:rsid w:val="002B444A"/>
    <w:rsid w:val="002B4475"/>
    <w:rsid w:val="002B4582"/>
    <w:rsid w:val="002B4966"/>
    <w:rsid w:val="002B4D5B"/>
    <w:rsid w:val="002B4DBC"/>
    <w:rsid w:val="002B4ED2"/>
    <w:rsid w:val="002B4FCC"/>
    <w:rsid w:val="002B516F"/>
    <w:rsid w:val="002B5D5B"/>
    <w:rsid w:val="002B5D90"/>
    <w:rsid w:val="002B6333"/>
    <w:rsid w:val="002B6446"/>
    <w:rsid w:val="002B64C4"/>
    <w:rsid w:val="002B6A71"/>
    <w:rsid w:val="002B6AC4"/>
    <w:rsid w:val="002B6ACF"/>
    <w:rsid w:val="002B6CE3"/>
    <w:rsid w:val="002B6CFC"/>
    <w:rsid w:val="002B7047"/>
    <w:rsid w:val="002B7066"/>
    <w:rsid w:val="002B73D1"/>
    <w:rsid w:val="002B7408"/>
    <w:rsid w:val="002B7722"/>
    <w:rsid w:val="002B7A46"/>
    <w:rsid w:val="002B7B09"/>
    <w:rsid w:val="002B7CFD"/>
    <w:rsid w:val="002C008C"/>
    <w:rsid w:val="002C0530"/>
    <w:rsid w:val="002C08B7"/>
    <w:rsid w:val="002C0BBF"/>
    <w:rsid w:val="002C0CC2"/>
    <w:rsid w:val="002C0D70"/>
    <w:rsid w:val="002C0F68"/>
    <w:rsid w:val="002C10CD"/>
    <w:rsid w:val="002C1139"/>
    <w:rsid w:val="002C13E8"/>
    <w:rsid w:val="002C1D2D"/>
    <w:rsid w:val="002C1E2E"/>
    <w:rsid w:val="002C210F"/>
    <w:rsid w:val="002C211A"/>
    <w:rsid w:val="002C237D"/>
    <w:rsid w:val="002C258B"/>
    <w:rsid w:val="002C295D"/>
    <w:rsid w:val="002C30CB"/>
    <w:rsid w:val="002C3115"/>
    <w:rsid w:val="002C33E1"/>
    <w:rsid w:val="002C36F7"/>
    <w:rsid w:val="002C3778"/>
    <w:rsid w:val="002C3A43"/>
    <w:rsid w:val="002C3AC0"/>
    <w:rsid w:val="002C3B70"/>
    <w:rsid w:val="002C3DC0"/>
    <w:rsid w:val="002C3EDF"/>
    <w:rsid w:val="002C40CA"/>
    <w:rsid w:val="002C4550"/>
    <w:rsid w:val="002C4ADE"/>
    <w:rsid w:val="002C4CAA"/>
    <w:rsid w:val="002C4E0E"/>
    <w:rsid w:val="002C4E6A"/>
    <w:rsid w:val="002C4F46"/>
    <w:rsid w:val="002C5334"/>
    <w:rsid w:val="002C53B5"/>
    <w:rsid w:val="002C5841"/>
    <w:rsid w:val="002C5BCD"/>
    <w:rsid w:val="002C606D"/>
    <w:rsid w:val="002C633C"/>
    <w:rsid w:val="002C63DB"/>
    <w:rsid w:val="002C698F"/>
    <w:rsid w:val="002C6D5F"/>
    <w:rsid w:val="002C70F2"/>
    <w:rsid w:val="002C70F8"/>
    <w:rsid w:val="002C7268"/>
    <w:rsid w:val="002C7307"/>
    <w:rsid w:val="002C7522"/>
    <w:rsid w:val="002C75E5"/>
    <w:rsid w:val="002C776A"/>
    <w:rsid w:val="002C7B0F"/>
    <w:rsid w:val="002C7B93"/>
    <w:rsid w:val="002C7BAE"/>
    <w:rsid w:val="002C7EEF"/>
    <w:rsid w:val="002D04BE"/>
    <w:rsid w:val="002D055B"/>
    <w:rsid w:val="002D0655"/>
    <w:rsid w:val="002D080D"/>
    <w:rsid w:val="002D0A62"/>
    <w:rsid w:val="002D0A6C"/>
    <w:rsid w:val="002D0F09"/>
    <w:rsid w:val="002D1088"/>
    <w:rsid w:val="002D170E"/>
    <w:rsid w:val="002D1A47"/>
    <w:rsid w:val="002D1AFC"/>
    <w:rsid w:val="002D1E7B"/>
    <w:rsid w:val="002D1F68"/>
    <w:rsid w:val="002D266D"/>
    <w:rsid w:val="002D2979"/>
    <w:rsid w:val="002D29D7"/>
    <w:rsid w:val="002D2A04"/>
    <w:rsid w:val="002D2DE2"/>
    <w:rsid w:val="002D2E02"/>
    <w:rsid w:val="002D3142"/>
    <w:rsid w:val="002D34C9"/>
    <w:rsid w:val="002D34CE"/>
    <w:rsid w:val="002D3600"/>
    <w:rsid w:val="002D3859"/>
    <w:rsid w:val="002D3EDE"/>
    <w:rsid w:val="002D4057"/>
    <w:rsid w:val="002D43DE"/>
    <w:rsid w:val="002D4CF1"/>
    <w:rsid w:val="002D4D19"/>
    <w:rsid w:val="002D4F7C"/>
    <w:rsid w:val="002D53C7"/>
    <w:rsid w:val="002D576D"/>
    <w:rsid w:val="002D5912"/>
    <w:rsid w:val="002D5A09"/>
    <w:rsid w:val="002D5BA6"/>
    <w:rsid w:val="002D6929"/>
    <w:rsid w:val="002D69FB"/>
    <w:rsid w:val="002D6A73"/>
    <w:rsid w:val="002D6DC5"/>
    <w:rsid w:val="002D7058"/>
    <w:rsid w:val="002D7337"/>
    <w:rsid w:val="002D73C7"/>
    <w:rsid w:val="002D7A14"/>
    <w:rsid w:val="002E02B2"/>
    <w:rsid w:val="002E03AE"/>
    <w:rsid w:val="002E0421"/>
    <w:rsid w:val="002E051D"/>
    <w:rsid w:val="002E0527"/>
    <w:rsid w:val="002E114B"/>
    <w:rsid w:val="002E118A"/>
    <w:rsid w:val="002E1200"/>
    <w:rsid w:val="002E1347"/>
    <w:rsid w:val="002E1815"/>
    <w:rsid w:val="002E1D21"/>
    <w:rsid w:val="002E1EE8"/>
    <w:rsid w:val="002E1F6C"/>
    <w:rsid w:val="002E1FB8"/>
    <w:rsid w:val="002E2246"/>
    <w:rsid w:val="002E225C"/>
    <w:rsid w:val="002E2597"/>
    <w:rsid w:val="002E25C2"/>
    <w:rsid w:val="002E2D2D"/>
    <w:rsid w:val="002E2D90"/>
    <w:rsid w:val="002E2E28"/>
    <w:rsid w:val="002E301B"/>
    <w:rsid w:val="002E33CE"/>
    <w:rsid w:val="002E3696"/>
    <w:rsid w:val="002E36EE"/>
    <w:rsid w:val="002E3729"/>
    <w:rsid w:val="002E376E"/>
    <w:rsid w:val="002E4041"/>
    <w:rsid w:val="002E41A3"/>
    <w:rsid w:val="002E423A"/>
    <w:rsid w:val="002E4259"/>
    <w:rsid w:val="002E4337"/>
    <w:rsid w:val="002E4584"/>
    <w:rsid w:val="002E47EE"/>
    <w:rsid w:val="002E4DDC"/>
    <w:rsid w:val="002E5229"/>
    <w:rsid w:val="002E5257"/>
    <w:rsid w:val="002E5305"/>
    <w:rsid w:val="002E534D"/>
    <w:rsid w:val="002E596B"/>
    <w:rsid w:val="002E5BB1"/>
    <w:rsid w:val="002E5BB5"/>
    <w:rsid w:val="002E5CA4"/>
    <w:rsid w:val="002E5DA0"/>
    <w:rsid w:val="002E6250"/>
    <w:rsid w:val="002E629F"/>
    <w:rsid w:val="002E64F9"/>
    <w:rsid w:val="002E6A17"/>
    <w:rsid w:val="002E6B32"/>
    <w:rsid w:val="002E6F15"/>
    <w:rsid w:val="002E6F94"/>
    <w:rsid w:val="002E7264"/>
    <w:rsid w:val="002E72F3"/>
    <w:rsid w:val="002E776F"/>
    <w:rsid w:val="002E7DB3"/>
    <w:rsid w:val="002F00D9"/>
    <w:rsid w:val="002F016D"/>
    <w:rsid w:val="002F0389"/>
    <w:rsid w:val="002F0661"/>
    <w:rsid w:val="002F0A33"/>
    <w:rsid w:val="002F0F41"/>
    <w:rsid w:val="002F0F74"/>
    <w:rsid w:val="002F1093"/>
    <w:rsid w:val="002F148B"/>
    <w:rsid w:val="002F1774"/>
    <w:rsid w:val="002F1790"/>
    <w:rsid w:val="002F1886"/>
    <w:rsid w:val="002F1C1C"/>
    <w:rsid w:val="002F1F47"/>
    <w:rsid w:val="002F1F50"/>
    <w:rsid w:val="002F22A1"/>
    <w:rsid w:val="002F2BD3"/>
    <w:rsid w:val="002F2BF4"/>
    <w:rsid w:val="002F2FEB"/>
    <w:rsid w:val="002F3B47"/>
    <w:rsid w:val="002F3BE9"/>
    <w:rsid w:val="002F40AA"/>
    <w:rsid w:val="002F42A4"/>
    <w:rsid w:val="002F43DF"/>
    <w:rsid w:val="002F4410"/>
    <w:rsid w:val="002F4478"/>
    <w:rsid w:val="002F44DB"/>
    <w:rsid w:val="002F44F3"/>
    <w:rsid w:val="002F45BE"/>
    <w:rsid w:val="002F4657"/>
    <w:rsid w:val="002F47C3"/>
    <w:rsid w:val="002F4CFF"/>
    <w:rsid w:val="002F4D6F"/>
    <w:rsid w:val="002F508D"/>
    <w:rsid w:val="002F51DB"/>
    <w:rsid w:val="002F532A"/>
    <w:rsid w:val="002F544E"/>
    <w:rsid w:val="002F5BFF"/>
    <w:rsid w:val="002F5CE7"/>
    <w:rsid w:val="002F5D49"/>
    <w:rsid w:val="002F5E18"/>
    <w:rsid w:val="002F60A2"/>
    <w:rsid w:val="002F60BC"/>
    <w:rsid w:val="002F649C"/>
    <w:rsid w:val="002F65E9"/>
    <w:rsid w:val="002F65FC"/>
    <w:rsid w:val="002F667E"/>
    <w:rsid w:val="002F673B"/>
    <w:rsid w:val="002F689D"/>
    <w:rsid w:val="002F690B"/>
    <w:rsid w:val="002F6CF5"/>
    <w:rsid w:val="002F6D87"/>
    <w:rsid w:val="002F6E22"/>
    <w:rsid w:val="002F6E52"/>
    <w:rsid w:val="002F6F2D"/>
    <w:rsid w:val="002F70EE"/>
    <w:rsid w:val="002F71C3"/>
    <w:rsid w:val="002F72B5"/>
    <w:rsid w:val="002F7306"/>
    <w:rsid w:val="002F7459"/>
    <w:rsid w:val="002F75A2"/>
    <w:rsid w:val="002F75C6"/>
    <w:rsid w:val="002F791D"/>
    <w:rsid w:val="002F7C6D"/>
    <w:rsid w:val="002F7DB6"/>
    <w:rsid w:val="003002A9"/>
    <w:rsid w:val="00300341"/>
    <w:rsid w:val="00300529"/>
    <w:rsid w:val="00300581"/>
    <w:rsid w:val="00300703"/>
    <w:rsid w:val="00300753"/>
    <w:rsid w:val="00300756"/>
    <w:rsid w:val="00300877"/>
    <w:rsid w:val="00300BDF"/>
    <w:rsid w:val="00301357"/>
    <w:rsid w:val="00301528"/>
    <w:rsid w:val="0030157F"/>
    <w:rsid w:val="0030190D"/>
    <w:rsid w:val="00301BB3"/>
    <w:rsid w:val="00301DA5"/>
    <w:rsid w:val="00301E77"/>
    <w:rsid w:val="00301F05"/>
    <w:rsid w:val="00301F68"/>
    <w:rsid w:val="00301FCE"/>
    <w:rsid w:val="003020F9"/>
    <w:rsid w:val="0030211A"/>
    <w:rsid w:val="0030220F"/>
    <w:rsid w:val="00302480"/>
    <w:rsid w:val="00302485"/>
    <w:rsid w:val="003024DE"/>
    <w:rsid w:val="00302758"/>
    <w:rsid w:val="00302890"/>
    <w:rsid w:val="003028CC"/>
    <w:rsid w:val="003029AA"/>
    <w:rsid w:val="00302EF2"/>
    <w:rsid w:val="00303277"/>
    <w:rsid w:val="0030337E"/>
    <w:rsid w:val="00303694"/>
    <w:rsid w:val="003038CE"/>
    <w:rsid w:val="00303AD6"/>
    <w:rsid w:val="00303DD6"/>
    <w:rsid w:val="00303F21"/>
    <w:rsid w:val="00303FF0"/>
    <w:rsid w:val="00304603"/>
    <w:rsid w:val="00304BAC"/>
    <w:rsid w:val="00304CB6"/>
    <w:rsid w:val="00304D4E"/>
    <w:rsid w:val="0030508B"/>
    <w:rsid w:val="003050E3"/>
    <w:rsid w:val="003052CF"/>
    <w:rsid w:val="0030540E"/>
    <w:rsid w:val="003058D0"/>
    <w:rsid w:val="00305A31"/>
    <w:rsid w:val="00305AD8"/>
    <w:rsid w:val="00305B66"/>
    <w:rsid w:val="00305CE7"/>
    <w:rsid w:val="00306019"/>
    <w:rsid w:val="00306188"/>
    <w:rsid w:val="0030622D"/>
    <w:rsid w:val="00306374"/>
    <w:rsid w:val="003066F3"/>
    <w:rsid w:val="00306CD2"/>
    <w:rsid w:val="00306F43"/>
    <w:rsid w:val="00307029"/>
    <w:rsid w:val="003073BE"/>
    <w:rsid w:val="00307454"/>
    <w:rsid w:val="00307742"/>
    <w:rsid w:val="00307A53"/>
    <w:rsid w:val="00307F6D"/>
    <w:rsid w:val="0031060A"/>
    <w:rsid w:val="003107E7"/>
    <w:rsid w:val="003109D2"/>
    <w:rsid w:val="00310C1A"/>
    <w:rsid w:val="00310D4F"/>
    <w:rsid w:val="00310DA9"/>
    <w:rsid w:val="00310DDF"/>
    <w:rsid w:val="00310F17"/>
    <w:rsid w:val="00310F6D"/>
    <w:rsid w:val="0031162D"/>
    <w:rsid w:val="003117A2"/>
    <w:rsid w:val="00311B29"/>
    <w:rsid w:val="00311D41"/>
    <w:rsid w:val="00311E7B"/>
    <w:rsid w:val="00312512"/>
    <w:rsid w:val="003126A7"/>
    <w:rsid w:val="0031300C"/>
    <w:rsid w:val="0031376C"/>
    <w:rsid w:val="003137D3"/>
    <w:rsid w:val="003138A4"/>
    <w:rsid w:val="00313BEC"/>
    <w:rsid w:val="00313BF9"/>
    <w:rsid w:val="00314018"/>
    <w:rsid w:val="003142C9"/>
    <w:rsid w:val="00314688"/>
    <w:rsid w:val="003148F8"/>
    <w:rsid w:val="00314998"/>
    <w:rsid w:val="00314AAE"/>
    <w:rsid w:val="00314DDD"/>
    <w:rsid w:val="00314E17"/>
    <w:rsid w:val="00314F2D"/>
    <w:rsid w:val="00315371"/>
    <w:rsid w:val="003155A1"/>
    <w:rsid w:val="0031566D"/>
    <w:rsid w:val="00315B9C"/>
    <w:rsid w:val="00315DAD"/>
    <w:rsid w:val="0031607B"/>
    <w:rsid w:val="003162BD"/>
    <w:rsid w:val="0031649F"/>
    <w:rsid w:val="00316544"/>
    <w:rsid w:val="003165E6"/>
    <w:rsid w:val="0031674E"/>
    <w:rsid w:val="00316DB2"/>
    <w:rsid w:val="00316E31"/>
    <w:rsid w:val="00316ED2"/>
    <w:rsid w:val="00316EFD"/>
    <w:rsid w:val="0031707B"/>
    <w:rsid w:val="00317083"/>
    <w:rsid w:val="003170F6"/>
    <w:rsid w:val="0031734A"/>
    <w:rsid w:val="00317A1A"/>
    <w:rsid w:val="00317E76"/>
    <w:rsid w:val="00317ED3"/>
    <w:rsid w:val="00317F01"/>
    <w:rsid w:val="0032002F"/>
    <w:rsid w:val="003200E3"/>
    <w:rsid w:val="003202BA"/>
    <w:rsid w:val="00320614"/>
    <w:rsid w:val="00320833"/>
    <w:rsid w:val="003208B8"/>
    <w:rsid w:val="00320DB1"/>
    <w:rsid w:val="00321111"/>
    <w:rsid w:val="003211C9"/>
    <w:rsid w:val="00321484"/>
    <w:rsid w:val="0032153F"/>
    <w:rsid w:val="003215B5"/>
    <w:rsid w:val="003215DC"/>
    <w:rsid w:val="00321742"/>
    <w:rsid w:val="0032181C"/>
    <w:rsid w:val="00321929"/>
    <w:rsid w:val="00321A64"/>
    <w:rsid w:val="003221CF"/>
    <w:rsid w:val="003221EB"/>
    <w:rsid w:val="0032272F"/>
    <w:rsid w:val="00322AC6"/>
    <w:rsid w:val="003230BD"/>
    <w:rsid w:val="003231E1"/>
    <w:rsid w:val="003233ED"/>
    <w:rsid w:val="003236B5"/>
    <w:rsid w:val="00323AD7"/>
    <w:rsid w:val="00323BB1"/>
    <w:rsid w:val="00323BEC"/>
    <w:rsid w:val="00323E54"/>
    <w:rsid w:val="0032454B"/>
    <w:rsid w:val="00324A2E"/>
    <w:rsid w:val="00324B07"/>
    <w:rsid w:val="00324D45"/>
    <w:rsid w:val="00324D9F"/>
    <w:rsid w:val="00324FAB"/>
    <w:rsid w:val="0032507E"/>
    <w:rsid w:val="003250FF"/>
    <w:rsid w:val="00325359"/>
    <w:rsid w:val="00325590"/>
    <w:rsid w:val="003255EA"/>
    <w:rsid w:val="003258B0"/>
    <w:rsid w:val="003259EC"/>
    <w:rsid w:val="00325A5E"/>
    <w:rsid w:val="00325A82"/>
    <w:rsid w:val="00325B5C"/>
    <w:rsid w:val="00325BDF"/>
    <w:rsid w:val="00325DA3"/>
    <w:rsid w:val="00325F79"/>
    <w:rsid w:val="00325F85"/>
    <w:rsid w:val="00326278"/>
    <w:rsid w:val="003264AF"/>
    <w:rsid w:val="00326922"/>
    <w:rsid w:val="00326A4C"/>
    <w:rsid w:val="00326D18"/>
    <w:rsid w:val="0032708A"/>
    <w:rsid w:val="00327859"/>
    <w:rsid w:val="003278E1"/>
    <w:rsid w:val="00327948"/>
    <w:rsid w:val="00327951"/>
    <w:rsid w:val="00327EBC"/>
    <w:rsid w:val="00327FB2"/>
    <w:rsid w:val="0033000F"/>
    <w:rsid w:val="0033012E"/>
    <w:rsid w:val="003301B3"/>
    <w:rsid w:val="0033041F"/>
    <w:rsid w:val="003306D7"/>
    <w:rsid w:val="003309FA"/>
    <w:rsid w:val="00330D23"/>
    <w:rsid w:val="00330D27"/>
    <w:rsid w:val="00330D4D"/>
    <w:rsid w:val="00330FEE"/>
    <w:rsid w:val="00331640"/>
    <w:rsid w:val="003318AD"/>
    <w:rsid w:val="003318DA"/>
    <w:rsid w:val="003319A4"/>
    <w:rsid w:val="00331B56"/>
    <w:rsid w:val="00331C7E"/>
    <w:rsid w:val="00331D3A"/>
    <w:rsid w:val="00331E3E"/>
    <w:rsid w:val="00331E7F"/>
    <w:rsid w:val="00331EF2"/>
    <w:rsid w:val="00331F51"/>
    <w:rsid w:val="00331FBB"/>
    <w:rsid w:val="00332011"/>
    <w:rsid w:val="0033226A"/>
    <w:rsid w:val="00332518"/>
    <w:rsid w:val="003325DA"/>
    <w:rsid w:val="003326B0"/>
    <w:rsid w:val="00332925"/>
    <w:rsid w:val="003329F9"/>
    <w:rsid w:val="00332A6A"/>
    <w:rsid w:val="00332E3F"/>
    <w:rsid w:val="00332E6B"/>
    <w:rsid w:val="00332EDD"/>
    <w:rsid w:val="00332F25"/>
    <w:rsid w:val="00333169"/>
    <w:rsid w:val="003332CA"/>
    <w:rsid w:val="003332ED"/>
    <w:rsid w:val="003333B2"/>
    <w:rsid w:val="0033347C"/>
    <w:rsid w:val="00333632"/>
    <w:rsid w:val="00333CEA"/>
    <w:rsid w:val="003340A2"/>
    <w:rsid w:val="003341AF"/>
    <w:rsid w:val="00334529"/>
    <w:rsid w:val="0033452B"/>
    <w:rsid w:val="00334545"/>
    <w:rsid w:val="00334651"/>
    <w:rsid w:val="00334C35"/>
    <w:rsid w:val="00334E9B"/>
    <w:rsid w:val="003350E5"/>
    <w:rsid w:val="0033575C"/>
    <w:rsid w:val="00335BA2"/>
    <w:rsid w:val="00335D03"/>
    <w:rsid w:val="00335E2B"/>
    <w:rsid w:val="00335E39"/>
    <w:rsid w:val="0033629F"/>
    <w:rsid w:val="003363F8"/>
    <w:rsid w:val="0033687C"/>
    <w:rsid w:val="003368DC"/>
    <w:rsid w:val="00336AA8"/>
    <w:rsid w:val="0033739C"/>
    <w:rsid w:val="003373B6"/>
    <w:rsid w:val="003375EE"/>
    <w:rsid w:val="00337956"/>
    <w:rsid w:val="00337C37"/>
    <w:rsid w:val="00337F84"/>
    <w:rsid w:val="0034000F"/>
    <w:rsid w:val="003401E7"/>
    <w:rsid w:val="0034021F"/>
    <w:rsid w:val="00340230"/>
    <w:rsid w:val="00340725"/>
    <w:rsid w:val="0034085A"/>
    <w:rsid w:val="00340A0F"/>
    <w:rsid w:val="00340DE0"/>
    <w:rsid w:val="00340F14"/>
    <w:rsid w:val="00340F9A"/>
    <w:rsid w:val="00340FB4"/>
    <w:rsid w:val="00341099"/>
    <w:rsid w:val="003410BD"/>
    <w:rsid w:val="003410C4"/>
    <w:rsid w:val="00341585"/>
    <w:rsid w:val="003415CE"/>
    <w:rsid w:val="00341608"/>
    <w:rsid w:val="003416A9"/>
    <w:rsid w:val="00341793"/>
    <w:rsid w:val="00341913"/>
    <w:rsid w:val="00341A0B"/>
    <w:rsid w:val="00341AE8"/>
    <w:rsid w:val="00341C2C"/>
    <w:rsid w:val="003420B5"/>
    <w:rsid w:val="003422B9"/>
    <w:rsid w:val="00342338"/>
    <w:rsid w:val="003423DC"/>
    <w:rsid w:val="00342759"/>
    <w:rsid w:val="003427D5"/>
    <w:rsid w:val="003428BF"/>
    <w:rsid w:val="00342945"/>
    <w:rsid w:val="00342D49"/>
    <w:rsid w:val="00342E73"/>
    <w:rsid w:val="00343597"/>
    <w:rsid w:val="00343943"/>
    <w:rsid w:val="00343A9F"/>
    <w:rsid w:val="00343AC2"/>
    <w:rsid w:val="0034460F"/>
    <w:rsid w:val="00344A6D"/>
    <w:rsid w:val="00344D9D"/>
    <w:rsid w:val="00344E1B"/>
    <w:rsid w:val="00345228"/>
    <w:rsid w:val="003453C0"/>
    <w:rsid w:val="0034548A"/>
    <w:rsid w:val="003457DC"/>
    <w:rsid w:val="0034582E"/>
    <w:rsid w:val="00345927"/>
    <w:rsid w:val="0034595B"/>
    <w:rsid w:val="003459DB"/>
    <w:rsid w:val="00345A7F"/>
    <w:rsid w:val="00345D62"/>
    <w:rsid w:val="00345FF6"/>
    <w:rsid w:val="00346377"/>
    <w:rsid w:val="00346381"/>
    <w:rsid w:val="003463A1"/>
    <w:rsid w:val="00346556"/>
    <w:rsid w:val="00346757"/>
    <w:rsid w:val="00346995"/>
    <w:rsid w:val="00346A09"/>
    <w:rsid w:val="00346F48"/>
    <w:rsid w:val="0034719D"/>
    <w:rsid w:val="003472AE"/>
    <w:rsid w:val="00347601"/>
    <w:rsid w:val="003476FF"/>
    <w:rsid w:val="00347A89"/>
    <w:rsid w:val="00347C02"/>
    <w:rsid w:val="00347C45"/>
    <w:rsid w:val="00347DF4"/>
    <w:rsid w:val="00350261"/>
    <w:rsid w:val="00350389"/>
    <w:rsid w:val="00350584"/>
    <w:rsid w:val="00350A52"/>
    <w:rsid w:val="00350B77"/>
    <w:rsid w:val="00350C90"/>
    <w:rsid w:val="00350EE1"/>
    <w:rsid w:val="0035126D"/>
    <w:rsid w:val="00351426"/>
    <w:rsid w:val="0035145E"/>
    <w:rsid w:val="0035157B"/>
    <w:rsid w:val="003515D4"/>
    <w:rsid w:val="00351650"/>
    <w:rsid w:val="003516FE"/>
    <w:rsid w:val="00351778"/>
    <w:rsid w:val="0035180F"/>
    <w:rsid w:val="00351857"/>
    <w:rsid w:val="00351A8E"/>
    <w:rsid w:val="00351D47"/>
    <w:rsid w:val="00351FCA"/>
    <w:rsid w:val="0035202F"/>
    <w:rsid w:val="0035208D"/>
    <w:rsid w:val="003523FD"/>
    <w:rsid w:val="0035242B"/>
    <w:rsid w:val="00352491"/>
    <w:rsid w:val="003525AC"/>
    <w:rsid w:val="0035268A"/>
    <w:rsid w:val="00352C1D"/>
    <w:rsid w:val="00353092"/>
    <w:rsid w:val="00353202"/>
    <w:rsid w:val="003532B8"/>
    <w:rsid w:val="0035358D"/>
    <w:rsid w:val="00353894"/>
    <w:rsid w:val="00353B89"/>
    <w:rsid w:val="00353E11"/>
    <w:rsid w:val="00353E7F"/>
    <w:rsid w:val="00353F50"/>
    <w:rsid w:val="00354013"/>
    <w:rsid w:val="00354202"/>
    <w:rsid w:val="00354256"/>
    <w:rsid w:val="003545E8"/>
    <w:rsid w:val="00354898"/>
    <w:rsid w:val="00354D56"/>
    <w:rsid w:val="0035514B"/>
    <w:rsid w:val="00355251"/>
    <w:rsid w:val="003552E6"/>
    <w:rsid w:val="003554BB"/>
    <w:rsid w:val="003556DF"/>
    <w:rsid w:val="00355897"/>
    <w:rsid w:val="00355A0C"/>
    <w:rsid w:val="00356006"/>
    <w:rsid w:val="003563C0"/>
    <w:rsid w:val="003563FA"/>
    <w:rsid w:val="0035641C"/>
    <w:rsid w:val="0035645C"/>
    <w:rsid w:val="003564AF"/>
    <w:rsid w:val="00356B6F"/>
    <w:rsid w:val="00356CF7"/>
    <w:rsid w:val="0035752A"/>
    <w:rsid w:val="003575C9"/>
    <w:rsid w:val="00357707"/>
    <w:rsid w:val="00357E7E"/>
    <w:rsid w:val="00357EDF"/>
    <w:rsid w:val="00357F14"/>
    <w:rsid w:val="00360049"/>
    <w:rsid w:val="003601AF"/>
    <w:rsid w:val="00360373"/>
    <w:rsid w:val="00360457"/>
    <w:rsid w:val="0036095F"/>
    <w:rsid w:val="00360C93"/>
    <w:rsid w:val="003610E1"/>
    <w:rsid w:val="003612FE"/>
    <w:rsid w:val="003617A5"/>
    <w:rsid w:val="00361D6D"/>
    <w:rsid w:val="00361E53"/>
    <w:rsid w:val="00361F73"/>
    <w:rsid w:val="003620CD"/>
    <w:rsid w:val="003620EC"/>
    <w:rsid w:val="003622E6"/>
    <w:rsid w:val="003623FC"/>
    <w:rsid w:val="003624BB"/>
    <w:rsid w:val="00362BAB"/>
    <w:rsid w:val="00362C77"/>
    <w:rsid w:val="00362D44"/>
    <w:rsid w:val="00363362"/>
    <w:rsid w:val="0036383A"/>
    <w:rsid w:val="003638B3"/>
    <w:rsid w:val="00363976"/>
    <w:rsid w:val="0036420C"/>
    <w:rsid w:val="0036436F"/>
    <w:rsid w:val="00364599"/>
    <w:rsid w:val="00364860"/>
    <w:rsid w:val="003648C2"/>
    <w:rsid w:val="00364A3B"/>
    <w:rsid w:val="00364AC4"/>
    <w:rsid w:val="00364D50"/>
    <w:rsid w:val="00364F34"/>
    <w:rsid w:val="00364FC3"/>
    <w:rsid w:val="00365482"/>
    <w:rsid w:val="003655DC"/>
    <w:rsid w:val="003656EA"/>
    <w:rsid w:val="00365910"/>
    <w:rsid w:val="00365B31"/>
    <w:rsid w:val="00365EEB"/>
    <w:rsid w:val="00365EF1"/>
    <w:rsid w:val="00365F63"/>
    <w:rsid w:val="00366216"/>
    <w:rsid w:val="003662FB"/>
    <w:rsid w:val="0036643E"/>
    <w:rsid w:val="00366978"/>
    <w:rsid w:val="00366B84"/>
    <w:rsid w:val="00366C34"/>
    <w:rsid w:val="00366C3D"/>
    <w:rsid w:val="003671BE"/>
    <w:rsid w:val="003671EA"/>
    <w:rsid w:val="00367302"/>
    <w:rsid w:val="00367496"/>
    <w:rsid w:val="003679F1"/>
    <w:rsid w:val="00367CA6"/>
    <w:rsid w:val="00370406"/>
    <w:rsid w:val="00370796"/>
    <w:rsid w:val="003707B3"/>
    <w:rsid w:val="0037090A"/>
    <w:rsid w:val="00370B78"/>
    <w:rsid w:val="003711FA"/>
    <w:rsid w:val="00371325"/>
    <w:rsid w:val="00371575"/>
    <w:rsid w:val="00371693"/>
    <w:rsid w:val="00371A08"/>
    <w:rsid w:val="0037202D"/>
    <w:rsid w:val="003720CD"/>
    <w:rsid w:val="0037242F"/>
    <w:rsid w:val="00372485"/>
    <w:rsid w:val="003724E5"/>
    <w:rsid w:val="003724ED"/>
    <w:rsid w:val="00372501"/>
    <w:rsid w:val="00372826"/>
    <w:rsid w:val="00372F86"/>
    <w:rsid w:val="00373200"/>
    <w:rsid w:val="0037341D"/>
    <w:rsid w:val="003734E9"/>
    <w:rsid w:val="00373BA0"/>
    <w:rsid w:val="00374039"/>
    <w:rsid w:val="003740B4"/>
    <w:rsid w:val="0037452C"/>
    <w:rsid w:val="00374554"/>
    <w:rsid w:val="00374767"/>
    <w:rsid w:val="003747F5"/>
    <w:rsid w:val="00374844"/>
    <w:rsid w:val="00374DB2"/>
    <w:rsid w:val="00374DD4"/>
    <w:rsid w:val="00374E4B"/>
    <w:rsid w:val="00374E5C"/>
    <w:rsid w:val="00374E81"/>
    <w:rsid w:val="0037508D"/>
    <w:rsid w:val="00375256"/>
    <w:rsid w:val="00375522"/>
    <w:rsid w:val="00375936"/>
    <w:rsid w:val="00375A31"/>
    <w:rsid w:val="00375EDC"/>
    <w:rsid w:val="00375EF5"/>
    <w:rsid w:val="00376309"/>
    <w:rsid w:val="00376413"/>
    <w:rsid w:val="003764D3"/>
    <w:rsid w:val="00376669"/>
    <w:rsid w:val="003767A5"/>
    <w:rsid w:val="00376C56"/>
    <w:rsid w:val="00376E4F"/>
    <w:rsid w:val="00376E72"/>
    <w:rsid w:val="003776EB"/>
    <w:rsid w:val="00377732"/>
    <w:rsid w:val="00377757"/>
    <w:rsid w:val="00377835"/>
    <w:rsid w:val="003778CE"/>
    <w:rsid w:val="003800D6"/>
    <w:rsid w:val="00380130"/>
    <w:rsid w:val="0038035C"/>
    <w:rsid w:val="003803BB"/>
    <w:rsid w:val="003804FE"/>
    <w:rsid w:val="003805A4"/>
    <w:rsid w:val="003809B8"/>
    <w:rsid w:val="003809E3"/>
    <w:rsid w:val="00380C9C"/>
    <w:rsid w:val="00380DA8"/>
    <w:rsid w:val="00380DBB"/>
    <w:rsid w:val="003813E0"/>
    <w:rsid w:val="00381AF2"/>
    <w:rsid w:val="00381C0B"/>
    <w:rsid w:val="00381C50"/>
    <w:rsid w:val="00381D15"/>
    <w:rsid w:val="00381D2B"/>
    <w:rsid w:val="00381EE0"/>
    <w:rsid w:val="00381F46"/>
    <w:rsid w:val="00381FB3"/>
    <w:rsid w:val="003820C3"/>
    <w:rsid w:val="00382195"/>
    <w:rsid w:val="003823C4"/>
    <w:rsid w:val="003825B6"/>
    <w:rsid w:val="00382633"/>
    <w:rsid w:val="00382C52"/>
    <w:rsid w:val="0038305D"/>
    <w:rsid w:val="0038336F"/>
    <w:rsid w:val="0038348C"/>
    <w:rsid w:val="003835E9"/>
    <w:rsid w:val="003835EE"/>
    <w:rsid w:val="003837D6"/>
    <w:rsid w:val="003839F3"/>
    <w:rsid w:val="00383C8F"/>
    <w:rsid w:val="00383DAD"/>
    <w:rsid w:val="00383DEC"/>
    <w:rsid w:val="00384004"/>
    <w:rsid w:val="00384005"/>
    <w:rsid w:val="00384125"/>
    <w:rsid w:val="003843C9"/>
    <w:rsid w:val="00384803"/>
    <w:rsid w:val="003849A4"/>
    <w:rsid w:val="003849FD"/>
    <w:rsid w:val="00384A7C"/>
    <w:rsid w:val="00384B64"/>
    <w:rsid w:val="00384CF7"/>
    <w:rsid w:val="00384E21"/>
    <w:rsid w:val="00384E72"/>
    <w:rsid w:val="00384F99"/>
    <w:rsid w:val="0038506E"/>
    <w:rsid w:val="003850F1"/>
    <w:rsid w:val="00385109"/>
    <w:rsid w:val="00385254"/>
    <w:rsid w:val="0038544C"/>
    <w:rsid w:val="0038545E"/>
    <w:rsid w:val="00385A50"/>
    <w:rsid w:val="00385A95"/>
    <w:rsid w:val="00385AE5"/>
    <w:rsid w:val="00386091"/>
    <w:rsid w:val="0038609B"/>
    <w:rsid w:val="003867BA"/>
    <w:rsid w:val="00386D8C"/>
    <w:rsid w:val="00386E10"/>
    <w:rsid w:val="00386E91"/>
    <w:rsid w:val="00386FCD"/>
    <w:rsid w:val="00386FDD"/>
    <w:rsid w:val="003871EA"/>
    <w:rsid w:val="00387534"/>
    <w:rsid w:val="003876B8"/>
    <w:rsid w:val="00387924"/>
    <w:rsid w:val="00387AB8"/>
    <w:rsid w:val="00387E2B"/>
    <w:rsid w:val="0038DBC5"/>
    <w:rsid w:val="003901BB"/>
    <w:rsid w:val="003903F8"/>
    <w:rsid w:val="0039068D"/>
    <w:rsid w:val="003907C8"/>
    <w:rsid w:val="003907E8"/>
    <w:rsid w:val="003907EA"/>
    <w:rsid w:val="00390FD0"/>
    <w:rsid w:val="00391041"/>
    <w:rsid w:val="0039113F"/>
    <w:rsid w:val="003913AD"/>
    <w:rsid w:val="00391786"/>
    <w:rsid w:val="003919A4"/>
    <w:rsid w:val="00391BE8"/>
    <w:rsid w:val="00391EA6"/>
    <w:rsid w:val="00391EF1"/>
    <w:rsid w:val="00392313"/>
    <w:rsid w:val="00392331"/>
    <w:rsid w:val="00392586"/>
    <w:rsid w:val="00392604"/>
    <w:rsid w:val="00392676"/>
    <w:rsid w:val="003929B5"/>
    <w:rsid w:val="00392AA9"/>
    <w:rsid w:val="00392C28"/>
    <w:rsid w:val="00392D16"/>
    <w:rsid w:val="00392DB1"/>
    <w:rsid w:val="0039336C"/>
    <w:rsid w:val="003933A9"/>
    <w:rsid w:val="003933E8"/>
    <w:rsid w:val="00393961"/>
    <w:rsid w:val="00393A81"/>
    <w:rsid w:val="00393B3A"/>
    <w:rsid w:val="00393C61"/>
    <w:rsid w:val="00394031"/>
    <w:rsid w:val="00394055"/>
    <w:rsid w:val="0039420C"/>
    <w:rsid w:val="00394787"/>
    <w:rsid w:val="0039478F"/>
    <w:rsid w:val="00394FBB"/>
    <w:rsid w:val="003953AD"/>
    <w:rsid w:val="00395541"/>
    <w:rsid w:val="003959C9"/>
    <w:rsid w:val="00395A0F"/>
    <w:rsid w:val="00395C19"/>
    <w:rsid w:val="00395D02"/>
    <w:rsid w:val="00396117"/>
    <w:rsid w:val="0039629F"/>
    <w:rsid w:val="003966C3"/>
    <w:rsid w:val="0039692F"/>
    <w:rsid w:val="00396CB8"/>
    <w:rsid w:val="00396D1B"/>
    <w:rsid w:val="00396DC2"/>
    <w:rsid w:val="00396F57"/>
    <w:rsid w:val="00396FF8"/>
    <w:rsid w:val="00397717"/>
    <w:rsid w:val="0039771F"/>
    <w:rsid w:val="00397777"/>
    <w:rsid w:val="00397C54"/>
    <w:rsid w:val="00397D87"/>
    <w:rsid w:val="00397D9F"/>
    <w:rsid w:val="003A02BE"/>
    <w:rsid w:val="003A0426"/>
    <w:rsid w:val="003A04DB"/>
    <w:rsid w:val="003A0552"/>
    <w:rsid w:val="003A078F"/>
    <w:rsid w:val="003A0CAF"/>
    <w:rsid w:val="003A0DCB"/>
    <w:rsid w:val="003A0E52"/>
    <w:rsid w:val="003A10C2"/>
    <w:rsid w:val="003A10D6"/>
    <w:rsid w:val="003A164C"/>
    <w:rsid w:val="003A17A8"/>
    <w:rsid w:val="003A1AF1"/>
    <w:rsid w:val="003A1CB0"/>
    <w:rsid w:val="003A1DB0"/>
    <w:rsid w:val="003A21EB"/>
    <w:rsid w:val="003A26F9"/>
    <w:rsid w:val="003A28B2"/>
    <w:rsid w:val="003A2930"/>
    <w:rsid w:val="003A2C98"/>
    <w:rsid w:val="003A2E56"/>
    <w:rsid w:val="003A2EF0"/>
    <w:rsid w:val="003A328B"/>
    <w:rsid w:val="003A335C"/>
    <w:rsid w:val="003A3488"/>
    <w:rsid w:val="003A35AA"/>
    <w:rsid w:val="003A39B5"/>
    <w:rsid w:val="003A3A8F"/>
    <w:rsid w:val="003A3DEC"/>
    <w:rsid w:val="003A4134"/>
    <w:rsid w:val="003A4886"/>
    <w:rsid w:val="003A491B"/>
    <w:rsid w:val="003A4D58"/>
    <w:rsid w:val="003A4DA7"/>
    <w:rsid w:val="003A4FB5"/>
    <w:rsid w:val="003A5068"/>
    <w:rsid w:val="003A5190"/>
    <w:rsid w:val="003A524A"/>
    <w:rsid w:val="003A5628"/>
    <w:rsid w:val="003A5711"/>
    <w:rsid w:val="003A57B9"/>
    <w:rsid w:val="003A5965"/>
    <w:rsid w:val="003A5C1C"/>
    <w:rsid w:val="003A5E5E"/>
    <w:rsid w:val="003A5F5B"/>
    <w:rsid w:val="003A602F"/>
    <w:rsid w:val="003A6044"/>
    <w:rsid w:val="003A6194"/>
    <w:rsid w:val="003A6261"/>
    <w:rsid w:val="003A6677"/>
    <w:rsid w:val="003A66DA"/>
    <w:rsid w:val="003A67B9"/>
    <w:rsid w:val="003A6945"/>
    <w:rsid w:val="003A6B3C"/>
    <w:rsid w:val="003A6BA1"/>
    <w:rsid w:val="003A6BBD"/>
    <w:rsid w:val="003A6C7F"/>
    <w:rsid w:val="003A6D55"/>
    <w:rsid w:val="003A6F9C"/>
    <w:rsid w:val="003A6FFF"/>
    <w:rsid w:val="003A703D"/>
    <w:rsid w:val="003A725E"/>
    <w:rsid w:val="003A7390"/>
    <w:rsid w:val="003A7413"/>
    <w:rsid w:val="003A7517"/>
    <w:rsid w:val="003A789A"/>
    <w:rsid w:val="003A7B28"/>
    <w:rsid w:val="003A7CF8"/>
    <w:rsid w:val="003A7DB4"/>
    <w:rsid w:val="003A7DD0"/>
    <w:rsid w:val="003B047F"/>
    <w:rsid w:val="003B098A"/>
    <w:rsid w:val="003B0C32"/>
    <w:rsid w:val="003B0D09"/>
    <w:rsid w:val="003B1032"/>
    <w:rsid w:val="003B109F"/>
    <w:rsid w:val="003B12EC"/>
    <w:rsid w:val="003B1337"/>
    <w:rsid w:val="003B1562"/>
    <w:rsid w:val="003B1F11"/>
    <w:rsid w:val="003B2158"/>
    <w:rsid w:val="003B2188"/>
    <w:rsid w:val="003B2217"/>
    <w:rsid w:val="003B25C7"/>
    <w:rsid w:val="003B2869"/>
    <w:rsid w:val="003B2DBB"/>
    <w:rsid w:val="003B2DE3"/>
    <w:rsid w:val="003B2EE5"/>
    <w:rsid w:val="003B30E1"/>
    <w:rsid w:val="003B3191"/>
    <w:rsid w:val="003B365D"/>
    <w:rsid w:val="003B3881"/>
    <w:rsid w:val="003B3973"/>
    <w:rsid w:val="003B3B4C"/>
    <w:rsid w:val="003B3BBC"/>
    <w:rsid w:val="003B3FC1"/>
    <w:rsid w:val="003B402A"/>
    <w:rsid w:val="003B407C"/>
    <w:rsid w:val="003B408D"/>
    <w:rsid w:val="003B40A6"/>
    <w:rsid w:val="003B4869"/>
    <w:rsid w:val="003B4977"/>
    <w:rsid w:val="003B4CCA"/>
    <w:rsid w:val="003B4CCC"/>
    <w:rsid w:val="003B4D66"/>
    <w:rsid w:val="003B4DC5"/>
    <w:rsid w:val="003B4F13"/>
    <w:rsid w:val="003B5071"/>
    <w:rsid w:val="003B523C"/>
    <w:rsid w:val="003B5270"/>
    <w:rsid w:val="003B52C4"/>
    <w:rsid w:val="003B545B"/>
    <w:rsid w:val="003B55C1"/>
    <w:rsid w:val="003B5720"/>
    <w:rsid w:val="003B5898"/>
    <w:rsid w:val="003B5B29"/>
    <w:rsid w:val="003B5C4C"/>
    <w:rsid w:val="003B6086"/>
    <w:rsid w:val="003B6176"/>
    <w:rsid w:val="003B6251"/>
    <w:rsid w:val="003B644A"/>
    <w:rsid w:val="003B6758"/>
    <w:rsid w:val="003B6973"/>
    <w:rsid w:val="003B6C70"/>
    <w:rsid w:val="003B6CAA"/>
    <w:rsid w:val="003B7257"/>
    <w:rsid w:val="003B758B"/>
    <w:rsid w:val="003B7CCC"/>
    <w:rsid w:val="003B7E53"/>
    <w:rsid w:val="003C017E"/>
    <w:rsid w:val="003C03B8"/>
    <w:rsid w:val="003C05AB"/>
    <w:rsid w:val="003C06AC"/>
    <w:rsid w:val="003C0C49"/>
    <w:rsid w:val="003C0C68"/>
    <w:rsid w:val="003C0D66"/>
    <w:rsid w:val="003C0EC6"/>
    <w:rsid w:val="003C0ED5"/>
    <w:rsid w:val="003C1A27"/>
    <w:rsid w:val="003C1A33"/>
    <w:rsid w:val="003C1B25"/>
    <w:rsid w:val="003C1C32"/>
    <w:rsid w:val="003C1FF6"/>
    <w:rsid w:val="003C216D"/>
    <w:rsid w:val="003C2346"/>
    <w:rsid w:val="003C23DB"/>
    <w:rsid w:val="003C2525"/>
    <w:rsid w:val="003C25C3"/>
    <w:rsid w:val="003C274B"/>
    <w:rsid w:val="003C27D5"/>
    <w:rsid w:val="003C296F"/>
    <w:rsid w:val="003C2A48"/>
    <w:rsid w:val="003C2FE7"/>
    <w:rsid w:val="003C3273"/>
    <w:rsid w:val="003C34B6"/>
    <w:rsid w:val="003C34E4"/>
    <w:rsid w:val="003C36E5"/>
    <w:rsid w:val="003C3C97"/>
    <w:rsid w:val="003C3F81"/>
    <w:rsid w:val="003C4AF2"/>
    <w:rsid w:val="003C4D6C"/>
    <w:rsid w:val="003C4D79"/>
    <w:rsid w:val="003C562B"/>
    <w:rsid w:val="003C5D77"/>
    <w:rsid w:val="003C6314"/>
    <w:rsid w:val="003C6390"/>
    <w:rsid w:val="003C6581"/>
    <w:rsid w:val="003C65FA"/>
    <w:rsid w:val="003C6844"/>
    <w:rsid w:val="003C68D2"/>
    <w:rsid w:val="003C6B12"/>
    <w:rsid w:val="003C6C4B"/>
    <w:rsid w:val="003C6C56"/>
    <w:rsid w:val="003C7004"/>
    <w:rsid w:val="003C7081"/>
    <w:rsid w:val="003C7260"/>
    <w:rsid w:val="003C73B5"/>
    <w:rsid w:val="003C7414"/>
    <w:rsid w:val="003C7635"/>
    <w:rsid w:val="003C763C"/>
    <w:rsid w:val="003C7688"/>
    <w:rsid w:val="003C77C2"/>
    <w:rsid w:val="003C77E0"/>
    <w:rsid w:val="003C7894"/>
    <w:rsid w:val="003C7C46"/>
    <w:rsid w:val="003C7C4D"/>
    <w:rsid w:val="003C7D26"/>
    <w:rsid w:val="003C7DB7"/>
    <w:rsid w:val="003C7F1B"/>
    <w:rsid w:val="003D037B"/>
    <w:rsid w:val="003D0831"/>
    <w:rsid w:val="003D088F"/>
    <w:rsid w:val="003D0933"/>
    <w:rsid w:val="003D099E"/>
    <w:rsid w:val="003D0B75"/>
    <w:rsid w:val="003D0E6E"/>
    <w:rsid w:val="003D10A6"/>
    <w:rsid w:val="003D1176"/>
    <w:rsid w:val="003D1182"/>
    <w:rsid w:val="003D12EB"/>
    <w:rsid w:val="003D139C"/>
    <w:rsid w:val="003D17D7"/>
    <w:rsid w:val="003D185D"/>
    <w:rsid w:val="003D1CC8"/>
    <w:rsid w:val="003D1E35"/>
    <w:rsid w:val="003D1F60"/>
    <w:rsid w:val="003D1F9C"/>
    <w:rsid w:val="003D20CB"/>
    <w:rsid w:val="003D21F1"/>
    <w:rsid w:val="003D220E"/>
    <w:rsid w:val="003D2678"/>
    <w:rsid w:val="003D296A"/>
    <w:rsid w:val="003D297B"/>
    <w:rsid w:val="003D2B75"/>
    <w:rsid w:val="003D3180"/>
    <w:rsid w:val="003D32F0"/>
    <w:rsid w:val="003D396E"/>
    <w:rsid w:val="003D3AF5"/>
    <w:rsid w:val="003D3F3A"/>
    <w:rsid w:val="003D3FE1"/>
    <w:rsid w:val="003D4155"/>
    <w:rsid w:val="003D4189"/>
    <w:rsid w:val="003D43B5"/>
    <w:rsid w:val="003D44AE"/>
    <w:rsid w:val="003D475D"/>
    <w:rsid w:val="003D4BE5"/>
    <w:rsid w:val="003D511B"/>
    <w:rsid w:val="003D52B0"/>
    <w:rsid w:val="003D572F"/>
    <w:rsid w:val="003D590E"/>
    <w:rsid w:val="003D5C30"/>
    <w:rsid w:val="003D5C32"/>
    <w:rsid w:val="003D615D"/>
    <w:rsid w:val="003D61B0"/>
    <w:rsid w:val="003D61E4"/>
    <w:rsid w:val="003D61FB"/>
    <w:rsid w:val="003D634E"/>
    <w:rsid w:val="003D64CA"/>
    <w:rsid w:val="003D658B"/>
    <w:rsid w:val="003D65AE"/>
    <w:rsid w:val="003D65E5"/>
    <w:rsid w:val="003D6C01"/>
    <w:rsid w:val="003D6D6A"/>
    <w:rsid w:val="003D703A"/>
    <w:rsid w:val="003D7096"/>
    <w:rsid w:val="003D70D6"/>
    <w:rsid w:val="003D71A3"/>
    <w:rsid w:val="003D7345"/>
    <w:rsid w:val="003D77CC"/>
    <w:rsid w:val="003D79AC"/>
    <w:rsid w:val="003E0140"/>
    <w:rsid w:val="003E0173"/>
    <w:rsid w:val="003E02ED"/>
    <w:rsid w:val="003E0358"/>
    <w:rsid w:val="003E0433"/>
    <w:rsid w:val="003E0CB6"/>
    <w:rsid w:val="003E1528"/>
    <w:rsid w:val="003E1568"/>
    <w:rsid w:val="003E17E0"/>
    <w:rsid w:val="003E1A4B"/>
    <w:rsid w:val="003E1C91"/>
    <w:rsid w:val="003E1D55"/>
    <w:rsid w:val="003E1E8B"/>
    <w:rsid w:val="003E1EB7"/>
    <w:rsid w:val="003E2380"/>
    <w:rsid w:val="003E2B8A"/>
    <w:rsid w:val="003E2BDC"/>
    <w:rsid w:val="003E3195"/>
    <w:rsid w:val="003E31C7"/>
    <w:rsid w:val="003E37B3"/>
    <w:rsid w:val="003E3902"/>
    <w:rsid w:val="003E39D1"/>
    <w:rsid w:val="003E3B80"/>
    <w:rsid w:val="003E436E"/>
    <w:rsid w:val="003E46A4"/>
    <w:rsid w:val="003E47BC"/>
    <w:rsid w:val="003E47F4"/>
    <w:rsid w:val="003E47FC"/>
    <w:rsid w:val="003E4A9B"/>
    <w:rsid w:val="003E4C0D"/>
    <w:rsid w:val="003E4C46"/>
    <w:rsid w:val="003E4EB0"/>
    <w:rsid w:val="003E514D"/>
    <w:rsid w:val="003E534C"/>
    <w:rsid w:val="003E53AF"/>
    <w:rsid w:val="003E575A"/>
    <w:rsid w:val="003E58B2"/>
    <w:rsid w:val="003E5D8B"/>
    <w:rsid w:val="003E5DF5"/>
    <w:rsid w:val="003E6507"/>
    <w:rsid w:val="003E665C"/>
    <w:rsid w:val="003E666D"/>
    <w:rsid w:val="003E66B5"/>
    <w:rsid w:val="003E66EC"/>
    <w:rsid w:val="003E6805"/>
    <w:rsid w:val="003E698C"/>
    <w:rsid w:val="003E6C17"/>
    <w:rsid w:val="003E6CBB"/>
    <w:rsid w:val="003E6D8D"/>
    <w:rsid w:val="003E766E"/>
    <w:rsid w:val="003E7790"/>
    <w:rsid w:val="003E7882"/>
    <w:rsid w:val="003E79EA"/>
    <w:rsid w:val="003E7AA3"/>
    <w:rsid w:val="003E7C4C"/>
    <w:rsid w:val="003F0181"/>
    <w:rsid w:val="003F0436"/>
    <w:rsid w:val="003F043A"/>
    <w:rsid w:val="003F09F5"/>
    <w:rsid w:val="003F0A62"/>
    <w:rsid w:val="003F10EE"/>
    <w:rsid w:val="003F13BC"/>
    <w:rsid w:val="003F161F"/>
    <w:rsid w:val="003F163E"/>
    <w:rsid w:val="003F16F6"/>
    <w:rsid w:val="003F1BBE"/>
    <w:rsid w:val="003F1F64"/>
    <w:rsid w:val="003F203C"/>
    <w:rsid w:val="003F21B3"/>
    <w:rsid w:val="003F220E"/>
    <w:rsid w:val="003F231E"/>
    <w:rsid w:val="003F27E2"/>
    <w:rsid w:val="003F296D"/>
    <w:rsid w:val="003F2BBA"/>
    <w:rsid w:val="003F2C6E"/>
    <w:rsid w:val="003F2DB1"/>
    <w:rsid w:val="003F2E53"/>
    <w:rsid w:val="003F3064"/>
    <w:rsid w:val="003F33CC"/>
    <w:rsid w:val="003F358B"/>
    <w:rsid w:val="003F3E3E"/>
    <w:rsid w:val="003F3E75"/>
    <w:rsid w:val="003F401A"/>
    <w:rsid w:val="003F4390"/>
    <w:rsid w:val="003F43A5"/>
    <w:rsid w:val="003F4987"/>
    <w:rsid w:val="003F4B13"/>
    <w:rsid w:val="003F4DC7"/>
    <w:rsid w:val="003F4E29"/>
    <w:rsid w:val="003F4F73"/>
    <w:rsid w:val="003F4FD2"/>
    <w:rsid w:val="003F5235"/>
    <w:rsid w:val="003F557C"/>
    <w:rsid w:val="003F565F"/>
    <w:rsid w:val="003F5834"/>
    <w:rsid w:val="003F58A5"/>
    <w:rsid w:val="003F5A5C"/>
    <w:rsid w:val="003F5D1E"/>
    <w:rsid w:val="003F5D85"/>
    <w:rsid w:val="003F5E40"/>
    <w:rsid w:val="003F604C"/>
    <w:rsid w:val="003F6114"/>
    <w:rsid w:val="003F617C"/>
    <w:rsid w:val="003F61A1"/>
    <w:rsid w:val="003F62F1"/>
    <w:rsid w:val="003F65E7"/>
    <w:rsid w:val="003F671A"/>
    <w:rsid w:val="003F6CD5"/>
    <w:rsid w:val="003F6E23"/>
    <w:rsid w:val="003F72A0"/>
    <w:rsid w:val="003F7332"/>
    <w:rsid w:val="003F738D"/>
    <w:rsid w:val="003F7A4B"/>
    <w:rsid w:val="003F7A99"/>
    <w:rsid w:val="003F7D4C"/>
    <w:rsid w:val="003F7EBE"/>
    <w:rsid w:val="00400107"/>
    <w:rsid w:val="004007D7"/>
    <w:rsid w:val="004009A1"/>
    <w:rsid w:val="004009EE"/>
    <w:rsid w:val="00400C91"/>
    <w:rsid w:val="00400E91"/>
    <w:rsid w:val="00400EB5"/>
    <w:rsid w:val="00400FED"/>
    <w:rsid w:val="004012E5"/>
    <w:rsid w:val="00401622"/>
    <w:rsid w:val="0040165B"/>
    <w:rsid w:val="004016CA"/>
    <w:rsid w:val="00401710"/>
    <w:rsid w:val="00401853"/>
    <w:rsid w:val="0040188C"/>
    <w:rsid w:val="00401F19"/>
    <w:rsid w:val="004020B8"/>
    <w:rsid w:val="004022DF"/>
    <w:rsid w:val="004022E3"/>
    <w:rsid w:val="00402400"/>
    <w:rsid w:val="0040248D"/>
    <w:rsid w:val="004024F4"/>
    <w:rsid w:val="00402535"/>
    <w:rsid w:val="00402555"/>
    <w:rsid w:val="00402611"/>
    <w:rsid w:val="004027E4"/>
    <w:rsid w:val="00402937"/>
    <w:rsid w:val="00402A3C"/>
    <w:rsid w:val="00402A94"/>
    <w:rsid w:val="00402C21"/>
    <w:rsid w:val="00402E25"/>
    <w:rsid w:val="00402F8A"/>
    <w:rsid w:val="00403934"/>
    <w:rsid w:val="00403C58"/>
    <w:rsid w:val="00403D9C"/>
    <w:rsid w:val="00403DC4"/>
    <w:rsid w:val="00403E56"/>
    <w:rsid w:val="004041FB"/>
    <w:rsid w:val="00404572"/>
    <w:rsid w:val="004046ED"/>
    <w:rsid w:val="00404B7F"/>
    <w:rsid w:val="00404BEB"/>
    <w:rsid w:val="00404F5A"/>
    <w:rsid w:val="0040540A"/>
    <w:rsid w:val="00405695"/>
    <w:rsid w:val="004056DF"/>
    <w:rsid w:val="0040593F"/>
    <w:rsid w:val="0040595C"/>
    <w:rsid w:val="00405D58"/>
    <w:rsid w:val="00406304"/>
    <w:rsid w:val="00406446"/>
    <w:rsid w:val="004069D7"/>
    <w:rsid w:val="00406A8B"/>
    <w:rsid w:val="00406AF1"/>
    <w:rsid w:val="00406B06"/>
    <w:rsid w:val="00406BEB"/>
    <w:rsid w:val="00406C68"/>
    <w:rsid w:val="00406D6F"/>
    <w:rsid w:val="00406DB1"/>
    <w:rsid w:val="0040749D"/>
    <w:rsid w:val="004074A2"/>
    <w:rsid w:val="00407ACF"/>
    <w:rsid w:val="00410158"/>
    <w:rsid w:val="0041071D"/>
    <w:rsid w:val="00410D16"/>
    <w:rsid w:val="00410E4D"/>
    <w:rsid w:val="00411487"/>
    <w:rsid w:val="004114EC"/>
    <w:rsid w:val="00411882"/>
    <w:rsid w:val="00411A46"/>
    <w:rsid w:val="00411BCA"/>
    <w:rsid w:val="00411C81"/>
    <w:rsid w:val="00411FAE"/>
    <w:rsid w:val="004122D4"/>
    <w:rsid w:val="00412319"/>
    <w:rsid w:val="00412D7C"/>
    <w:rsid w:val="0041307E"/>
    <w:rsid w:val="00413368"/>
    <w:rsid w:val="004137F1"/>
    <w:rsid w:val="00413DF0"/>
    <w:rsid w:val="004142A3"/>
    <w:rsid w:val="00414540"/>
    <w:rsid w:val="00414670"/>
    <w:rsid w:val="004147C3"/>
    <w:rsid w:val="00414929"/>
    <w:rsid w:val="00414AFC"/>
    <w:rsid w:val="00414C25"/>
    <w:rsid w:val="004151A7"/>
    <w:rsid w:val="004151F8"/>
    <w:rsid w:val="00415310"/>
    <w:rsid w:val="00415607"/>
    <w:rsid w:val="004156DC"/>
    <w:rsid w:val="00415A25"/>
    <w:rsid w:val="00415A29"/>
    <w:rsid w:val="00415FB7"/>
    <w:rsid w:val="0041606D"/>
    <w:rsid w:val="00416226"/>
    <w:rsid w:val="00416685"/>
    <w:rsid w:val="0041701C"/>
    <w:rsid w:val="0041711C"/>
    <w:rsid w:val="00417173"/>
    <w:rsid w:val="00417408"/>
    <w:rsid w:val="00417949"/>
    <w:rsid w:val="00417B64"/>
    <w:rsid w:val="0042020F"/>
    <w:rsid w:val="00420280"/>
    <w:rsid w:val="00420874"/>
    <w:rsid w:val="00420A5B"/>
    <w:rsid w:val="00420B84"/>
    <w:rsid w:val="00420BD1"/>
    <w:rsid w:val="00420BD4"/>
    <w:rsid w:val="00420CFB"/>
    <w:rsid w:val="00420E01"/>
    <w:rsid w:val="00420E52"/>
    <w:rsid w:val="00421054"/>
    <w:rsid w:val="00421235"/>
    <w:rsid w:val="004213A3"/>
    <w:rsid w:val="004213ED"/>
    <w:rsid w:val="00421421"/>
    <w:rsid w:val="004216AB"/>
    <w:rsid w:val="00421709"/>
    <w:rsid w:val="0042172F"/>
    <w:rsid w:val="0042187F"/>
    <w:rsid w:val="004219D1"/>
    <w:rsid w:val="00421AD6"/>
    <w:rsid w:val="00421C10"/>
    <w:rsid w:val="00421E66"/>
    <w:rsid w:val="00422505"/>
    <w:rsid w:val="00422729"/>
    <w:rsid w:val="0042298C"/>
    <w:rsid w:val="00422C8A"/>
    <w:rsid w:val="00422DCF"/>
    <w:rsid w:val="004230A4"/>
    <w:rsid w:val="004230EB"/>
    <w:rsid w:val="004235CA"/>
    <w:rsid w:val="00423763"/>
    <w:rsid w:val="00424286"/>
    <w:rsid w:val="00424AC3"/>
    <w:rsid w:val="00424B4F"/>
    <w:rsid w:val="00424B92"/>
    <w:rsid w:val="00424C1D"/>
    <w:rsid w:val="00424D08"/>
    <w:rsid w:val="00424FE0"/>
    <w:rsid w:val="004255D7"/>
    <w:rsid w:val="004257DB"/>
    <w:rsid w:val="00425845"/>
    <w:rsid w:val="004258A7"/>
    <w:rsid w:val="00425A3A"/>
    <w:rsid w:val="00425EC5"/>
    <w:rsid w:val="0042604B"/>
    <w:rsid w:val="004260FB"/>
    <w:rsid w:val="004263FB"/>
    <w:rsid w:val="0042652A"/>
    <w:rsid w:val="00426617"/>
    <w:rsid w:val="004267FC"/>
    <w:rsid w:val="004268CA"/>
    <w:rsid w:val="00426A29"/>
    <w:rsid w:val="00426E67"/>
    <w:rsid w:val="00426E99"/>
    <w:rsid w:val="00426EBE"/>
    <w:rsid w:val="00426FF6"/>
    <w:rsid w:val="0042700E"/>
    <w:rsid w:val="0042707B"/>
    <w:rsid w:val="004271F7"/>
    <w:rsid w:val="0042762F"/>
    <w:rsid w:val="00427BB9"/>
    <w:rsid w:val="00427CE7"/>
    <w:rsid w:val="00427DC7"/>
    <w:rsid w:val="00427F14"/>
    <w:rsid w:val="00430899"/>
    <w:rsid w:val="00430A3C"/>
    <w:rsid w:val="00430C4C"/>
    <w:rsid w:val="00430D3D"/>
    <w:rsid w:val="00430D8D"/>
    <w:rsid w:val="00430F40"/>
    <w:rsid w:val="00430F54"/>
    <w:rsid w:val="00430F6E"/>
    <w:rsid w:val="00431122"/>
    <w:rsid w:val="0043131F"/>
    <w:rsid w:val="00431613"/>
    <w:rsid w:val="00431636"/>
    <w:rsid w:val="00431792"/>
    <w:rsid w:val="00431847"/>
    <w:rsid w:val="00431BEF"/>
    <w:rsid w:val="00431EC2"/>
    <w:rsid w:val="00431FAC"/>
    <w:rsid w:val="0043209E"/>
    <w:rsid w:val="004321B2"/>
    <w:rsid w:val="00432404"/>
    <w:rsid w:val="0043297A"/>
    <w:rsid w:val="00432A23"/>
    <w:rsid w:val="00432D18"/>
    <w:rsid w:val="00432EB2"/>
    <w:rsid w:val="00432EDE"/>
    <w:rsid w:val="00433631"/>
    <w:rsid w:val="00433776"/>
    <w:rsid w:val="004339D3"/>
    <w:rsid w:val="0043431A"/>
    <w:rsid w:val="004345FC"/>
    <w:rsid w:val="004349F9"/>
    <w:rsid w:val="00434D9C"/>
    <w:rsid w:val="0043516C"/>
    <w:rsid w:val="004355B8"/>
    <w:rsid w:val="0043582E"/>
    <w:rsid w:val="004359F2"/>
    <w:rsid w:val="004359F3"/>
    <w:rsid w:val="00435D40"/>
    <w:rsid w:val="004361BB"/>
    <w:rsid w:val="0043630E"/>
    <w:rsid w:val="0043696A"/>
    <w:rsid w:val="00436D70"/>
    <w:rsid w:val="00436E2F"/>
    <w:rsid w:val="0043714F"/>
    <w:rsid w:val="004373C8"/>
    <w:rsid w:val="0043757B"/>
    <w:rsid w:val="004377D6"/>
    <w:rsid w:val="00437A9F"/>
    <w:rsid w:val="00437BF2"/>
    <w:rsid w:val="00440112"/>
    <w:rsid w:val="004402B4"/>
    <w:rsid w:val="0044031C"/>
    <w:rsid w:val="00440328"/>
    <w:rsid w:val="00440372"/>
    <w:rsid w:val="00440621"/>
    <w:rsid w:val="00440782"/>
    <w:rsid w:val="00440CC5"/>
    <w:rsid w:val="00440CD3"/>
    <w:rsid w:val="00440EB0"/>
    <w:rsid w:val="00440ECE"/>
    <w:rsid w:val="00440ED8"/>
    <w:rsid w:val="00440F25"/>
    <w:rsid w:val="00441F23"/>
    <w:rsid w:val="00442072"/>
    <w:rsid w:val="00442674"/>
    <w:rsid w:val="00442A5C"/>
    <w:rsid w:val="00442C10"/>
    <w:rsid w:val="00442D7B"/>
    <w:rsid w:val="00442DE2"/>
    <w:rsid w:val="0044306C"/>
    <w:rsid w:val="00443299"/>
    <w:rsid w:val="00443545"/>
    <w:rsid w:val="004435C2"/>
    <w:rsid w:val="00443827"/>
    <w:rsid w:val="004438B5"/>
    <w:rsid w:val="00443BF9"/>
    <w:rsid w:val="00443F9B"/>
    <w:rsid w:val="0044405A"/>
    <w:rsid w:val="0044432A"/>
    <w:rsid w:val="004443D4"/>
    <w:rsid w:val="0044450F"/>
    <w:rsid w:val="0044464C"/>
    <w:rsid w:val="00444809"/>
    <w:rsid w:val="004448AF"/>
    <w:rsid w:val="004449E7"/>
    <w:rsid w:val="00444E3F"/>
    <w:rsid w:val="00444E70"/>
    <w:rsid w:val="00445052"/>
    <w:rsid w:val="00445241"/>
    <w:rsid w:val="004453E7"/>
    <w:rsid w:val="0044566F"/>
    <w:rsid w:val="00445791"/>
    <w:rsid w:val="004461DB"/>
    <w:rsid w:val="00446A6D"/>
    <w:rsid w:val="00446D84"/>
    <w:rsid w:val="00447027"/>
    <w:rsid w:val="00447037"/>
    <w:rsid w:val="00447134"/>
    <w:rsid w:val="0044718B"/>
    <w:rsid w:val="00447445"/>
    <w:rsid w:val="00447D89"/>
    <w:rsid w:val="00450407"/>
    <w:rsid w:val="004505F4"/>
    <w:rsid w:val="004506DB"/>
    <w:rsid w:val="00450993"/>
    <w:rsid w:val="00450CD8"/>
    <w:rsid w:val="00450D12"/>
    <w:rsid w:val="00450DB9"/>
    <w:rsid w:val="00451139"/>
    <w:rsid w:val="0045124D"/>
    <w:rsid w:val="004514EB"/>
    <w:rsid w:val="00451567"/>
    <w:rsid w:val="004517F8"/>
    <w:rsid w:val="00451A23"/>
    <w:rsid w:val="00451A5E"/>
    <w:rsid w:val="00451B73"/>
    <w:rsid w:val="00451BFB"/>
    <w:rsid w:val="00451DF0"/>
    <w:rsid w:val="00451F62"/>
    <w:rsid w:val="00451FBD"/>
    <w:rsid w:val="004521AC"/>
    <w:rsid w:val="00452247"/>
    <w:rsid w:val="004523A6"/>
    <w:rsid w:val="00452793"/>
    <w:rsid w:val="00452858"/>
    <w:rsid w:val="004529CC"/>
    <w:rsid w:val="00452A3C"/>
    <w:rsid w:val="00452AC2"/>
    <w:rsid w:val="00452FA6"/>
    <w:rsid w:val="00452FB4"/>
    <w:rsid w:val="00453014"/>
    <w:rsid w:val="00453072"/>
    <w:rsid w:val="0045346A"/>
    <w:rsid w:val="0045356E"/>
    <w:rsid w:val="004537C2"/>
    <w:rsid w:val="004538A5"/>
    <w:rsid w:val="004539CE"/>
    <w:rsid w:val="00453A0B"/>
    <w:rsid w:val="00453DAB"/>
    <w:rsid w:val="00453F4C"/>
    <w:rsid w:val="0045441A"/>
    <w:rsid w:val="004544A0"/>
    <w:rsid w:val="00454596"/>
    <w:rsid w:val="00454795"/>
    <w:rsid w:val="00454D11"/>
    <w:rsid w:val="00455001"/>
    <w:rsid w:val="00455079"/>
    <w:rsid w:val="004550FE"/>
    <w:rsid w:val="00455197"/>
    <w:rsid w:val="004554DE"/>
    <w:rsid w:val="004554FA"/>
    <w:rsid w:val="00455C4E"/>
    <w:rsid w:val="00455FF6"/>
    <w:rsid w:val="0045605D"/>
    <w:rsid w:val="0045607F"/>
    <w:rsid w:val="00457647"/>
    <w:rsid w:val="00457A08"/>
    <w:rsid w:val="00457FD3"/>
    <w:rsid w:val="00460224"/>
    <w:rsid w:val="004602E6"/>
    <w:rsid w:val="004603F1"/>
    <w:rsid w:val="00460847"/>
    <w:rsid w:val="00460A6E"/>
    <w:rsid w:val="00461045"/>
    <w:rsid w:val="0046135B"/>
    <w:rsid w:val="00461829"/>
    <w:rsid w:val="00461CE2"/>
    <w:rsid w:val="00461D47"/>
    <w:rsid w:val="00461E59"/>
    <w:rsid w:val="00461E5F"/>
    <w:rsid w:val="00461F42"/>
    <w:rsid w:val="00462007"/>
    <w:rsid w:val="004621EC"/>
    <w:rsid w:val="0046244F"/>
    <w:rsid w:val="004624E6"/>
    <w:rsid w:val="0046284E"/>
    <w:rsid w:val="00462950"/>
    <w:rsid w:val="00462B00"/>
    <w:rsid w:val="0046320E"/>
    <w:rsid w:val="004632C7"/>
    <w:rsid w:val="00463311"/>
    <w:rsid w:val="00463787"/>
    <w:rsid w:val="0046379E"/>
    <w:rsid w:val="00463F79"/>
    <w:rsid w:val="00463FB4"/>
    <w:rsid w:val="004641AF"/>
    <w:rsid w:val="004646ED"/>
    <w:rsid w:val="0046475F"/>
    <w:rsid w:val="00464A18"/>
    <w:rsid w:val="00464B3E"/>
    <w:rsid w:val="00464D74"/>
    <w:rsid w:val="00464EFC"/>
    <w:rsid w:val="00464F20"/>
    <w:rsid w:val="004650A5"/>
    <w:rsid w:val="004650EA"/>
    <w:rsid w:val="00465467"/>
    <w:rsid w:val="004654A2"/>
    <w:rsid w:val="004654A9"/>
    <w:rsid w:val="00465526"/>
    <w:rsid w:val="004658D8"/>
    <w:rsid w:val="00465A78"/>
    <w:rsid w:val="00465C39"/>
    <w:rsid w:val="00465C6C"/>
    <w:rsid w:val="00465D00"/>
    <w:rsid w:val="004660CD"/>
    <w:rsid w:val="004664D3"/>
    <w:rsid w:val="00466E57"/>
    <w:rsid w:val="00466FAF"/>
    <w:rsid w:val="00467119"/>
    <w:rsid w:val="00467571"/>
    <w:rsid w:val="00467854"/>
    <w:rsid w:val="004679BD"/>
    <w:rsid w:val="00470178"/>
    <w:rsid w:val="004703D7"/>
    <w:rsid w:val="00470460"/>
    <w:rsid w:val="0047048A"/>
    <w:rsid w:val="00470733"/>
    <w:rsid w:val="00470A52"/>
    <w:rsid w:val="00470AEF"/>
    <w:rsid w:val="00470B7A"/>
    <w:rsid w:val="00470C15"/>
    <w:rsid w:val="00471249"/>
    <w:rsid w:val="004712DE"/>
    <w:rsid w:val="0047138B"/>
    <w:rsid w:val="004714B6"/>
    <w:rsid w:val="00471866"/>
    <w:rsid w:val="004718CC"/>
    <w:rsid w:val="00471B06"/>
    <w:rsid w:val="0047224C"/>
    <w:rsid w:val="004722D1"/>
    <w:rsid w:val="00472382"/>
    <w:rsid w:val="004727A1"/>
    <w:rsid w:val="00472853"/>
    <w:rsid w:val="004728F3"/>
    <w:rsid w:val="00472BBB"/>
    <w:rsid w:val="00472BF2"/>
    <w:rsid w:val="00473018"/>
    <w:rsid w:val="004731A3"/>
    <w:rsid w:val="004732D0"/>
    <w:rsid w:val="0047342A"/>
    <w:rsid w:val="0047383C"/>
    <w:rsid w:val="00473840"/>
    <w:rsid w:val="00473BBC"/>
    <w:rsid w:val="00473C88"/>
    <w:rsid w:val="00473D9F"/>
    <w:rsid w:val="004740CA"/>
    <w:rsid w:val="0047413B"/>
    <w:rsid w:val="004743DA"/>
    <w:rsid w:val="00474D30"/>
    <w:rsid w:val="00474F03"/>
    <w:rsid w:val="00474F7D"/>
    <w:rsid w:val="00475460"/>
    <w:rsid w:val="004755A9"/>
    <w:rsid w:val="0047625A"/>
    <w:rsid w:val="004762A4"/>
    <w:rsid w:val="0047678F"/>
    <w:rsid w:val="0047679B"/>
    <w:rsid w:val="004769D2"/>
    <w:rsid w:val="00476FE4"/>
    <w:rsid w:val="004771B5"/>
    <w:rsid w:val="004771C0"/>
    <w:rsid w:val="00477290"/>
    <w:rsid w:val="00477592"/>
    <w:rsid w:val="0047765B"/>
    <w:rsid w:val="00477666"/>
    <w:rsid w:val="004778BC"/>
    <w:rsid w:val="004801CF"/>
    <w:rsid w:val="00480281"/>
    <w:rsid w:val="004802BC"/>
    <w:rsid w:val="00480387"/>
    <w:rsid w:val="004803BB"/>
    <w:rsid w:val="00480594"/>
    <w:rsid w:val="00480EE2"/>
    <w:rsid w:val="004811C4"/>
    <w:rsid w:val="004813F0"/>
    <w:rsid w:val="00481695"/>
    <w:rsid w:val="004817CF"/>
    <w:rsid w:val="004817DF"/>
    <w:rsid w:val="00481D09"/>
    <w:rsid w:val="0048213C"/>
    <w:rsid w:val="004826C1"/>
    <w:rsid w:val="004826E4"/>
    <w:rsid w:val="004827B1"/>
    <w:rsid w:val="004827BA"/>
    <w:rsid w:val="00482D43"/>
    <w:rsid w:val="00483923"/>
    <w:rsid w:val="00483B1E"/>
    <w:rsid w:val="00483BC2"/>
    <w:rsid w:val="00483CA6"/>
    <w:rsid w:val="00483F51"/>
    <w:rsid w:val="00483FC2"/>
    <w:rsid w:val="00484025"/>
    <w:rsid w:val="0048491C"/>
    <w:rsid w:val="00484C05"/>
    <w:rsid w:val="00484CC8"/>
    <w:rsid w:val="0048524E"/>
    <w:rsid w:val="00485499"/>
    <w:rsid w:val="004854EC"/>
    <w:rsid w:val="004855A1"/>
    <w:rsid w:val="00485D0A"/>
    <w:rsid w:val="00486135"/>
    <w:rsid w:val="00486688"/>
    <w:rsid w:val="004867B0"/>
    <w:rsid w:val="00486A46"/>
    <w:rsid w:val="00486C56"/>
    <w:rsid w:val="00486D5D"/>
    <w:rsid w:val="00486FD6"/>
    <w:rsid w:val="004870AD"/>
    <w:rsid w:val="004873A0"/>
    <w:rsid w:val="004877F8"/>
    <w:rsid w:val="00487A7F"/>
    <w:rsid w:val="00487B9F"/>
    <w:rsid w:val="00487CBE"/>
    <w:rsid w:val="00487FF0"/>
    <w:rsid w:val="004900AC"/>
    <w:rsid w:val="0049010C"/>
    <w:rsid w:val="00490365"/>
    <w:rsid w:val="004903C0"/>
    <w:rsid w:val="004904D3"/>
    <w:rsid w:val="0049083D"/>
    <w:rsid w:val="00490855"/>
    <w:rsid w:val="00490DBE"/>
    <w:rsid w:val="00490F09"/>
    <w:rsid w:val="00490FBF"/>
    <w:rsid w:val="00490FD2"/>
    <w:rsid w:val="0049102B"/>
    <w:rsid w:val="004917C5"/>
    <w:rsid w:val="004918A7"/>
    <w:rsid w:val="00491BE8"/>
    <w:rsid w:val="00491D8A"/>
    <w:rsid w:val="00491EEA"/>
    <w:rsid w:val="0049209B"/>
    <w:rsid w:val="004922C4"/>
    <w:rsid w:val="0049231E"/>
    <w:rsid w:val="00492528"/>
    <w:rsid w:val="0049285B"/>
    <w:rsid w:val="00492956"/>
    <w:rsid w:val="00492B11"/>
    <w:rsid w:val="00492B6C"/>
    <w:rsid w:val="004932DA"/>
    <w:rsid w:val="004935BC"/>
    <w:rsid w:val="00493AA0"/>
    <w:rsid w:val="00493ABC"/>
    <w:rsid w:val="00493B50"/>
    <w:rsid w:val="004942AB"/>
    <w:rsid w:val="004942D4"/>
    <w:rsid w:val="00494349"/>
    <w:rsid w:val="004943DC"/>
    <w:rsid w:val="0049454E"/>
    <w:rsid w:val="00494877"/>
    <w:rsid w:val="0049500A"/>
    <w:rsid w:val="00495073"/>
    <w:rsid w:val="004951D4"/>
    <w:rsid w:val="004953D1"/>
    <w:rsid w:val="0049546F"/>
    <w:rsid w:val="00495615"/>
    <w:rsid w:val="0049572C"/>
    <w:rsid w:val="00495A96"/>
    <w:rsid w:val="00495B12"/>
    <w:rsid w:val="00495BB3"/>
    <w:rsid w:val="004964D2"/>
    <w:rsid w:val="004968BA"/>
    <w:rsid w:val="00496EE7"/>
    <w:rsid w:val="0049714C"/>
    <w:rsid w:val="0049723E"/>
    <w:rsid w:val="00497255"/>
    <w:rsid w:val="00497262"/>
    <w:rsid w:val="00497338"/>
    <w:rsid w:val="0049785D"/>
    <w:rsid w:val="00497D9D"/>
    <w:rsid w:val="00497FCB"/>
    <w:rsid w:val="004A00B6"/>
    <w:rsid w:val="004A0176"/>
    <w:rsid w:val="004A089A"/>
    <w:rsid w:val="004A0BFC"/>
    <w:rsid w:val="004A0F04"/>
    <w:rsid w:val="004A0FFD"/>
    <w:rsid w:val="004A11B1"/>
    <w:rsid w:val="004A144E"/>
    <w:rsid w:val="004A16FA"/>
    <w:rsid w:val="004A18EB"/>
    <w:rsid w:val="004A1A4E"/>
    <w:rsid w:val="004A2204"/>
    <w:rsid w:val="004A2540"/>
    <w:rsid w:val="004A2552"/>
    <w:rsid w:val="004A2908"/>
    <w:rsid w:val="004A296B"/>
    <w:rsid w:val="004A2A9F"/>
    <w:rsid w:val="004A2B91"/>
    <w:rsid w:val="004A2F8B"/>
    <w:rsid w:val="004A31A4"/>
    <w:rsid w:val="004A340B"/>
    <w:rsid w:val="004A361A"/>
    <w:rsid w:val="004A3848"/>
    <w:rsid w:val="004A3F68"/>
    <w:rsid w:val="004A414C"/>
    <w:rsid w:val="004A41BE"/>
    <w:rsid w:val="004A4591"/>
    <w:rsid w:val="004A463F"/>
    <w:rsid w:val="004A48D6"/>
    <w:rsid w:val="004A4A77"/>
    <w:rsid w:val="004A4D39"/>
    <w:rsid w:val="004A4E64"/>
    <w:rsid w:val="004A51A1"/>
    <w:rsid w:val="004A54C2"/>
    <w:rsid w:val="004A56BB"/>
    <w:rsid w:val="004A58A5"/>
    <w:rsid w:val="004A59C9"/>
    <w:rsid w:val="004A5CBF"/>
    <w:rsid w:val="004A5DA2"/>
    <w:rsid w:val="004A5EC5"/>
    <w:rsid w:val="004A5F26"/>
    <w:rsid w:val="004A5FD4"/>
    <w:rsid w:val="004A638E"/>
    <w:rsid w:val="004A63F8"/>
    <w:rsid w:val="004A65FD"/>
    <w:rsid w:val="004A6842"/>
    <w:rsid w:val="004A6864"/>
    <w:rsid w:val="004A6926"/>
    <w:rsid w:val="004A69E5"/>
    <w:rsid w:val="004A6E4B"/>
    <w:rsid w:val="004A6FD6"/>
    <w:rsid w:val="004A70C6"/>
    <w:rsid w:val="004A70D1"/>
    <w:rsid w:val="004A70D6"/>
    <w:rsid w:val="004A751A"/>
    <w:rsid w:val="004A79E8"/>
    <w:rsid w:val="004A7D20"/>
    <w:rsid w:val="004A7E7A"/>
    <w:rsid w:val="004A7F6F"/>
    <w:rsid w:val="004A7FAE"/>
    <w:rsid w:val="004B04EE"/>
    <w:rsid w:val="004B08A8"/>
    <w:rsid w:val="004B0E9F"/>
    <w:rsid w:val="004B0FED"/>
    <w:rsid w:val="004B10EA"/>
    <w:rsid w:val="004B154F"/>
    <w:rsid w:val="004B155B"/>
    <w:rsid w:val="004B1751"/>
    <w:rsid w:val="004B18B9"/>
    <w:rsid w:val="004B1A30"/>
    <w:rsid w:val="004B1B80"/>
    <w:rsid w:val="004B1C75"/>
    <w:rsid w:val="004B1D01"/>
    <w:rsid w:val="004B1DF1"/>
    <w:rsid w:val="004B1FD1"/>
    <w:rsid w:val="004B21E5"/>
    <w:rsid w:val="004B26F8"/>
    <w:rsid w:val="004B27F3"/>
    <w:rsid w:val="004B28B4"/>
    <w:rsid w:val="004B2AD1"/>
    <w:rsid w:val="004B2D1D"/>
    <w:rsid w:val="004B3244"/>
    <w:rsid w:val="004B32AF"/>
    <w:rsid w:val="004B35F6"/>
    <w:rsid w:val="004B3688"/>
    <w:rsid w:val="004B38EE"/>
    <w:rsid w:val="004B3AA1"/>
    <w:rsid w:val="004B3C99"/>
    <w:rsid w:val="004B3D54"/>
    <w:rsid w:val="004B40D2"/>
    <w:rsid w:val="004B4275"/>
    <w:rsid w:val="004B43F5"/>
    <w:rsid w:val="004B450C"/>
    <w:rsid w:val="004B4830"/>
    <w:rsid w:val="004B48C8"/>
    <w:rsid w:val="004B49D6"/>
    <w:rsid w:val="004B5018"/>
    <w:rsid w:val="004B5031"/>
    <w:rsid w:val="004B5222"/>
    <w:rsid w:val="004B5278"/>
    <w:rsid w:val="004B5320"/>
    <w:rsid w:val="004B5399"/>
    <w:rsid w:val="004B53E2"/>
    <w:rsid w:val="004B55D3"/>
    <w:rsid w:val="004B5B05"/>
    <w:rsid w:val="004B5D91"/>
    <w:rsid w:val="004B6094"/>
    <w:rsid w:val="004B6187"/>
    <w:rsid w:val="004B6623"/>
    <w:rsid w:val="004B6741"/>
    <w:rsid w:val="004B6A26"/>
    <w:rsid w:val="004B6CA3"/>
    <w:rsid w:val="004B6D58"/>
    <w:rsid w:val="004B6E06"/>
    <w:rsid w:val="004B705C"/>
    <w:rsid w:val="004B70C5"/>
    <w:rsid w:val="004B70E7"/>
    <w:rsid w:val="004B71C2"/>
    <w:rsid w:val="004B7286"/>
    <w:rsid w:val="004B72FC"/>
    <w:rsid w:val="004B78A3"/>
    <w:rsid w:val="004B7CF1"/>
    <w:rsid w:val="004B7DA5"/>
    <w:rsid w:val="004C0170"/>
    <w:rsid w:val="004C0253"/>
    <w:rsid w:val="004C0332"/>
    <w:rsid w:val="004C03B3"/>
    <w:rsid w:val="004C03B8"/>
    <w:rsid w:val="004C03F2"/>
    <w:rsid w:val="004C040D"/>
    <w:rsid w:val="004C057D"/>
    <w:rsid w:val="004C064A"/>
    <w:rsid w:val="004C0760"/>
    <w:rsid w:val="004C0AE7"/>
    <w:rsid w:val="004C1023"/>
    <w:rsid w:val="004C10C1"/>
    <w:rsid w:val="004C119B"/>
    <w:rsid w:val="004C15C0"/>
    <w:rsid w:val="004C16C9"/>
    <w:rsid w:val="004C1894"/>
    <w:rsid w:val="004C1A35"/>
    <w:rsid w:val="004C1E32"/>
    <w:rsid w:val="004C1F2D"/>
    <w:rsid w:val="004C1F83"/>
    <w:rsid w:val="004C2088"/>
    <w:rsid w:val="004C2335"/>
    <w:rsid w:val="004C2383"/>
    <w:rsid w:val="004C2553"/>
    <w:rsid w:val="004C2631"/>
    <w:rsid w:val="004C2689"/>
    <w:rsid w:val="004C283B"/>
    <w:rsid w:val="004C28F0"/>
    <w:rsid w:val="004C29F1"/>
    <w:rsid w:val="004C2BA7"/>
    <w:rsid w:val="004C2C54"/>
    <w:rsid w:val="004C303D"/>
    <w:rsid w:val="004C30EC"/>
    <w:rsid w:val="004C32C1"/>
    <w:rsid w:val="004C33A9"/>
    <w:rsid w:val="004C39D6"/>
    <w:rsid w:val="004C3C41"/>
    <w:rsid w:val="004C3E2C"/>
    <w:rsid w:val="004C3E6B"/>
    <w:rsid w:val="004C43D1"/>
    <w:rsid w:val="004C44E2"/>
    <w:rsid w:val="004C4989"/>
    <w:rsid w:val="004C4D4D"/>
    <w:rsid w:val="004C5615"/>
    <w:rsid w:val="004C5660"/>
    <w:rsid w:val="004C5718"/>
    <w:rsid w:val="004C5854"/>
    <w:rsid w:val="004C5C9D"/>
    <w:rsid w:val="004C5CA7"/>
    <w:rsid w:val="004C5DE8"/>
    <w:rsid w:val="004C5FBD"/>
    <w:rsid w:val="004C64B8"/>
    <w:rsid w:val="004C6AF1"/>
    <w:rsid w:val="004C6C12"/>
    <w:rsid w:val="004C6D3E"/>
    <w:rsid w:val="004C6D73"/>
    <w:rsid w:val="004C6EB1"/>
    <w:rsid w:val="004C6F66"/>
    <w:rsid w:val="004C7147"/>
    <w:rsid w:val="004C71E0"/>
    <w:rsid w:val="004C720C"/>
    <w:rsid w:val="004C73D6"/>
    <w:rsid w:val="004C7AFF"/>
    <w:rsid w:val="004C7DB0"/>
    <w:rsid w:val="004D0399"/>
    <w:rsid w:val="004D0772"/>
    <w:rsid w:val="004D0A47"/>
    <w:rsid w:val="004D0B84"/>
    <w:rsid w:val="004D0C59"/>
    <w:rsid w:val="004D0DC4"/>
    <w:rsid w:val="004D1C6C"/>
    <w:rsid w:val="004D23F3"/>
    <w:rsid w:val="004D24FE"/>
    <w:rsid w:val="004D36D8"/>
    <w:rsid w:val="004D37B7"/>
    <w:rsid w:val="004D40A8"/>
    <w:rsid w:val="004D43F6"/>
    <w:rsid w:val="004D4652"/>
    <w:rsid w:val="004D496C"/>
    <w:rsid w:val="004D4B8A"/>
    <w:rsid w:val="004D4F01"/>
    <w:rsid w:val="004D5020"/>
    <w:rsid w:val="004D508F"/>
    <w:rsid w:val="004D5497"/>
    <w:rsid w:val="004D5685"/>
    <w:rsid w:val="004D56FF"/>
    <w:rsid w:val="004D5897"/>
    <w:rsid w:val="004D591A"/>
    <w:rsid w:val="004D5D25"/>
    <w:rsid w:val="004D603C"/>
    <w:rsid w:val="004D636D"/>
    <w:rsid w:val="004D64F8"/>
    <w:rsid w:val="004D6702"/>
    <w:rsid w:val="004D6783"/>
    <w:rsid w:val="004D6B7E"/>
    <w:rsid w:val="004D6B8C"/>
    <w:rsid w:val="004D6E0D"/>
    <w:rsid w:val="004D6FBD"/>
    <w:rsid w:val="004D71CA"/>
    <w:rsid w:val="004D7288"/>
    <w:rsid w:val="004D7302"/>
    <w:rsid w:val="004D7497"/>
    <w:rsid w:val="004D754A"/>
    <w:rsid w:val="004D7558"/>
    <w:rsid w:val="004D7862"/>
    <w:rsid w:val="004D7A81"/>
    <w:rsid w:val="004D7DB7"/>
    <w:rsid w:val="004D7E6C"/>
    <w:rsid w:val="004E0129"/>
    <w:rsid w:val="004E06A0"/>
    <w:rsid w:val="004E07D6"/>
    <w:rsid w:val="004E086A"/>
    <w:rsid w:val="004E0F36"/>
    <w:rsid w:val="004E1592"/>
    <w:rsid w:val="004E1651"/>
    <w:rsid w:val="004E1B53"/>
    <w:rsid w:val="004E1C0B"/>
    <w:rsid w:val="004E1C94"/>
    <w:rsid w:val="004E1F84"/>
    <w:rsid w:val="004E24C9"/>
    <w:rsid w:val="004E2884"/>
    <w:rsid w:val="004E2A57"/>
    <w:rsid w:val="004E2A99"/>
    <w:rsid w:val="004E2B09"/>
    <w:rsid w:val="004E2D71"/>
    <w:rsid w:val="004E2EB9"/>
    <w:rsid w:val="004E30F5"/>
    <w:rsid w:val="004E3433"/>
    <w:rsid w:val="004E354E"/>
    <w:rsid w:val="004E357E"/>
    <w:rsid w:val="004E38E7"/>
    <w:rsid w:val="004E39D3"/>
    <w:rsid w:val="004E4067"/>
    <w:rsid w:val="004E4760"/>
    <w:rsid w:val="004E49AE"/>
    <w:rsid w:val="004E4AF8"/>
    <w:rsid w:val="004E4C17"/>
    <w:rsid w:val="004E4C9A"/>
    <w:rsid w:val="004E508A"/>
    <w:rsid w:val="004E52E7"/>
    <w:rsid w:val="004E56AD"/>
    <w:rsid w:val="004E5842"/>
    <w:rsid w:val="004E5896"/>
    <w:rsid w:val="004E5D7D"/>
    <w:rsid w:val="004E5E10"/>
    <w:rsid w:val="004E5E4C"/>
    <w:rsid w:val="004E5E75"/>
    <w:rsid w:val="004E60DC"/>
    <w:rsid w:val="004E616D"/>
    <w:rsid w:val="004E6177"/>
    <w:rsid w:val="004E6203"/>
    <w:rsid w:val="004E632C"/>
    <w:rsid w:val="004E64DE"/>
    <w:rsid w:val="004E65AF"/>
    <w:rsid w:val="004E6628"/>
    <w:rsid w:val="004E6675"/>
    <w:rsid w:val="004E6742"/>
    <w:rsid w:val="004E68EF"/>
    <w:rsid w:val="004E698A"/>
    <w:rsid w:val="004E6CA4"/>
    <w:rsid w:val="004E737A"/>
    <w:rsid w:val="004E7424"/>
    <w:rsid w:val="004E79CF"/>
    <w:rsid w:val="004E7D38"/>
    <w:rsid w:val="004E7DCE"/>
    <w:rsid w:val="004F013C"/>
    <w:rsid w:val="004F04A3"/>
    <w:rsid w:val="004F05CF"/>
    <w:rsid w:val="004F0691"/>
    <w:rsid w:val="004F0C55"/>
    <w:rsid w:val="004F0EF6"/>
    <w:rsid w:val="004F10FC"/>
    <w:rsid w:val="004F1229"/>
    <w:rsid w:val="004F13F1"/>
    <w:rsid w:val="004F152D"/>
    <w:rsid w:val="004F1643"/>
    <w:rsid w:val="004F1778"/>
    <w:rsid w:val="004F17F3"/>
    <w:rsid w:val="004F1A7A"/>
    <w:rsid w:val="004F1B0B"/>
    <w:rsid w:val="004F1BDE"/>
    <w:rsid w:val="004F1C1A"/>
    <w:rsid w:val="004F1D18"/>
    <w:rsid w:val="004F1D2D"/>
    <w:rsid w:val="004F235C"/>
    <w:rsid w:val="004F26DB"/>
    <w:rsid w:val="004F2744"/>
    <w:rsid w:val="004F2786"/>
    <w:rsid w:val="004F2A32"/>
    <w:rsid w:val="004F2CEE"/>
    <w:rsid w:val="004F2F53"/>
    <w:rsid w:val="004F30E9"/>
    <w:rsid w:val="004F31FC"/>
    <w:rsid w:val="004F329B"/>
    <w:rsid w:val="004F36A8"/>
    <w:rsid w:val="004F374D"/>
    <w:rsid w:val="004F3805"/>
    <w:rsid w:val="004F3C2E"/>
    <w:rsid w:val="004F3C8E"/>
    <w:rsid w:val="004F4253"/>
    <w:rsid w:val="004F4332"/>
    <w:rsid w:val="004F4765"/>
    <w:rsid w:val="004F49EE"/>
    <w:rsid w:val="004F556E"/>
    <w:rsid w:val="004F573A"/>
    <w:rsid w:val="004F591C"/>
    <w:rsid w:val="004F5925"/>
    <w:rsid w:val="004F5A9F"/>
    <w:rsid w:val="004F6087"/>
    <w:rsid w:val="004F6268"/>
    <w:rsid w:val="004F63A5"/>
    <w:rsid w:val="004F6520"/>
    <w:rsid w:val="004F6D93"/>
    <w:rsid w:val="004F6E73"/>
    <w:rsid w:val="004F7102"/>
    <w:rsid w:val="004F7162"/>
    <w:rsid w:val="004F749B"/>
    <w:rsid w:val="004F755B"/>
    <w:rsid w:val="004F792F"/>
    <w:rsid w:val="004F7953"/>
    <w:rsid w:val="004F7C13"/>
    <w:rsid w:val="004F7F44"/>
    <w:rsid w:val="00500093"/>
    <w:rsid w:val="005003BA"/>
    <w:rsid w:val="005007D1"/>
    <w:rsid w:val="00501371"/>
    <w:rsid w:val="005013D1"/>
    <w:rsid w:val="0050146B"/>
    <w:rsid w:val="005015F0"/>
    <w:rsid w:val="00501660"/>
    <w:rsid w:val="005017B2"/>
    <w:rsid w:val="005018C9"/>
    <w:rsid w:val="005018CC"/>
    <w:rsid w:val="00501BBC"/>
    <w:rsid w:val="00501E5B"/>
    <w:rsid w:val="00501F4F"/>
    <w:rsid w:val="005021F2"/>
    <w:rsid w:val="00502205"/>
    <w:rsid w:val="0050225C"/>
    <w:rsid w:val="005023AB"/>
    <w:rsid w:val="00502AD1"/>
    <w:rsid w:val="00502C4A"/>
    <w:rsid w:val="00502D80"/>
    <w:rsid w:val="00503360"/>
    <w:rsid w:val="005036C2"/>
    <w:rsid w:val="005037B4"/>
    <w:rsid w:val="00503A52"/>
    <w:rsid w:val="00503B95"/>
    <w:rsid w:val="00503C58"/>
    <w:rsid w:val="00503DC6"/>
    <w:rsid w:val="0050406B"/>
    <w:rsid w:val="00504395"/>
    <w:rsid w:val="005047EE"/>
    <w:rsid w:val="0050495C"/>
    <w:rsid w:val="00504B39"/>
    <w:rsid w:val="00504ED4"/>
    <w:rsid w:val="005051BB"/>
    <w:rsid w:val="00505568"/>
    <w:rsid w:val="005058AA"/>
    <w:rsid w:val="00505B6C"/>
    <w:rsid w:val="00505B87"/>
    <w:rsid w:val="00505C90"/>
    <w:rsid w:val="00505CBB"/>
    <w:rsid w:val="005061C6"/>
    <w:rsid w:val="00506827"/>
    <w:rsid w:val="00506878"/>
    <w:rsid w:val="005068F3"/>
    <w:rsid w:val="00506CCC"/>
    <w:rsid w:val="00506EBB"/>
    <w:rsid w:val="00506F7B"/>
    <w:rsid w:val="00507353"/>
    <w:rsid w:val="0050740A"/>
    <w:rsid w:val="00507645"/>
    <w:rsid w:val="005079B0"/>
    <w:rsid w:val="005079BF"/>
    <w:rsid w:val="005079F0"/>
    <w:rsid w:val="005101A6"/>
    <w:rsid w:val="005106FE"/>
    <w:rsid w:val="00510892"/>
    <w:rsid w:val="00510B1C"/>
    <w:rsid w:val="00510CC9"/>
    <w:rsid w:val="00510ED3"/>
    <w:rsid w:val="00510FAE"/>
    <w:rsid w:val="00511203"/>
    <w:rsid w:val="00511205"/>
    <w:rsid w:val="00511A70"/>
    <w:rsid w:val="00511B4B"/>
    <w:rsid w:val="00511DED"/>
    <w:rsid w:val="0051269A"/>
    <w:rsid w:val="00512AF8"/>
    <w:rsid w:val="00512BBF"/>
    <w:rsid w:val="00512DE6"/>
    <w:rsid w:val="00512E86"/>
    <w:rsid w:val="0051314D"/>
    <w:rsid w:val="00513237"/>
    <w:rsid w:val="00513462"/>
    <w:rsid w:val="0051363D"/>
    <w:rsid w:val="00513739"/>
    <w:rsid w:val="005137C0"/>
    <w:rsid w:val="0051380A"/>
    <w:rsid w:val="00513B28"/>
    <w:rsid w:val="00513C55"/>
    <w:rsid w:val="00513D71"/>
    <w:rsid w:val="00513D76"/>
    <w:rsid w:val="005141AB"/>
    <w:rsid w:val="005141F5"/>
    <w:rsid w:val="0051493F"/>
    <w:rsid w:val="005149A0"/>
    <w:rsid w:val="00514B76"/>
    <w:rsid w:val="00514DD4"/>
    <w:rsid w:val="00515281"/>
    <w:rsid w:val="005152F5"/>
    <w:rsid w:val="00515377"/>
    <w:rsid w:val="0051557D"/>
    <w:rsid w:val="005158D6"/>
    <w:rsid w:val="00515B6A"/>
    <w:rsid w:val="00515C5D"/>
    <w:rsid w:val="00516286"/>
    <w:rsid w:val="005164F2"/>
    <w:rsid w:val="0051666E"/>
    <w:rsid w:val="0051669E"/>
    <w:rsid w:val="00516B25"/>
    <w:rsid w:val="00516CBE"/>
    <w:rsid w:val="00517262"/>
    <w:rsid w:val="0051739B"/>
    <w:rsid w:val="00517721"/>
    <w:rsid w:val="005178A8"/>
    <w:rsid w:val="005178A9"/>
    <w:rsid w:val="00517AEB"/>
    <w:rsid w:val="00517E3D"/>
    <w:rsid w:val="00520050"/>
    <w:rsid w:val="005200A8"/>
    <w:rsid w:val="005201FE"/>
    <w:rsid w:val="0052041A"/>
    <w:rsid w:val="005206DB"/>
    <w:rsid w:val="005207C1"/>
    <w:rsid w:val="00520847"/>
    <w:rsid w:val="00520853"/>
    <w:rsid w:val="005208FF"/>
    <w:rsid w:val="00520AFE"/>
    <w:rsid w:val="00520C22"/>
    <w:rsid w:val="00521512"/>
    <w:rsid w:val="0052155C"/>
    <w:rsid w:val="005215D3"/>
    <w:rsid w:val="005219E7"/>
    <w:rsid w:val="00521C8E"/>
    <w:rsid w:val="00521D5B"/>
    <w:rsid w:val="00521F0A"/>
    <w:rsid w:val="005220C5"/>
    <w:rsid w:val="00522127"/>
    <w:rsid w:val="005223C0"/>
    <w:rsid w:val="005224EA"/>
    <w:rsid w:val="00522845"/>
    <w:rsid w:val="00522AF6"/>
    <w:rsid w:val="00522B5A"/>
    <w:rsid w:val="00523032"/>
    <w:rsid w:val="00523162"/>
    <w:rsid w:val="0052336F"/>
    <w:rsid w:val="005233E8"/>
    <w:rsid w:val="00523601"/>
    <w:rsid w:val="0052373F"/>
    <w:rsid w:val="00523840"/>
    <w:rsid w:val="005238A5"/>
    <w:rsid w:val="00523A8E"/>
    <w:rsid w:val="00523AB5"/>
    <w:rsid w:val="00523CBA"/>
    <w:rsid w:val="00523F09"/>
    <w:rsid w:val="0052419F"/>
    <w:rsid w:val="005244A6"/>
    <w:rsid w:val="00524613"/>
    <w:rsid w:val="00524657"/>
    <w:rsid w:val="00524B8A"/>
    <w:rsid w:val="00524CAD"/>
    <w:rsid w:val="00524CC5"/>
    <w:rsid w:val="005251C0"/>
    <w:rsid w:val="0052530A"/>
    <w:rsid w:val="00525818"/>
    <w:rsid w:val="005258E9"/>
    <w:rsid w:val="00525944"/>
    <w:rsid w:val="00525C54"/>
    <w:rsid w:val="00525E58"/>
    <w:rsid w:val="00525EB8"/>
    <w:rsid w:val="00525EFE"/>
    <w:rsid w:val="0052623B"/>
    <w:rsid w:val="005267E2"/>
    <w:rsid w:val="00526BF7"/>
    <w:rsid w:val="00527040"/>
    <w:rsid w:val="0052713F"/>
    <w:rsid w:val="005271F9"/>
    <w:rsid w:val="005274B6"/>
    <w:rsid w:val="00527525"/>
    <w:rsid w:val="005276B2"/>
    <w:rsid w:val="00527AE7"/>
    <w:rsid w:val="00527D1D"/>
    <w:rsid w:val="00527E4A"/>
    <w:rsid w:val="00527E6B"/>
    <w:rsid w:val="00527F75"/>
    <w:rsid w:val="00530064"/>
    <w:rsid w:val="00530154"/>
    <w:rsid w:val="0053034C"/>
    <w:rsid w:val="00530642"/>
    <w:rsid w:val="005306DD"/>
    <w:rsid w:val="005307AC"/>
    <w:rsid w:val="00530994"/>
    <w:rsid w:val="00530A1F"/>
    <w:rsid w:val="00530BB5"/>
    <w:rsid w:val="00530CCC"/>
    <w:rsid w:val="00530D1D"/>
    <w:rsid w:val="00530DFE"/>
    <w:rsid w:val="00530F76"/>
    <w:rsid w:val="005310C3"/>
    <w:rsid w:val="00531109"/>
    <w:rsid w:val="00531240"/>
    <w:rsid w:val="0053156E"/>
    <w:rsid w:val="005315D1"/>
    <w:rsid w:val="0053165F"/>
    <w:rsid w:val="005316E1"/>
    <w:rsid w:val="0053190E"/>
    <w:rsid w:val="00531B9A"/>
    <w:rsid w:val="00531D15"/>
    <w:rsid w:val="00531FEF"/>
    <w:rsid w:val="00532295"/>
    <w:rsid w:val="00532922"/>
    <w:rsid w:val="00532D05"/>
    <w:rsid w:val="00533145"/>
    <w:rsid w:val="005334CE"/>
    <w:rsid w:val="005337AB"/>
    <w:rsid w:val="00533C26"/>
    <w:rsid w:val="00534322"/>
    <w:rsid w:val="005346A1"/>
    <w:rsid w:val="00534820"/>
    <w:rsid w:val="00534939"/>
    <w:rsid w:val="00534C5D"/>
    <w:rsid w:val="00534D15"/>
    <w:rsid w:val="00535409"/>
    <w:rsid w:val="00535456"/>
    <w:rsid w:val="0053560C"/>
    <w:rsid w:val="005357DF"/>
    <w:rsid w:val="0053580B"/>
    <w:rsid w:val="005359FA"/>
    <w:rsid w:val="00535B7E"/>
    <w:rsid w:val="00535E71"/>
    <w:rsid w:val="00535FF8"/>
    <w:rsid w:val="00535FFD"/>
    <w:rsid w:val="005360B7"/>
    <w:rsid w:val="00536137"/>
    <w:rsid w:val="005361F6"/>
    <w:rsid w:val="0053637C"/>
    <w:rsid w:val="00536417"/>
    <w:rsid w:val="00536AB5"/>
    <w:rsid w:val="00536AB8"/>
    <w:rsid w:val="00536D10"/>
    <w:rsid w:val="00536D2A"/>
    <w:rsid w:val="00536FC9"/>
    <w:rsid w:val="0053703F"/>
    <w:rsid w:val="005370BE"/>
    <w:rsid w:val="00537119"/>
    <w:rsid w:val="00537232"/>
    <w:rsid w:val="00537284"/>
    <w:rsid w:val="0053750B"/>
    <w:rsid w:val="00537604"/>
    <w:rsid w:val="00537987"/>
    <w:rsid w:val="00537A0A"/>
    <w:rsid w:val="00537C91"/>
    <w:rsid w:val="00537E3D"/>
    <w:rsid w:val="00537FEB"/>
    <w:rsid w:val="005400E0"/>
    <w:rsid w:val="005404EF"/>
    <w:rsid w:val="005406C8"/>
    <w:rsid w:val="00540C69"/>
    <w:rsid w:val="00540DB5"/>
    <w:rsid w:val="00540E09"/>
    <w:rsid w:val="00541446"/>
    <w:rsid w:val="0054170B"/>
    <w:rsid w:val="00541952"/>
    <w:rsid w:val="00541C21"/>
    <w:rsid w:val="00542130"/>
    <w:rsid w:val="0054229C"/>
    <w:rsid w:val="00542377"/>
    <w:rsid w:val="00542563"/>
    <w:rsid w:val="005426B4"/>
    <w:rsid w:val="00542B34"/>
    <w:rsid w:val="00542DEC"/>
    <w:rsid w:val="00542E2D"/>
    <w:rsid w:val="00542F74"/>
    <w:rsid w:val="005430D8"/>
    <w:rsid w:val="00543611"/>
    <w:rsid w:val="00543775"/>
    <w:rsid w:val="005437DD"/>
    <w:rsid w:val="00543DA1"/>
    <w:rsid w:val="00544017"/>
    <w:rsid w:val="005440F8"/>
    <w:rsid w:val="00544236"/>
    <w:rsid w:val="00544320"/>
    <w:rsid w:val="005445BB"/>
    <w:rsid w:val="005447BE"/>
    <w:rsid w:val="005448FE"/>
    <w:rsid w:val="005449F5"/>
    <w:rsid w:val="005455E1"/>
    <w:rsid w:val="0054575F"/>
    <w:rsid w:val="00545799"/>
    <w:rsid w:val="005459B5"/>
    <w:rsid w:val="00545A90"/>
    <w:rsid w:val="0054615E"/>
    <w:rsid w:val="0054624B"/>
    <w:rsid w:val="005462BA"/>
    <w:rsid w:val="0054639E"/>
    <w:rsid w:val="00546785"/>
    <w:rsid w:val="005468D8"/>
    <w:rsid w:val="00546CA1"/>
    <w:rsid w:val="00546CD7"/>
    <w:rsid w:val="00546D0F"/>
    <w:rsid w:val="00546E89"/>
    <w:rsid w:val="00546F4C"/>
    <w:rsid w:val="00547229"/>
    <w:rsid w:val="005476EB"/>
    <w:rsid w:val="0054772B"/>
    <w:rsid w:val="00547E9D"/>
    <w:rsid w:val="00547F04"/>
    <w:rsid w:val="0055030A"/>
    <w:rsid w:val="005503E0"/>
    <w:rsid w:val="00550895"/>
    <w:rsid w:val="00550A15"/>
    <w:rsid w:val="0055105B"/>
    <w:rsid w:val="005516A5"/>
    <w:rsid w:val="00551782"/>
    <w:rsid w:val="00551D9B"/>
    <w:rsid w:val="00551EEB"/>
    <w:rsid w:val="00551FB4"/>
    <w:rsid w:val="005522BF"/>
    <w:rsid w:val="005523FE"/>
    <w:rsid w:val="0055296F"/>
    <w:rsid w:val="00552C01"/>
    <w:rsid w:val="00552D82"/>
    <w:rsid w:val="00552FE3"/>
    <w:rsid w:val="00553059"/>
    <w:rsid w:val="005532DB"/>
    <w:rsid w:val="00553357"/>
    <w:rsid w:val="00553562"/>
    <w:rsid w:val="005535DC"/>
    <w:rsid w:val="0055363F"/>
    <w:rsid w:val="005538AE"/>
    <w:rsid w:val="00553EC9"/>
    <w:rsid w:val="00553EF7"/>
    <w:rsid w:val="00554589"/>
    <w:rsid w:val="0055464D"/>
    <w:rsid w:val="005546B1"/>
    <w:rsid w:val="00554AB4"/>
    <w:rsid w:val="00555326"/>
    <w:rsid w:val="0055577C"/>
    <w:rsid w:val="0055580A"/>
    <w:rsid w:val="00555899"/>
    <w:rsid w:val="00555C08"/>
    <w:rsid w:val="005564D1"/>
    <w:rsid w:val="005565FC"/>
    <w:rsid w:val="0055665A"/>
    <w:rsid w:val="0055681E"/>
    <w:rsid w:val="00556B74"/>
    <w:rsid w:val="00556E45"/>
    <w:rsid w:val="00556EBD"/>
    <w:rsid w:val="00557206"/>
    <w:rsid w:val="00557267"/>
    <w:rsid w:val="005574AF"/>
    <w:rsid w:val="00557668"/>
    <w:rsid w:val="005576DC"/>
    <w:rsid w:val="00557720"/>
    <w:rsid w:val="00557988"/>
    <w:rsid w:val="005579C2"/>
    <w:rsid w:val="005579F9"/>
    <w:rsid w:val="00557F90"/>
    <w:rsid w:val="00560157"/>
    <w:rsid w:val="0056024A"/>
    <w:rsid w:val="005602A8"/>
    <w:rsid w:val="005606E3"/>
    <w:rsid w:val="00560B8D"/>
    <w:rsid w:val="00560EAA"/>
    <w:rsid w:val="00560ED6"/>
    <w:rsid w:val="00560FB6"/>
    <w:rsid w:val="00561110"/>
    <w:rsid w:val="00561397"/>
    <w:rsid w:val="00561541"/>
    <w:rsid w:val="00561A47"/>
    <w:rsid w:val="00561D24"/>
    <w:rsid w:val="00561E96"/>
    <w:rsid w:val="00561ECB"/>
    <w:rsid w:val="00561F61"/>
    <w:rsid w:val="00562010"/>
    <w:rsid w:val="005625EB"/>
    <w:rsid w:val="0056263F"/>
    <w:rsid w:val="005626F0"/>
    <w:rsid w:val="00562823"/>
    <w:rsid w:val="0056294C"/>
    <w:rsid w:val="00562B1F"/>
    <w:rsid w:val="00562C5A"/>
    <w:rsid w:val="00563224"/>
    <w:rsid w:val="005632B4"/>
    <w:rsid w:val="0056395E"/>
    <w:rsid w:val="00563980"/>
    <w:rsid w:val="00563D67"/>
    <w:rsid w:val="00563E63"/>
    <w:rsid w:val="00563EF1"/>
    <w:rsid w:val="00563F07"/>
    <w:rsid w:val="00563FA1"/>
    <w:rsid w:val="00563FC4"/>
    <w:rsid w:val="005642F6"/>
    <w:rsid w:val="00564323"/>
    <w:rsid w:val="00564581"/>
    <w:rsid w:val="005646EE"/>
    <w:rsid w:val="00564855"/>
    <w:rsid w:val="0056493F"/>
    <w:rsid w:val="005649F7"/>
    <w:rsid w:val="00565087"/>
    <w:rsid w:val="00565BA0"/>
    <w:rsid w:val="00565FCB"/>
    <w:rsid w:val="00565FD6"/>
    <w:rsid w:val="0056609F"/>
    <w:rsid w:val="005661D3"/>
    <w:rsid w:val="0056672B"/>
    <w:rsid w:val="00566805"/>
    <w:rsid w:val="00566AB4"/>
    <w:rsid w:val="00566C0C"/>
    <w:rsid w:val="00567035"/>
    <w:rsid w:val="00567061"/>
    <w:rsid w:val="005672BB"/>
    <w:rsid w:val="005674F4"/>
    <w:rsid w:val="0056777F"/>
    <w:rsid w:val="00567B42"/>
    <w:rsid w:val="00567EFE"/>
    <w:rsid w:val="00567F0E"/>
    <w:rsid w:val="005700EA"/>
    <w:rsid w:val="00570445"/>
    <w:rsid w:val="0057046A"/>
    <w:rsid w:val="0057091D"/>
    <w:rsid w:val="00570BA7"/>
    <w:rsid w:val="005713BD"/>
    <w:rsid w:val="00571768"/>
    <w:rsid w:val="0057178B"/>
    <w:rsid w:val="00571B43"/>
    <w:rsid w:val="00571EC8"/>
    <w:rsid w:val="005726CF"/>
    <w:rsid w:val="00572AF5"/>
    <w:rsid w:val="00572B8F"/>
    <w:rsid w:val="00572D90"/>
    <w:rsid w:val="00572FAF"/>
    <w:rsid w:val="005735B4"/>
    <w:rsid w:val="005737CD"/>
    <w:rsid w:val="00573812"/>
    <w:rsid w:val="0057383B"/>
    <w:rsid w:val="00573845"/>
    <w:rsid w:val="005739A4"/>
    <w:rsid w:val="00573E84"/>
    <w:rsid w:val="00573FCC"/>
    <w:rsid w:val="00574055"/>
    <w:rsid w:val="005741D4"/>
    <w:rsid w:val="005742A7"/>
    <w:rsid w:val="0057443A"/>
    <w:rsid w:val="005748FF"/>
    <w:rsid w:val="00574D17"/>
    <w:rsid w:val="0057500E"/>
    <w:rsid w:val="0057537D"/>
    <w:rsid w:val="005755F7"/>
    <w:rsid w:val="0057576D"/>
    <w:rsid w:val="00575A20"/>
    <w:rsid w:val="00575AC5"/>
    <w:rsid w:val="00575D64"/>
    <w:rsid w:val="00575F08"/>
    <w:rsid w:val="0057605D"/>
    <w:rsid w:val="00576068"/>
    <w:rsid w:val="0057632C"/>
    <w:rsid w:val="005763E3"/>
    <w:rsid w:val="00576573"/>
    <w:rsid w:val="005768EB"/>
    <w:rsid w:val="00576D18"/>
    <w:rsid w:val="00577375"/>
    <w:rsid w:val="0057746C"/>
    <w:rsid w:val="00577DAE"/>
    <w:rsid w:val="005803C6"/>
    <w:rsid w:val="00580A41"/>
    <w:rsid w:val="00580A95"/>
    <w:rsid w:val="00580B08"/>
    <w:rsid w:val="005810AC"/>
    <w:rsid w:val="005810B4"/>
    <w:rsid w:val="005811EF"/>
    <w:rsid w:val="00581327"/>
    <w:rsid w:val="00581347"/>
    <w:rsid w:val="00581584"/>
    <w:rsid w:val="00581664"/>
    <w:rsid w:val="005816D4"/>
    <w:rsid w:val="0058184B"/>
    <w:rsid w:val="00581A3A"/>
    <w:rsid w:val="00581AC9"/>
    <w:rsid w:val="00582733"/>
    <w:rsid w:val="0058279C"/>
    <w:rsid w:val="005828D6"/>
    <w:rsid w:val="00582B7B"/>
    <w:rsid w:val="00582C9E"/>
    <w:rsid w:val="00582EF4"/>
    <w:rsid w:val="00582FB3"/>
    <w:rsid w:val="00583050"/>
    <w:rsid w:val="0058339F"/>
    <w:rsid w:val="005834A2"/>
    <w:rsid w:val="0058365D"/>
    <w:rsid w:val="00583A95"/>
    <w:rsid w:val="00583BCE"/>
    <w:rsid w:val="00583C31"/>
    <w:rsid w:val="0058419F"/>
    <w:rsid w:val="005842D2"/>
    <w:rsid w:val="0058489F"/>
    <w:rsid w:val="005849F8"/>
    <w:rsid w:val="00584A77"/>
    <w:rsid w:val="005852F0"/>
    <w:rsid w:val="00585319"/>
    <w:rsid w:val="005853DC"/>
    <w:rsid w:val="005859D3"/>
    <w:rsid w:val="00585B58"/>
    <w:rsid w:val="00585D99"/>
    <w:rsid w:val="0058609B"/>
    <w:rsid w:val="005863BA"/>
    <w:rsid w:val="00586D35"/>
    <w:rsid w:val="00587469"/>
    <w:rsid w:val="005877CC"/>
    <w:rsid w:val="0058782D"/>
    <w:rsid w:val="00587A72"/>
    <w:rsid w:val="00587AD5"/>
    <w:rsid w:val="00587E12"/>
    <w:rsid w:val="005901AF"/>
    <w:rsid w:val="0059045E"/>
    <w:rsid w:val="0059061C"/>
    <w:rsid w:val="00590BB5"/>
    <w:rsid w:val="0059102B"/>
    <w:rsid w:val="00591033"/>
    <w:rsid w:val="00591454"/>
    <w:rsid w:val="005914AB"/>
    <w:rsid w:val="00591986"/>
    <w:rsid w:val="00591D6C"/>
    <w:rsid w:val="00592734"/>
    <w:rsid w:val="00592A43"/>
    <w:rsid w:val="00592BE9"/>
    <w:rsid w:val="00592C31"/>
    <w:rsid w:val="00592EDE"/>
    <w:rsid w:val="00592F59"/>
    <w:rsid w:val="00592F6C"/>
    <w:rsid w:val="00592FDE"/>
    <w:rsid w:val="0059316F"/>
    <w:rsid w:val="005938DF"/>
    <w:rsid w:val="005938ED"/>
    <w:rsid w:val="00593E5B"/>
    <w:rsid w:val="00594309"/>
    <w:rsid w:val="0059433D"/>
    <w:rsid w:val="005943C3"/>
    <w:rsid w:val="00594545"/>
    <w:rsid w:val="005947AE"/>
    <w:rsid w:val="005947FE"/>
    <w:rsid w:val="00594A59"/>
    <w:rsid w:val="00594AD8"/>
    <w:rsid w:val="00594CCE"/>
    <w:rsid w:val="00594E9C"/>
    <w:rsid w:val="00594EE1"/>
    <w:rsid w:val="00595341"/>
    <w:rsid w:val="0059551F"/>
    <w:rsid w:val="0059595D"/>
    <w:rsid w:val="00595A15"/>
    <w:rsid w:val="00595D3C"/>
    <w:rsid w:val="00595E0E"/>
    <w:rsid w:val="005960DE"/>
    <w:rsid w:val="005966BE"/>
    <w:rsid w:val="00596AB6"/>
    <w:rsid w:val="005970F1"/>
    <w:rsid w:val="00597545"/>
    <w:rsid w:val="00597859"/>
    <w:rsid w:val="005979C7"/>
    <w:rsid w:val="00597D99"/>
    <w:rsid w:val="005A02F3"/>
    <w:rsid w:val="005A03CF"/>
    <w:rsid w:val="005A099B"/>
    <w:rsid w:val="005A09C6"/>
    <w:rsid w:val="005A0D3D"/>
    <w:rsid w:val="005A1508"/>
    <w:rsid w:val="005A15DD"/>
    <w:rsid w:val="005A1641"/>
    <w:rsid w:val="005A16A0"/>
    <w:rsid w:val="005A17F3"/>
    <w:rsid w:val="005A1969"/>
    <w:rsid w:val="005A1A96"/>
    <w:rsid w:val="005A1ECC"/>
    <w:rsid w:val="005A267A"/>
    <w:rsid w:val="005A269E"/>
    <w:rsid w:val="005A29B2"/>
    <w:rsid w:val="005A2D9C"/>
    <w:rsid w:val="005A2E4E"/>
    <w:rsid w:val="005A2EC5"/>
    <w:rsid w:val="005A33E0"/>
    <w:rsid w:val="005A3597"/>
    <w:rsid w:val="005A3821"/>
    <w:rsid w:val="005A38EB"/>
    <w:rsid w:val="005A3A41"/>
    <w:rsid w:val="005A3D52"/>
    <w:rsid w:val="005A3D5A"/>
    <w:rsid w:val="005A3F74"/>
    <w:rsid w:val="005A4009"/>
    <w:rsid w:val="005A446C"/>
    <w:rsid w:val="005A4595"/>
    <w:rsid w:val="005A4722"/>
    <w:rsid w:val="005A4E02"/>
    <w:rsid w:val="005A4EEB"/>
    <w:rsid w:val="005A52CB"/>
    <w:rsid w:val="005A52D3"/>
    <w:rsid w:val="005A52EB"/>
    <w:rsid w:val="005A5434"/>
    <w:rsid w:val="005A54C1"/>
    <w:rsid w:val="005A55FE"/>
    <w:rsid w:val="005A580F"/>
    <w:rsid w:val="005A5947"/>
    <w:rsid w:val="005A5B75"/>
    <w:rsid w:val="005A5B95"/>
    <w:rsid w:val="005A6219"/>
    <w:rsid w:val="005A6535"/>
    <w:rsid w:val="005A6A11"/>
    <w:rsid w:val="005A6B1E"/>
    <w:rsid w:val="005A7361"/>
    <w:rsid w:val="005A78CC"/>
    <w:rsid w:val="005A7949"/>
    <w:rsid w:val="005A7A07"/>
    <w:rsid w:val="005A7A40"/>
    <w:rsid w:val="005A7ABB"/>
    <w:rsid w:val="005A7AE8"/>
    <w:rsid w:val="005A7CB8"/>
    <w:rsid w:val="005B0118"/>
    <w:rsid w:val="005B024F"/>
    <w:rsid w:val="005B03AF"/>
    <w:rsid w:val="005B0606"/>
    <w:rsid w:val="005B07A5"/>
    <w:rsid w:val="005B0888"/>
    <w:rsid w:val="005B1014"/>
    <w:rsid w:val="005B10A1"/>
    <w:rsid w:val="005B128B"/>
    <w:rsid w:val="005B12FF"/>
    <w:rsid w:val="005B1349"/>
    <w:rsid w:val="005B19CF"/>
    <w:rsid w:val="005B257B"/>
    <w:rsid w:val="005B2671"/>
    <w:rsid w:val="005B276D"/>
    <w:rsid w:val="005B28EF"/>
    <w:rsid w:val="005B2F0D"/>
    <w:rsid w:val="005B37F4"/>
    <w:rsid w:val="005B38F8"/>
    <w:rsid w:val="005B434A"/>
    <w:rsid w:val="005B43D0"/>
    <w:rsid w:val="005B43ED"/>
    <w:rsid w:val="005B44D4"/>
    <w:rsid w:val="005B46FA"/>
    <w:rsid w:val="005B489A"/>
    <w:rsid w:val="005B4A7D"/>
    <w:rsid w:val="005B4B8C"/>
    <w:rsid w:val="005B4BC3"/>
    <w:rsid w:val="005B4D96"/>
    <w:rsid w:val="005B4EE5"/>
    <w:rsid w:val="005B504A"/>
    <w:rsid w:val="005B5202"/>
    <w:rsid w:val="005B5261"/>
    <w:rsid w:val="005B52F6"/>
    <w:rsid w:val="005B5472"/>
    <w:rsid w:val="005B5577"/>
    <w:rsid w:val="005B55BC"/>
    <w:rsid w:val="005B585D"/>
    <w:rsid w:val="005B59EF"/>
    <w:rsid w:val="005B5F2D"/>
    <w:rsid w:val="005B5FFC"/>
    <w:rsid w:val="005B664A"/>
    <w:rsid w:val="005B6862"/>
    <w:rsid w:val="005B6C11"/>
    <w:rsid w:val="005B6C98"/>
    <w:rsid w:val="005B6CBC"/>
    <w:rsid w:val="005B7119"/>
    <w:rsid w:val="005B7187"/>
    <w:rsid w:val="005B7298"/>
    <w:rsid w:val="005B74A2"/>
    <w:rsid w:val="005B798E"/>
    <w:rsid w:val="005B7BF1"/>
    <w:rsid w:val="005C0333"/>
    <w:rsid w:val="005C05BA"/>
    <w:rsid w:val="005C0834"/>
    <w:rsid w:val="005C0A37"/>
    <w:rsid w:val="005C0B54"/>
    <w:rsid w:val="005C0BEE"/>
    <w:rsid w:val="005C0C60"/>
    <w:rsid w:val="005C0D07"/>
    <w:rsid w:val="005C1245"/>
    <w:rsid w:val="005C134D"/>
    <w:rsid w:val="005C140B"/>
    <w:rsid w:val="005C14A1"/>
    <w:rsid w:val="005C1724"/>
    <w:rsid w:val="005C17EB"/>
    <w:rsid w:val="005C186F"/>
    <w:rsid w:val="005C1DE2"/>
    <w:rsid w:val="005C1E83"/>
    <w:rsid w:val="005C1F47"/>
    <w:rsid w:val="005C1F54"/>
    <w:rsid w:val="005C1FEE"/>
    <w:rsid w:val="005C2088"/>
    <w:rsid w:val="005C25C7"/>
    <w:rsid w:val="005C269D"/>
    <w:rsid w:val="005C2EEF"/>
    <w:rsid w:val="005C2F65"/>
    <w:rsid w:val="005C3190"/>
    <w:rsid w:val="005C34EF"/>
    <w:rsid w:val="005C35DA"/>
    <w:rsid w:val="005C3694"/>
    <w:rsid w:val="005C372C"/>
    <w:rsid w:val="005C3772"/>
    <w:rsid w:val="005C3A4D"/>
    <w:rsid w:val="005C3B5D"/>
    <w:rsid w:val="005C4310"/>
    <w:rsid w:val="005C4366"/>
    <w:rsid w:val="005C449F"/>
    <w:rsid w:val="005C4741"/>
    <w:rsid w:val="005C4AFA"/>
    <w:rsid w:val="005C4B7E"/>
    <w:rsid w:val="005C4C81"/>
    <w:rsid w:val="005C4E47"/>
    <w:rsid w:val="005C5057"/>
    <w:rsid w:val="005C521B"/>
    <w:rsid w:val="005C54B0"/>
    <w:rsid w:val="005C54FE"/>
    <w:rsid w:val="005C5590"/>
    <w:rsid w:val="005C59E6"/>
    <w:rsid w:val="005C5D23"/>
    <w:rsid w:val="005C5D49"/>
    <w:rsid w:val="005C6000"/>
    <w:rsid w:val="005C6048"/>
    <w:rsid w:val="005C612A"/>
    <w:rsid w:val="005C655F"/>
    <w:rsid w:val="005C6908"/>
    <w:rsid w:val="005C6D60"/>
    <w:rsid w:val="005C6DBB"/>
    <w:rsid w:val="005C6E11"/>
    <w:rsid w:val="005C7035"/>
    <w:rsid w:val="005C705D"/>
    <w:rsid w:val="005C7711"/>
    <w:rsid w:val="005C7DD9"/>
    <w:rsid w:val="005D008F"/>
    <w:rsid w:val="005D0394"/>
    <w:rsid w:val="005D0B1E"/>
    <w:rsid w:val="005D0EDA"/>
    <w:rsid w:val="005D0FB8"/>
    <w:rsid w:val="005D119C"/>
    <w:rsid w:val="005D11FB"/>
    <w:rsid w:val="005D1580"/>
    <w:rsid w:val="005D161A"/>
    <w:rsid w:val="005D175F"/>
    <w:rsid w:val="005D2502"/>
    <w:rsid w:val="005D28FE"/>
    <w:rsid w:val="005D2AA1"/>
    <w:rsid w:val="005D2AA2"/>
    <w:rsid w:val="005D2C33"/>
    <w:rsid w:val="005D2CA5"/>
    <w:rsid w:val="005D2F83"/>
    <w:rsid w:val="005D3947"/>
    <w:rsid w:val="005D3E69"/>
    <w:rsid w:val="005D3EBC"/>
    <w:rsid w:val="005D3F34"/>
    <w:rsid w:val="005D3F46"/>
    <w:rsid w:val="005D401D"/>
    <w:rsid w:val="005D40BB"/>
    <w:rsid w:val="005D47F3"/>
    <w:rsid w:val="005D488A"/>
    <w:rsid w:val="005D48E8"/>
    <w:rsid w:val="005D49BF"/>
    <w:rsid w:val="005D4AA5"/>
    <w:rsid w:val="005D4D06"/>
    <w:rsid w:val="005D4FD8"/>
    <w:rsid w:val="005D52EB"/>
    <w:rsid w:val="005D57FB"/>
    <w:rsid w:val="005D5914"/>
    <w:rsid w:val="005D5AB8"/>
    <w:rsid w:val="005D5CA7"/>
    <w:rsid w:val="005D5CB8"/>
    <w:rsid w:val="005D5F88"/>
    <w:rsid w:val="005D60A2"/>
    <w:rsid w:val="005D6234"/>
    <w:rsid w:val="005D6559"/>
    <w:rsid w:val="005D6656"/>
    <w:rsid w:val="005D6786"/>
    <w:rsid w:val="005D6799"/>
    <w:rsid w:val="005D6EC0"/>
    <w:rsid w:val="005D6F4E"/>
    <w:rsid w:val="005D6F56"/>
    <w:rsid w:val="005D6FCC"/>
    <w:rsid w:val="005D7220"/>
    <w:rsid w:val="005D72AB"/>
    <w:rsid w:val="005D74FA"/>
    <w:rsid w:val="005D7786"/>
    <w:rsid w:val="005D7C73"/>
    <w:rsid w:val="005D7D9E"/>
    <w:rsid w:val="005E016E"/>
    <w:rsid w:val="005E01D9"/>
    <w:rsid w:val="005E03F4"/>
    <w:rsid w:val="005E0BBC"/>
    <w:rsid w:val="005E0E6B"/>
    <w:rsid w:val="005E0F50"/>
    <w:rsid w:val="005E1274"/>
    <w:rsid w:val="005E1830"/>
    <w:rsid w:val="005E1A8A"/>
    <w:rsid w:val="005E1BCE"/>
    <w:rsid w:val="005E250B"/>
    <w:rsid w:val="005E25B6"/>
    <w:rsid w:val="005E29D4"/>
    <w:rsid w:val="005E2A7C"/>
    <w:rsid w:val="005E2EB9"/>
    <w:rsid w:val="005E3224"/>
    <w:rsid w:val="005E3309"/>
    <w:rsid w:val="005E3652"/>
    <w:rsid w:val="005E3ACD"/>
    <w:rsid w:val="005E3ADB"/>
    <w:rsid w:val="005E40EE"/>
    <w:rsid w:val="005E436C"/>
    <w:rsid w:val="005E456F"/>
    <w:rsid w:val="005E45C9"/>
    <w:rsid w:val="005E460B"/>
    <w:rsid w:val="005E47C3"/>
    <w:rsid w:val="005E4ACB"/>
    <w:rsid w:val="005E4DF0"/>
    <w:rsid w:val="005E4E0C"/>
    <w:rsid w:val="005E50F1"/>
    <w:rsid w:val="005E559A"/>
    <w:rsid w:val="005E5726"/>
    <w:rsid w:val="005E5815"/>
    <w:rsid w:val="005E587C"/>
    <w:rsid w:val="005E5961"/>
    <w:rsid w:val="005E5A33"/>
    <w:rsid w:val="005E5F06"/>
    <w:rsid w:val="005E5F9F"/>
    <w:rsid w:val="005E613F"/>
    <w:rsid w:val="005E661B"/>
    <w:rsid w:val="005E6697"/>
    <w:rsid w:val="005E6AF3"/>
    <w:rsid w:val="005E705E"/>
    <w:rsid w:val="005E7226"/>
    <w:rsid w:val="005E7281"/>
    <w:rsid w:val="005E7384"/>
    <w:rsid w:val="005E7504"/>
    <w:rsid w:val="005E763F"/>
    <w:rsid w:val="005E7837"/>
    <w:rsid w:val="005E7A57"/>
    <w:rsid w:val="005E7CCD"/>
    <w:rsid w:val="005E7EE5"/>
    <w:rsid w:val="005F0144"/>
    <w:rsid w:val="005F0456"/>
    <w:rsid w:val="005F052E"/>
    <w:rsid w:val="005F0FA6"/>
    <w:rsid w:val="005F0FBB"/>
    <w:rsid w:val="005F1486"/>
    <w:rsid w:val="005F16ED"/>
    <w:rsid w:val="005F174C"/>
    <w:rsid w:val="005F1AAA"/>
    <w:rsid w:val="005F1ACD"/>
    <w:rsid w:val="005F1C80"/>
    <w:rsid w:val="005F1C9E"/>
    <w:rsid w:val="005F1CDA"/>
    <w:rsid w:val="005F20F3"/>
    <w:rsid w:val="005F21DE"/>
    <w:rsid w:val="005F2312"/>
    <w:rsid w:val="005F237C"/>
    <w:rsid w:val="005F24B0"/>
    <w:rsid w:val="005F284C"/>
    <w:rsid w:val="005F28D4"/>
    <w:rsid w:val="005F2C05"/>
    <w:rsid w:val="005F3072"/>
    <w:rsid w:val="005F37D9"/>
    <w:rsid w:val="005F383E"/>
    <w:rsid w:val="005F385E"/>
    <w:rsid w:val="005F39B3"/>
    <w:rsid w:val="005F3AE0"/>
    <w:rsid w:val="005F3CC1"/>
    <w:rsid w:val="005F4074"/>
    <w:rsid w:val="005F42F6"/>
    <w:rsid w:val="005F4437"/>
    <w:rsid w:val="005F4891"/>
    <w:rsid w:val="005F4894"/>
    <w:rsid w:val="005F4AAD"/>
    <w:rsid w:val="005F4B94"/>
    <w:rsid w:val="005F4BAB"/>
    <w:rsid w:val="005F53A0"/>
    <w:rsid w:val="005F53CE"/>
    <w:rsid w:val="005F56E0"/>
    <w:rsid w:val="005F5832"/>
    <w:rsid w:val="005F5873"/>
    <w:rsid w:val="005F58C9"/>
    <w:rsid w:val="005F5B7F"/>
    <w:rsid w:val="005F5BC9"/>
    <w:rsid w:val="005F5D84"/>
    <w:rsid w:val="005F659A"/>
    <w:rsid w:val="005F697C"/>
    <w:rsid w:val="005F6BAC"/>
    <w:rsid w:val="005F6E7B"/>
    <w:rsid w:val="005F7021"/>
    <w:rsid w:val="005F70EB"/>
    <w:rsid w:val="005F7B5A"/>
    <w:rsid w:val="005F7E84"/>
    <w:rsid w:val="006000F6"/>
    <w:rsid w:val="006005A7"/>
    <w:rsid w:val="00600859"/>
    <w:rsid w:val="00600E29"/>
    <w:rsid w:val="00600EEF"/>
    <w:rsid w:val="00600F28"/>
    <w:rsid w:val="006010FD"/>
    <w:rsid w:val="006014CE"/>
    <w:rsid w:val="00601540"/>
    <w:rsid w:val="0060162E"/>
    <w:rsid w:val="006018DF"/>
    <w:rsid w:val="00601BE6"/>
    <w:rsid w:val="006022C8"/>
    <w:rsid w:val="00602652"/>
    <w:rsid w:val="00602853"/>
    <w:rsid w:val="00602DFC"/>
    <w:rsid w:val="00602F5F"/>
    <w:rsid w:val="00603006"/>
    <w:rsid w:val="0060317D"/>
    <w:rsid w:val="00603776"/>
    <w:rsid w:val="00603B16"/>
    <w:rsid w:val="00603BB3"/>
    <w:rsid w:val="00603C0E"/>
    <w:rsid w:val="00603CBA"/>
    <w:rsid w:val="00603EBE"/>
    <w:rsid w:val="00603F11"/>
    <w:rsid w:val="00603FEF"/>
    <w:rsid w:val="00604315"/>
    <w:rsid w:val="006047D1"/>
    <w:rsid w:val="00604A5B"/>
    <w:rsid w:val="00604CB9"/>
    <w:rsid w:val="00604D50"/>
    <w:rsid w:val="00604E26"/>
    <w:rsid w:val="00605132"/>
    <w:rsid w:val="0060519D"/>
    <w:rsid w:val="0060523F"/>
    <w:rsid w:val="006052CF"/>
    <w:rsid w:val="006052DF"/>
    <w:rsid w:val="00605428"/>
    <w:rsid w:val="00605639"/>
    <w:rsid w:val="00605730"/>
    <w:rsid w:val="0060585C"/>
    <w:rsid w:val="00605ADC"/>
    <w:rsid w:val="00605D47"/>
    <w:rsid w:val="00605E2F"/>
    <w:rsid w:val="00605E84"/>
    <w:rsid w:val="00605F9F"/>
    <w:rsid w:val="00606066"/>
    <w:rsid w:val="0060632B"/>
    <w:rsid w:val="006065E4"/>
    <w:rsid w:val="006068EF"/>
    <w:rsid w:val="00606C55"/>
    <w:rsid w:val="00607451"/>
    <w:rsid w:val="00607590"/>
    <w:rsid w:val="00607B8D"/>
    <w:rsid w:val="00607E36"/>
    <w:rsid w:val="0061036F"/>
    <w:rsid w:val="00610704"/>
    <w:rsid w:val="00610FE5"/>
    <w:rsid w:val="006112D5"/>
    <w:rsid w:val="006113F4"/>
    <w:rsid w:val="0061159C"/>
    <w:rsid w:val="006116AD"/>
    <w:rsid w:val="006117D0"/>
    <w:rsid w:val="00611A85"/>
    <w:rsid w:val="00611DC7"/>
    <w:rsid w:val="00611F5C"/>
    <w:rsid w:val="00612246"/>
    <w:rsid w:val="00612528"/>
    <w:rsid w:val="0061257B"/>
    <w:rsid w:val="00612605"/>
    <w:rsid w:val="00612684"/>
    <w:rsid w:val="00612C23"/>
    <w:rsid w:val="00612D10"/>
    <w:rsid w:val="00612FDB"/>
    <w:rsid w:val="006131E2"/>
    <w:rsid w:val="006133C6"/>
    <w:rsid w:val="00613491"/>
    <w:rsid w:val="0061354A"/>
    <w:rsid w:val="0061356F"/>
    <w:rsid w:val="0061357D"/>
    <w:rsid w:val="00613730"/>
    <w:rsid w:val="0061374B"/>
    <w:rsid w:val="00613ABC"/>
    <w:rsid w:val="00613B87"/>
    <w:rsid w:val="00613DC7"/>
    <w:rsid w:val="00613FE6"/>
    <w:rsid w:val="00614295"/>
    <w:rsid w:val="0061457F"/>
    <w:rsid w:val="00614624"/>
    <w:rsid w:val="0061472D"/>
    <w:rsid w:val="0061480F"/>
    <w:rsid w:val="00614985"/>
    <w:rsid w:val="00614B9F"/>
    <w:rsid w:val="00614FC6"/>
    <w:rsid w:val="00614FF6"/>
    <w:rsid w:val="0061502A"/>
    <w:rsid w:val="00615061"/>
    <w:rsid w:val="006155E4"/>
    <w:rsid w:val="00615677"/>
    <w:rsid w:val="00615A23"/>
    <w:rsid w:val="00615B56"/>
    <w:rsid w:val="006162D6"/>
    <w:rsid w:val="0061667B"/>
    <w:rsid w:val="00616726"/>
    <w:rsid w:val="00616828"/>
    <w:rsid w:val="00616E09"/>
    <w:rsid w:val="00616ED8"/>
    <w:rsid w:val="0061712A"/>
    <w:rsid w:val="006175E2"/>
    <w:rsid w:val="00617790"/>
    <w:rsid w:val="0061781D"/>
    <w:rsid w:val="00617935"/>
    <w:rsid w:val="006179E1"/>
    <w:rsid w:val="00617A1C"/>
    <w:rsid w:val="00620027"/>
    <w:rsid w:val="00620255"/>
    <w:rsid w:val="006202E5"/>
    <w:rsid w:val="0062037D"/>
    <w:rsid w:val="00620882"/>
    <w:rsid w:val="00620B68"/>
    <w:rsid w:val="00620BD5"/>
    <w:rsid w:val="006214BE"/>
    <w:rsid w:val="00621630"/>
    <w:rsid w:val="006218BA"/>
    <w:rsid w:val="00621C46"/>
    <w:rsid w:val="00621C80"/>
    <w:rsid w:val="00621E68"/>
    <w:rsid w:val="0062226E"/>
    <w:rsid w:val="00622312"/>
    <w:rsid w:val="00622426"/>
    <w:rsid w:val="00622675"/>
    <w:rsid w:val="0062284C"/>
    <w:rsid w:val="0062285F"/>
    <w:rsid w:val="00622978"/>
    <w:rsid w:val="00622A3B"/>
    <w:rsid w:val="00622BEB"/>
    <w:rsid w:val="00622EEA"/>
    <w:rsid w:val="00622F67"/>
    <w:rsid w:val="00622FDC"/>
    <w:rsid w:val="006230A5"/>
    <w:rsid w:val="0062321C"/>
    <w:rsid w:val="006232B0"/>
    <w:rsid w:val="00623320"/>
    <w:rsid w:val="00623920"/>
    <w:rsid w:val="0062396C"/>
    <w:rsid w:val="00623F47"/>
    <w:rsid w:val="00623FF9"/>
    <w:rsid w:val="00624130"/>
    <w:rsid w:val="00624480"/>
    <w:rsid w:val="00624529"/>
    <w:rsid w:val="00624CBA"/>
    <w:rsid w:val="00624FB4"/>
    <w:rsid w:val="00625112"/>
    <w:rsid w:val="006251B0"/>
    <w:rsid w:val="00625958"/>
    <w:rsid w:val="006259CB"/>
    <w:rsid w:val="00625AA0"/>
    <w:rsid w:val="00625AA5"/>
    <w:rsid w:val="00625C99"/>
    <w:rsid w:val="00625CFC"/>
    <w:rsid w:val="00625ECD"/>
    <w:rsid w:val="00626066"/>
    <w:rsid w:val="00626299"/>
    <w:rsid w:val="00626847"/>
    <w:rsid w:val="00626852"/>
    <w:rsid w:val="006268FE"/>
    <w:rsid w:val="00626B0A"/>
    <w:rsid w:val="00626C39"/>
    <w:rsid w:val="00626C45"/>
    <w:rsid w:val="00626C60"/>
    <w:rsid w:val="00626D36"/>
    <w:rsid w:val="00626E82"/>
    <w:rsid w:val="00626F55"/>
    <w:rsid w:val="006273D9"/>
    <w:rsid w:val="00627D4E"/>
    <w:rsid w:val="006309F5"/>
    <w:rsid w:val="00630A72"/>
    <w:rsid w:val="00630CD9"/>
    <w:rsid w:val="00630D8E"/>
    <w:rsid w:val="00630DC3"/>
    <w:rsid w:val="00631682"/>
    <w:rsid w:val="00631E6A"/>
    <w:rsid w:val="006328EE"/>
    <w:rsid w:val="00632B89"/>
    <w:rsid w:val="00632C46"/>
    <w:rsid w:val="00632C5F"/>
    <w:rsid w:val="00632F9C"/>
    <w:rsid w:val="00633200"/>
    <w:rsid w:val="006332A5"/>
    <w:rsid w:val="00633387"/>
    <w:rsid w:val="0063346D"/>
    <w:rsid w:val="00633B5F"/>
    <w:rsid w:val="00633B6B"/>
    <w:rsid w:val="00634242"/>
    <w:rsid w:val="0063434F"/>
    <w:rsid w:val="00634378"/>
    <w:rsid w:val="00634478"/>
    <w:rsid w:val="00634499"/>
    <w:rsid w:val="0063461D"/>
    <w:rsid w:val="006347B7"/>
    <w:rsid w:val="006348EC"/>
    <w:rsid w:val="006348EF"/>
    <w:rsid w:val="00634BFC"/>
    <w:rsid w:val="00634D8A"/>
    <w:rsid w:val="0063522F"/>
    <w:rsid w:val="00635251"/>
    <w:rsid w:val="006352F8"/>
    <w:rsid w:val="0063616C"/>
    <w:rsid w:val="00636393"/>
    <w:rsid w:val="006365DB"/>
    <w:rsid w:val="00636795"/>
    <w:rsid w:val="006368A5"/>
    <w:rsid w:val="00636959"/>
    <w:rsid w:val="00636A10"/>
    <w:rsid w:val="00637170"/>
    <w:rsid w:val="00637408"/>
    <w:rsid w:val="00637465"/>
    <w:rsid w:val="00637739"/>
    <w:rsid w:val="00637BA8"/>
    <w:rsid w:val="00637E9F"/>
    <w:rsid w:val="00640156"/>
    <w:rsid w:val="0064018C"/>
    <w:rsid w:val="006406A5"/>
    <w:rsid w:val="006406A6"/>
    <w:rsid w:val="00640B0C"/>
    <w:rsid w:val="00640D06"/>
    <w:rsid w:val="00641382"/>
    <w:rsid w:val="006413E7"/>
    <w:rsid w:val="006415AE"/>
    <w:rsid w:val="00641B00"/>
    <w:rsid w:val="00641BD9"/>
    <w:rsid w:val="00641E18"/>
    <w:rsid w:val="006420BC"/>
    <w:rsid w:val="006421AA"/>
    <w:rsid w:val="00643055"/>
    <w:rsid w:val="0064312E"/>
    <w:rsid w:val="006431FB"/>
    <w:rsid w:val="006434CA"/>
    <w:rsid w:val="006435CE"/>
    <w:rsid w:val="006437A3"/>
    <w:rsid w:val="006438A4"/>
    <w:rsid w:val="00644248"/>
    <w:rsid w:val="00644373"/>
    <w:rsid w:val="00644513"/>
    <w:rsid w:val="006446CE"/>
    <w:rsid w:val="00644874"/>
    <w:rsid w:val="006448CD"/>
    <w:rsid w:val="006448E5"/>
    <w:rsid w:val="0064494D"/>
    <w:rsid w:val="006449F5"/>
    <w:rsid w:val="00644AE9"/>
    <w:rsid w:val="00644B68"/>
    <w:rsid w:val="00644DEC"/>
    <w:rsid w:val="00644E1F"/>
    <w:rsid w:val="00644E64"/>
    <w:rsid w:val="00645016"/>
    <w:rsid w:val="00645139"/>
    <w:rsid w:val="0064513E"/>
    <w:rsid w:val="006451C6"/>
    <w:rsid w:val="006452E0"/>
    <w:rsid w:val="00645404"/>
    <w:rsid w:val="00645915"/>
    <w:rsid w:val="00645933"/>
    <w:rsid w:val="00645E0C"/>
    <w:rsid w:val="00646201"/>
    <w:rsid w:val="006463E2"/>
    <w:rsid w:val="006464D3"/>
    <w:rsid w:val="00646659"/>
    <w:rsid w:val="006466C6"/>
    <w:rsid w:val="00646973"/>
    <w:rsid w:val="00646C43"/>
    <w:rsid w:val="00646CC4"/>
    <w:rsid w:val="00646E9E"/>
    <w:rsid w:val="006471BC"/>
    <w:rsid w:val="006474F7"/>
    <w:rsid w:val="00647B06"/>
    <w:rsid w:val="006504E0"/>
    <w:rsid w:val="0065055D"/>
    <w:rsid w:val="006505FC"/>
    <w:rsid w:val="00650760"/>
    <w:rsid w:val="00650B84"/>
    <w:rsid w:val="00650B85"/>
    <w:rsid w:val="0065115D"/>
    <w:rsid w:val="006512CB"/>
    <w:rsid w:val="0065165B"/>
    <w:rsid w:val="006519C3"/>
    <w:rsid w:val="00651AE6"/>
    <w:rsid w:val="00651BF9"/>
    <w:rsid w:val="00651CAC"/>
    <w:rsid w:val="006520C0"/>
    <w:rsid w:val="006523A0"/>
    <w:rsid w:val="006524DC"/>
    <w:rsid w:val="00652601"/>
    <w:rsid w:val="00652608"/>
    <w:rsid w:val="006526FF"/>
    <w:rsid w:val="00652B30"/>
    <w:rsid w:val="00652CE2"/>
    <w:rsid w:val="00652F17"/>
    <w:rsid w:val="006536EA"/>
    <w:rsid w:val="0065395F"/>
    <w:rsid w:val="00653B4C"/>
    <w:rsid w:val="00653DDE"/>
    <w:rsid w:val="00653FF2"/>
    <w:rsid w:val="00654012"/>
    <w:rsid w:val="0065419D"/>
    <w:rsid w:val="00654391"/>
    <w:rsid w:val="00654663"/>
    <w:rsid w:val="00655114"/>
    <w:rsid w:val="006551D6"/>
    <w:rsid w:val="006552C8"/>
    <w:rsid w:val="006552D7"/>
    <w:rsid w:val="00655426"/>
    <w:rsid w:val="00655440"/>
    <w:rsid w:val="006554EB"/>
    <w:rsid w:val="0065595A"/>
    <w:rsid w:val="00655ACC"/>
    <w:rsid w:val="00655B93"/>
    <w:rsid w:val="00655EE2"/>
    <w:rsid w:val="006561C4"/>
    <w:rsid w:val="0065631C"/>
    <w:rsid w:val="00656345"/>
    <w:rsid w:val="00656904"/>
    <w:rsid w:val="00656AB7"/>
    <w:rsid w:val="00656B3B"/>
    <w:rsid w:val="00656C72"/>
    <w:rsid w:val="00656DC6"/>
    <w:rsid w:val="00656DC7"/>
    <w:rsid w:val="006570DD"/>
    <w:rsid w:val="006572B4"/>
    <w:rsid w:val="006574A0"/>
    <w:rsid w:val="006574BD"/>
    <w:rsid w:val="00657706"/>
    <w:rsid w:val="00657AB1"/>
    <w:rsid w:val="00657C7B"/>
    <w:rsid w:val="00657DAF"/>
    <w:rsid w:val="006600BB"/>
    <w:rsid w:val="006602B1"/>
    <w:rsid w:val="0066049F"/>
    <w:rsid w:val="00660757"/>
    <w:rsid w:val="0066077E"/>
    <w:rsid w:val="006608E2"/>
    <w:rsid w:val="00660D07"/>
    <w:rsid w:val="00660EC6"/>
    <w:rsid w:val="00661110"/>
    <w:rsid w:val="006615E4"/>
    <w:rsid w:val="00661935"/>
    <w:rsid w:val="00661B0C"/>
    <w:rsid w:val="00661C99"/>
    <w:rsid w:val="00661CC8"/>
    <w:rsid w:val="00661CF9"/>
    <w:rsid w:val="00661D63"/>
    <w:rsid w:val="006620AF"/>
    <w:rsid w:val="006625EB"/>
    <w:rsid w:val="00662A45"/>
    <w:rsid w:val="00662CAC"/>
    <w:rsid w:val="00662E7B"/>
    <w:rsid w:val="0066311A"/>
    <w:rsid w:val="00663415"/>
    <w:rsid w:val="006638C5"/>
    <w:rsid w:val="006638C7"/>
    <w:rsid w:val="00663B5E"/>
    <w:rsid w:val="00663CAB"/>
    <w:rsid w:val="00663D5E"/>
    <w:rsid w:val="00663ED8"/>
    <w:rsid w:val="00664110"/>
    <w:rsid w:val="00664369"/>
    <w:rsid w:val="006643EC"/>
    <w:rsid w:val="0066467E"/>
    <w:rsid w:val="00664778"/>
    <w:rsid w:val="00664886"/>
    <w:rsid w:val="00664AF8"/>
    <w:rsid w:val="00664BD9"/>
    <w:rsid w:val="00664CA7"/>
    <w:rsid w:val="00664D17"/>
    <w:rsid w:val="00664F9E"/>
    <w:rsid w:val="00665176"/>
    <w:rsid w:val="006652CC"/>
    <w:rsid w:val="00665360"/>
    <w:rsid w:val="006654D2"/>
    <w:rsid w:val="006659F4"/>
    <w:rsid w:val="00665EAD"/>
    <w:rsid w:val="00666117"/>
    <w:rsid w:val="00666153"/>
    <w:rsid w:val="006661BB"/>
    <w:rsid w:val="00666205"/>
    <w:rsid w:val="00666219"/>
    <w:rsid w:val="00666520"/>
    <w:rsid w:val="006666DE"/>
    <w:rsid w:val="00666ABB"/>
    <w:rsid w:val="00666D29"/>
    <w:rsid w:val="00666EAF"/>
    <w:rsid w:val="006670E9"/>
    <w:rsid w:val="00667328"/>
    <w:rsid w:val="0066738B"/>
    <w:rsid w:val="006673AC"/>
    <w:rsid w:val="006675AC"/>
    <w:rsid w:val="006677D3"/>
    <w:rsid w:val="006677DC"/>
    <w:rsid w:val="00667825"/>
    <w:rsid w:val="0066787C"/>
    <w:rsid w:val="00667B6F"/>
    <w:rsid w:val="00667C5B"/>
    <w:rsid w:val="00667D5D"/>
    <w:rsid w:val="00667E35"/>
    <w:rsid w:val="00667EC0"/>
    <w:rsid w:val="00667F66"/>
    <w:rsid w:val="00667FDB"/>
    <w:rsid w:val="0067021F"/>
    <w:rsid w:val="006706E8"/>
    <w:rsid w:val="00670822"/>
    <w:rsid w:val="00670BC6"/>
    <w:rsid w:val="00670E93"/>
    <w:rsid w:val="00671193"/>
    <w:rsid w:val="0067140F"/>
    <w:rsid w:val="00671501"/>
    <w:rsid w:val="006715EE"/>
    <w:rsid w:val="00671853"/>
    <w:rsid w:val="00671C96"/>
    <w:rsid w:val="00671D0D"/>
    <w:rsid w:val="00672389"/>
    <w:rsid w:val="006723F5"/>
    <w:rsid w:val="0067272E"/>
    <w:rsid w:val="00672786"/>
    <w:rsid w:val="0067287E"/>
    <w:rsid w:val="00672998"/>
    <w:rsid w:val="00672B7E"/>
    <w:rsid w:val="006731E5"/>
    <w:rsid w:val="006733EA"/>
    <w:rsid w:val="00673580"/>
    <w:rsid w:val="0067374B"/>
    <w:rsid w:val="00673B10"/>
    <w:rsid w:val="00673C66"/>
    <w:rsid w:val="00673E3D"/>
    <w:rsid w:val="0067417D"/>
    <w:rsid w:val="00674678"/>
    <w:rsid w:val="006746E6"/>
    <w:rsid w:val="006746EF"/>
    <w:rsid w:val="00674B2C"/>
    <w:rsid w:val="006751B7"/>
    <w:rsid w:val="0067526D"/>
    <w:rsid w:val="00675A7C"/>
    <w:rsid w:val="00675AB2"/>
    <w:rsid w:val="00675DAC"/>
    <w:rsid w:val="006760BD"/>
    <w:rsid w:val="006760E7"/>
    <w:rsid w:val="00676135"/>
    <w:rsid w:val="00676574"/>
    <w:rsid w:val="00676CC0"/>
    <w:rsid w:val="00677631"/>
    <w:rsid w:val="00677809"/>
    <w:rsid w:val="00680B96"/>
    <w:rsid w:val="00680C28"/>
    <w:rsid w:val="00680DA8"/>
    <w:rsid w:val="00681206"/>
    <w:rsid w:val="0068147F"/>
    <w:rsid w:val="0068159A"/>
    <w:rsid w:val="006815A4"/>
    <w:rsid w:val="00681B06"/>
    <w:rsid w:val="0068206A"/>
    <w:rsid w:val="00682154"/>
    <w:rsid w:val="0068249B"/>
    <w:rsid w:val="006824F0"/>
    <w:rsid w:val="006829E5"/>
    <w:rsid w:val="006830E8"/>
    <w:rsid w:val="006831B9"/>
    <w:rsid w:val="006837A4"/>
    <w:rsid w:val="00683A0C"/>
    <w:rsid w:val="00683C31"/>
    <w:rsid w:val="00684020"/>
    <w:rsid w:val="00684053"/>
    <w:rsid w:val="006841BD"/>
    <w:rsid w:val="006841E3"/>
    <w:rsid w:val="00684232"/>
    <w:rsid w:val="0068447A"/>
    <w:rsid w:val="00684824"/>
    <w:rsid w:val="00684957"/>
    <w:rsid w:val="00684A69"/>
    <w:rsid w:val="00684AC8"/>
    <w:rsid w:val="00684E34"/>
    <w:rsid w:val="00684EF9"/>
    <w:rsid w:val="00684F17"/>
    <w:rsid w:val="00684FE1"/>
    <w:rsid w:val="00685118"/>
    <w:rsid w:val="00685151"/>
    <w:rsid w:val="0068566A"/>
    <w:rsid w:val="00685925"/>
    <w:rsid w:val="006859A5"/>
    <w:rsid w:val="006859EA"/>
    <w:rsid w:val="00685CD2"/>
    <w:rsid w:val="00685F73"/>
    <w:rsid w:val="00686618"/>
    <w:rsid w:val="00686B7B"/>
    <w:rsid w:val="0068730E"/>
    <w:rsid w:val="006873D8"/>
    <w:rsid w:val="0068788F"/>
    <w:rsid w:val="00687AC9"/>
    <w:rsid w:val="00687E56"/>
    <w:rsid w:val="00690102"/>
    <w:rsid w:val="0069056A"/>
    <w:rsid w:val="00690992"/>
    <w:rsid w:val="00690BD3"/>
    <w:rsid w:val="00690C42"/>
    <w:rsid w:val="00690CE4"/>
    <w:rsid w:val="0069106E"/>
    <w:rsid w:val="006911D3"/>
    <w:rsid w:val="006911D6"/>
    <w:rsid w:val="0069162F"/>
    <w:rsid w:val="006917BD"/>
    <w:rsid w:val="006917D7"/>
    <w:rsid w:val="00691954"/>
    <w:rsid w:val="006919E8"/>
    <w:rsid w:val="006919ED"/>
    <w:rsid w:val="00691D7A"/>
    <w:rsid w:val="00691E9B"/>
    <w:rsid w:val="00691EB8"/>
    <w:rsid w:val="0069298D"/>
    <w:rsid w:val="006929C6"/>
    <w:rsid w:val="006929F1"/>
    <w:rsid w:val="00692A7B"/>
    <w:rsid w:val="00692C6F"/>
    <w:rsid w:val="00692CBD"/>
    <w:rsid w:val="00692CDE"/>
    <w:rsid w:val="00692FBD"/>
    <w:rsid w:val="00693073"/>
    <w:rsid w:val="00693998"/>
    <w:rsid w:val="006939EA"/>
    <w:rsid w:val="00693B3E"/>
    <w:rsid w:val="006944D3"/>
    <w:rsid w:val="00694786"/>
    <w:rsid w:val="00694AB4"/>
    <w:rsid w:val="00694DB8"/>
    <w:rsid w:val="00694EC4"/>
    <w:rsid w:val="00695006"/>
    <w:rsid w:val="0069572A"/>
    <w:rsid w:val="00695968"/>
    <w:rsid w:val="00695D2C"/>
    <w:rsid w:val="00695E25"/>
    <w:rsid w:val="006960DA"/>
    <w:rsid w:val="006962C0"/>
    <w:rsid w:val="0069653F"/>
    <w:rsid w:val="00696A42"/>
    <w:rsid w:val="00696A57"/>
    <w:rsid w:val="00696BA0"/>
    <w:rsid w:val="00696D4A"/>
    <w:rsid w:val="00696E46"/>
    <w:rsid w:val="00697268"/>
    <w:rsid w:val="00697370"/>
    <w:rsid w:val="006974B7"/>
    <w:rsid w:val="006977FF"/>
    <w:rsid w:val="00697925"/>
    <w:rsid w:val="00697A9C"/>
    <w:rsid w:val="00697BF7"/>
    <w:rsid w:val="00697F1B"/>
    <w:rsid w:val="00697F37"/>
    <w:rsid w:val="006A0036"/>
    <w:rsid w:val="006A01FA"/>
    <w:rsid w:val="006A0272"/>
    <w:rsid w:val="006A03F3"/>
    <w:rsid w:val="006A0469"/>
    <w:rsid w:val="006A05A8"/>
    <w:rsid w:val="006A0CC0"/>
    <w:rsid w:val="006A0DB1"/>
    <w:rsid w:val="006A0E9E"/>
    <w:rsid w:val="006A1157"/>
    <w:rsid w:val="006A130E"/>
    <w:rsid w:val="006A136C"/>
    <w:rsid w:val="006A1595"/>
    <w:rsid w:val="006A1609"/>
    <w:rsid w:val="006A1677"/>
    <w:rsid w:val="006A16B2"/>
    <w:rsid w:val="006A18EC"/>
    <w:rsid w:val="006A190B"/>
    <w:rsid w:val="006A1A2B"/>
    <w:rsid w:val="006A1CF6"/>
    <w:rsid w:val="006A1D8D"/>
    <w:rsid w:val="006A1FE3"/>
    <w:rsid w:val="006A24F4"/>
    <w:rsid w:val="006A2589"/>
    <w:rsid w:val="006A25C7"/>
    <w:rsid w:val="006A26E2"/>
    <w:rsid w:val="006A279A"/>
    <w:rsid w:val="006A2934"/>
    <w:rsid w:val="006A2BB6"/>
    <w:rsid w:val="006A2C2C"/>
    <w:rsid w:val="006A2FEE"/>
    <w:rsid w:val="006A3300"/>
    <w:rsid w:val="006A365E"/>
    <w:rsid w:val="006A3853"/>
    <w:rsid w:val="006A3CA8"/>
    <w:rsid w:val="006A3DE6"/>
    <w:rsid w:val="006A3E0C"/>
    <w:rsid w:val="006A3E6C"/>
    <w:rsid w:val="006A400F"/>
    <w:rsid w:val="006A429A"/>
    <w:rsid w:val="006A442B"/>
    <w:rsid w:val="006A44D8"/>
    <w:rsid w:val="006A48A9"/>
    <w:rsid w:val="006A4AA2"/>
    <w:rsid w:val="006A4AAD"/>
    <w:rsid w:val="006A4B58"/>
    <w:rsid w:val="006A4C81"/>
    <w:rsid w:val="006A4CCA"/>
    <w:rsid w:val="006A5077"/>
    <w:rsid w:val="006A50CC"/>
    <w:rsid w:val="006A5601"/>
    <w:rsid w:val="006A56CD"/>
    <w:rsid w:val="006A5795"/>
    <w:rsid w:val="006A586A"/>
    <w:rsid w:val="006A5BA7"/>
    <w:rsid w:val="006A5C66"/>
    <w:rsid w:val="006A5E94"/>
    <w:rsid w:val="006A60C2"/>
    <w:rsid w:val="006A61BE"/>
    <w:rsid w:val="006A65A3"/>
    <w:rsid w:val="006A6969"/>
    <w:rsid w:val="006A6D72"/>
    <w:rsid w:val="006A6DA2"/>
    <w:rsid w:val="006A6FCA"/>
    <w:rsid w:val="006A71EF"/>
    <w:rsid w:val="006A73DE"/>
    <w:rsid w:val="006A7AB2"/>
    <w:rsid w:val="006A7B73"/>
    <w:rsid w:val="006A7C73"/>
    <w:rsid w:val="006B0531"/>
    <w:rsid w:val="006B06B7"/>
    <w:rsid w:val="006B0879"/>
    <w:rsid w:val="006B0A1E"/>
    <w:rsid w:val="006B0AE8"/>
    <w:rsid w:val="006B0CF3"/>
    <w:rsid w:val="006B0E05"/>
    <w:rsid w:val="006B0EE0"/>
    <w:rsid w:val="006B1198"/>
    <w:rsid w:val="006B13D2"/>
    <w:rsid w:val="006B155C"/>
    <w:rsid w:val="006B1617"/>
    <w:rsid w:val="006B18EE"/>
    <w:rsid w:val="006B1B7D"/>
    <w:rsid w:val="006B1FF5"/>
    <w:rsid w:val="006B2161"/>
    <w:rsid w:val="006B29F3"/>
    <w:rsid w:val="006B3152"/>
    <w:rsid w:val="006B32C8"/>
    <w:rsid w:val="006B3784"/>
    <w:rsid w:val="006B395A"/>
    <w:rsid w:val="006B3D5F"/>
    <w:rsid w:val="006B47B1"/>
    <w:rsid w:val="006B485A"/>
    <w:rsid w:val="006B488C"/>
    <w:rsid w:val="006B4B78"/>
    <w:rsid w:val="006B4EF7"/>
    <w:rsid w:val="006B4F60"/>
    <w:rsid w:val="006B4F6D"/>
    <w:rsid w:val="006B52DE"/>
    <w:rsid w:val="006B56D9"/>
    <w:rsid w:val="006B5717"/>
    <w:rsid w:val="006B582F"/>
    <w:rsid w:val="006B5C65"/>
    <w:rsid w:val="006B5D7B"/>
    <w:rsid w:val="006B5EB2"/>
    <w:rsid w:val="006B5F04"/>
    <w:rsid w:val="006B6618"/>
    <w:rsid w:val="006B6630"/>
    <w:rsid w:val="006B671C"/>
    <w:rsid w:val="006B6B9C"/>
    <w:rsid w:val="006B717C"/>
    <w:rsid w:val="006B71D8"/>
    <w:rsid w:val="006B737B"/>
    <w:rsid w:val="006B771D"/>
    <w:rsid w:val="006B7A7B"/>
    <w:rsid w:val="006B7C76"/>
    <w:rsid w:val="006B7D6B"/>
    <w:rsid w:val="006C01E9"/>
    <w:rsid w:val="006C01FB"/>
    <w:rsid w:val="006C0267"/>
    <w:rsid w:val="006C02F6"/>
    <w:rsid w:val="006C0356"/>
    <w:rsid w:val="006C03F5"/>
    <w:rsid w:val="006C0638"/>
    <w:rsid w:val="006C0BD8"/>
    <w:rsid w:val="006C0CEB"/>
    <w:rsid w:val="006C0FB7"/>
    <w:rsid w:val="006C1631"/>
    <w:rsid w:val="006C1CCE"/>
    <w:rsid w:val="006C1D2F"/>
    <w:rsid w:val="006C2161"/>
    <w:rsid w:val="006C2179"/>
    <w:rsid w:val="006C223B"/>
    <w:rsid w:val="006C2541"/>
    <w:rsid w:val="006C257D"/>
    <w:rsid w:val="006C261A"/>
    <w:rsid w:val="006C2712"/>
    <w:rsid w:val="006C28C3"/>
    <w:rsid w:val="006C2AE9"/>
    <w:rsid w:val="006C2B80"/>
    <w:rsid w:val="006C2C63"/>
    <w:rsid w:val="006C2F23"/>
    <w:rsid w:val="006C30AF"/>
    <w:rsid w:val="006C31B3"/>
    <w:rsid w:val="006C3203"/>
    <w:rsid w:val="006C3225"/>
    <w:rsid w:val="006C366F"/>
    <w:rsid w:val="006C37A2"/>
    <w:rsid w:val="006C37F8"/>
    <w:rsid w:val="006C39A0"/>
    <w:rsid w:val="006C3B1E"/>
    <w:rsid w:val="006C3E69"/>
    <w:rsid w:val="006C3FC9"/>
    <w:rsid w:val="006C4240"/>
    <w:rsid w:val="006C437A"/>
    <w:rsid w:val="006C46D9"/>
    <w:rsid w:val="006C47ED"/>
    <w:rsid w:val="006C47FD"/>
    <w:rsid w:val="006C48A5"/>
    <w:rsid w:val="006C4D03"/>
    <w:rsid w:val="006C5108"/>
    <w:rsid w:val="006C5135"/>
    <w:rsid w:val="006C582B"/>
    <w:rsid w:val="006C5A07"/>
    <w:rsid w:val="006C5A62"/>
    <w:rsid w:val="006C5C19"/>
    <w:rsid w:val="006C5EDD"/>
    <w:rsid w:val="006C61FF"/>
    <w:rsid w:val="006C64D4"/>
    <w:rsid w:val="006C66EC"/>
    <w:rsid w:val="006C6758"/>
    <w:rsid w:val="006C68E2"/>
    <w:rsid w:val="006C6910"/>
    <w:rsid w:val="006C6968"/>
    <w:rsid w:val="006C6993"/>
    <w:rsid w:val="006C69B5"/>
    <w:rsid w:val="006C6DA5"/>
    <w:rsid w:val="006C6F41"/>
    <w:rsid w:val="006C70A0"/>
    <w:rsid w:val="006C745B"/>
    <w:rsid w:val="006C7535"/>
    <w:rsid w:val="006C75B1"/>
    <w:rsid w:val="006C7657"/>
    <w:rsid w:val="006C7723"/>
    <w:rsid w:val="006C7CFD"/>
    <w:rsid w:val="006C9185"/>
    <w:rsid w:val="006D0772"/>
    <w:rsid w:val="006D093A"/>
    <w:rsid w:val="006D09CA"/>
    <w:rsid w:val="006D0A80"/>
    <w:rsid w:val="006D0AEE"/>
    <w:rsid w:val="006D0B64"/>
    <w:rsid w:val="006D0B7A"/>
    <w:rsid w:val="006D0BF8"/>
    <w:rsid w:val="006D0CDF"/>
    <w:rsid w:val="006D1220"/>
    <w:rsid w:val="006D1AA0"/>
    <w:rsid w:val="006D1BD1"/>
    <w:rsid w:val="006D1C8D"/>
    <w:rsid w:val="006D1E5D"/>
    <w:rsid w:val="006D1E6E"/>
    <w:rsid w:val="006D1EB2"/>
    <w:rsid w:val="006D239E"/>
    <w:rsid w:val="006D27CB"/>
    <w:rsid w:val="006D28F4"/>
    <w:rsid w:val="006D299E"/>
    <w:rsid w:val="006D2B7E"/>
    <w:rsid w:val="006D2BDE"/>
    <w:rsid w:val="006D2F08"/>
    <w:rsid w:val="006D2FC9"/>
    <w:rsid w:val="006D321D"/>
    <w:rsid w:val="006D33E7"/>
    <w:rsid w:val="006D35FD"/>
    <w:rsid w:val="006D3800"/>
    <w:rsid w:val="006D382F"/>
    <w:rsid w:val="006D3E00"/>
    <w:rsid w:val="006D40BC"/>
    <w:rsid w:val="006D42CF"/>
    <w:rsid w:val="006D43E1"/>
    <w:rsid w:val="006D4476"/>
    <w:rsid w:val="006D4AE9"/>
    <w:rsid w:val="006D4C99"/>
    <w:rsid w:val="006D4D74"/>
    <w:rsid w:val="006D4DE6"/>
    <w:rsid w:val="006D509A"/>
    <w:rsid w:val="006D5345"/>
    <w:rsid w:val="006D566E"/>
    <w:rsid w:val="006D576C"/>
    <w:rsid w:val="006D5865"/>
    <w:rsid w:val="006D59A0"/>
    <w:rsid w:val="006D5FF4"/>
    <w:rsid w:val="006D635C"/>
    <w:rsid w:val="006D636A"/>
    <w:rsid w:val="006D669A"/>
    <w:rsid w:val="006D6866"/>
    <w:rsid w:val="006D6910"/>
    <w:rsid w:val="006D6C3E"/>
    <w:rsid w:val="006D7141"/>
    <w:rsid w:val="006D7607"/>
    <w:rsid w:val="006D7A06"/>
    <w:rsid w:val="006D7BBA"/>
    <w:rsid w:val="006D7E8D"/>
    <w:rsid w:val="006D7FEB"/>
    <w:rsid w:val="006E00B7"/>
    <w:rsid w:val="006E0242"/>
    <w:rsid w:val="006E0246"/>
    <w:rsid w:val="006E036B"/>
    <w:rsid w:val="006E042D"/>
    <w:rsid w:val="006E044E"/>
    <w:rsid w:val="006E0639"/>
    <w:rsid w:val="006E0D86"/>
    <w:rsid w:val="006E0DD8"/>
    <w:rsid w:val="006E1275"/>
    <w:rsid w:val="006E1528"/>
    <w:rsid w:val="006E1544"/>
    <w:rsid w:val="006E18FF"/>
    <w:rsid w:val="006E1B84"/>
    <w:rsid w:val="006E1D57"/>
    <w:rsid w:val="006E1FF0"/>
    <w:rsid w:val="006E28F1"/>
    <w:rsid w:val="006E2C89"/>
    <w:rsid w:val="006E2E18"/>
    <w:rsid w:val="006E2E46"/>
    <w:rsid w:val="006E2E64"/>
    <w:rsid w:val="006E2EE6"/>
    <w:rsid w:val="006E333D"/>
    <w:rsid w:val="006E3370"/>
    <w:rsid w:val="006E342D"/>
    <w:rsid w:val="006E3496"/>
    <w:rsid w:val="006E35C2"/>
    <w:rsid w:val="006E3CC4"/>
    <w:rsid w:val="006E3D58"/>
    <w:rsid w:val="006E4814"/>
    <w:rsid w:val="006E4B1B"/>
    <w:rsid w:val="006E4C39"/>
    <w:rsid w:val="006E4CD7"/>
    <w:rsid w:val="006E4F2A"/>
    <w:rsid w:val="006E50DF"/>
    <w:rsid w:val="006E516A"/>
    <w:rsid w:val="006E52AC"/>
    <w:rsid w:val="006E5445"/>
    <w:rsid w:val="006E5A57"/>
    <w:rsid w:val="006E5D2E"/>
    <w:rsid w:val="006E5E1A"/>
    <w:rsid w:val="006E5FE6"/>
    <w:rsid w:val="006E647A"/>
    <w:rsid w:val="006E64E8"/>
    <w:rsid w:val="006E64F4"/>
    <w:rsid w:val="006E6873"/>
    <w:rsid w:val="006E6A4A"/>
    <w:rsid w:val="006E6C81"/>
    <w:rsid w:val="006E6EEC"/>
    <w:rsid w:val="006E7041"/>
    <w:rsid w:val="006E714A"/>
    <w:rsid w:val="006E7211"/>
    <w:rsid w:val="006E7440"/>
    <w:rsid w:val="006E7748"/>
    <w:rsid w:val="006E7A59"/>
    <w:rsid w:val="006E7AB8"/>
    <w:rsid w:val="006E7B15"/>
    <w:rsid w:val="006E7CC8"/>
    <w:rsid w:val="006E7D93"/>
    <w:rsid w:val="006F003F"/>
    <w:rsid w:val="006F00AE"/>
    <w:rsid w:val="006F024C"/>
    <w:rsid w:val="006F03E7"/>
    <w:rsid w:val="006F04BF"/>
    <w:rsid w:val="006F05D1"/>
    <w:rsid w:val="006F08B8"/>
    <w:rsid w:val="006F0A38"/>
    <w:rsid w:val="006F0A53"/>
    <w:rsid w:val="006F0ABC"/>
    <w:rsid w:val="006F0D00"/>
    <w:rsid w:val="006F1313"/>
    <w:rsid w:val="006F1729"/>
    <w:rsid w:val="006F1772"/>
    <w:rsid w:val="006F1831"/>
    <w:rsid w:val="006F1B04"/>
    <w:rsid w:val="006F2249"/>
    <w:rsid w:val="006F2566"/>
    <w:rsid w:val="006F2603"/>
    <w:rsid w:val="006F2692"/>
    <w:rsid w:val="006F28D6"/>
    <w:rsid w:val="006F2AAB"/>
    <w:rsid w:val="006F2C44"/>
    <w:rsid w:val="006F2C66"/>
    <w:rsid w:val="006F2E24"/>
    <w:rsid w:val="006F2F3D"/>
    <w:rsid w:val="006F31E1"/>
    <w:rsid w:val="006F37A4"/>
    <w:rsid w:val="006F39C9"/>
    <w:rsid w:val="006F3DD8"/>
    <w:rsid w:val="006F4381"/>
    <w:rsid w:val="006F4C5A"/>
    <w:rsid w:val="006F4EBF"/>
    <w:rsid w:val="006F5A75"/>
    <w:rsid w:val="006F5A9D"/>
    <w:rsid w:val="006F5F25"/>
    <w:rsid w:val="006F6590"/>
    <w:rsid w:val="006F6B91"/>
    <w:rsid w:val="006F6CC2"/>
    <w:rsid w:val="006F6FCE"/>
    <w:rsid w:val="006F7136"/>
    <w:rsid w:val="006F7224"/>
    <w:rsid w:val="006F755C"/>
    <w:rsid w:val="006F79C0"/>
    <w:rsid w:val="006F7AD6"/>
    <w:rsid w:val="006F7AEA"/>
    <w:rsid w:val="006F7C09"/>
    <w:rsid w:val="006F7ED2"/>
    <w:rsid w:val="006F7F17"/>
    <w:rsid w:val="00700174"/>
    <w:rsid w:val="00700731"/>
    <w:rsid w:val="007009C9"/>
    <w:rsid w:val="00700B96"/>
    <w:rsid w:val="00700C3A"/>
    <w:rsid w:val="00700DB3"/>
    <w:rsid w:val="0070133D"/>
    <w:rsid w:val="007015ED"/>
    <w:rsid w:val="00701813"/>
    <w:rsid w:val="00701B23"/>
    <w:rsid w:val="00701BD4"/>
    <w:rsid w:val="00701BFC"/>
    <w:rsid w:val="00701CE4"/>
    <w:rsid w:val="007021C1"/>
    <w:rsid w:val="007022F9"/>
    <w:rsid w:val="00702665"/>
    <w:rsid w:val="0070284F"/>
    <w:rsid w:val="007029A3"/>
    <w:rsid w:val="00702BFA"/>
    <w:rsid w:val="00702CEE"/>
    <w:rsid w:val="00702ECC"/>
    <w:rsid w:val="00703445"/>
    <w:rsid w:val="00703774"/>
    <w:rsid w:val="00703977"/>
    <w:rsid w:val="00703A8A"/>
    <w:rsid w:val="00704256"/>
    <w:rsid w:val="00704376"/>
    <w:rsid w:val="00704ACF"/>
    <w:rsid w:val="00704E3A"/>
    <w:rsid w:val="00704E7D"/>
    <w:rsid w:val="00705470"/>
    <w:rsid w:val="007054A1"/>
    <w:rsid w:val="00705562"/>
    <w:rsid w:val="00705A67"/>
    <w:rsid w:val="00705F97"/>
    <w:rsid w:val="007061AF"/>
    <w:rsid w:val="00706407"/>
    <w:rsid w:val="00706496"/>
    <w:rsid w:val="00706652"/>
    <w:rsid w:val="00706674"/>
    <w:rsid w:val="0070681A"/>
    <w:rsid w:val="00706939"/>
    <w:rsid w:val="00706A3F"/>
    <w:rsid w:val="00706C95"/>
    <w:rsid w:val="00706E4E"/>
    <w:rsid w:val="0070704D"/>
    <w:rsid w:val="0070713D"/>
    <w:rsid w:val="0070736E"/>
    <w:rsid w:val="007075D0"/>
    <w:rsid w:val="007075E0"/>
    <w:rsid w:val="00707845"/>
    <w:rsid w:val="00707866"/>
    <w:rsid w:val="0070791C"/>
    <w:rsid w:val="007079A6"/>
    <w:rsid w:val="00710314"/>
    <w:rsid w:val="00710390"/>
    <w:rsid w:val="0071055A"/>
    <w:rsid w:val="00710662"/>
    <w:rsid w:val="00710858"/>
    <w:rsid w:val="007109A2"/>
    <w:rsid w:val="00710D30"/>
    <w:rsid w:val="00710D31"/>
    <w:rsid w:val="007112BF"/>
    <w:rsid w:val="00711510"/>
    <w:rsid w:val="00711612"/>
    <w:rsid w:val="0071164B"/>
    <w:rsid w:val="00711959"/>
    <w:rsid w:val="00711A49"/>
    <w:rsid w:val="00711AC6"/>
    <w:rsid w:val="00711B4B"/>
    <w:rsid w:val="00711C52"/>
    <w:rsid w:val="00711E4D"/>
    <w:rsid w:val="00711EA2"/>
    <w:rsid w:val="00711FBE"/>
    <w:rsid w:val="0071204C"/>
    <w:rsid w:val="007121BE"/>
    <w:rsid w:val="007125BC"/>
    <w:rsid w:val="007125F1"/>
    <w:rsid w:val="0071263A"/>
    <w:rsid w:val="00712EAE"/>
    <w:rsid w:val="00712F1A"/>
    <w:rsid w:val="00712F97"/>
    <w:rsid w:val="00713674"/>
    <w:rsid w:val="0071383C"/>
    <w:rsid w:val="00713961"/>
    <w:rsid w:val="00713AF5"/>
    <w:rsid w:val="00713C93"/>
    <w:rsid w:val="00713EC6"/>
    <w:rsid w:val="007141A7"/>
    <w:rsid w:val="00714216"/>
    <w:rsid w:val="00714551"/>
    <w:rsid w:val="00714DEB"/>
    <w:rsid w:val="00714F7A"/>
    <w:rsid w:val="00714FE6"/>
    <w:rsid w:val="007151A7"/>
    <w:rsid w:val="007154DD"/>
    <w:rsid w:val="00715722"/>
    <w:rsid w:val="00715A3F"/>
    <w:rsid w:val="00715B05"/>
    <w:rsid w:val="00715BAF"/>
    <w:rsid w:val="00715BB7"/>
    <w:rsid w:val="00715CBC"/>
    <w:rsid w:val="00715CFE"/>
    <w:rsid w:val="00715E4E"/>
    <w:rsid w:val="00715FA9"/>
    <w:rsid w:val="00715FF8"/>
    <w:rsid w:val="0071660D"/>
    <w:rsid w:val="0071677A"/>
    <w:rsid w:val="00716EF0"/>
    <w:rsid w:val="0071704F"/>
    <w:rsid w:val="0071710D"/>
    <w:rsid w:val="0071725F"/>
    <w:rsid w:val="00717438"/>
    <w:rsid w:val="007174F9"/>
    <w:rsid w:val="007176BD"/>
    <w:rsid w:val="007177E4"/>
    <w:rsid w:val="007177F5"/>
    <w:rsid w:val="00717A7B"/>
    <w:rsid w:val="007200EF"/>
    <w:rsid w:val="00720114"/>
    <w:rsid w:val="0072036A"/>
    <w:rsid w:val="0072080E"/>
    <w:rsid w:val="00720848"/>
    <w:rsid w:val="00720884"/>
    <w:rsid w:val="00720F80"/>
    <w:rsid w:val="00721032"/>
    <w:rsid w:val="007211F9"/>
    <w:rsid w:val="0072159C"/>
    <w:rsid w:val="007215DE"/>
    <w:rsid w:val="00721664"/>
    <w:rsid w:val="0072172B"/>
    <w:rsid w:val="007218D9"/>
    <w:rsid w:val="007219AB"/>
    <w:rsid w:val="007219D2"/>
    <w:rsid w:val="00721B11"/>
    <w:rsid w:val="00721B55"/>
    <w:rsid w:val="00721F17"/>
    <w:rsid w:val="0072210A"/>
    <w:rsid w:val="0072225A"/>
    <w:rsid w:val="00722427"/>
    <w:rsid w:val="007228FB"/>
    <w:rsid w:val="00722D75"/>
    <w:rsid w:val="0072307C"/>
    <w:rsid w:val="0072348E"/>
    <w:rsid w:val="00723969"/>
    <w:rsid w:val="00723BC6"/>
    <w:rsid w:val="00723C33"/>
    <w:rsid w:val="00723D29"/>
    <w:rsid w:val="00723E34"/>
    <w:rsid w:val="00723ECF"/>
    <w:rsid w:val="0072458A"/>
    <w:rsid w:val="00724716"/>
    <w:rsid w:val="00724B48"/>
    <w:rsid w:val="00724CBC"/>
    <w:rsid w:val="00725065"/>
    <w:rsid w:val="00725346"/>
    <w:rsid w:val="007255A8"/>
    <w:rsid w:val="00725CA5"/>
    <w:rsid w:val="00725DB8"/>
    <w:rsid w:val="00725E9B"/>
    <w:rsid w:val="00725EF2"/>
    <w:rsid w:val="007261FD"/>
    <w:rsid w:val="00726384"/>
    <w:rsid w:val="00726A31"/>
    <w:rsid w:val="00726AF5"/>
    <w:rsid w:val="00726CB4"/>
    <w:rsid w:val="00726CE4"/>
    <w:rsid w:val="00726D5F"/>
    <w:rsid w:val="00726D7B"/>
    <w:rsid w:val="00726EC4"/>
    <w:rsid w:val="00726F75"/>
    <w:rsid w:val="00727196"/>
    <w:rsid w:val="00727C9D"/>
    <w:rsid w:val="00727EF0"/>
    <w:rsid w:val="00730127"/>
    <w:rsid w:val="007304B4"/>
    <w:rsid w:val="007304C4"/>
    <w:rsid w:val="007307F3"/>
    <w:rsid w:val="00730C3F"/>
    <w:rsid w:val="00730D48"/>
    <w:rsid w:val="007313DF"/>
    <w:rsid w:val="00731958"/>
    <w:rsid w:val="007319AA"/>
    <w:rsid w:val="00731C95"/>
    <w:rsid w:val="00731D32"/>
    <w:rsid w:val="00731FEB"/>
    <w:rsid w:val="0073213F"/>
    <w:rsid w:val="0073227E"/>
    <w:rsid w:val="00732415"/>
    <w:rsid w:val="0073250E"/>
    <w:rsid w:val="007326E6"/>
    <w:rsid w:val="00732BA1"/>
    <w:rsid w:val="00732C2E"/>
    <w:rsid w:val="00733420"/>
    <w:rsid w:val="007335F7"/>
    <w:rsid w:val="007338F6"/>
    <w:rsid w:val="0073397E"/>
    <w:rsid w:val="00733C93"/>
    <w:rsid w:val="00733D1B"/>
    <w:rsid w:val="00733E6F"/>
    <w:rsid w:val="00733ED9"/>
    <w:rsid w:val="0073402A"/>
    <w:rsid w:val="0073412A"/>
    <w:rsid w:val="00734143"/>
    <w:rsid w:val="007343C8"/>
    <w:rsid w:val="007345D2"/>
    <w:rsid w:val="007348BB"/>
    <w:rsid w:val="00734A83"/>
    <w:rsid w:val="007350A8"/>
    <w:rsid w:val="00735222"/>
    <w:rsid w:val="00735253"/>
    <w:rsid w:val="0073534E"/>
    <w:rsid w:val="007359DB"/>
    <w:rsid w:val="00735D0B"/>
    <w:rsid w:val="00735DF0"/>
    <w:rsid w:val="00735ED8"/>
    <w:rsid w:val="00735F13"/>
    <w:rsid w:val="0073617A"/>
    <w:rsid w:val="007362CE"/>
    <w:rsid w:val="0073682F"/>
    <w:rsid w:val="00736861"/>
    <w:rsid w:val="00736898"/>
    <w:rsid w:val="00736B2E"/>
    <w:rsid w:val="00736B6B"/>
    <w:rsid w:val="00736CA0"/>
    <w:rsid w:val="00736E94"/>
    <w:rsid w:val="007370DB"/>
    <w:rsid w:val="00737405"/>
    <w:rsid w:val="00737678"/>
    <w:rsid w:val="00737B70"/>
    <w:rsid w:val="00737E2D"/>
    <w:rsid w:val="00737E47"/>
    <w:rsid w:val="00737FC0"/>
    <w:rsid w:val="007400A4"/>
    <w:rsid w:val="007401D7"/>
    <w:rsid w:val="00740254"/>
    <w:rsid w:val="0074053C"/>
    <w:rsid w:val="00740572"/>
    <w:rsid w:val="0074076A"/>
    <w:rsid w:val="00740D97"/>
    <w:rsid w:val="00740EAC"/>
    <w:rsid w:val="007415CF"/>
    <w:rsid w:val="00741623"/>
    <w:rsid w:val="00741635"/>
    <w:rsid w:val="00741B0A"/>
    <w:rsid w:val="00741C06"/>
    <w:rsid w:val="00741E50"/>
    <w:rsid w:val="0074202A"/>
    <w:rsid w:val="007420D6"/>
    <w:rsid w:val="007421F1"/>
    <w:rsid w:val="00742252"/>
    <w:rsid w:val="00742350"/>
    <w:rsid w:val="00742387"/>
    <w:rsid w:val="007424B8"/>
    <w:rsid w:val="007426BE"/>
    <w:rsid w:val="007427CE"/>
    <w:rsid w:val="00742C9D"/>
    <w:rsid w:val="00742E81"/>
    <w:rsid w:val="007430A0"/>
    <w:rsid w:val="00743125"/>
    <w:rsid w:val="0074314D"/>
    <w:rsid w:val="0074321C"/>
    <w:rsid w:val="0074324B"/>
    <w:rsid w:val="00743434"/>
    <w:rsid w:val="00743466"/>
    <w:rsid w:val="0074351A"/>
    <w:rsid w:val="0074355F"/>
    <w:rsid w:val="0074366E"/>
    <w:rsid w:val="007436C1"/>
    <w:rsid w:val="007436F9"/>
    <w:rsid w:val="00743811"/>
    <w:rsid w:val="00743E88"/>
    <w:rsid w:val="00743FED"/>
    <w:rsid w:val="00744303"/>
    <w:rsid w:val="00744310"/>
    <w:rsid w:val="00744593"/>
    <w:rsid w:val="00744784"/>
    <w:rsid w:val="007447EA"/>
    <w:rsid w:val="0074494F"/>
    <w:rsid w:val="00744956"/>
    <w:rsid w:val="00744E1D"/>
    <w:rsid w:val="0074520D"/>
    <w:rsid w:val="00745217"/>
    <w:rsid w:val="00745314"/>
    <w:rsid w:val="00745317"/>
    <w:rsid w:val="0074543B"/>
    <w:rsid w:val="00745666"/>
    <w:rsid w:val="00745818"/>
    <w:rsid w:val="00745A5C"/>
    <w:rsid w:val="00745AF5"/>
    <w:rsid w:val="00745BC8"/>
    <w:rsid w:val="00745F3D"/>
    <w:rsid w:val="00745F76"/>
    <w:rsid w:val="0074605F"/>
    <w:rsid w:val="007465CA"/>
    <w:rsid w:val="007465E1"/>
    <w:rsid w:val="00746B2B"/>
    <w:rsid w:val="00746B43"/>
    <w:rsid w:val="00746C5C"/>
    <w:rsid w:val="00746DAD"/>
    <w:rsid w:val="00747011"/>
    <w:rsid w:val="00747028"/>
    <w:rsid w:val="00747301"/>
    <w:rsid w:val="007473A5"/>
    <w:rsid w:val="00747429"/>
    <w:rsid w:val="007474D7"/>
    <w:rsid w:val="0074767B"/>
    <w:rsid w:val="00747697"/>
    <w:rsid w:val="007477E5"/>
    <w:rsid w:val="007478BF"/>
    <w:rsid w:val="00747994"/>
    <w:rsid w:val="00747E94"/>
    <w:rsid w:val="00747FB1"/>
    <w:rsid w:val="007501C3"/>
    <w:rsid w:val="00750247"/>
    <w:rsid w:val="00750517"/>
    <w:rsid w:val="0075078E"/>
    <w:rsid w:val="00750B69"/>
    <w:rsid w:val="00750D68"/>
    <w:rsid w:val="00750F50"/>
    <w:rsid w:val="00751058"/>
    <w:rsid w:val="00751120"/>
    <w:rsid w:val="00751348"/>
    <w:rsid w:val="007513FF"/>
    <w:rsid w:val="007516C6"/>
    <w:rsid w:val="00751702"/>
    <w:rsid w:val="0075186D"/>
    <w:rsid w:val="007519CB"/>
    <w:rsid w:val="00751A17"/>
    <w:rsid w:val="00752046"/>
    <w:rsid w:val="00752430"/>
    <w:rsid w:val="0075256A"/>
    <w:rsid w:val="00752573"/>
    <w:rsid w:val="0075264A"/>
    <w:rsid w:val="00752A3C"/>
    <w:rsid w:val="00752AAF"/>
    <w:rsid w:val="0075300B"/>
    <w:rsid w:val="0075357B"/>
    <w:rsid w:val="0075359C"/>
    <w:rsid w:val="00753680"/>
    <w:rsid w:val="00753727"/>
    <w:rsid w:val="00753BB1"/>
    <w:rsid w:val="00753C33"/>
    <w:rsid w:val="00753D25"/>
    <w:rsid w:val="00753F19"/>
    <w:rsid w:val="0075444C"/>
    <w:rsid w:val="007544BB"/>
    <w:rsid w:val="007546E3"/>
    <w:rsid w:val="007548AA"/>
    <w:rsid w:val="00754A64"/>
    <w:rsid w:val="00754ACB"/>
    <w:rsid w:val="00754C83"/>
    <w:rsid w:val="00754C86"/>
    <w:rsid w:val="00755005"/>
    <w:rsid w:val="00755208"/>
    <w:rsid w:val="007554E3"/>
    <w:rsid w:val="00755CCB"/>
    <w:rsid w:val="00755F1E"/>
    <w:rsid w:val="00756062"/>
    <w:rsid w:val="007560BC"/>
    <w:rsid w:val="00756168"/>
    <w:rsid w:val="007561CE"/>
    <w:rsid w:val="007563FE"/>
    <w:rsid w:val="007567F2"/>
    <w:rsid w:val="0075684B"/>
    <w:rsid w:val="007569B4"/>
    <w:rsid w:val="00756B7E"/>
    <w:rsid w:val="00756BD7"/>
    <w:rsid w:val="00756C95"/>
    <w:rsid w:val="007575C8"/>
    <w:rsid w:val="0075768D"/>
    <w:rsid w:val="00757720"/>
    <w:rsid w:val="00757722"/>
    <w:rsid w:val="007579A0"/>
    <w:rsid w:val="00757C1A"/>
    <w:rsid w:val="00757DDB"/>
    <w:rsid w:val="007600A8"/>
    <w:rsid w:val="007601AA"/>
    <w:rsid w:val="007604A4"/>
    <w:rsid w:val="007604E6"/>
    <w:rsid w:val="00760539"/>
    <w:rsid w:val="0076056D"/>
    <w:rsid w:val="0076095A"/>
    <w:rsid w:val="00760F8B"/>
    <w:rsid w:val="00760FAC"/>
    <w:rsid w:val="007613F4"/>
    <w:rsid w:val="00761695"/>
    <w:rsid w:val="007618A2"/>
    <w:rsid w:val="00761B49"/>
    <w:rsid w:val="00761C31"/>
    <w:rsid w:val="00761D5F"/>
    <w:rsid w:val="00761E5C"/>
    <w:rsid w:val="0076208B"/>
    <w:rsid w:val="00762374"/>
    <w:rsid w:val="00762AB9"/>
    <w:rsid w:val="00762C14"/>
    <w:rsid w:val="0076301C"/>
    <w:rsid w:val="00763040"/>
    <w:rsid w:val="00763189"/>
    <w:rsid w:val="007631B8"/>
    <w:rsid w:val="00763229"/>
    <w:rsid w:val="00763424"/>
    <w:rsid w:val="00763949"/>
    <w:rsid w:val="00763EE4"/>
    <w:rsid w:val="007642D0"/>
    <w:rsid w:val="007643BF"/>
    <w:rsid w:val="007643D3"/>
    <w:rsid w:val="0076451D"/>
    <w:rsid w:val="007646D6"/>
    <w:rsid w:val="00764750"/>
    <w:rsid w:val="00764A27"/>
    <w:rsid w:val="00764F8A"/>
    <w:rsid w:val="00765022"/>
    <w:rsid w:val="00765103"/>
    <w:rsid w:val="00765234"/>
    <w:rsid w:val="007655FE"/>
    <w:rsid w:val="00765781"/>
    <w:rsid w:val="00765853"/>
    <w:rsid w:val="007658B5"/>
    <w:rsid w:val="00765C7F"/>
    <w:rsid w:val="00765D80"/>
    <w:rsid w:val="00765DF8"/>
    <w:rsid w:val="00765EB7"/>
    <w:rsid w:val="00766144"/>
    <w:rsid w:val="007661CE"/>
    <w:rsid w:val="0076638B"/>
    <w:rsid w:val="00766749"/>
    <w:rsid w:val="00766F1C"/>
    <w:rsid w:val="00767042"/>
    <w:rsid w:val="0076726B"/>
    <w:rsid w:val="0076748F"/>
    <w:rsid w:val="00767698"/>
    <w:rsid w:val="0076769A"/>
    <w:rsid w:val="007677D6"/>
    <w:rsid w:val="0076792B"/>
    <w:rsid w:val="00767A42"/>
    <w:rsid w:val="00767A7B"/>
    <w:rsid w:val="00767C1B"/>
    <w:rsid w:val="00767CB3"/>
    <w:rsid w:val="007701F0"/>
    <w:rsid w:val="0077032E"/>
    <w:rsid w:val="0077054D"/>
    <w:rsid w:val="007708BC"/>
    <w:rsid w:val="00770AFC"/>
    <w:rsid w:val="00770B3F"/>
    <w:rsid w:val="00770B6E"/>
    <w:rsid w:val="00770B70"/>
    <w:rsid w:val="00770C10"/>
    <w:rsid w:val="00770D09"/>
    <w:rsid w:val="00770F84"/>
    <w:rsid w:val="007710A0"/>
    <w:rsid w:val="007711B8"/>
    <w:rsid w:val="0077120F"/>
    <w:rsid w:val="00771228"/>
    <w:rsid w:val="007712BC"/>
    <w:rsid w:val="0077131C"/>
    <w:rsid w:val="0077138D"/>
    <w:rsid w:val="007714A9"/>
    <w:rsid w:val="0077162C"/>
    <w:rsid w:val="007720F1"/>
    <w:rsid w:val="00772102"/>
    <w:rsid w:val="007722DB"/>
    <w:rsid w:val="00772608"/>
    <w:rsid w:val="00772610"/>
    <w:rsid w:val="00772B96"/>
    <w:rsid w:val="00772CF2"/>
    <w:rsid w:val="00773024"/>
    <w:rsid w:val="00773036"/>
    <w:rsid w:val="00773043"/>
    <w:rsid w:val="00773089"/>
    <w:rsid w:val="00773164"/>
    <w:rsid w:val="00773312"/>
    <w:rsid w:val="007733BC"/>
    <w:rsid w:val="0077365D"/>
    <w:rsid w:val="0077372F"/>
    <w:rsid w:val="007739DE"/>
    <w:rsid w:val="00773E8B"/>
    <w:rsid w:val="007749D2"/>
    <w:rsid w:val="00774A38"/>
    <w:rsid w:val="00774DBC"/>
    <w:rsid w:val="00774F88"/>
    <w:rsid w:val="00774FDB"/>
    <w:rsid w:val="00775030"/>
    <w:rsid w:val="0077509E"/>
    <w:rsid w:val="0077514F"/>
    <w:rsid w:val="007751AE"/>
    <w:rsid w:val="007753E0"/>
    <w:rsid w:val="00775891"/>
    <w:rsid w:val="00775CAB"/>
    <w:rsid w:val="00775CF5"/>
    <w:rsid w:val="00775E37"/>
    <w:rsid w:val="00775F70"/>
    <w:rsid w:val="0077609F"/>
    <w:rsid w:val="007766B0"/>
    <w:rsid w:val="007767F0"/>
    <w:rsid w:val="007768BA"/>
    <w:rsid w:val="00776A1E"/>
    <w:rsid w:val="00776AA4"/>
    <w:rsid w:val="00776C39"/>
    <w:rsid w:val="0077705E"/>
    <w:rsid w:val="0077734D"/>
    <w:rsid w:val="007773AA"/>
    <w:rsid w:val="0077740E"/>
    <w:rsid w:val="00777456"/>
    <w:rsid w:val="00777BA2"/>
    <w:rsid w:val="00777C82"/>
    <w:rsid w:val="00777CF4"/>
    <w:rsid w:val="00780274"/>
    <w:rsid w:val="007808A3"/>
    <w:rsid w:val="00780924"/>
    <w:rsid w:val="00780A91"/>
    <w:rsid w:val="00780F45"/>
    <w:rsid w:val="007810F2"/>
    <w:rsid w:val="00781237"/>
    <w:rsid w:val="00781408"/>
    <w:rsid w:val="00781570"/>
    <w:rsid w:val="007816F0"/>
    <w:rsid w:val="007817B4"/>
    <w:rsid w:val="00781A72"/>
    <w:rsid w:val="00781D25"/>
    <w:rsid w:val="00781E6D"/>
    <w:rsid w:val="00781EC6"/>
    <w:rsid w:val="00781F53"/>
    <w:rsid w:val="0078263D"/>
    <w:rsid w:val="00782BC1"/>
    <w:rsid w:val="00782BC8"/>
    <w:rsid w:val="00782EC1"/>
    <w:rsid w:val="007830D1"/>
    <w:rsid w:val="007833C0"/>
    <w:rsid w:val="00783653"/>
    <w:rsid w:val="00783C9F"/>
    <w:rsid w:val="00783EEF"/>
    <w:rsid w:val="00784667"/>
    <w:rsid w:val="0078497C"/>
    <w:rsid w:val="007849B5"/>
    <w:rsid w:val="00784AA3"/>
    <w:rsid w:val="00784E29"/>
    <w:rsid w:val="00784F7F"/>
    <w:rsid w:val="0078509A"/>
    <w:rsid w:val="0078514F"/>
    <w:rsid w:val="0078540C"/>
    <w:rsid w:val="007856EC"/>
    <w:rsid w:val="0078579B"/>
    <w:rsid w:val="00785B42"/>
    <w:rsid w:val="00785B79"/>
    <w:rsid w:val="00785D37"/>
    <w:rsid w:val="00785D3E"/>
    <w:rsid w:val="007863C5"/>
    <w:rsid w:val="0078653C"/>
    <w:rsid w:val="007866F3"/>
    <w:rsid w:val="00786710"/>
    <w:rsid w:val="007868E6"/>
    <w:rsid w:val="00786929"/>
    <w:rsid w:val="00786AF2"/>
    <w:rsid w:val="00786D3C"/>
    <w:rsid w:val="00786E69"/>
    <w:rsid w:val="00786EA5"/>
    <w:rsid w:val="00786EA7"/>
    <w:rsid w:val="00786F62"/>
    <w:rsid w:val="00786F72"/>
    <w:rsid w:val="00786F9F"/>
    <w:rsid w:val="00786FA4"/>
    <w:rsid w:val="00787077"/>
    <w:rsid w:val="00787146"/>
    <w:rsid w:val="00787483"/>
    <w:rsid w:val="007877B6"/>
    <w:rsid w:val="007878BD"/>
    <w:rsid w:val="00787ABB"/>
    <w:rsid w:val="00787D55"/>
    <w:rsid w:val="00790019"/>
    <w:rsid w:val="00790095"/>
    <w:rsid w:val="00790483"/>
    <w:rsid w:val="00790631"/>
    <w:rsid w:val="007907EE"/>
    <w:rsid w:val="0079092E"/>
    <w:rsid w:val="00790C65"/>
    <w:rsid w:val="00790D0F"/>
    <w:rsid w:val="007912FD"/>
    <w:rsid w:val="00791831"/>
    <w:rsid w:val="00791989"/>
    <w:rsid w:val="007919D2"/>
    <w:rsid w:val="00791C53"/>
    <w:rsid w:val="0079213E"/>
    <w:rsid w:val="00792150"/>
    <w:rsid w:val="007921CD"/>
    <w:rsid w:val="00792246"/>
    <w:rsid w:val="0079251E"/>
    <w:rsid w:val="00792617"/>
    <w:rsid w:val="00792686"/>
    <w:rsid w:val="00792808"/>
    <w:rsid w:val="00792828"/>
    <w:rsid w:val="007929C2"/>
    <w:rsid w:val="00792B4E"/>
    <w:rsid w:val="00792B65"/>
    <w:rsid w:val="00792D4C"/>
    <w:rsid w:val="00792EA7"/>
    <w:rsid w:val="007930AA"/>
    <w:rsid w:val="007934D4"/>
    <w:rsid w:val="0079386F"/>
    <w:rsid w:val="0079394E"/>
    <w:rsid w:val="00793A01"/>
    <w:rsid w:val="00793CDB"/>
    <w:rsid w:val="00793DB2"/>
    <w:rsid w:val="00793F6C"/>
    <w:rsid w:val="007942BF"/>
    <w:rsid w:val="007942F1"/>
    <w:rsid w:val="00794350"/>
    <w:rsid w:val="00794501"/>
    <w:rsid w:val="0079479D"/>
    <w:rsid w:val="00794A42"/>
    <w:rsid w:val="00794A99"/>
    <w:rsid w:val="00794B0A"/>
    <w:rsid w:val="00794CB2"/>
    <w:rsid w:val="00794E59"/>
    <w:rsid w:val="00794F2E"/>
    <w:rsid w:val="00794F5A"/>
    <w:rsid w:val="0079500F"/>
    <w:rsid w:val="00795248"/>
    <w:rsid w:val="007957B4"/>
    <w:rsid w:val="00795D96"/>
    <w:rsid w:val="00795EB6"/>
    <w:rsid w:val="00795F07"/>
    <w:rsid w:val="00795FDC"/>
    <w:rsid w:val="007965BA"/>
    <w:rsid w:val="00796753"/>
    <w:rsid w:val="007969F5"/>
    <w:rsid w:val="00796F25"/>
    <w:rsid w:val="00797089"/>
    <w:rsid w:val="0079732F"/>
    <w:rsid w:val="00797595"/>
    <w:rsid w:val="00797609"/>
    <w:rsid w:val="0079763E"/>
    <w:rsid w:val="0079785A"/>
    <w:rsid w:val="0079789C"/>
    <w:rsid w:val="00797AD7"/>
    <w:rsid w:val="00797BA8"/>
    <w:rsid w:val="00797E01"/>
    <w:rsid w:val="007A020D"/>
    <w:rsid w:val="007A0412"/>
    <w:rsid w:val="007A06CE"/>
    <w:rsid w:val="007A0755"/>
    <w:rsid w:val="007A0992"/>
    <w:rsid w:val="007A0A7E"/>
    <w:rsid w:val="007A0CD2"/>
    <w:rsid w:val="007A0CF6"/>
    <w:rsid w:val="007A1006"/>
    <w:rsid w:val="007A1101"/>
    <w:rsid w:val="007A1202"/>
    <w:rsid w:val="007A1419"/>
    <w:rsid w:val="007A14EE"/>
    <w:rsid w:val="007A1558"/>
    <w:rsid w:val="007A1571"/>
    <w:rsid w:val="007A175F"/>
    <w:rsid w:val="007A190D"/>
    <w:rsid w:val="007A1978"/>
    <w:rsid w:val="007A19F6"/>
    <w:rsid w:val="007A1D7E"/>
    <w:rsid w:val="007A1DBF"/>
    <w:rsid w:val="007A2025"/>
    <w:rsid w:val="007A2131"/>
    <w:rsid w:val="007A22A9"/>
    <w:rsid w:val="007A2448"/>
    <w:rsid w:val="007A244B"/>
    <w:rsid w:val="007A2872"/>
    <w:rsid w:val="007A293A"/>
    <w:rsid w:val="007A29ED"/>
    <w:rsid w:val="007A2B4B"/>
    <w:rsid w:val="007A2E98"/>
    <w:rsid w:val="007A2EDC"/>
    <w:rsid w:val="007A2F2C"/>
    <w:rsid w:val="007A3085"/>
    <w:rsid w:val="007A313B"/>
    <w:rsid w:val="007A346D"/>
    <w:rsid w:val="007A35A6"/>
    <w:rsid w:val="007A37FA"/>
    <w:rsid w:val="007A3BA3"/>
    <w:rsid w:val="007A40CC"/>
    <w:rsid w:val="007A43B2"/>
    <w:rsid w:val="007A43DD"/>
    <w:rsid w:val="007A499B"/>
    <w:rsid w:val="007A4AD1"/>
    <w:rsid w:val="007A4B77"/>
    <w:rsid w:val="007A4CD4"/>
    <w:rsid w:val="007A4E88"/>
    <w:rsid w:val="007A503B"/>
    <w:rsid w:val="007A52B8"/>
    <w:rsid w:val="007A52D6"/>
    <w:rsid w:val="007A5335"/>
    <w:rsid w:val="007A5763"/>
    <w:rsid w:val="007A583A"/>
    <w:rsid w:val="007A5961"/>
    <w:rsid w:val="007A5A1F"/>
    <w:rsid w:val="007A5A2C"/>
    <w:rsid w:val="007A5AEA"/>
    <w:rsid w:val="007A5BEB"/>
    <w:rsid w:val="007A5C32"/>
    <w:rsid w:val="007A5D30"/>
    <w:rsid w:val="007A6147"/>
    <w:rsid w:val="007A61C1"/>
    <w:rsid w:val="007A629E"/>
    <w:rsid w:val="007A659F"/>
    <w:rsid w:val="007A6797"/>
    <w:rsid w:val="007A6CC0"/>
    <w:rsid w:val="007A6D42"/>
    <w:rsid w:val="007A6F60"/>
    <w:rsid w:val="007A7159"/>
    <w:rsid w:val="007A722A"/>
    <w:rsid w:val="007A7387"/>
    <w:rsid w:val="007A75B6"/>
    <w:rsid w:val="007A762A"/>
    <w:rsid w:val="007A7796"/>
    <w:rsid w:val="007A7A54"/>
    <w:rsid w:val="007A7D59"/>
    <w:rsid w:val="007A7FEC"/>
    <w:rsid w:val="007B00BA"/>
    <w:rsid w:val="007B00C3"/>
    <w:rsid w:val="007B0175"/>
    <w:rsid w:val="007B01E6"/>
    <w:rsid w:val="007B031B"/>
    <w:rsid w:val="007B0570"/>
    <w:rsid w:val="007B07B2"/>
    <w:rsid w:val="007B0836"/>
    <w:rsid w:val="007B0879"/>
    <w:rsid w:val="007B092F"/>
    <w:rsid w:val="007B0996"/>
    <w:rsid w:val="007B09C5"/>
    <w:rsid w:val="007B0B6F"/>
    <w:rsid w:val="007B0F58"/>
    <w:rsid w:val="007B10F9"/>
    <w:rsid w:val="007B1499"/>
    <w:rsid w:val="007B15A1"/>
    <w:rsid w:val="007B1787"/>
    <w:rsid w:val="007B1BBF"/>
    <w:rsid w:val="007B1C6A"/>
    <w:rsid w:val="007B1E17"/>
    <w:rsid w:val="007B1E4F"/>
    <w:rsid w:val="007B1EE6"/>
    <w:rsid w:val="007B1F10"/>
    <w:rsid w:val="007B1F96"/>
    <w:rsid w:val="007B20A0"/>
    <w:rsid w:val="007B2378"/>
    <w:rsid w:val="007B237A"/>
    <w:rsid w:val="007B2563"/>
    <w:rsid w:val="007B260B"/>
    <w:rsid w:val="007B2960"/>
    <w:rsid w:val="007B2D6E"/>
    <w:rsid w:val="007B2E4D"/>
    <w:rsid w:val="007B32F9"/>
    <w:rsid w:val="007B354E"/>
    <w:rsid w:val="007B355D"/>
    <w:rsid w:val="007B3784"/>
    <w:rsid w:val="007B3840"/>
    <w:rsid w:val="007B3889"/>
    <w:rsid w:val="007B3A0B"/>
    <w:rsid w:val="007B3C9B"/>
    <w:rsid w:val="007B3D57"/>
    <w:rsid w:val="007B4287"/>
    <w:rsid w:val="007B4867"/>
    <w:rsid w:val="007B48B7"/>
    <w:rsid w:val="007B4AF2"/>
    <w:rsid w:val="007B4EC0"/>
    <w:rsid w:val="007B4FA7"/>
    <w:rsid w:val="007B516A"/>
    <w:rsid w:val="007B54C1"/>
    <w:rsid w:val="007B59CB"/>
    <w:rsid w:val="007B5AE3"/>
    <w:rsid w:val="007B5F12"/>
    <w:rsid w:val="007B5F70"/>
    <w:rsid w:val="007B6048"/>
    <w:rsid w:val="007B620F"/>
    <w:rsid w:val="007B62A9"/>
    <w:rsid w:val="007B6982"/>
    <w:rsid w:val="007B6E7A"/>
    <w:rsid w:val="007B6F28"/>
    <w:rsid w:val="007B6F58"/>
    <w:rsid w:val="007B72CE"/>
    <w:rsid w:val="007B7492"/>
    <w:rsid w:val="007B78B6"/>
    <w:rsid w:val="007B7980"/>
    <w:rsid w:val="007B7F65"/>
    <w:rsid w:val="007C01F4"/>
    <w:rsid w:val="007C02A5"/>
    <w:rsid w:val="007C0361"/>
    <w:rsid w:val="007C046D"/>
    <w:rsid w:val="007C04C0"/>
    <w:rsid w:val="007C09CC"/>
    <w:rsid w:val="007C0CF1"/>
    <w:rsid w:val="007C0DEF"/>
    <w:rsid w:val="007C0E56"/>
    <w:rsid w:val="007C1168"/>
    <w:rsid w:val="007C14FD"/>
    <w:rsid w:val="007C1543"/>
    <w:rsid w:val="007C15DF"/>
    <w:rsid w:val="007C1C1A"/>
    <w:rsid w:val="007C1C8C"/>
    <w:rsid w:val="007C1F90"/>
    <w:rsid w:val="007C203E"/>
    <w:rsid w:val="007C204E"/>
    <w:rsid w:val="007C21C5"/>
    <w:rsid w:val="007C2675"/>
    <w:rsid w:val="007C2AA0"/>
    <w:rsid w:val="007C2B0B"/>
    <w:rsid w:val="007C3029"/>
    <w:rsid w:val="007C3046"/>
    <w:rsid w:val="007C3097"/>
    <w:rsid w:val="007C316B"/>
    <w:rsid w:val="007C31C7"/>
    <w:rsid w:val="007C36A1"/>
    <w:rsid w:val="007C36A6"/>
    <w:rsid w:val="007C3792"/>
    <w:rsid w:val="007C3B39"/>
    <w:rsid w:val="007C3C12"/>
    <w:rsid w:val="007C3C21"/>
    <w:rsid w:val="007C3EFC"/>
    <w:rsid w:val="007C4050"/>
    <w:rsid w:val="007C46FB"/>
    <w:rsid w:val="007C4A3C"/>
    <w:rsid w:val="007C4ADD"/>
    <w:rsid w:val="007C4C4F"/>
    <w:rsid w:val="007C4D10"/>
    <w:rsid w:val="007C4D90"/>
    <w:rsid w:val="007C5005"/>
    <w:rsid w:val="007C5770"/>
    <w:rsid w:val="007C59B6"/>
    <w:rsid w:val="007C5C9B"/>
    <w:rsid w:val="007C5D5A"/>
    <w:rsid w:val="007C607F"/>
    <w:rsid w:val="007C6335"/>
    <w:rsid w:val="007C66E4"/>
    <w:rsid w:val="007C69FB"/>
    <w:rsid w:val="007C6BDA"/>
    <w:rsid w:val="007C6F96"/>
    <w:rsid w:val="007C70D5"/>
    <w:rsid w:val="007C79DD"/>
    <w:rsid w:val="007C79E8"/>
    <w:rsid w:val="007C7A98"/>
    <w:rsid w:val="007C7EA7"/>
    <w:rsid w:val="007C7F37"/>
    <w:rsid w:val="007D0066"/>
    <w:rsid w:val="007D0076"/>
    <w:rsid w:val="007D01AC"/>
    <w:rsid w:val="007D01C7"/>
    <w:rsid w:val="007D01F8"/>
    <w:rsid w:val="007D0787"/>
    <w:rsid w:val="007D07A0"/>
    <w:rsid w:val="007D0879"/>
    <w:rsid w:val="007D0B91"/>
    <w:rsid w:val="007D0F3B"/>
    <w:rsid w:val="007D10DF"/>
    <w:rsid w:val="007D1543"/>
    <w:rsid w:val="007D18D3"/>
    <w:rsid w:val="007D19C3"/>
    <w:rsid w:val="007D1A97"/>
    <w:rsid w:val="007D1BD5"/>
    <w:rsid w:val="007D1D28"/>
    <w:rsid w:val="007D1E63"/>
    <w:rsid w:val="007D1EAD"/>
    <w:rsid w:val="007D20AC"/>
    <w:rsid w:val="007D21FC"/>
    <w:rsid w:val="007D2CD6"/>
    <w:rsid w:val="007D3063"/>
    <w:rsid w:val="007D3141"/>
    <w:rsid w:val="007D3448"/>
    <w:rsid w:val="007D3559"/>
    <w:rsid w:val="007D37B9"/>
    <w:rsid w:val="007D399B"/>
    <w:rsid w:val="007D3B5B"/>
    <w:rsid w:val="007D3CEB"/>
    <w:rsid w:val="007D3D4B"/>
    <w:rsid w:val="007D3F62"/>
    <w:rsid w:val="007D41AB"/>
    <w:rsid w:val="007D4863"/>
    <w:rsid w:val="007D4A1A"/>
    <w:rsid w:val="007D4BE1"/>
    <w:rsid w:val="007D4CC3"/>
    <w:rsid w:val="007D4DDB"/>
    <w:rsid w:val="007D4F3B"/>
    <w:rsid w:val="007D5065"/>
    <w:rsid w:val="007D5133"/>
    <w:rsid w:val="007D516F"/>
    <w:rsid w:val="007D57F7"/>
    <w:rsid w:val="007D58BA"/>
    <w:rsid w:val="007D5A04"/>
    <w:rsid w:val="007D5D4C"/>
    <w:rsid w:val="007D5E93"/>
    <w:rsid w:val="007D5EED"/>
    <w:rsid w:val="007D5EEF"/>
    <w:rsid w:val="007D6396"/>
    <w:rsid w:val="007D6668"/>
    <w:rsid w:val="007D6880"/>
    <w:rsid w:val="007D6B46"/>
    <w:rsid w:val="007D6C68"/>
    <w:rsid w:val="007D6FEC"/>
    <w:rsid w:val="007D715D"/>
    <w:rsid w:val="007D767B"/>
    <w:rsid w:val="007D793C"/>
    <w:rsid w:val="007D79BF"/>
    <w:rsid w:val="007D7E4B"/>
    <w:rsid w:val="007E0ADC"/>
    <w:rsid w:val="007E0C79"/>
    <w:rsid w:val="007E0EC0"/>
    <w:rsid w:val="007E0EF6"/>
    <w:rsid w:val="007E0FFE"/>
    <w:rsid w:val="007E101A"/>
    <w:rsid w:val="007E1606"/>
    <w:rsid w:val="007E1894"/>
    <w:rsid w:val="007E1C25"/>
    <w:rsid w:val="007E1CC5"/>
    <w:rsid w:val="007E1DD2"/>
    <w:rsid w:val="007E20D8"/>
    <w:rsid w:val="007E24DE"/>
    <w:rsid w:val="007E26DF"/>
    <w:rsid w:val="007E271E"/>
    <w:rsid w:val="007E273C"/>
    <w:rsid w:val="007E2A7C"/>
    <w:rsid w:val="007E3259"/>
    <w:rsid w:val="007E34A9"/>
    <w:rsid w:val="007E36DA"/>
    <w:rsid w:val="007E385A"/>
    <w:rsid w:val="007E3885"/>
    <w:rsid w:val="007E3984"/>
    <w:rsid w:val="007E3E7C"/>
    <w:rsid w:val="007E47A4"/>
    <w:rsid w:val="007E481D"/>
    <w:rsid w:val="007E4A1F"/>
    <w:rsid w:val="007E4EAB"/>
    <w:rsid w:val="007E4F1F"/>
    <w:rsid w:val="007E5101"/>
    <w:rsid w:val="007E52B1"/>
    <w:rsid w:val="007E52EE"/>
    <w:rsid w:val="007E5394"/>
    <w:rsid w:val="007E545E"/>
    <w:rsid w:val="007E54D0"/>
    <w:rsid w:val="007E56DD"/>
    <w:rsid w:val="007E5731"/>
    <w:rsid w:val="007E5928"/>
    <w:rsid w:val="007E5F19"/>
    <w:rsid w:val="007E5FA1"/>
    <w:rsid w:val="007E6052"/>
    <w:rsid w:val="007E6850"/>
    <w:rsid w:val="007E6DC7"/>
    <w:rsid w:val="007E7183"/>
    <w:rsid w:val="007E7507"/>
    <w:rsid w:val="007E7607"/>
    <w:rsid w:val="007E7683"/>
    <w:rsid w:val="007E7A03"/>
    <w:rsid w:val="007E7B4B"/>
    <w:rsid w:val="007E7FF7"/>
    <w:rsid w:val="007F02D0"/>
    <w:rsid w:val="007F041B"/>
    <w:rsid w:val="007F0593"/>
    <w:rsid w:val="007F05D1"/>
    <w:rsid w:val="007F0C45"/>
    <w:rsid w:val="007F0D86"/>
    <w:rsid w:val="007F0DDE"/>
    <w:rsid w:val="007F11A7"/>
    <w:rsid w:val="007F12D5"/>
    <w:rsid w:val="007F17A4"/>
    <w:rsid w:val="007F1829"/>
    <w:rsid w:val="007F1A07"/>
    <w:rsid w:val="007F1BF9"/>
    <w:rsid w:val="007F1C15"/>
    <w:rsid w:val="007F1D0D"/>
    <w:rsid w:val="007F21D3"/>
    <w:rsid w:val="007F286A"/>
    <w:rsid w:val="007F2876"/>
    <w:rsid w:val="007F2B19"/>
    <w:rsid w:val="007F2BDA"/>
    <w:rsid w:val="007F31B6"/>
    <w:rsid w:val="007F3521"/>
    <w:rsid w:val="007F3B5D"/>
    <w:rsid w:val="007F3F01"/>
    <w:rsid w:val="007F3F31"/>
    <w:rsid w:val="007F3F94"/>
    <w:rsid w:val="007F40EF"/>
    <w:rsid w:val="007F41D4"/>
    <w:rsid w:val="007F4223"/>
    <w:rsid w:val="007F485E"/>
    <w:rsid w:val="007F49FA"/>
    <w:rsid w:val="007F4AD9"/>
    <w:rsid w:val="007F4B9E"/>
    <w:rsid w:val="007F4C5A"/>
    <w:rsid w:val="007F4DD1"/>
    <w:rsid w:val="007F50D5"/>
    <w:rsid w:val="007F52B5"/>
    <w:rsid w:val="007F534C"/>
    <w:rsid w:val="007F54C4"/>
    <w:rsid w:val="007F575C"/>
    <w:rsid w:val="007F5815"/>
    <w:rsid w:val="007F598F"/>
    <w:rsid w:val="007F5AF9"/>
    <w:rsid w:val="007F5EB2"/>
    <w:rsid w:val="007F6340"/>
    <w:rsid w:val="007F650A"/>
    <w:rsid w:val="007F656D"/>
    <w:rsid w:val="007F671C"/>
    <w:rsid w:val="007F67A7"/>
    <w:rsid w:val="007F6B2C"/>
    <w:rsid w:val="007F6C53"/>
    <w:rsid w:val="007F6C58"/>
    <w:rsid w:val="007F6DFE"/>
    <w:rsid w:val="007F6E9A"/>
    <w:rsid w:val="007F706D"/>
    <w:rsid w:val="007F7306"/>
    <w:rsid w:val="007F7848"/>
    <w:rsid w:val="007F79D7"/>
    <w:rsid w:val="007F7B2E"/>
    <w:rsid w:val="007F7B8C"/>
    <w:rsid w:val="007F7C14"/>
    <w:rsid w:val="007F7E1F"/>
    <w:rsid w:val="007F7FAF"/>
    <w:rsid w:val="00800014"/>
    <w:rsid w:val="00800383"/>
    <w:rsid w:val="0080091B"/>
    <w:rsid w:val="008009E2"/>
    <w:rsid w:val="00800CCD"/>
    <w:rsid w:val="00800EE8"/>
    <w:rsid w:val="00800EE9"/>
    <w:rsid w:val="00801068"/>
    <w:rsid w:val="00801116"/>
    <w:rsid w:val="0080179C"/>
    <w:rsid w:val="00801B77"/>
    <w:rsid w:val="00801BCF"/>
    <w:rsid w:val="00801E6C"/>
    <w:rsid w:val="00801F9A"/>
    <w:rsid w:val="00802002"/>
    <w:rsid w:val="008020FE"/>
    <w:rsid w:val="0080215F"/>
    <w:rsid w:val="008021A5"/>
    <w:rsid w:val="00802273"/>
    <w:rsid w:val="008022BB"/>
    <w:rsid w:val="0080247E"/>
    <w:rsid w:val="00802613"/>
    <w:rsid w:val="00802891"/>
    <w:rsid w:val="00802A63"/>
    <w:rsid w:val="00802A74"/>
    <w:rsid w:val="00802BB3"/>
    <w:rsid w:val="00802CC9"/>
    <w:rsid w:val="008032C6"/>
    <w:rsid w:val="00803769"/>
    <w:rsid w:val="00803932"/>
    <w:rsid w:val="00803A9A"/>
    <w:rsid w:val="00803BA6"/>
    <w:rsid w:val="008040BD"/>
    <w:rsid w:val="0080416D"/>
    <w:rsid w:val="008044D4"/>
    <w:rsid w:val="0080463E"/>
    <w:rsid w:val="00804A80"/>
    <w:rsid w:val="0080525C"/>
    <w:rsid w:val="00805755"/>
    <w:rsid w:val="00805AA2"/>
    <w:rsid w:val="0080606C"/>
    <w:rsid w:val="0080682B"/>
    <w:rsid w:val="0080686E"/>
    <w:rsid w:val="00806903"/>
    <w:rsid w:val="008069D3"/>
    <w:rsid w:val="00806B26"/>
    <w:rsid w:val="00806CFD"/>
    <w:rsid w:val="00806E90"/>
    <w:rsid w:val="00806F07"/>
    <w:rsid w:val="00807AC6"/>
    <w:rsid w:val="00807C4E"/>
    <w:rsid w:val="00807D75"/>
    <w:rsid w:val="00807FF2"/>
    <w:rsid w:val="00810400"/>
    <w:rsid w:val="00810583"/>
    <w:rsid w:val="00810AB4"/>
    <w:rsid w:val="00810B1D"/>
    <w:rsid w:val="00810ECA"/>
    <w:rsid w:val="00810EEE"/>
    <w:rsid w:val="00810F70"/>
    <w:rsid w:val="00810F86"/>
    <w:rsid w:val="00810FA3"/>
    <w:rsid w:val="0081100C"/>
    <w:rsid w:val="00811134"/>
    <w:rsid w:val="008111A6"/>
    <w:rsid w:val="008114FC"/>
    <w:rsid w:val="00811549"/>
    <w:rsid w:val="00811634"/>
    <w:rsid w:val="00811650"/>
    <w:rsid w:val="00811CD1"/>
    <w:rsid w:val="00812002"/>
    <w:rsid w:val="008120B5"/>
    <w:rsid w:val="00812760"/>
    <w:rsid w:val="00812BC3"/>
    <w:rsid w:val="00812DBA"/>
    <w:rsid w:val="00812DEE"/>
    <w:rsid w:val="00812F67"/>
    <w:rsid w:val="0081305C"/>
    <w:rsid w:val="008131EA"/>
    <w:rsid w:val="0081321B"/>
    <w:rsid w:val="008132C1"/>
    <w:rsid w:val="00813377"/>
    <w:rsid w:val="00813B2E"/>
    <w:rsid w:val="00813E8F"/>
    <w:rsid w:val="00813FCF"/>
    <w:rsid w:val="0081418C"/>
    <w:rsid w:val="00814302"/>
    <w:rsid w:val="008144A2"/>
    <w:rsid w:val="00814606"/>
    <w:rsid w:val="00814953"/>
    <w:rsid w:val="00814C50"/>
    <w:rsid w:val="00814C71"/>
    <w:rsid w:val="00814D0E"/>
    <w:rsid w:val="00814D57"/>
    <w:rsid w:val="00814D7C"/>
    <w:rsid w:val="00814EE7"/>
    <w:rsid w:val="008150AF"/>
    <w:rsid w:val="008156A2"/>
    <w:rsid w:val="00815741"/>
    <w:rsid w:val="00815A9F"/>
    <w:rsid w:val="00815BB3"/>
    <w:rsid w:val="00815C68"/>
    <w:rsid w:val="00815E13"/>
    <w:rsid w:val="0081638F"/>
    <w:rsid w:val="0081660C"/>
    <w:rsid w:val="00816682"/>
    <w:rsid w:val="008168C3"/>
    <w:rsid w:val="00816948"/>
    <w:rsid w:val="00816A1D"/>
    <w:rsid w:val="00816C94"/>
    <w:rsid w:val="00816CB9"/>
    <w:rsid w:val="00816D29"/>
    <w:rsid w:val="00816F69"/>
    <w:rsid w:val="00817049"/>
    <w:rsid w:val="00817157"/>
    <w:rsid w:val="00817214"/>
    <w:rsid w:val="008172C4"/>
    <w:rsid w:val="008172F3"/>
    <w:rsid w:val="008173D0"/>
    <w:rsid w:val="00817A98"/>
    <w:rsid w:val="00817A9D"/>
    <w:rsid w:val="00817B56"/>
    <w:rsid w:val="00817BD6"/>
    <w:rsid w:val="00817C1D"/>
    <w:rsid w:val="00817F4B"/>
    <w:rsid w:val="00820442"/>
    <w:rsid w:val="0082061B"/>
    <w:rsid w:val="00820760"/>
    <w:rsid w:val="00820A67"/>
    <w:rsid w:val="00820C85"/>
    <w:rsid w:val="00820E4A"/>
    <w:rsid w:val="0082126A"/>
    <w:rsid w:val="00821675"/>
    <w:rsid w:val="00821863"/>
    <w:rsid w:val="00821A88"/>
    <w:rsid w:val="00821E68"/>
    <w:rsid w:val="00822000"/>
    <w:rsid w:val="00822517"/>
    <w:rsid w:val="00822546"/>
    <w:rsid w:val="008226CD"/>
    <w:rsid w:val="00822C3E"/>
    <w:rsid w:val="00823100"/>
    <w:rsid w:val="008231A5"/>
    <w:rsid w:val="0082322E"/>
    <w:rsid w:val="008234E6"/>
    <w:rsid w:val="00823680"/>
    <w:rsid w:val="008237BB"/>
    <w:rsid w:val="00823887"/>
    <w:rsid w:val="0082389A"/>
    <w:rsid w:val="00823FDF"/>
    <w:rsid w:val="008244A0"/>
    <w:rsid w:val="00824570"/>
    <w:rsid w:val="0082495D"/>
    <w:rsid w:val="00824B7B"/>
    <w:rsid w:val="00824B8B"/>
    <w:rsid w:val="00824D8F"/>
    <w:rsid w:val="008250AA"/>
    <w:rsid w:val="0082513D"/>
    <w:rsid w:val="00825578"/>
    <w:rsid w:val="00825614"/>
    <w:rsid w:val="00825AD1"/>
    <w:rsid w:val="00825E3D"/>
    <w:rsid w:val="00826053"/>
    <w:rsid w:val="008261A8"/>
    <w:rsid w:val="00826298"/>
    <w:rsid w:val="0082641E"/>
    <w:rsid w:val="00826921"/>
    <w:rsid w:val="00826AAD"/>
    <w:rsid w:val="00826B22"/>
    <w:rsid w:val="00826C2D"/>
    <w:rsid w:val="00826C74"/>
    <w:rsid w:val="00826CD7"/>
    <w:rsid w:val="00826EDD"/>
    <w:rsid w:val="00826F58"/>
    <w:rsid w:val="008277DC"/>
    <w:rsid w:val="00827A44"/>
    <w:rsid w:val="008301A9"/>
    <w:rsid w:val="008305A0"/>
    <w:rsid w:val="00830736"/>
    <w:rsid w:val="0083076D"/>
    <w:rsid w:val="00830998"/>
    <w:rsid w:val="00830ADB"/>
    <w:rsid w:val="00831226"/>
    <w:rsid w:val="00831376"/>
    <w:rsid w:val="008313BF"/>
    <w:rsid w:val="008314E9"/>
    <w:rsid w:val="008317D5"/>
    <w:rsid w:val="008317EE"/>
    <w:rsid w:val="00831AC3"/>
    <w:rsid w:val="00831FA1"/>
    <w:rsid w:val="008320A8"/>
    <w:rsid w:val="008322A5"/>
    <w:rsid w:val="008324D6"/>
    <w:rsid w:val="00832A95"/>
    <w:rsid w:val="00832BD0"/>
    <w:rsid w:val="00833155"/>
    <w:rsid w:val="00833563"/>
    <w:rsid w:val="0083357B"/>
    <w:rsid w:val="00833913"/>
    <w:rsid w:val="00833E82"/>
    <w:rsid w:val="00833F4B"/>
    <w:rsid w:val="008345AB"/>
    <w:rsid w:val="00834601"/>
    <w:rsid w:val="00834BF8"/>
    <w:rsid w:val="00834CF8"/>
    <w:rsid w:val="00834F8A"/>
    <w:rsid w:val="0083503D"/>
    <w:rsid w:val="00835329"/>
    <w:rsid w:val="0083585C"/>
    <w:rsid w:val="00835A39"/>
    <w:rsid w:val="00835A4D"/>
    <w:rsid w:val="00835B17"/>
    <w:rsid w:val="00835B58"/>
    <w:rsid w:val="008361D9"/>
    <w:rsid w:val="008363E5"/>
    <w:rsid w:val="008366CA"/>
    <w:rsid w:val="00836C35"/>
    <w:rsid w:val="00836FCE"/>
    <w:rsid w:val="00837010"/>
    <w:rsid w:val="008370D4"/>
    <w:rsid w:val="00837249"/>
    <w:rsid w:val="00837288"/>
    <w:rsid w:val="008372C1"/>
    <w:rsid w:val="0083738D"/>
    <w:rsid w:val="00837EC0"/>
    <w:rsid w:val="00837F07"/>
    <w:rsid w:val="00837F0E"/>
    <w:rsid w:val="00837F30"/>
    <w:rsid w:val="008407B0"/>
    <w:rsid w:val="008408FF"/>
    <w:rsid w:val="00840A5B"/>
    <w:rsid w:val="00840B71"/>
    <w:rsid w:val="00840C51"/>
    <w:rsid w:val="00840C57"/>
    <w:rsid w:val="00840EB6"/>
    <w:rsid w:val="00841044"/>
    <w:rsid w:val="00841510"/>
    <w:rsid w:val="008415A0"/>
    <w:rsid w:val="00841617"/>
    <w:rsid w:val="0084174A"/>
    <w:rsid w:val="00841806"/>
    <w:rsid w:val="00842304"/>
    <w:rsid w:val="00842601"/>
    <w:rsid w:val="0084260C"/>
    <w:rsid w:val="00842747"/>
    <w:rsid w:val="00842AF9"/>
    <w:rsid w:val="00842B32"/>
    <w:rsid w:val="00842D9D"/>
    <w:rsid w:val="00842DF4"/>
    <w:rsid w:val="00843085"/>
    <w:rsid w:val="00843416"/>
    <w:rsid w:val="0084348E"/>
    <w:rsid w:val="008434EE"/>
    <w:rsid w:val="008435E5"/>
    <w:rsid w:val="008436A9"/>
    <w:rsid w:val="008436CE"/>
    <w:rsid w:val="008438EA"/>
    <w:rsid w:val="00843AAA"/>
    <w:rsid w:val="00843ABE"/>
    <w:rsid w:val="00843C34"/>
    <w:rsid w:val="00843C9F"/>
    <w:rsid w:val="00843CC1"/>
    <w:rsid w:val="00843D63"/>
    <w:rsid w:val="0084424A"/>
    <w:rsid w:val="0084426E"/>
    <w:rsid w:val="008444DE"/>
    <w:rsid w:val="00844C8B"/>
    <w:rsid w:val="00844C8F"/>
    <w:rsid w:val="00844D3A"/>
    <w:rsid w:val="00844F07"/>
    <w:rsid w:val="0084531F"/>
    <w:rsid w:val="008453AA"/>
    <w:rsid w:val="008455AD"/>
    <w:rsid w:val="008455E4"/>
    <w:rsid w:val="008457DD"/>
    <w:rsid w:val="00845821"/>
    <w:rsid w:val="008458E2"/>
    <w:rsid w:val="00845C3A"/>
    <w:rsid w:val="00845D0D"/>
    <w:rsid w:val="00846290"/>
    <w:rsid w:val="00846502"/>
    <w:rsid w:val="0084656B"/>
    <w:rsid w:val="0084657C"/>
    <w:rsid w:val="008466A4"/>
    <w:rsid w:val="00846F2F"/>
    <w:rsid w:val="00846F96"/>
    <w:rsid w:val="00847030"/>
    <w:rsid w:val="0084770C"/>
    <w:rsid w:val="00847A5C"/>
    <w:rsid w:val="00847B70"/>
    <w:rsid w:val="00847BF9"/>
    <w:rsid w:val="00847E68"/>
    <w:rsid w:val="008500A5"/>
    <w:rsid w:val="00850145"/>
    <w:rsid w:val="008502D9"/>
    <w:rsid w:val="0085091B"/>
    <w:rsid w:val="00850B24"/>
    <w:rsid w:val="00850BE0"/>
    <w:rsid w:val="0085106B"/>
    <w:rsid w:val="00851249"/>
    <w:rsid w:val="008516BB"/>
    <w:rsid w:val="00851A4D"/>
    <w:rsid w:val="00851C30"/>
    <w:rsid w:val="00851C45"/>
    <w:rsid w:val="00851CD2"/>
    <w:rsid w:val="00851DDE"/>
    <w:rsid w:val="00851F3F"/>
    <w:rsid w:val="00851F56"/>
    <w:rsid w:val="00851FF6"/>
    <w:rsid w:val="00852042"/>
    <w:rsid w:val="0085222D"/>
    <w:rsid w:val="00852328"/>
    <w:rsid w:val="008524A4"/>
    <w:rsid w:val="008524FD"/>
    <w:rsid w:val="00852928"/>
    <w:rsid w:val="00852A9F"/>
    <w:rsid w:val="00852C6D"/>
    <w:rsid w:val="00852EE9"/>
    <w:rsid w:val="00852F73"/>
    <w:rsid w:val="0085322E"/>
    <w:rsid w:val="0085328F"/>
    <w:rsid w:val="008533F2"/>
    <w:rsid w:val="008534C8"/>
    <w:rsid w:val="00853A70"/>
    <w:rsid w:val="00853C40"/>
    <w:rsid w:val="00854022"/>
    <w:rsid w:val="0085442D"/>
    <w:rsid w:val="00854590"/>
    <w:rsid w:val="00854894"/>
    <w:rsid w:val="00854A1A"/>
    <w:rsid w:val="00854BAE"/>
    <w:rsid w:val="00854BE6"/>
    <w:rsid w:val="00854D0B"/>
    <w:rsid w:val="0085509F"/>
    <w:rsid w:val="00855108"/>
    <w:rsid w:val="0085533C"/>
    <w:rsid w:val="008553E5"/>
    <w:rsid w:val="008559DC"/>
    <w:rsid w:val="00855BAA"/>
    <w:rsid w:val="00855DD7"/>
    <w:rsid w:val="00856043"/>
    <w:rsid w:val="00856231"/>
    <w:rsid w:val="00856703"/>
    <w:rsid w:val="00856748"/>
    <w:rsid w:val="00856B29"/>
    <w:rsid w:val="00856DA2"/>
    <w:rsid w:val="00856EDC"/>
    <w:rsid w:val="00856FF3"/>
    <w:rsid w:val="00857CF7"/>
    <w:rsid w:val="00857FF6"/>
    <w:rsid w:val="0086028C"/>
    <w:rsid w:val="00860517"/>
    <w:rsid w:val="00860552"/>
    <w:rsid w:val="00860677"/>
    <w:rsid w:val="00860854"/>
    <w:rsid w:val="00860C8B"/>
    <w:rsid w:val="00860E20"/>
    <w:rsid w:val="00861213"/>
    <w:rsid w:val="008612C3"/>
    <w:rsid w:val="0086134A"/>
    <w:rsid w:val="0086167C"/>
    <w:rsid w:val="008616A1"/>
    <w:rsid w:val="00861C08"/>
    <w:rsid w:val="00861F00"/>
    <w:rsid w:val="0086232E"/>
    <w:rsid w:val="008623B5"/>
    <w:rsid w:val="00862635"/>
    <w:rsid w:val="008628E1"/>
    <w:rsid w:val="00862A4A"/>
    <w:rsid w:val="00862CD4"/>
    <w:rsid w:val="00863008"/>
    <w:rsid w:val="0086336E"/>
    <w:rsid w:val="0086359A"/>
    <w:rsid w:val="0086370A"/>
    <w:rsid w:val="008637BD"/>
    <w:rsid w:val="008637EF"/>
    <w:rsid w:val="00863824"/>
    <w:rsid w:val="00863921"/>
    <w:rsid w:val="00863CA5"/>
    <w:rsid w:val="00863CC7"/>
    <w:rsid w:val="008640F2"/>
    <w:rsid w:val="008641E7"/>
    <w:rsid w:val="0086470C"/>
    <w:rsid w:val="008649ED"/>
    <w:rsid w:val="00864E8D"/>
    <w:rsid w:val="00865059"/>
    <w:rsid w:val="0086545E"/>
    <w:rsid w:val="0086572E"/>
    <w:rsid w:val="00865876"/>
    <w:rsid w:val="008658E5"/>
    <w:rsid w:val="00865A8A"/>
    <w:rsid w:val="00865B48"/>
    <w:rsid w:val="00865D35"/>
    <w:rsid w:val="00865DED"/>
    <w:rsid w:val="00865F0E"/>
    <w:rsid w:val="0086689A"/>
    <w:rsid w:val="00866B63"/>
    <w:rsid w:val="00866DFF"/>
    <w:rsid w:val="00866F3F"/>
    <w:rsid w:val="0086721E"/>
    <w:rsid w:val="008675C2"/>
    <w:rsid w:val="00867AE2"/>
    <w:rsid w:val="00867BC3"/>
    <w:rsid w:val="00867F50"/>
    <w:rsid w:val="00867F67"/>
    <w:rsid w:val="0087002C"/>
    <w:rsid w:val="00870096"/>
    <w:rsid w:val="008701EF"/>
    <w:rsid w:val="008702E8"/>
    <w:rsid w:val="0087035A"/>
    <w:rsid w:val="008705A5"/>
    <w:rsid w:val="0087077B"/>
    <w:rsid w:val="008708BA"/>
    <w:rsid w:val="00870947"/>
    <w:rsid w:val="00870A5A"/>
    <w:rsid w:val="00870ABA"/>
    <w:rsid w:val="008710E1"/>
    <w:rsid w:val="008714BC"/>
    <w:rsid w:val="008716E5"/>
    <w:rsid w:val="0087177F"/>
    <w:rsid w:val="00871B1F"/>
    <w:rsid w:val="00871B2E"/>
    <w:rsid w:val="00871BCB"/>
    <w:rsid w:val="00871D6E"/>
    <w:rsid w:val="00871EB9"/>
    <w:rsid w:val="008720B7"/>
    <w:rsid w:val="008720F7"/>
    <w:rsid w:val="00872268"/>
    <w:rsid w:val="00872470"/>
    <w:rsid w:val="008725F1"/>
    <w:rsid w:val="00872DF0"/>
    <w:rsid w:val="00873287"/>
    <w:rsid w:val="00873321"/>
    <w:rsid w:val="0087345C"/>
    <w:rsid w:val="00873657"/>
    <w:rsid w:val="0087370F"/>
    <w:rsid w:val="00873790"/>
    <w:rsid w:val="00873B0E"/>
    <w:rsid w:val="00873D38"/>
    <w:rsid w:val="00873E38"/>
    <w:rsid w:val="00873FEE"/>
    <w:rsid w:val="0087459A"/>
    <w:rsid w:val="008746F2"/>
    <w:rsid w:val="00874791"/>
    <w:rsid w:val="00874ADD"/>
    <w:rsid w:val="00874EB6"/>
    <w:rsid w:val="0087504D"/>
    <w:rsid w:val="008750F9"/>
    <w:rsid w:val="008751C8"/>
    <w:rsid w:val="00875275"/>
    <w:rsid w:val="00875288"/>
    <w:rsid w:val="0087547C"/>
    <w:rsid w:val="008754C6"/>
    <w:rsid w:val="00875D42"/>
    <w:rsid w:val="00876053"/>
    <w:rsid w:val="0087611E"/>
    <w:rsid w:val="0087660D"/>
    <w:rsid w:val="008769A2"/>
    <w:rsid w:val="00876E87"/>
    <w:rsid w:val="00877005"/>
    <w:rsid w:val="008770A9"/>
    <w:rsid w:val="00877A96"/>
    <w:rsid w:val="00877DB0"/>
    <w:rsid w:val="00877E29"/>
    <w:rsid w:val="00877E42"/>
    <w:rsid w:val="00877E62"/>
    <w:rsid w:val="00877F8E"/>
    <w:rsid w:val="0088022B"/>
    <w:rsid w:val="008802FF"/>
    <w:rsid w:val="00880394"/>
    <w:rsid w:val="00880889"/>
    <w:rsid w:val="00880893"/>
    <w:rsid w:val="008808CD"/>
    <w:rsid w:val="00880DB2"/>
    <w:rsid w:val="00880EC2"/>
    <w:rsid w:val="008816F8"/>
    <w:rsid w:val="008817B6"/>
    <w:rsid w:val="0088186B"/>
    <w:rsid w:val="00881899"/>
    <w:rsid w:val="008819FC"/>
    <w:rsid w:val="00881C69"/>
    <w:rsid w:val="00881CA9"/>
    <w:rsid w:val="0088202A"/>
    <w:rsid w:val="0088203D"/>
    <w:rsid w:val="00882171"/>
    <w:rsid w:val="00882400"/>
    <w:rsid w:val="00882587"/>
    <w:rsid w:val="00882662"/>
    <w:rsid w:val="008826F6"/>
    <w:rsid w:val="00882BA4"/>
    <w:rsid w:val="00882DCD"/>
    <w:rsid w:val="00882EFC"/>
    <w:rsid w:val="00882F16"/>
    <w:rsid w:val="008830B8"/>
    <w:rsid w:val="00883355"/>
    <w:rsid w:val="00883382"/>
    <w:rsid w:val="008833FF"/>
    <w:rsid w:val="00883577"/>
    <w:rsid w:val="00883628"/>
    <w:rsid w:val="008839D5"/>
    <w:rsid w:val="00883A88"/>
    <w:rsid w:val="00883EAD"/>
    <w:rsid w:val="00883EDD"/>
    <w:rsid w:val="008841A9"/>
    <w:rsid w:val="00884426"/>
    <w:rsid w:val="008844DA"/>
    <w:rsid w:val="00884860"/>
    <w:rsid w:val="00884943"/>
    <w:rsid w:val="00884D4C"/>
    <w:rsid w:val="00884D5D"/>
    <w:rsid w:val="00884D7B"/>
    <w:rsid w:val="00884EE0"/>
    <w:rsid w:val="00885374"/>
    <w:rsid w:val="008854C3"/>
    <w:rsid w:val="00885544"/>
    <w:rsid w:val="00885806"/>
    <w:rsid w:val="00885923"/>
    <w:rsid w:val="008859CC"/>
    <w:rsid w:val="00885B76"/>
    <w:rsid w:val="00885CFE"/>
    <w:rsid w:val="00885DA6"/>
    <w:rsid w:val="00885FA8"/>
    <w:rsid w:val="00886027"/>
    <w:rsid w:val="008861E6"/>
    <w:rsid w:val="0088634E"/>
    <w:rsid w:val="008863DD"/>
    <w:rsid w:val="008864BF"/>
    <w:rsid w:val="008867F2"/>
    <w:rsid w:val="008868E0"/>
    <w:rsid w:val="00886A6B"/>
    <w:rsid w:val="00886B27"/>
    <w:rsid w:val="008871BB"/>
    <w:rsid w:val="00887401"/>
    <w:rsid w:val="0088749F"/>
    <w:rsid w:val="008874A7"/>
    <w:rsid w:val="008874E6"/>
    <w:rsid w:val="00887649"/>
    <w:rsid w:val="008876C4"/>
    <w:rsid w:val="00887746"/>
    <w:rsid w:val="008878F7"/>
    <w:rsid w:val="00887C55"/>
    <w:rsid w:val="0089066A"/>
    <w:rsid w:val="008906A6"/>
    <w:rsid w:val="0089076B"/>
    <w:rsid w:val="008907F8"/>
    <w:rsid w:val="00890845"/>
    <w:rsid w:val="00891495"/>
    <w:rsid w:val="0089150B"/>
    <w:rsid w:val="00891597"/>
    <w:rsid w:val="008917F6"/>
    <w:rsid w:val="00891839"/>
    <w:rsid w:val="008919BE"/>
    <w:rsid w:val="00892043"/>
    <w:rsid w:val="00892046"/>
    <w:rsid w:val="0089213F"/>
    <w:rsid w:val="008925B5"/>
    <w:rsid w:val="008929C9"/>
    <w:rsid w:val="00893101"/>
    <w:rsid w:val="00893145"/>
    <w:rsid w:val="00893605"/>
    <w:rsid w:val="00893AB8"/>
    <w:rsid w:val="00893E7D"/>
    <w:rsid w:val="0089437B"/>
    <w:rsid w:val="0089469B"/>
    <w:rsid w:val="00894AC6"/>
    <w:rsid w:val="00894B96"/>
    <w:rsid w:val="00894DDB"/>
    <w:rsid w:val="0089540F"/>
    <w:rsid w:val="008954BB"/>
    <w:rsid w:val="008955AD"/>
    <w:rsid w:val="008956BA"/>
    <w:rsid w:val="00895B0C"/>
    <w:rsid w:val="00895C09"/>
    <w:rsid w:val="00895F18"/>
    <w:rsid w:val="0089616C"/>
    <w:rsid w:val="00896757"/>
    <w:rsid w:val="00896C4C"/>
    <w:rsid w:val="00896E02"/>
    <w:rsid w:val="008976B1"/>
    <w:rsid w:val="00897C56"/>
    <w:rsid w:val="00897EB4"/>
    <w:rsid w:val="008A004D"/>
    <w:rsid w:val="008A03FA"/>
    <w:rsid w:val="008A04C8"/>
    <w:rsid w:val="008A07CF"/>
    <w:rsid w:val="008A0B9B"/>
    <w:rsid w:val="008A0D4A"/>
    <w:rsid w:val="008A0F7B"/>
    <w:rsid w:val="008A12CA"/>
    <w:rsid w:val="008A1550"/>
    <w:rsid w:val="008A1612"/>
    <w:rsid w:val="008A1C79"/>
    <w:rsid w:val="008A1F3E"/>
    <w:rsid w:val="008A2318"/>
    <w:rsid w:val="008A2339"/>
    <w:rsid w:val="008A2486"/>
    <w:rsid w:val="008A2DEB"/>
    <w:rsid w:val="008A35D0"/>
    <w:rsid w:val="008A38A0"/>
    <w:rsid w:val="008A3989"/>
    <w:rsid w:val="008A3BFC"/>
    <w:rsid w:val="008A3E40"/>
    <w:rsid w:val="008A3E8A"/>
    <w:rsid w:val="008A404F"/>
    <w:rsid w:val="008A4769"/>
    <w:rsid w:val="008A4831"/>
    <w:rsid w:val="008A4C50"/>
    <w:rsid w:val="008A4E4B"/>
    <w:rsid w:val="008A5242"/>
    <w:rsid w:val="008A5370"/>
    <w:rsid w:val="008A53A8"/>
    <w:rsid w:val="008A5507"/>
    <w:rsid w:val="008A5941"/>
    <w:rsid w:val="008A5A7A"/>
    <w:rsid w:val="008A5CF1"/>
    <w:rsid w:val="008A5F68"/>
    <w:rsid w:val="008A6913"/>
    <w:rsid w:val="008A6C0E"/>
    <w:rsid w:val="008A6D23"/>
    <w:rsid w:val="008A6D90"/>
    <w:rsid w:val="008A6FDD"/>
    <w:rsid w:val="008A78FC"/>
    <w:rsid w:val="008A791A"/>
    <w:rsid w:val="008A7939"/>
    <w:rsid w:val="008A7CBB"/>
    <w:rsid w:val="008A7D91"/>
    <w:rsid w:val="008A7F9A"/>
    <w:rsid w:val="008B001B"/>
    <w:rsid w:val="008B0220"/>
    <w:rsid w:val="008B02F0"/>
    <w:rsid w:val="008B0639"/>
    <w:rsid w:val="008B06F0"/>
    <w:rsid w:val="008B06F3"/>
    <w:rsid w:val="008B076D"/>
    <w:rsid w:val="008B099A"/>
    <w:rsid w:val="008B0EA8"/>
    <w:rsid w:val="008B0EAB"/>
    <w:rsid w:val="008B1398"/>
    <w:rsid w:val="008B1887"/>
    <w:rsid w:val="008B1914"/>
    <w:rsid w:val="008B1B46"/>
    <w:rsid w:val="008B1BC9"/>
    <w:rsid w:val="008B1E66"/>
    <w:rsid w:val="008B1E8C"/>
    <w:rsid w:val="008B1EFD"/>
    <w:rsid w:val="008B21C1"/>
    <w:rsid w:val="008B222D"/>
    <w:rsid w:val="008B2300"/>
    <w:rsid w:val="008B2441"/>
    <w:rsid w:val="008B2490"/>
    <w:rsid w:val="008B24F6"/>
    <w:rsid w:val="008B2671"/>
    <w:rsid w:val="008B2703"/>
    <w:rsid w:val="008B298B"/>
    <w:rsid w:val="008B29E9"/>
    <w:rsid w:val="008B2B5E"/>
    <w:rsid w:val="008B2BEC"/>
    <w:rsid w:val="008B3754"/>
    <w:rsid w:val="008B377A"/>
    <w:rsid w:val="008B3898"/>
    <w:rsid w:val="008B3957"/>
    <w:rsid w:val="008B4079"/>
    <w:rsid w:val="008B41B1"/>
    <w:rsid w:val="008B4265"/>
    <w:rsid w:val="008B455A"/>
    <w:rsid w:val="008B46B6"/>
    <w:rsid w:val="008B48AF"/>
    <w:rsid w:val="008B4BA6"/>
    <w:rsid w:val="008B4E83"/>
    <w:rsid w:val="008B4F8B"/>
    <w:rsid w:val="008B50D1"/>
    <w:rsid w:val="008B50F6"/>
    <w:rsid w:val="008B512C"/>
    <w:rsid w:val="008B54B2"/>
    <w:rsid w:val="008B587D"/>
    <w:rsid w:val="008B5CDE"/>
    <w:rsid w:val="008B5D93"/>
    <w:rsid w:val="008B6188"/>
    <w:rsid w:val="008B675C"/>
    <w:rsid w:val="008B6B54"/>
    <w:rsid w:val="008B707B"/>
    <w:rsid w:val="008B70B6"/>
    <w:rsid w:val="008B70F3"/>
    <w:rsid w:val="008B71C4"/>
    <w:rsid w:val="008B7600"/>
    <w:rsid w:val="008B76DF"/>
    <w:rsid w:val="008B76ED"/>
    <w:rsid w:val="008B7B09"/>
    <w:rsid w:val="008B7CD9"/>
    <w:rsid w:val="008B7E83"/>
    <w:rsid w:val="008B7F5A"/>
    <w:rsid w:val="008C0032"/>
    <w:rsid w:val="008C053A"/>
    <w:rsid w:val="008C05DE"/>
    <w:rsid w:val="008C05E1"/>
    <w:rsid w:val="008C096F"/>
    <w:rsid w:val="008C0A2E"/>
    <w:rsid w:val="008C0FD4"/>
    <w:rsid w:val="008C107C"/>
    <w:rsid w:val="008C10F4"/>
    <w:rsid w:val="008C166A"/>
    <w:rsid w:val="008C1828"/>
    <w:rsid w:val="008C1915"/>
    <w:rsid w:val="008C19D8"/>
    <w:rsid w:val="008C1B71"/>
    <w:rsid w:val="008C1CE7"/>
    <w:rsid w:val="008C2576"/>
    <w:rsid w:val="008C29C9"/>
    <w:rsid w:val="008C2AC9"/>
    <w:rsid w:val="008C2D77"/>
    <w:rsid w:val="008C2E45"/>
    <w:rsid w:val="008C2F4A"/>
    <w:rsid w:val="008C3139"/>
    <w:rsid w:val="008C3299"/>
    <w:rsid w:val="008C34D5"/>
    <w:rsid w:val="008C3756"/>
    <w:rsid w:val="008C3FFF"/>
    <w:rsid w:val="008C400F"/>
    <w:rsid w:val="008C4251"/>
    <w:rsid w:val="008C4325"/>
    <w:rsid w:val="008C491C"/>
    <w:rsid w:val="008C4B81"/>
    <w:rsid w:val="008C4D43"/>
    <w:rsid w:val="008C5036"/>
    <w:rsid w:val="008C5626"/>
    <w:rsid w:val="008C56D5"/>
    <w:rsid w:val="008C58CC"/>
    <w:rsid w:val="008C5A83"/>
    <w:rsid w:val="008C5CAD"/>
    <w:rsid w:val="008C5E82"/>
    <w:rsid w:val="008C5E9E"/>
    <w:rsid w:val="008C5F4A"/>
    <w:rsid w:val="008C6085"/>
    <w:rsid w:val="008C643F"/>
    <w:rsid w:val="008C6566"/>
    <w:rsid w:val="008C65F7"/>
    <w:rsid w:val="008C6B73"/>
    <w:rsid w:val="008C6C57"/>
    <w:rsid w:val="008C6EB3"/>
    <w:rsid w:val="008C7155"/>
    <w:rsid w:val="008C73FE"/>
    <w:rsid w:val="008C74AA"/>
    <w:rsid w:val="008C7967"/>
    <w:rsid w:val="008C7985"/>
    <w:rsid w:val="008C7BC3"/>
    <w:rsid w:val="008D003E"/>
    <w:rsid w:val="008D004E"/>
    <w:rsid w:val="008D024A"/>
    <w:rsid w:val="008D11BA"/>
    <w:rsid w:val="008D141D"/>
    <w:rsid w:val="008D1D8D"/>
    <w:rsid w:val="008D1E78"/>
    <w:rsid w:val="008D22B2"/>
    <w:rsid w:val="008D2397"/>
    <w:rsid w:val="008D2589"/>
    <w:rsid w:val="008D260A"/>
    <w:rsid w:val="008D2907"/>
    <w:rsid w:val="008D2ABE"/>
    <w:rsid w:val="008D2D62"/>
    <w:rsid w:val="008D2FDE"/>
    <w:rsid w:val="008D2FF0"/>
    <w:rsid w:val="008D3726"/>
    <w:rsid w:val="008D3CAC"/>
    <w:rsid w:val="008D3CCA"/>
    <w:rsid w:val="008D3CF7"/>
    <w:rsid w:val="008D3DB4"/>
    <w:rsid w:val="008D3EB4"/>
    <w:rsid w:val="008D4466"/>
    <w:rsid w:val="008D45FA"/>
    <w:rsid w:val="008D4887"/>
    <w:rsid w:val="008D499B"/>
    <w:rsid w:val="008D4B99"/>
    <w:rsid w:val="008D4DDD"/>
    <w:rsid w:val="008D5596"/>
    <w:rsid w:val="008D5D8A"/>
    <w:rsid w:val="008D5F8F"/>
    <w:rsid w:val="008D615F"/>
    <w:rsid w:val="008D6578"/>
    <w:rsid w:val="008D68AE"/>
    <w:rsid w:val="008D69B6"/>
    <w:rsid w:val="008D6D8E"/>
    <w:rsid w:val="008D6F22"/>
    <w:rsid w:val="008D751F"/>
    <w:rsid w:val="008D7960"/>
    <w:rsid w:val="008D7B28"/>
    <w:rsid w:val="008D7D3C"/>
    <w:rsid w:val="008E01B8"/>
    <w:rsid w:val="008E0428"/>
    <w:rsid w:val="008E06A7"/>
    <w:rsid w:val="008E0827"/>
    <w:rsid w:val="008E0B84"/>
    <w:rsid w:val="008E0D3D"/>
    <w:rsid w:val="008E0D96"/>
    <w:rsid w:val="008E0F0A"/>
    <w:rsid w:val="008E178D"/>
    <w:rsid w:val="008E1AEE"/>
    <w:rsid w:val="008E210D"/>
    <w:rsid w:val="008E2399"/>
    <w:rsid w:val="008E25A2"/>
    <w:rsid w:val="008E26E9"/>
    <w:rsid w:val="008E2771"/>
    <w:rsid w:val="008E27F3"/>
    <w:rsid w:val="008E28E4"/>
    <w:rsid w:val="008E2D39"/>
    <w:rsid w:val="008E2E0A"/>
    <w:rsid w:val="008E343B"/>
    <w:rsid w:val="008E3563"/>
    <w:rsid w:val="008E3573"/>
    <w:rsid w:val="008E3649"/>
    <w:rsid w:val="008E398B"/>
    <w:rsid w:val="008E3A4C"/>
    <w:rsid w:val="008E3B64"/>
    <w:rsid w:val="008E3C60"/>
    <w:rsid w:val="008E3C6B"/>
    <w:rsid w:val="008E3C74"/>
    <w:rsid w:val="008E3D47"/>
    <w:rsid w:val="008E3DE3"/>
    <w:rsid w:val="008E3E26"/>
    <w:rsid w:val="008E412A"/>
    <w:rsid w:val="008E4347"/>
    <w:rsid w:val="008E45C3"/>
    <w:rsid w:val="008E45C8"/>
    <w:rsid w:val="008E4767"/>
    <w:rsid w:val="008E483C"/>
    <w:rsid w:val="008E48A6"/>
    <w:rsid w:val="008E49B2"/>
    <w:rsid w:val="008E49BB"/>
    <w:rsid w:val="008E4C79"/>
    <w:rsid w:val="008E4D31"/>
    <w:rsid w:val="008E5336"/>
    <w:rsid w:val="008E54EB"/>
    <w:rsid w:val="008E58DB"/>
    <w:rsid w:val="008E5919"/>
    <w:rsid w:val="008E5998"/>
    <w:rsid w:val="008E5B16"/>
    <w:rsid w:val="008E5D62"/>
    <w:rsid w:val="008E5DA9"/>
    <w:rsid w:val="008E5FCC"/>
    <w:rsid w:val="008E6AC9"/>
    <w:rsid w:val="008E6EBA"/>
    <w:rsid w:val="008E6EF6"/>
    <w:rsid w:val="008E6FDE"/>
    <w:rsid w:val="008E7113"/>
    <w:rsid w:val="008E7130"/>
    <w:rsid w:val="008E7164"/>
    <w:rsid w:val="008E717B"/>
    <w:rsid w:val="008E739D"/>
    <w:rsid w:val="008E77AB"/>
    <w:rsid w:val="008E7A43"/>
    <w:rsid w:val="008E7A8C"/>
    <w:rsid w:val="008E7DCC"/>
    <w:rsid w:val="008E7DEF"/>
    <w:rsid w:val="008F006C"/>
    <w:rsid w:val="008F0373"/>
    <w:rsid w:val="008F04A8"/>
    <w:rsid w:val="008F0562"/>
    <w:rsid w:val="008F08AC"/>
    <w:rsid w:val="008F0C0C"/>
    <w:rsid w:val="008F0E60"/>
    <w:rsid w:val="008F0ED6"/>
    <w:rsid w:val="008F0EEA"/>
    <w:rsid w:val="008F0F39"/>
    <w:rsid w:val="008F1590"/>
    <w:rsid w:val="008F188C"/>
    <w:rsid w:val="008F1AA2"/>
    <w:rsid w:val="008F1E41"/>
    <w:rsid w:val="008F1FF7"/>
    <w:rsid w:val="008F2277"/>
    <w:rsid w:val="008F2CF4"/>
    <w:rsid w:val="008F2F9A"/>
    <w:rsid w:val="008F32B4"/>
    <w:rsid w:val="008F335B"/>
    <w:rsid w:val="008F36F8"/>
    <w:rsid w:val="008F39CE"/>
    <w:rsid w:val="008F3AEC"/>
    <w:rsid w:val="008F3FD9"/>
    <w:rsid w:val="008F4242"/>
    <w:rsid w:val="008F46F5"/>
    <w:rsid w:val="008F48C5"/>
    <w:rsid w:val="008F4B27"/>
    <w:rsid w:val="008F4BF9"/>
    <w:rsid w:val="008F4E3C"/>
    <w:rsid w:val="008F52FD"/>
    <w:rsid w:val="008F56A6"/>
    <w:rsid w:val="008F5781"/>
    <w:rsid w:val="008F59BA"/>
    <w:rsid w:val="008F5D2C"/>
    <w:rsid w:val="008F5E4E"/>
    <w:rsid w:val="008F63F2"/>
    <w:rsid w:val="008F6487"/>
    <w:rsid w:val="008F6939"/>
    <w:rsid w:val="008F6ADC"/>
    <w:rsid w:val="008F6AFA"/>
    <w:rsid w:val="008F6F82"/>
    <w:rsid w:val="008F716A"/>
    <w:rsid w:val="008F7437"/>
    <w:rsid w:val="008F759D"/>
    <w:rsid w:val="00900228"/>
    <w:rsid w:val="009002A6"/>
    <w:rsid w:val="00900551"/>
    <w:rsid w:val="009008F2"/>
    <w:rsid w:val="00900A47"/>
    <w:rsid w:val="00900ABD"/>
    <w:rsid w:val="00900B65"/>
    <w:rsid w:val="00900C07"/>
    <w:rsid w:val="00900CBF"/>
    <w:rsid w:val="00900D7B"/>
    <w:rsid w:val="00900ECC"/>
    <w:rsid w:val="00900EDB"/>
    <w:rsid w:val="00901070"/>
    <w:rsid w:val="00901383"/>
    <w:rsid w:val="00901C15"/>
    <w:rsid w:val="00901FCA"/>
    <w:rsid w:val="0090203B"/>
    <w:rsid w:val="00902057"/>
    <w:rsid w:val="00902196"/>
    <w:rsid w:val="00902617"/>
    <w:rsid w:val="00902EA3"/>
    <w:rsid w:val="00902EF2"/>
    <w:rsid w:val="00902F16"/>
    <w:rsid w:val="00903086"/>
    <w:rsid w:val="00903183"/>
    <w:rsid w:val="00903285"/>
    <w:rsid w:val="009032EE"/>
    <w:rsid w:val="0090392C"/>
    <w:rsid w:val="00903A7C"/>
    <w:rsid w:val="00903B01"/>
    <w:rsid w:val="00903B56"/>
    <w:rsid w:val="00903F1B"/>
    <w:rsid w:val="00903FA0"/>
    <w:rsid w:val="00904317"/>
    <w:rsid w:val="00904470"/>
    <w:rsid w:val="009048BF"/>
    <w:rsid w:val="00904B93"/>
    <w:rsid w:val="00904C2D"/>
    <w:rsid w:val="00904DB3"/>
    <w:rsid w:val="0090536D"/>
    <w:rsid w:val="00905825"/>
    <w:rsid w:val="00905D43"/>
    <w:rsid w:val="00906D12"/>
    <w:rsid w:val="00906D2D"/>
    <w:rsid w:val="00906E74"/>
    <w:rsid w:val="00906F40"/>
    <w:rsid w:val="0090731E"/>
    <w:rsid w:val="009073C6"/>
    <w:rsid w:val="00907578"/>
    <w:rsid w:val="00907AA8"/>
    <w:rsid w:val="00907CCD"/>
    <w:rsid w:val="00907E17"/>
    <w:rsid w:val="00907F2B"/>
    <w:rsid w:val="009101B1"/>
    <w:rsid w:val="0091025E"/>
    <w:rsid w:val="0091027D"/>
    <w:rsid w:val="009102C3"/>
    <w:rsid w:val="009107ED"/>
    <w:rsid w:val="009108A3"/>
    <w:rsid w:val="00910A11"/>
    <w:rsid w:val="00910A1B"/>
    <w:rsid w:val="00910C49"/>
    <w:rsid w:val="00910E16"/>
    <w:rsid w:val="00911237"/>
    <w:rsid w:val="00911465"/>
    <w:rsid w:val="009115D4"/>
    <w:rsid w:val="00911631"/>
    <w:rsid w:val="00911B2A"/>
    <w:rsid w:val="00911B36"/>
    <w:rsid w:val="00912383"/>
    <w:rsid w:val="009125D9"/>
    <w:rsid w:val="009126AD"/>
    <w:rsid w:val="00912910"/>
    <w:rsid w:val="00912B4D"/>
    <w:rsid w:val="00912ED8"/>
    <w:rsid w:val="009131C0"/>
    <w:rsid w:val="00913556"/>
    <w:rsid w:val="00913634"/>
    <w:rsid w:val="00913674"/>
    <w:rsid w:val="00913898"/>
    <w:rsid w:val="0091395E"/>
    <w:rsid w:val="009139E3"/>
    <w:rsid w:val="00913C47"/>
    <w:rsid w:val="00913E8A"/>
    <w:rsid w:val="0091409E"/>
    <w:rsid w:val="0091437F"/>
    <w:rsid w:val="00914420"/>
    <w:rsid w:val="0091455A"/>
    <w:rsid w:val="0091466C"/>
    <w:rsid w:val="0091490F"/>
    <w:rsid w:val="00914C28"/>
    <w:rsid w:val="00914F0C"/>
    <w:rsid w:val="0091521A"/>
    <w:rsid w:val="0091539C"/>
    <w:rsid w:val="0091548F"/>
    <w:rsid w:val="009155FD"/>
    <w:rsid w:val="0091565F"/>
    <w:rsid w:val="00915748"/>
    <w:rsid w:val="009158BA"/>
    <w:rsid w:val="00915B1C"/>
    <w:rsid w:val="00915B7B"/>
    <w:rsid w:val="00916113"/>
    <w:rsid w:val="00916158"/>
    <w:rsid w:val="009169BA"/>
    <w:rsid w:val="00916EA8"/>
    <w:rsid w:val="009171FF"/>
    <w:rsid w:val="009172D2"/>
    <w:rsid w:val="009174F3"/>
    <w:rsid w:val="009176BF"/>
    <w:rsid w:val="009178E8"/>
    <w:rsid w:val="00917968"/>
    <w:rsid w:val="0091797D"/>
    <w:rsid w:val="009200FC"/>
    <w:rsid w:val="009201F6"/>
    <w:rsid w:val="009202E8"/>
    <w:rsid w:val="0092030A"/>
    <w:rsid w:val="00920497"/>
    <w:rsid w:val="009204ED"/>
    <w:rsid w:val="009205B3"/>
    <w:rsid w:val="009207AB"/>
    <w:rsid w:val="00920CE2"/>
    <w:rsid w:val="0092109B"/>
    <w:rsid w:val="00921596"/>
    <w:rsid w:val="00921913"/>
    <w:rsid w:val="0092195D"/>
    <w:rsid w:val="00921A4F"/>
    <w:rsid w:val="00921DEF"/>
    <w:rsid w:val="00921E12"/>
    <w:rsid w:val="00921FB0"/>
    <w:rsid w:val="009222CB"/>
    <w:rsid w:val="00922B57"/>
    <w:rsid w:val="0092317D"/>
    <w:rsid w:val="009234F6"/>
    <w:rsid w:val="009235EB"/>
    <w:rsid w:val="00923672"/>
    <w:rsid w:val="00923683"/>
    <w:rsid w:val="00923A57"/>
    <w:rsid w:val="00923CBA"/>
    <w:rsid w:val="00923F95"/>
    <w:rsid w:val="009240AA"/>
    <w:rsid w:val="009240DF"/>
    <w:rsid w:val="009243E0"/>
    <w:rsid w:val="009245CA"/>
    <w:rsid w:val="009245F3"/>
    <w:rsid w:val="00924B36"/>
    <w:rsid w:val="00924D10"/>
    <w:rsid w:val="00924F8F"/>
    <w:rsid w:val="00925207"/>
    <w:rsid w:val="009253E4"/>
    <w:rsid w:val="009256F6"/>
    <w:rsid w:val="00925C03"/>
    <w:rsid w:val="009260FA"/>
    <w:rsid w:val="0092614B"/>
    <w:rsid w:val="00926447"/>
    <w:rsid w:val="00926703"/>
    <w:rsid w:val="00926763"/>
    <w:rsid w:val="00926CA8"/>
    <w:rsid w:val="00926CE5"/>
    <w:rsid w:val="00926DBA"/>
    <w:rsid w:val="00926E46"/>
    <w:rsid w:val="009270D6"/>
    <w:rsid w:val="00927458"/>
    <w:rsid w:val="00927691"/>
    <w:rsid w:val="00927769"/>
    <w:rsid w:val="00927A5F"/>
    <w:rsid w:val="00927B5C"/>
    <w:rsid w:val="00927C79"/>
    <w:rsid w:val="00927D40"/>
    <w:rsid w:val="00927DB4"/>
    <w:rsid w:val="00930175"/>
    <w:rsid w:val="009302A6"/>
    <w:rsid w:val="00930510"/>
    <w:rsid w:val="009306B9"/>
    <w:rsid w:val="00930811"/>
    <w:rsid w:val="009309C7"/>
    <w:rsid w:val="00930A29"/>
    <w:rsid w:val="00930ABF"/>
    <w:rsid w:val="00930D60"/>
    <w:rsid w:val="00930FC7"/>
    <w:rsid w:val="009316C0"/>
    <w:rsid w:val="009316E7"/>
    <w:rsid w:val="009318E1"/>
    <w:rsid w:val="0093191F"/>
    <w:rsid w:val="00931AF9"/>
    <w:rsid w:val="00931E5E"/>
    <w:rsid w:val="00931EAA"/>
    <w:rsid w:val="00931F96"/>
    <w:rsid w:val="00932180"/>
    <w:rsid w:val="00932416"/>
    <w:rsid w:val="0093249E"/>
    <w:rsid w:val="00932BD6"/>
    <w:rsid w:val="00932D79"/>
    <w:rsid w:val="00932D7E"/>
    <w:rsid w:val="009331F7"/>
    <w:rsid w:val="0093379E"/>
    <w:rsid w:val="00933BD2"/>
    <w:rsid w:val="00933DF1"/>
    <w:rsid w:val="00933F72"/>
    <w:rsid w:val="0093405B"/>
    <w:rsid w:val="0093411F"/>
    <w:rsid w:val="00934711"/>
    <w:rsid w:val="00934727"/>
    <w:rsid w:val="009347BE"/>
    <w:rsid w:val="009347F7"/>
    <w:rsid w:val="00934D77"/>
    <w:rsid w:val="009350EB"/>
    <w:rsid w:val="009351EB"/>
    <w:rsid w:val="009352C4"/>
    <w:rsid w:val="00935358"/>
    <w:rsid w:val="00935B63"/>
    <w:rsid w:val="00935C88"/>
    <w:rsid w:val="00935CC6"/>
    <w:rsid w:val="0093658E"/>
    <w:rsid w:val="009365A2"/>
    <w:rsid w:val="00936B4E"/>
    <w:rsid w:val="00936B5F"/>
    <w:rsid w:val="00936D73"/>
    <w:rsid w:val="00936DD6"/>
    <w:rsid w:val="00936E95"/>
    <w:rsid w:val="00937055"/>
    <w:rsid w:val="0093774E"/>
    <w:rsid w:val="009377DC"/>
    <w:rsid w:val="00937896"/>
    <w:rsid w:val="00937B0B"/>
    <w:rsid w:val="00937B91"/>
    <w:rsid w:val="00937C62"/>
    <w:rsid w:val="00937DA8"/>
    <w:rsid w:val="00937E93"/>
    <w:rsid w:val="00937EB7"/>
    <w:rsid w:val="00937F9F"/>
    <w:rsid w:val="00937FFD"/>
    <w:rsid w:val="009403CB"/>
    <w:rsid w:val="009404C0"/>
    <w:rsid w:val="009406FF"/>
    <w:rsid w:val="0094078F"/>
    <w:rsid w:val="009407BD"/>
    <w:rsid w:val="00940832"/>
    <w:rsid w:val="00940AB5"/>
    <w:rsid w:val="00940EED"/>
    <w:rsid w:val="00940FA3"/>
    <w:rsid w:val="009415B6"/>
    <w:rsid w:val="00941749"/>
    <w:rsid w:val="009418B6"/>
    <w:rsid w:val="009418EB"/>
    <w:rsid w:val="00941C06"/>
    <w:rsid w:val="00941CB4"/>
    <w:rsid w:val="00941DEF"/>
    <w:rsid w:val="00941FB0"/>
    <w:rsid w:val="009420B7"/>
    <w:rsid w:val="009425AA"/>
    <w:rsid w:val="009426D4"/>
    <w:rsid w:val="00942A9C"/>
    <w:rsid w:val="00942AD6"/>
    <w:rsid w:val="00942CC5"/>
    <w:rsid w:val="00942E2E"/>
    <w:rsid w:val="00942E86"/>
    <w:rsid w:val="00942FBE"/>
    <w:rsid w:val="009432F2"/>
    <w:rsid w:val="00943479"/>
    <w:rsid w:val="00943636"/>
    <w:rsid w:val="009437B9"/>
    <w:rsid w:val="0094381C"/>
    <w:rsid w:val="00943A6C"/>
    <w:rsid w:val="00943BE1"/>
    <w:rsid w:val="00943D43"/>
    <w:rsid w:val="00944009"/>
    <w:rsid w:val="009441DA"/>
    <w:rsid w:val="00944510"/>
    <w:rsid w:val="00944832"/>
    <w:rsid w:val="00944DCB"/>
    <w:rsid w:val="00944EB0"/>
    <w:rsid w:val="00945291"/>
    <w:rsid w:val="00945387"/>
    <w:rsid w:val="0094557E"/>
    <w:rsid w:val="009455B8"/>
    <w:rsid w:val="00946004"/>
    <w:rsid w:val="009469A5"/>
    <w:rsid w:val="00946E7B"/>
    <w:rsid w:val="009474A0"/>
    <w:rsid w:val="009474CD"/>
    <w:rsid w:val="00947688"/>
    <w:rsid w:val="00947901"/>
    <w:rsid w:val="00947DB1"/>
    <w:rsid w:val="00947EE9"/>
    <w:rsid w:val="00947F25"/>
    <w:rsid w:val="00950159"/>
    <w:rsid w:val="00950596"/>
    <w:rsid w:val="009507D3"/>
    <w:rsid w:val="00950C64"/>
    <w:rsid w:val="00950E79"/>
    <w:rsid w:val="009516AA"/>
    <w:rsid w:val="00951B68"/>
    <w:rsid w:val="00951BCE"/>
    <w:rsid w:val="00952137"/>
    <w:rsid w:val="0095230C"/>
    <w:rsid w:val="009524BE"/>
    <w:rsid w:val="00952796"/>
    <w:rsid w:val="009527E6"/>
    <w:rsid w:val="00952917"/>
    <w:rsid w:val="00952F54"/>
    <w:rsid w:val="009531FA"/>
    <w:rsid w:val="009531FF"/>
    <w:rsid w:val="00953436"/>
    <w:rsid w:val="00953537"/>
    <w:rsid w:val="00953538"/>
    <w:rsid w:val="009535FB"/>
    <w:rsid w:val="0095389C"/>
    <w:rsid w:val="00953B3D"/>
    <w:rsid w:val="00953DFE"/>
    <w:rsid w:val="009540DE"/>
    <w:rsid w:val="009545E7"/>
    <w:rsid w:val="00954647"/>
    <w:rsid w:val="0095468D"/>
    <w:rsid w:val="00954747"/>
    <w:rsid w:val="00954871"/>
    <w:rsid w:val="0095490B"/>
    <w:rsid w:val="00954939"/>
    <w:rsid w:val="009551A7"/>
    <w:rsid w:val="009557AE"/>
    <w:rsid w:val="009558EE"/>
    <w:rsid w:val="00955B46"/>
    <w:rsid w:val="00956137"/>
    <w:rsid w:val="009561A9"/>
    <w:rsid w:val="00956337"/>
    <w:rsid w:val="009567B8"/>
    <w:rsid w:val="00956973"/>
    <w:rsid w:val="00956B24"/>
    <w:rsid w:val="00956D37"/>
    <w:rsid w:val="00956DF5"/>
    <w:rsid w:val="009576F2"/>
    <w:rsid w:val="0095775D"/>
    <w:rsid w:val="00957790"/>
    <w:rsid w:val="009579D6"/>
    <w:rsid w:val="00957A4E"/>
    <w:rsid w:val="00957A82"/>
    <w:rsid w:val="00957B4B"/>
    <w:rsid w:val="00957D4E"/>
    <w:rsid w:val="009600F5"/>
    <w:rsid w:val="00960532"/>
    <w:rsid w:val="0096092D"/>
    <w:rsid w:val="009609AF"/>
    <w:rsid w:val="00960A33"/>
    <w:rsid w:val="00960B4B"/>
    <w:rsid w:val="00960EE9"/>
    <w:rsid w:val="00960F76"/>
    <w:rsid w:val="0096101A"/>
    <w:rsid w:val="00961036"/>
    <w:rsid w:val="00961605"/>
    <w:rsid w:val="00961636"/>
    <w:rsid w:val="00961758"/>
    <w:rsid w:val="00961AEC"/>
    <w:rsid w:val="00962874"/>
    <w:rsid w:val="00962DC0"/>
    <w:rsid w:val="00962E1F"/>
    <w:rsid w:val="009633D8"/>
    <w:rsid w:val="00963434"/>
    <w:rsid w:val="00963468"/>
    <w:rsid w:val="0096386D"/>
    <w:rsid w:val="00963A3E"/>
    <w:rsid w:val="00963B69"/>
    <w:rsid w:val="00963BF9"/>
    <w:rsid w:val="00964316"/>
    <w:rsid w:val="0096437D"/>
    <w:rsid w:val="00964554"/>
    <w:rsid w:val="0096470D"/>
    <w:rsid w:val="009648D2"/>
    <w:rsid w:val="00964B3D"/>
    <w:rsid w:val="00964BF0"/>
    <w:rsid w:val="009651D0"/>
    <w:rsid w:val="00965228"/>
    <w:rsid w:val="00965300"/>
    <w:rsid w:val="00965583"/>
    <w:rsid w:val="00965739"/>
    <w:rsid w:val="00965BDF"/>
    <w:rsid w:val="00965F73"/>
    <w:rsid w:val="00966064"/>
    <w:rsid w:val="00966148"/>
    <w:rsid w:val="009661CD"/>
    <w:rsid w:val="009662F3"/>
    <w:rsid w:val="009664DE"/>
    <w:rsid w:val="009669E5"/>
    <w:rsid w:val="00966A16"/>
    <w:rsid w:val="00966BE0"/>
    <w:rsid w:val="00966D93"/>
    <w:rsid w:val="00966DC1"/>
    <w:rsid w:val="00967221"/>
    <w:rsid w:val="009672E9"/>
    <w:rsid w:val="009673C7"/>
    <w:rsid w:val="00967524"/>
    <w:rsid w:val="00967628"/>
    <w:rsid w:val="0096770A"/>
    <w:rsid w:val="00967A03"/>
    <w:rsid w:val="00967B38"/>
    <w:rsid w:val="00967C5B"/>
    <w:rsid w:val="00967D0E"/>
    <w:rsid w:val="00967D89"/>
    <w:rsid w:val="0096A199"/>
    <w:rsid w:val="00970504"/>
    <w:rsid w:val="00970581"/>
    <w:rsid w:val="00970582"/>
    <w:rsid w:val="00970746"/>
    <w:rsid w:val="00970D0E"/>
    <w:rsid w:val="00970E37"/>
    <w:rsid w:val="00970E82"/>
    <w:rsid w:val="00970E9F"/>
    <w:rsid w:val="00970EC1"/>
    <w:rsid w:val="009710F3"/>
    <w:rsid w:val="0097132F"/>
    <w:rsid w:val="0097146A"/>
    <w:rsid w:val="00971914"/>
    <w:rsid w:val="0097198C"/>
    <w:rsid w:val="00971B08"/>
    <w:rsid w:val="00971B86"/>
    <w:rsid w:val="00971E09"/>
    <w:rsid w:val="00971E16"/>
    <w:rsid w:val="00971F7B"/>
    <w:rsid w:val="00972323"/>
    <w:rsid w:val="009725BA"/>
    <w:rsid w:val="009730E5"/>
    <w:rsid w:val="00973196"/>
    <w:rsid w:val="00973335"/>
    <w:rsid w:val="009733A3"/>
    <w:rsid w:val="009739FA"/>
    <w:rsid w:val="00973D0E"/>
    <w:rsid w:val="00973E62"/>
    <w:rsid w:val="00973F1E"/>
    <w:rsid w:val="00974153"/>
    <w:rsid w:val="00974363"/>
    <w:rsid w:val="00974467"/>
    <w:rsid w:val="009745C0"/>
    <w:rsid w:val="00974B03"/>
    <w:rsid w:val="00974BF0"/>
    <w:rsid w:val="00974CF4"/>
    <w:rsid w:val="00974DF2"/>
    <w:rsid w:val="00974EF2"/>
    <w:rsid w:val="0097579A"/>
    <w:rsid w:val="00975877"/>
    <w:rsid w:val="00975A6F"/>
    <w:rsid w:val="00975C64"/>
    <w:rsid w:val="00975F48"/>
    <w:rsid w:val="0097628C"/>
    <w:rsid w:val="00976330"/>
    <w:rsid w:val="009764B5"/>
    <w:rsid w:val="00976665"/>
    <w:rsid w:val="00976806"/>
    <w:rsid w:val="00976B65"/>
    <w:rsid w:val="00976BE0"/>
    <w:rsid w:val="00976F83"/>
    <w:rsid w:val="00976FCE"/>
    <w:rsid w:val="0097732A"/>
    <w:rsid w:val="00977524"/>
    <w:rsid w:val="009778C1"/>
    <w:rsid w:val="00977A76"/>
    <w:rsid w:val="00977BB9"/>
    <w:rsid w:val="00977CE6"/>
    <w:rsid w:val="00977D3B"/>
    <w:rsid w:val="00977EE2"/>
    <w:rsid w:val="0097A7B9"/>
    <w:rsid w:val="0098024A"/>
    <w:rsid w:val="00980591"/>
    <w:rsid w:val="00980642"/>
    <w:rsid w:val="0098071E"/>
    <w:rsid w:val="0098081B"/>
    <w:rsid w:val="00980861"/>
    <w:rsid w:val="00980E4C"/>
    <w:rsid w:val="009810C5"/>
    <w:rsid w:val="0098136F"/>
    <w:rsid w:val="0098144E"/>
    <w:rsid w:val="00981704"/>
    <w:rsid w:val="00981898"/>
    <w:rsid w:val="00981A2E"/>
    <w:rsid w:val="00981E5B"/>
    <w:rsid w:val="00981F7D"/>
    <w:rsid w:val="009821E8"/>
    <w:rsid w:val="00982272"/>
    <w:rsid w:val="00982352"/>
    <w:rsid w:val="0098240F"/>
    <w:rsid w:val="00982461"/>
    <w:rsid w:val="009825C4"/>
    <w:rsid w:val="009827F1"/>
    <w:rsid w:val="00982869"/>
    <w:rsid w:val="009828D5"/>
    <w:rsid w:val="00982AB5"/>
    <w:rsid w:val="00982EBC"/>
    <w:rsid w:val="00982F06"/>
    <w:rsid w:val="009835DE"/>
    <w:rsid w:val="00983666"/>
    <w:rsid w:val="009839A3"/>
    <w:rsid w:val="00983BE1"/>
    <w:rsid w:val="00983CEB"/>
    <w:rsid w:val="00983D48"/>
    <w:rsid w:val="00983E6A"/>
    <w:rsid w:val="009845B4"/>
    <w:rsid w:val="00984672"/>
    <w:rsid w:val="00984A56"/>
    <w:rsid w:val="00984CBC"/>
    <w:rsid w:val="00984D2A"/>
    <w:rsid w:val="00985032"/>
    <w:rsid w:val="00985034"/>
    <w:rsid w:val="009854A5"/>
    <w:rsid w:val="00985525"/>
    <w:rsid w:val="00985547"/>
    <w:rsid w:val="009856D2"/>
    <w:rsid w:val="00985817"/>
    <w:rsid w:val="00985D2A"/>
    <w:rsid w:val="00985D36"/>
    <w:rsid w:val="00985D7E"/>
    <w:rsid w:val="00985F38"/>
    <w:rsid w:val="009861B9"/>
    <w:rsid w:val="009862AB"/>
    <w:rsid w:val="0098637B"/>
    <w:rsid w:val="009863AF"/>
    <w:rsid w:val="009863B1"/>
    <w:rsid w:val="009863B6"/>
    <w:rsid w:val="00986463"/>
    <w:rsid w:val="00986506"/>
    <w:rsid w:val="00986674"/>
    <w:rsid w:val="009866B6"/>
    <w:rsid w:val="009867BB"/>
    <w:rsid w:val="00986F32"/>
    <w:rsid w:val="009871F0"/>
    <w:rsid w:val="00990120"/>
    <w:rsid w:val="0099015F"/>
    <w:rsid w:val="00990571"/>
    <w:rsid w:val="00990849"/>
    <w:rsid w:val="00990A45"/>
    <w:rsid w:val="00990A82"/>
    <w:rsid w:val="00990AB4"/>
    <w:rsid w:val="00991179"/>
    <w:rsid w:val="00991584"/>
    <w:rsid w:val="00991849"/>
    <w:rsid w:val="00991E48"/>
    <w:rsid w:val="0099228D"/>
    <w:rsid w:val="00992487"/>
    <w:rsid w:val="009928A4"/>
    <w:rsid w:val="00992C2B"/>
    <w:rsid w:val="00992C30"/>
    <w:rsid w:val="00992E20"/>
    <w:rsid w:val="00993332"/>
    <w:rsid w:val="0099334E"/>
    <w:rsid w:val="009939BF"/>
    <w:rsid w:val="009939E1"/>
    <w:rsid w:val="00993B9D"/>
    <w:rsid w:val="00993CA4"/>
    <w:rsid w:val="00993D9E"/>
    <w:rsid w:val="00993E97"/>
    <w:rsid w:val="0099420C"/>
    <w:rsid w:val="0099444A"/>
    <w:rsid w:val="00994A5A"/>
    <w:rsid w:val="00994F78"/>
    <w:rsid w:val="00994FF5"/>
    <w:rsid w:val="009950F5"/>
    <w:rsid w:val="0099551A"/>
    <w:rsid w:val="009955A7"/>
    <w:rsid w:val="0099565A"/>
    <w:rsid w:val="00995726"/>
    <w:rsid w:val="0099573C"/>
    <w:rsid w:val="0099577C"/>
    <w:rsid w:val="00995816"/>
    <w:rsid w:val="00995AF4"/>
    <w:rsid w:val="00995C5F"/>
    <w:rsid w:val="00995D49"/>
    <w:rsid w:val="00995F52"/>
    <w:rsid w:val="00996241"/>
    <w:rsid w:val="00996322"/>
    <w:rsid w:val="00996815"/>
    <w:rsid w:val="009969C5"/>
    <w:rsid w:val="00996D9D"/>
    <w:rsid w:val="0099720F"/>
    <w:rsid w:val="0099743B"/>
    <w:rsid w:val="00997A8D"/>
    <w:rsid w:val="00997DC5"/>
    <w:rsid w:val="009A01C0"/>
    <w:rsid w:val="009A021C"/>
    <w:rsid w:val="009A0768"/>
    <w:rsid w:val="009A09C6"/>
    <w:rsid w:val="009A0C45"/>
    <w:rsid w:val="009A0C64"/>
    <w:rsid w:val="009A15E6"/>
    <w:rsid w:val="009A1DA7"/>
    <w:rsid w:val="009A1E16"/>
    <w:rsid w:val="009A2091"/>
    <w:rsid w:val="009A2323"/>
    <w:rsid w:val="009A2515"/>
    <w:rsid w:val="009A25CC"/>
    <w:rsid w:val="009A25FE"/>
    <w:rsid w:val="009A271C"/>
    <w:rsid w:val="009A2A6C"/>
    <w:rsid w:val="009A2A83"/>
    <w:rsid w:val="009A2C74"/>
    <w:rsid w:val="009A30E8"/>
    <w:rsid w:val="009A30F7"/>
    <w:rsid w:val="009A390F"/>
    <w:rsid w:val="009A3B44"/>
    <w:rsid w:val="009A3D2D"/>
    <w:rsid w:val="009A3DE1"/>
    <w:rsid w:val="009A40D1"/>
    <w:rsid w:val="009A449C"/>
    <w:rsid w:val="009A47AD"/>
    <w:rsid w:val="009A4BA7"/>
    <w:rsid w:val="009A4E2E"/>
    <w:rsid w:val="009A4E47"/>
    <w:rsid w:val="009A54A5"/>
    <w:rsid w:val="009A54AD"/>
    <w:rsid w:val="009A5524"/>
    <w:rsid w:val="009A5F8F"/>
    <w:rsid w:val="009A60D7"/>
    <w:rsid w:val="009A6182"/>
    <w:rsid w:val="009A61ED"/>
    <w:rsid w:val="009A664D"/>
    <w:rsid w:val="009A6743"/>
    <w:rsid w:val="009A6C4D"/>
    <w:rsid w:val="009A6CC3"/>
    <w:rsid w:val="009A6F70"/>
    <w:rsid w:val="009A7018"/>
    <w:rsid w:val="009A74F6"/>
    <w:rsid w:val="009A7B88"/>
    <w:rsid w:val="009A7E98"/>
    <w:rsid w:val="009B01CF"/>
    <w:rsid w:val="009B0424"/>
    <w:rsid w:val="009B0470"/>
    <w:rsid w:val="009B131C"/>
    <w:rsid w:val="009B1478"/>
    <w:rsid w:val="009B1D64"/>
    <w:rsid w:val="009B1E1C"/>
    <w:rsid w:val="009B1E8E"/>
    <w:rsid w:val="009B1FC4"/>
    <w:rsid w:val="009B1FFC"/>
    <w:rsid w:val="009B203F"/>
    <w:rsid w:val="009B238D"/>
    <w:rsid w:val="009B24A5"/>
    <w:rsid w:val="009B2601"/>
    <w:rsid w:val="009B298C"/>
    <w:rsid w:val="009B323F"/>
    <w:rsid w:val="009B3346"/>
    <w:rsid w:val="009B374A"/>
    <w:rsid w:val="009B374F"/>
    <w:rsid w:val="009B380A"/>
    <w:rsid w:val="009B39C6"/>
    <w:rsid w:val="009B3B69"/>
    <w:rsid w:val="009B3DBA"/>
    <w:rsid w:val="009B3E0D"/>
    <w:rsid w:val="009B412A"/>
    <w:rsid w:val="009B4132"/>
    <w:rsid w:val="009B45DB"/>
    <w:rsid w:val="009B461D"/>
    <w:rsid w:val="009B4675"/>
    <w:rsid w:val="009B47A4"/>
    <w:rsid w:val="009B47AA"/>
    <w:rsid w:val="009B4D78"/>
    <w:rsid w:val="009B4E9E"/>
    <w:rsid w:val="009B4F50"/>
    <w:rsid w:val="009B4FE4"/>
    <w:rsid w:val="009B5615"/>
    <w:rsid w:val="009B56AD"/>
    <w:rsid w:val="009B56FD"/>
    <w:rsid w:val="009B5785"/>
    <w:rsid w:val="009B594B"/>
    <w:rsid w:val="009B5DB3"/>
    <w:rsid w:val="009B5DEF"/>
    <w:rsid w:val="009B5E7F"/>
    <w:rsid w:val="009B5ECC"/>
    <w:rsid w:val="009B5F82"/>
    <w:rsid w:val="009B612A"/>
    <w:rsid w:val="009B625D"/>
    <w:rsid w:val="009B62D2"/>
    <w:rsid w:val="009B6630"/>
    <w:rsid w:val="009B66BB"/>
    <w:rsid w:val="009B66F8"/>
    <w:rsid w:val="009B6988"/>
    <w:rsid w:val="009B69B1"/>
    <w:rsid w:val="009B6C6C"/>
    <w:rsid w:val="009B6E1A"/>
    <w:rsid w:val="009B6F9F"/>
    <w:rsid w:val="009B6FD5"/>
    <w:rsid w:val="009B703C"/>
    <w:rsid w:val="009B70AD"/>
    <w:rsid w:val="009B7367"/>
    <w:rsid w:val="009B78C3"/>
    <w:rsid w:val="009B79FC"/>
    <w:rsid w:val="009B7AD5"/>
    <w:rsid w:val="009B7B7B"/>
    <w:rsid w:val="009B7CC2"/>
    <w:rsid w:val="009B7E31"/>
    <w:rsid w:val="009B7F3C"/>
    <w:rsid w:val="009C024C"/>
    <w:rsid w:val="009C0581"/>
    <w:rsid w:val="009C058E"/>
    <w:rsid w:val="009C0799"/>
    <w:rsid w:val="009C08BD"/>
    <w:rsid w:val="009C09A0"/>
    <w:rsid w:val="009C1202"/>
    <w:rsid w:val="009C1344"/>
    <w:rsid w:val="009C14F7"/>
    <w:rsid w:val="009C1690"/>
    <w:rsid w:val="009C1847"/>
    <w:rsid w:val="009C1AE6"/>
    <w:rsid w:val="009C1B86"/>
    <w:rsid w:val="009C2005"/>
    <w:rsid w:val="009C217D"/>
    <w:rsid w:val="009C2515"/>
    <w:rsid w:val="009C25B2"/>
    <w:rsid w:val="009C263F"/>
    <w:rsid w:val="009C2D18"/>
    <w:rsid w:val="009C2E3F"/>
    <w:rsid w:val="009C2F4F"/>
    <w:rsid w:val="009C3419"/>
    <w:rsid w:val="009C3806"/>
    <w:rsid w:val="009C3C05"/>
    <w:rsid w:val="009C4019"/>
    <w:rsid w:val="009C40F8"/>
    <w:rsid w:val="009C4218"/>
    <w:rsid w:val="009C4447"/>
    <w:rsid w:val="009C4839"/>
    <w:rsid w:val="009C495E"/>
    <w:rsid w:val="009C4C74"/>
    <w:rsid w:val="009C4CA7"/>
    <w:rsid w:val="009C4EE1"/>
    <w:rsid w:val="009C50D6"/>
    <w:rsid w:val="009C5166"/>
    <w:rsid w:val="009C521F"/>
    <w:rsid w:val="009C52E7"/>
    <w:rsid w:val="009C5478"/>
    <w:rsid w:val="009C54F2"/>
    <w:rsid w:val="009C558E"/>
    <w:rsid w:val="009C55BD"/>
    <w:rsid w:val="009C5665"/>
    <w:rsid w:val="009C5708"/>
    <w:rsid w:val="009C5955"/>
    <w:rsid w:val="009C5A7D"/>
    <w:rsid w:val="009C5AE5"/>
    <w:rsid w:val="009C5C44"/>
    <w:rsid w:val="009C5DCE"/>
    <w:rsid w:val="009C6171"/>
    <w:rsid w:val="009C6695"/>
    <w:rsid w:val="009C6881"/>
    <w:rsid w:val="009C6A8B"/>
    <w:rsid w:val="009C73C2"/>
    <w:rsid w:val="009C7444"/>
    <w:rsid w:val="009C7539"/>
    <w:rsid w:val="009C75B1"/>
    <w:rsid w:val="009C7759"/>
    <w:rsid w:val="009C7763"/>
    <w:rsid w:val="009C77F0"/>
    <w:rsid w:val="009C78C7"/>
    <w:rsid w:val="009C7952"/>
    <w:rsid w:val="009C7B0A"/>
    <w:rsid w:val="009C7C65"/>
    <w:rsid w:val="009C7E5D"/>
    <w:rsid w:val="009C7F5C"/>
    <w:rsid w:val="009D0104"/>
    <w:rsid w:val="009D043D"/>
    <w:rsid w:val="009D0738"/>
    <w:rsid w:val="009D079B"/>
    <w:rsid w:val="009D07C8"/>
    <w:rsid w:val="009D07CA"/>
    <w:rsid w:val="009D0D1E"/>
    <w:rsid w:val="009D0E28"/>
    <w:rsid w:val="009D0F40"/>
    <w:rsid w:val="009D1073"/>
    <w:rsid w:val="009D10C5"/>
    <w:rsid w:val="009D131A"/>
    <w:rsid w:val="009D141C"/>
    <w:rsid w:val="009D146D"/>
    <w:rsid w:val="009D14B5"/>
    <w:rsid w:val="009D1564"/>
    <w:rsid w:val="009D160A"/>
    <w:rsid w:val="009D160E"/>
    <w:rsid w:val="009D1759"/>
    <w:rsid w:val="009D1848"/>
    <w:rsid w:val="009D1878"/>
    <w:rsid w:val="009D19F3"/>
    <w:rsid w:val="009D1A22"/>
    <w:rsid w:val="009D1A38"/>
    <w:rsid w:val="009D26DA"/>
    <w:rsid w:val="009D278A"/>
    <w:rsid w:val="009D28FE"/>
    <w:rsid w:val="009D29D2"/>
    <w:rsid w:val="009D2ADB"/>
    <w:rsid w:val="009D2C67"/>
    <w:rsid w:val="009D3253"/>
    <w:rsid w:val="009D340B"/>
    <w:rsid w:val="009D37BC"/>
    <w:rsid w:val="009D40D7"/>
    <w:rsid w:val="009D415B"/>
    <w:rsid w:val="009D42DA"/>
    <w:rsid w:val="009D42F1"/>
    <w:rsid w:val="009D4518"/>
    <w:rsid w:val="009D478E"/>
    <w:rsid w:val="009D49F4"/>
    <w:rsid w:val="009D4A5E"/>
    <w:rsid w:val="009D4C85"/>
    <w:rsid w:val="009D4E46"/>
    <w:rsid w:val="009D50DD"/>
    <w:rsid w:val="009D52D7"/>
    <w:rsid w:val="009D55C5"/>
    <w:rsid w:val="009D56D0"/>
    <w:rsid w:val="009D5A66"/>
    <w:rsid w:val="009D5BF5"/>
    <w:rsid w:val="009D5C17"/>
    <w:rsid w:val="009D5C39"/>
    <w:rsid w:val="009D5E28"/>
    <w:rsid w:val="009D5E3A"/>
    <w:rsid w:val="009D5F4C"/>
    <w:rsid w:val="009D625F"/>
    <w:rsid w:val="009D62A2"/>
    <w:rsid w:val="009D641C"/>
    <w:rsid w:val="009D67F4"/>
    <w:rsid w:val="009D6C71"/>
    <w:rsid w:val="009D71E7"/>
    <w:rsid w:val="009D732D"/>
    <w:rsid w:val="009D7451"/>
    <w:rsid w:val="009D7724"/>
    <w:rsid w:val="009D777C"/>
    <w:rsid w:val="009D77EA"/>
    <w:rsid w:val="009D7983"/>
    <w:rsid w:val="009D7C77"/>
    <w:rsid w:val="009D7CA0"/>
    <w:rsid w:val="009D7EA7"/>
    <w:rsid w:val="009D7F85"/>
    <w:rsid w:val="009E0127"/>
    <w:rsid w:val="009E0607"/>
    <w:rsid w:val="009E0631"/>
    <w:rsid w:val="009E0AEF"/>
    <w:rsid w:val="009E0C87"/>
    <w:rsid w:val="009E0DEB"/>
    <w:rsid w:val="009E0EAF"/>
    <w:rsid w:val="009E0F45"/>
    <w:rsid w:val="009E1406"/>
    <w:rsid w:val="009E16D0"/>
    <w:rsid w:val="009E1734"/>
    <w:rsid w:val="009E174E"/>
    <w:rsid w:val="009E18B1"/>
    <w:rsid w:val="009E1AE1"/>
    <w:rsid w:val="009E1E1E"/>
    <w:rsid w:val="009E2051"/>
    <w:rsid w:val="009E23B0"/>
    <w:rsid w:val="009E23DE"/>
    <w:rsid w:val="009E3124"/>
    <w:rsid w:val="009E31EE"/>
    <w:rsid w:val="009E32B8"/>
    <w:rsid w:val="009E32C2"/>
    <w:rsid w:val="009E33F5"/>
    <w:rsid w:val="009E34D2"/>
    <w:rsid w:val="009E3699"/>
    <w:rsid w:val="009E378C"/>
    <w:rsid w:val="009E38FD"/>
    <w:rsid w:val="009E3A12"/>
    <w:rsid w:val="009E3A59"/>
    <w:rsid w:val="009E3B66"/>
    <w:rsid w:val="009E3C5F"/>
    <w:rsid w:val="009E3CC8"/>
    <w:rsid w:val="009E40A0"/>
    <w:rsid w:val="009E43FC"/>
    <w:rsid w:val="009E457B"/>
    <w:rsid w:val="009E4953"/>
    <w:rsid w:val="009E4B8B"/>
    <w:rsid w:val="009E4BBD"/>
    <w:rsid w:val="009E4C28"/>
    <w:rsid w:val="009E4C7E"/>
    <w:rsid w:val="009E4E98"/>
    <w:rsid w:val="009E4EDF"/>
    <w:rsid w:val="009E4FBB"/>
    <w:rsid w:val="009E51FC"/>
    <w:rsid w:val="009E55BB"/>
    <w:rsid w:val="009E5954"/>
    <w:rsid w:val="009E5B3A"/>
    <w:rsid w:val="009E5FBE"/>
    <w:rsid w:val="009E681E"/>
    <w:rsid w:val="009E6B20"/>
    <w:rsid w:val="009E6B89"/>
    <w:rsid w:val="009E6D0A"/>
    <w:rsid w:val="009E6D45"/>
    <w:rsid w:val="009E6DDA"/>
    <w:rsid w:val="009E6F30"/>
    <w:rsid w:val="009E75A9"/>
    <w:rsid w:val="009E767A"/>
    <w:rsid w:val="009E7756"/>
    <w:rsid w:val="009E7BEE"/>
    <w:rsid w:val="009E7C92"/>
    <w:rsid w:val="009E7CE4"/>
    <w:rsid w:val="009F0373"/>
    <w:rsid w:val="009F04D1"/>
    <w:rsid w:val="009F062D"/>
    <w:rsid w:val="009F0BD1"/>
    <w:rsid w:val="009F0CB8"/>
    <w:rsid w:val="009F0DCB"/>
    <w:rsid w:val="009F1189"/>
    <w:rsid w:val="009F128B"/>
    <w:rsid w:val="009F13D6"/>
    <w:rsid w:val="009F144C"/>
    <w:rsid w:val="009F1549"/>
    <w:rsid w:val="009F1751"/>
    <w:rsid w:val="009F19A5"/>
    <w:rsid w:val="009F1D62"/>
    <w:rsid w:val="009F2142"/>
    <w:rsid w:val="009F23AF"/>
    <w:rsid w:val="009F2592"/>
    <w:rsid w:val="009F2EB1"/>
    <w:rsid w:val="009F2FD4"/>
    <w:rsid w:val="009F328E"/>
    <w:rsid w:val="009F32B4"/>
    <w:rsid w:val="009F33D5"/>
    <w:rsid w:val="009F392B"/>
    <w:rsid w:val="009F3AC1"/>
    <w:rsid w:val="009F3B39"/>
    <w:rsid w:val="009F401A"/>
    <w:rsid w:val="009F417F"/>
    <w:rsid w:val="009F42A9"/>
    <w:rsid w:val="009F449C"/>
    <w:rsid w:val="009F4B58"/>
    <w:rsid w:val="009F4C6B"/>
    <w:rsid w:val="009F505E"/>
    <w:rsid w:val="009F52E5"/>
    <w:rsid w:val="009F5530"/>
    <w:rsid w:val="009F56B1"/>
    <w:rsid w:val="009F5D6E"/>
    <w:rsid w:val="009F5DF1"/>
    <w:rsid w:val="009F6112"/>
    <w:rsid w:val="009F6196"/>
    <w:rsid w:val="009F6207"/>
    <w:rsid w:val="009F6516"/>
    <w:rsid w:val="009F673A"/>
    <w:rsid w:val="009F68EE"/>
    <w:rsid w:val="009F6933"/>
    <w:rsid w:val="009F6B2A"/>
    <w:rsid w:val="009F6C36"/>
    <w:rsid w:val="009F6EED"/>
    <w:rsid w:val="009F6F84"/>
    <w:rsid w:val="009F7719"/>
    <w:rsid w:val="009F7728"/>
    <w:rsid w:val="009F78A8"/>
    <w:rsid w:val="009F7CF7"/>
    <w:rsid w:val="009F7D00"/>
    <w:rsid w:val="009F7E33"/>
    <w:rsid w:val="009F7F35"/>
    <w:rsid w:val="00A00070"/>
    <w:rsid w:val="00A001CC"/>
    <w:rsid w:val="00A002A4"/>
    <w:rsid w:val="00A0037D"/>
    <w:rsid w:val="00A006B6"/>
    <w:rsid w:val="00A00F5A"/>
    <w:rsid w:val="00A0117D"/>
    <w:rsid w:val="00A012A8"/>
    <w:rsid w:val="00A0138C"/>
    <w:rsid w:val="00A01395"/>
    <w:rsid w:val="00A0139E"/>
    <w:rsid w:val="00A014B1"/>
    <w:rsid w:val="00A016EF"/>
    <w:rsid w:val="00A01859"/>
    <w:rsid w:val="00A0190F"/>
    <w:rsid w:val="00A01CC0"/>
    <w:rsid w:val="00A01E73"/>
    <w:rsid w:val="00A021AF"/>
    <w:rsid w:val="00A02354"/>
    <w:rsid w:val="00A0244E"/>
    <w:rsid w:val="00A024E9"/>
    <w:rsid w:val="00A02654"/>
    <w:rsid w:val="00A027C9"/>
    <w:rsid w:val="00A029B4"/>
    <w:rsid w:val="00A02A8B"/>
    <w:rsid w:val="00A02AD6"/>
    <w:rsid w:val="00A02C09"/>
    <w:rsid w:val="00A02C78"/>
    <w:rsid w:val="00A0309C"/>
    <w:rsid w:val="00A034A1"/>
    <w:rsid w:val="00A037AC"/>
    <w:rsid w:val="00A0397F"/>
    <w:rsid w:val="00A03CAB"/>
    <w:rsid w:val="00A03EEB"/>
    <w:rsid w:val="00A045E6"/>
    <w:rsid w:val="00A04746"/>
    <w:rsid w:val="00A04784"/>
    <w:rsid w:val="00A04B1D"/>
    <w:rsid w:val="00A04C70"/>
    <w:rsid w:val="00A04DF1"/>
    <w:rsid w:val="00A052B9"/>
    <w:rsid w:val="00A05346"/>
    <w:rsid w:val="00A0568B"/>
    <w:rsid w:val="00A059EE"/>
    <w:rsid w:val="00A06123"/>
    <w:rsid w:val="00A06161"/>
    <w:rsid w:val="00A06188"/>
    <w:rsid w:val="00A0626B"/>
    <w:rsid w:val="00A062D0"/>
    <w:rsid w:val="00A065EF"/>
    <w:rsid w:val="00A06ACA"/>
    <w:rsid w:val="00A06ACC"/>
    <w:rsid w:val="00A06D68"/>
    <w:rsid w:val="00A06DF8"/>
    <w:rsid w:val="00A06EC2"/>
    <w:rsid w:val="00A06FF4"/>
    <w:rsid w:val="00A07096"/>
    <w:rsid w:val="00A07122"/>
    <w:rsid w:val="00A071D6"/>
    <w:rsid w:val="00A072F0"/>
    <w:rsid w:val="00A0730C"/>
    <w:rsid w:val="00A07318"/>
    <w:rsid w:val="00A073D1"/>
    <w:rsid w:val="00A07488"/>
    <w:rsid w:val="00A0768A"/>
    <w:rsid w:val="00A0789B"/>
    <w:rsid w:val="00A07B6A"/>
    <w:rsid w:val="00A07D32"/>
    <w:rsid w:val="00A07DD3"/>
    <w:rsid w:val="00A07E27"/>
    <w:rsid w:val="00A07F34"/>
    <w:rsid w:val="00A10196"/>
    <w:rsid w:val="00A10808"/>
    <w:rsid w:val="00A10897"/>
    <w:rsid w:val="00A10ABF"/>
    <w:rsid w:val="00A10C47"/>
    <w:rsid w:val="00A10DF3"/>
    <w:rsid w:val="00A10E3B"/>
    <w:rsid w:val="00A10EB7"/>
    <w:rsid w:val="00A10F4C"/>
    <w:rsid w:val="00A10F6E"/>
    <w:rsid w:val="00A11207"/>
    <w:rsid w:val="00A11369"/>
    <w:rsid w:val="00A11370"/>
    <w:rsid w:val="00A11806"/>
    <w:rsid w:val="00A119E4"/>
    <w:rsid w:val="00A11ACC"/>
    <w:rsid w:val="00A11C20"/>
    <w:rsid w:val="00A11C23"/>
    <w:rsid w:val="00A11C5C"/>
    <w:rsid w:val="00A120DE"/>
    <w:rsid w:val="00A12218"/>
    <w:rsid w:val="00A1222B"/>
    <w:rsid w:val="00A122A4"/>
    <w:rsid w:val="00A124A4"/>
    <w:rsid w:val="00A12692"/>
    <w:rsid w:val="00A12B86"/>
    <w:rsid w:val="00A12D36"/>
    <w:rsid w:val="00A13102"/>
    <w:rsid w:val="00A1328F"/>
    <w:rsid w:val="00A13448"/>
    <w:rsid w:val="00A1357B"/>
    <w:rsid w:val="00A135CF"/>
    <w:rsid w:val="00A138F7"/>
    <w:rsid w:val="00A1390C"/>
    <w:rsid w:val="00A13DBC"/>
    <w:rsid w:val="00A140F4"/>
    <w:rsid w:val="00A141EE"/>
    <w:rsid w:val="00A14872"/>
    <w:rsid w:val="00A14893"/>
    <w:rsid w:val="00A14960"/>
    <w:rsid w:val="00A15339"/>
    <w:rsid w:val="00A15A4C"/>
    <w:rsid w:val="00A15CCD"/>
    <w:rsid w:val="00A15D03"/>
    <w:rsid w:val="00A15D99"/>
    <w:rsid w:val="00A15DF1"/>
    <w:rsid w:val="00A15F35"/>
    <w:rsid w:val="00A16386"/>
    <w:rsid w:val="00A16405"/>
    <w:rsid w:val="00A164B0"/>
    <w:rsid w:val="00A16525"/>
    <w:rsid w:val="00A167A6"/>
    <w:rsid w:val="00A16898"/>
    <w:rsid w:val="00A169A5"/>
    <w:rsid w:val="00A169FB"/>
    <w:rsid w:val="00A1765D"/>
    <w:rsid w:val="00A17A6A"/>
    <w:rsid w:val="00A17A97"/>
    <w:rsid w:val="00A20158"/>
    <w:rsid w:val="00A20AF6"/>
    <w:rsid w:val="00A210AD"/>
    <w:rsid w:val="00A210C2"/>
    <w:rsid w:val="00A211E5"/>
    <w:rsid w:val="00A21360"/>
    <w:rsid w:val="00A217B7"/>
    <w:rsid w:val="00A217C9"/>
    <w:rsid w:val="00A21BCD"/>
    <w:rsid w:val="00A21FF2"/>
    <w:rsid w:val="00A223AD"/>
    <w:rsid w:val="00A224CE"/>
    <w:rsid w:val="00A22522"/>
    <w:rsid w:val="00A22569"/>
    <w:rsid w:val="00A22591"/>
    <w:rsid w:val="00A22640"/>
    <w:rsid w:val="00A22732"/>
    <w:rsid w:val="00A22ED8"/>
    <w:rsid w:val="00A230B3"/>
    <w:rsid w:val="00A24191"/>
    <w:rsid w:val="00A24AFD"/>
    <w:rsid w:val="00A24F5C"/>
    <w:rsid w:val="00A250F8"/>
    <w:rsid w:val="00A25866"/>
    <w:rsid w:val="00A25902"/>
    <w:rsid w:val="00A25AD3"/>
    <w:rsid w:val="00A26363"/>
    <w:rsid w:val="00A2675B"/>
    <w:rsid w:val="00A26B69"/>
    <w:rsid w:val="00A26C20"/>
    <w:rsid w:val="00A26E70"/>
    <w:rsid w:val="00A26E74"/>
    <w:rsid w:val="00A271D7"/>
    <w:rsid w:val="00A271F4"/>
    <w:rsid w:val="00A275AD"/>
    <w:rsid w:val="00A2761A"/>
    <w:rsid w:val="00A276FB"/>
    <w:rsid w:val="00A2776F"/>
    <w:rsid w:val="00A27A2C"/>
    <w:rsid w:val="00A27A66"/>
    <w:rsid w:val="00A27AE3"/>
    <w:rsid w:val="00A27DAB"/>
    <w:rsid w:val="00A27F3E"/>
    <w:rsid w:val="00A3008F"/>
    <w:rsid w:val="00A30324"/>
    <w:rsid w:val="00A30558"/>
    <w:rsid w:val="00A30711"/>
    <w:rsid w:val="00A30742"/>
    <w:rsid w:val="00A3079D"/>
    <w:rsid w:val="00A30BD0"/>
    <w:rsid w:val="00A31007"/>
    <w:rsid w:val="00A31130"/>
    <w:rsid w:val="00A31719"/>
    <w:rsid w:val="00A31961"/>
    <w:rsid w:val="00A31F13"/>
    <w:rsid w:val="00A320E2"/>
    <w:rsid w:val="00A322F9"/>
    <w:rsid w:val="00A32537"/>
    <w:rsid w:val="00A327AC"/>
    <w:rsid w:val="00A327F0"/>
    <w:rsid w:val="00A32823"/>
    <w:rsid w:val="00A32AE3"/>
    <w:rsid w:val="00A32CF2"/>
    <w:rsid w:val="00A32F96"/>
    <w:rsid w:val="00A3331B"/>
    <w:rsid w:val="00A335AE"/>
    <w:rsid w:val="00A33771"/>
    <w:rsid w:val="00A339AE"/>
    <w:rsid w:val="00A34191"/>
    <w:rsid w:val="00A34192"/>
    <w:rsid w:val="00A34197"/>
    <w:rsid w:val="00A34200"/>
    <w:rsid w:val="00A3474B"/>
    <w:rsid w:val="00A349ED"/>
    <w:rsid w:val="00A352B7"/>
    <w:rsid w:val="00A3544F"/>
    <w:rsid w:val="00A357B8"/>
    <w:rsid w:val="00A35A27"/>
    <w:rsid w:val="00A35AD9"/>
    <w:rsid w:val="00A35C5A"/>
    <w:rsid w:val="00A35D72"/>
    <w:rsid w:val="00A35DC3"/>
    <w:rsid w:val="00A35EE0"/>
    <w:rsid w:val="00A363F1"/>
    <w:rsid w:val="00A36569"/>
    <w:rsid w:val="00A3673F"/>
    <w:rsid w:val="00A368CA"/>
    <w:rsid w:val="00A36E6C"/>
    <w:rsid w:val="00A3713B"/>
    <w:rsid w:val="00A375CC"/>
    <w:rsid w:val="00A37635"/>
    <w:rsid w:val="00A37795"/>
    <w:rsid w:val="00A37D54"/>
    <w:rsid w:val="00A37EC7"/>
    <w:rsid w:val="00A403D0"/>
    <w:rsid w:val="00A4063D"/>
    <w:rsid w:val="00A40871"/>
    <w:rsid w:val="00A40BDF"/>
    <w:rsid w:val="00A40DDE"/>
    <w:rsid w:val="00A40E18"/>
    <w:rsid w:val="00A40EBA"/>
    <w:rsid w:val="00A40F26"/>
    <w:rsid w:val="00A40FA8"/>
    <w:rsid w:val="00A41058"/>
    <w:rsid w:val="00A41148"/>
    <w:rsid w:val="00A41151"/>
    <w:rsid w:val="00A412AB"/>
    <w:rsid w:val="00A4193E"/>
    <w:rsid w:val="00A41BF1"/>
    <w:rsid w:val="00A41D97"/>
    <w:rsid w:val="00A41DA3"/>
    <w:rsid w:val="00A41F1F"/>
    <w:rsid w:val="00A41F36"/>
    <w:rsid w:val="00A4239E"/>
    <w:rsid w:val="00A425A9"/>
    <w:rsid w:val="00A42C1A"/>
    <w:rsid w:val="00A42CB2"/>
    <w:rsid w:val="00A43138"/>
    <w:rsid w:val="00A4318C"/>
    <w:rsid w:val="00A4370F"/>
    <w:rsid w:val="00A43838"/>
    <w:rsid w:val="00A43A78"/>
    <w:rsid w:val="00A43E5D"/>
    <w:rsid w:val="00A440E0"/>
    <w:rsid w:val="00A4416F"/>
    <w:rsid w:val="00A442EF"/>
    <w:rsid w:val="00A447DE"/>
    <w:rsid w:val="00A44977"/>
    <w:rsid w:val="00A44A4D"/>
    <w:rsid w:val="00A44B0B"/>
    <w:rsid w:val="00A44FFD"/>
    <w:rsid w:val="00A450CB"/>
    <w:rsid w:val="00A45471"/>
    <w:rsid w:val="00A45481"/>
    <w:rsid w:val="00A4566B"/>
    <w:rsid w:val="00A4568D"/>
    <w:rsid w:val="00A457D3"/>
    <w:rsid w:val="00A4582E"/>
    <w:rsid w:val="00A4587D"/>
    <w:rsid w:val="00A458F1"/>
    <w:rsid w:val="00A45903"/>
    <w:rsid w:val="00A45D12"/>
    <w:rsid w:val="00A45D34"/>
    <w:rsid w:val="00A45D78"/>
    <w:rsid w:val="00A45EE0"/>
    <w:rsid w:val="00A45FFB"/>
    <w:rsid w:val="00A46363"/>
    <w:rsid w:val="00A463D5"/>
    <w:rsid w:val="00A4646B"/>
    <w:rsid w:val="00A46579"/>
    <w:rsid w:val="00A46BC8"/>
    <w:rsid w:val="00A46CEB"/>
    <w:rsid w:val="00A46E96"/>
    <w:rsid w:val="00A47924"/>
    <w:rsid w:val="00A50265"/>
    <w:rsid w:val="00A5055C"/>
    <w:rsid w:val="00A5064B"/>
    <w:rsid w:val="00A50748"/>
    <w:rsid w:val="00A50952"/>
    <w:rsid w:val="00A50B94"/>
    <w:rsid w:val="00A50EFA"/>
    <w:rsid w:val="00A511B0"/>
    <w:rsid w:val="00A512BA"/>
    <w:rsid w:val="00A518DF"/>
    <w:rsid w:val="00A5197E"/>
    <w:rsid w:val="00A51C10"/>
    <w:rsid w:val="00A51D1A"/>
    <w:rsid w:val="00A52283"/>
    <w:rsid w:val="00A52590"/>
    <w:rsid w:val="00A5282B"/>
    <w:rsid w:val="00A52859"/>
    <w:rsid w:val="00A52B25"/>
    <w:rsid w:val="00A52C64"/>
    <w:rsid w:val="00A52DA0"/>
    <w:rsid w:val="00A531CE"/>
    <w:rsid w:val="00A53242"/>
    <w:rsid w:val="00A534A0"/>
    <w:rsid w:val="00A5351F"/>
    <w:rsid w:val="00A5362B"/>
    <w:rsid w:val="00A53B00"/>
    <w:rsid w:val="00A53D8C"/>
    <w:rsid w:val="00A53EC7"/>
    <w:rsid w:val="00A54062"/>
    <w:rsid w:val="00A5418D"/>
    <w:rsid w:val="00A542AD"/>
    <w:rsid w:val="00A5474E"/>
    <w:rsid w:val="00A54924"/>
    <w:rsid w:val="00A54F59"/>
    <w:rsid w:val="00A5516B"/>
    <w:rsid w:val="00A55274"/>
    <w:rsid w:val="00A5529A"/>
    <w:rsid w:val="00A552C2"/>
    <w:rsid w:val="00A55682"/>
    <w:rsid w:val="00A55689"/>
    <w:rsid w:val="00A5591D"/>
    <w:rsid w:val="00A55A98"/>
    <w:rsid w:val="00A56AC0"/>
    <w:rsid w:val="00A56AEE"/>
    <w:rsid w:val="00A56AF9"/>
    <w:rsid w:val="00A56B05"/>
    <w:rsid w:val="00A56B29"/>
    <w:rsid w:val="00A56B8F"/>
    <w:rsid w:val="00A57292"/>
    <w:rsid w:val="00A572DD"/>
    <w:rsid w:val="00A572E0"/>
    <w:rsid w:val="00A57400"/>
    <w:rsid w:val="00A574A0"/>
    <w:rsid w:val="00A577AF"/>
    <w:rsid w:val="00A57A2D"/>
    <w:rsid w:val="00A57ADF"/>
    <w:rsid w:val="00A57BC3"/>
    <w:rsid w:val="00A60445"/>
    <w:rsid w:val="00A606C2"/>
    <w:rsid w:val="00A608D5"/>
    <w:rsid w:val="00A608EB"/>
    <w:rsid w:val="00A60C4B"/>
    <w:rsid w:val="00A610E1"/>
    <w:rsid w:val="00A612E2"/>
    <w:rsid w:val="00A61740"/>
    <w:rsid w:val="00A617AC"/>
    <w:rsid w:val="00A6191F"/>
    <w:rsid w:val="00A61A98"/>
    <w:rsid w:val="00A61B01"/>
    <w:rsid w:val="00A61C11"/>
    <w:rsid w:val="00A61E9D"/>
    <w:rsid w:val="00A62130"/>
    <w:rsid w:val="00A62603"/>
    <w:rsid w:val="00A62DD6"/>
    <w:rsid w:val="00A62E7E"/>
    <w:rsid w:val="00A632F5"/>
    <w:rsid w:val="00A633E3"/>
    <w:rsid w:val="00A63E26"/>
    <w:rsid w:val="00A64020"/>
    <w:rsid w:val="00A64070"/>
    <w:rsid w:val="00A64205"/>
    <w:rsid w:val="00A64234"/>
    <w:rsid w:val="00A6440E"/>
    <w:rsid w:val="00A6454E"/>
    <w:rsid w:val="00A6471F"/>
    <w:rsid w:val="00A64E77"/>
    <w:rsid w:val="00A6506F"/>
    <w:rsid w:val="00A65240"/>
    <w:rsid w:val="00A65374"/>
    <w:rsid w:val="00A65552"/>
    <w:rsid w:val="00A6556A"/>
    <w:rsid w:val="00A655E3"/>
    <w:rsid w:val="00A655EA"/>
    <w:rsid w:val="00A65641"/>
    <w:rsid w:val="00A65841"/>
    <w:rsid w:val="00A65A29"/>
    <w:rsid w:val="00A65BEC"/>
    <w:rsid w:val="00A65DA0"/>
    <w:rsid w:val="00A660C3"/>
    <w:rsid w:val="00A66320"/>
    <w:rsid w:val="00A663C6"/>
    <w:rsid w:val="00A66448"/>
    <w:rsid w:val="00A6652B"/>
    <w:rsid w:val="00A66753"/>
    <w:rsid w:val="00A6684C"/>
    <w:rsid w:val="00A66C60"/>
    <w:rsid w:val="00A66E5D"/>
    <w:rsid w:val="00A671A3"/>
    <w:rsid w:val="00A67572"/>
    <w:rsid w:val="00A67739"/>
    <w:rsid w:val="00A67750"/>
    <w:rsid w:val="00A677A7"/>
    <w:rsid w:val="00A67AC4"/>
    <w:rsid w:val="00A67D97"/>
    <w:rsid w:val="00A70371"/>
    <w:rsid w:val="00A7051D"/>
    <w:rsid w:val="00A7092A"/>
    <w:rsid w:val="00A70973"/>
    <w:rsid w:val="00A70ADF"/>
    <w:rsid w:val="00A70BC2"/>
    <w:rsid w:val="00A70D06"/>
    <w:rsid w:val="00A71073"/>
    <w:rsid w:val="00A71466"/>
    <w:rsid w:val="00A718BE"/>
    <w:rsid w:val="00A71B87"/>
    <w:rsid w:val="00A71DCC"/>
    <w:rsid w:val="00A72723"/>
    <w:rsid w:val="00A72A1C"/>
    <w:rsid w:val="00A72D01"/>
    <w:rsid w:val="00A72DBA"/>
    <w:rsid w:val="00A7300C"/>
    <w:rsid w:val="00A73241"/>
    <w:rsid w:val="00A735DD"/>
    <w:rsid w:val="00A73947"/>
    <w:rsid w:val="00A73C93"/>
    <w:rsid w:val="00A743BE"/>
    <w:rsid w:val="00A7469B"/>
    <w:rsid w:val="00A747AE"/>
    <w:rsid w:val="00A7493F"/>
    <w:rsid w:val="00A74999"/>
    <w:rsid w:val="00A74B5E"/>
    <w:rsid w:val="00A74D7F"/>
    <w:rsid w:val="00A74FD7"/>
    <w:rsid w:val="00A750C4"/>
    <w:rsid w:val="00A7536B"/>
    <w:rsid w:val="00A75C53"/>
    <w:rsid w:val="00A75F92"/>
    <w:rsid w:val="00A760CB"/>
    <w:rsid w:val="00A762E5"/>
    <w:rsid w:val="00A76334"/>
    <w:rsid w:val="00A76539"/>
    <w:rsid w:val="00A76673"/>
    <w:rsid w:val="00A76998"/>
    <w:rsid w:val="00A76BEC"/>
    <w:rsid w:val="00A76D9E"/>
    <w:rsid w:val="00A770A6"/>
    <w:rsid w:val="00A77156"/>
    <w:rsid w:val="00A77251"/>
    <w:rsid w:val="00A7726A"/>
    <w:rsid w:val="00A77577"/>
    <w:rsid w:val="00A77919"/>
    <w:rsid w:val="00A779F6"/>
    <w:rsid w:val="00A77B28"/>
    <w:rsid w:val="00A77B4D"/>
    <w:rsid w:val="00A80A05"/>
    <w:rsid w:val="00A80BA4"/>
    <w:rsid w:val="00A80C0F"/>
    <w:rsid w:val="00A80D1F"/>
    <w:rsid w:val="00A8122F"/>
    <w:rsid w:val="00A81243"/>
    <w:rsid w:val="00A8177D"/>
    <w:rsid w:val="00A817FA"/>
    <w:rsid w:val="00A8192B"/>
    <w:rsid w:val="00A81BED"/>
    <w:rsid w:val="00A81EB3"/>
    <w:rsid w:val="00A81EC4"/>
    <w:rsid w:val="00A81F8E"/>
    <w:rsid w:val="00A82077"/>
    <w:rsid w:val="00A824E8"/>
    <w:rsid w:val="00A825FD"/>
    <w:rsid w:val="00A82648"/>
    <w:rsid w:val="00A82661"/>
    <w:rsid w:val="00A829F2"/>
    <w:rsid w:val="00A82B64"/>
    <w:rsid w:val="00A82CC5"/>
    <w:rsid w:val="00A82E5D"/>
    <w:rsid w:val="00A8306F"/>
    <w:rsid w:val="00A834C1"/>
    <w:rsid w:val="00A834CD"/>
    <w:rsid w:val="00A836FC"/>
    <w:rsid w:val="00A83721"/>
    <w:rsid w:val="00A837E2"/>
    <w:rsid w:val="00A838A6"/>
    <w:rsid w:val="00A83A29"/>
    <w:rsid w:val="00A83BB0"/>
    <w:rsid w:val="00A83C05"/>
    <w:rsid w:val="00A83CAA"/>
    <w:rsid w:val="00A83E96"/>
    <w:rsid w:val="00A8411A"/>
    <w:rsid w:val="00A844BA"/>
    <w:rsid w:val="00A84AE2"/>
    <w:rsid w:val="00A84B41"/>
    <w:rsid w:val="00A84B7A"/>
    <w:rsid w:val="00A84CD5"/>
    <w:rsid w:val="00A84CFB"/>
    <w:rsid w:val="00A85107"/>
    <w:rsid w:val="00A851A2"/>
    <w:rsid w:val="00A8524B"/>
    <w:rsid w:val="00A859D0"/>
    <w:rsid w:val="00A85A87"/>
    <w:rsid w:val="00A85BA6"/>
    <w:rsid w:val="00A85CD1"/>
    <w:rsid w:val="00A85F1A"/>
    <w:rsid w:val="00A85FB6"/>
    <w:rsid w:val="00A86062"/>
    <w:rsid w:val="00A86064"/>
    <w:rsid w:val="00A8652B"/>
    <w:rsid w:val="00A8672E"/>
    <w:rsid w:val="00A86781"/>
    <w:rsid w:val="00A87404"/>
    <w:rsid w:val="00A87D03"/>
    <w:rsid w:val="00A87E4D"/>
    <w:rsid w:val="00A900BF"/>
    <w:rsid w:val="00A90346"/>
    <w:rsid w:val="00A905FC"/>
    <w:rsid w:val="00A90C6C"/>
    <w:rsid w:val="00A9105A"/>
    <w:rsid w:val="00A9108B"/>
    <w:rsid w:val="00A910FB"/>
    <w:rsid w:val="00A914C7"/>
    <w:rsid w:val="00A914CA"/>
    <w:rsid w:val="00A91530"/>
    <w:rsid w:val="00A91875"/>
    <w:rsid w:val="00A9194E"/>
    <w:rsid w:val="00A91CB3"/>
    <w:rsid w:val="00A91D7E"/>
    <w:rsid w:val="00A91F1A"/>
    <w:rsid w:val="00A9205E"/>
    <w:rsid w:val="00A92E8F"/>
    <w:rsid w:val="00A9311E"/>
    <w:rsid w:val="00A9351C"/>
    <w:rsid w:val="00A93688"/>
    <w:rsid w:val="00A93925"/>
    <w:rsid w:val="00A93957"/>
    <w:rsid w:val="00A93E71"/>
    <w:rsid w:val="00A9428F"/>
    <w:rsid w:val="00A94376"/>
    <w:rsid w:val="00A944C5"/>
    <w:rsid w:val="00A94807"/>
    <w:rsid w:val="00A94B17"/>
    <w:rsid w:val="00A94BC3"/>
    <w:rsid w:val="00A94C9A"/>
    <w:rsid w:val="00A94E6B"/>
    <w:rsid w:val="00A94E74"/>
    <w:rsid w:val="00A94FDE"/>
    <w:rsid w:val="00A951B3"/>
    <w:rsid w:val="00A95445"/>
    <w:rsid w:val="00A9555E"/>
    <w:rsid w:val="00A95686"/>
    <w:rsid w:val="00A959BE"/>
    <w:rsid w:val="00A95A0B"/>
    <w:rsid w:val="00A95E40"/>
    <w:rsid w:val="00A96006"/>
    <w:rsid w:val="00A960BB"/>
    <w:rsid w:val="00A9628A"/>
    <w:rsid w:val="00A9665F"/>
    <w:rsid w:val="00A967FD"/>
    <w:rsid w:val="00A96B0D"/>
    <w:rsid w:val="00A97641"/>
    <w:rsid w:val="00A97B0A"/>
    <w:rsid w:val="00A97C9C"/>
    <w:rsid w:val="00A97E1E"/>
    <w:rsid w:val="00A97F7F"/>
    <w:rsid w:val="00AA004E"/>
    <w:rsid w:val="00AA0166"/>
    <w:rsid w:val="00AA030D"/>
    <w:rsid w:val="00AA0455"/>
    <w:rsid w:val="00AA053F"/>
    <w:rsid w:val="00AA0969"/>
    <w:rsid w:val="00AA0C03"/>
    <w:rsid w:val="00AA0C9F"/>
    <w:rsid w:val="00AA0E21"/>
    <w:rsid w:val="00AA0F34"/>
    <w:rsid w:val="00AA141A"/>
    <w:rsid w:val="00AA148F"/>
    <w:rsid w:val="00AA153E"/>
    <w:rsid w:val="00AA1568"/>
    <w:rsid w:val="00AA1719"/>
    <w:rsid w:val="00AA17BF"/>
    <w:rsid w:val="00AA1BDA"/>
    <w:rsid w:val="00AA1BF2"/>
    <w:rsid w:val="00AA1DBF"/>
    <w:rsid w:val="00AA1E09"/>
    <w:rsid w:val="00AA1E75"/>
    <w:rsid w:val="00AA221A"/>
    <w:rsid w:val="00AA24AA"/>
    <w:rsid w:val="00AA28FE"/>
    <w:rsid w:val="00AA29B3"/>
    <w:rsid w:val="00AA2C73"/>
    <w:rsid w:val="00AA2DE5"/>
    <w:rsid w:val="00AA334F"/>
    <w:rsid w:val="00AA335F"/>
    <w:rsid w:val="00AA34A9"/>
    <w:rsid w:val="00AA3660"/>
    <w:rsid w:val="00AA3759"/>
    <w:rsid w:val="00AA37AE"/>
    <w:rsid w:val="00AA389A"/>
    <w:rsid w:val="00AA39B8"/>
    <w:rsid w:val="00AA39C7"/>
    <w:rsid w:val="00AA4150"/>
    <w:rsid w:val="00AA4386"/>
    <w:rsid w:val="00AA439F"/>
    <w:rsid w:val="00AA4690"/>
    <w:rsid w:val="00AA4AAF"/>
    <w:rsid w:val="00AA4D42"/>
    <w:rsid w:val="00AA4FB7"/>
    <w:rsid w:val="00AA4FEB"/>
    <w:rsid w:val="00AA504B"/>
    <w:rsid w:val="00AA50F8"/>
    <w:rsid w:val="00AA525B"/>
    <w:rsid w:val="00AA5463"/>
    <w:rsid w:val="00AA6123"/>
    <w:rsid w:val="00AA6547"/>
    <w:rsid w:val="00AA6550"/>
    <w:rsid w:val="00AA65CD"/>
    <w:rsid w:val="00AA687A"/>
    <w:rsid w:val="00AA6A50"/>
    <w:rsid w:val="00AA6C19"/>
    <w:rsid w:val="00AA6C48"/>
    <w:rsid w:val="00AA6E49"/>
    <w:rsid w:val="00AA6F8F"/>
    <w:rsid w:val="00AA6FB4"/>
    <w:rsid w:val="00AA77E0"/>
    <w:rsid w:val="00AB00C9"/>
    <w:rsid w:val="00AB0166"/>
    <w:rsid w:val="00AB01F8"/>
    <w:rsid w:val="00AB0472"/>
    <w:rsid w:val="00AB04A8"/>
    <w:rsid w:val="00AB09F7"/>
    <w:rsid w:val="00AB0CC4"/>
    <w:rsid w:val="00AB0DA0"/>
    <w:rsid w:val="00AB0E5F"/>
    <w:rsid w:val="00AB0FB0"/>
    <w:rsid w:val="00AB115E"/>
    <w:rsid w:val="00AB12A5"/>
    <w:rsid w:val="00AB156C"/>
    <w:rsid w:val="00AB15F3"/>
    <w:rsid w:val="00AB18CD"/>
    <w:rsid w:val="00AB1974"/>
    <w:rsid w:val="00AB1AFF"/>
    <w:rsid w:val="00AB1B8E"/>
    <w:rsid w:val="00AB1D54"/>
    <w:rsid w:val="00AB1E0B"/>
    <w:rsid w:val="00AB21EA"/>
    <w:rsid w:val="00AB235C"/>
    <w:rsid w:val="00AB2368"/>
    <w:rsid w:val="00AB2A69"/>
    <w:rsid w:val="00AB2B76"/>
    <w:rsid w:val="00AB2CFF"/>
    <w:rsid w:val="00AB2E91"/>
    <w:rsid w:val="00AB2E9B"/>
    <w:rsid w:val="00AB2F7F"/>
    <w:rsid w:val="00AB320A"/>
    <w:rsid w:val="00AB345D"/>
    <w:rsid w:val="00AB3913"/>
    <w:rsid w:val="00AB3EEA"/>
    <w:rsid w:val="00AB429A"/>
    <w:rsid w:val="00AB4A5F"/>
    <w:rsid w:val="00AB4B52"/>
    <w:rsid w:val="00AB4E0F"/>
    <w:rsid w:val="00AB4F20"/>
    <w:rsid w:val="00AB4F6E"/>
    <w:rsid w:val="00AB529D"/>
    <w:rsid w:val="00AB5575"/>
    <w:rsid w:val="00AB5805"/>
    <w:rsid w:val="00AB5814"/>
    <w:rsid w:val="00AB5AE3"/>
    <w:rsid w:val="00AB5AF0"/>
    <w:rsid w:val="00AB5F63"/>
    <w:rsid w:val="00AB62CB"/>
    <w:rsid w:val="00AB643E"/>
    <w:rsid w:val="00AB6479"/>
    <w:rsid w:val="00AB6814"/>
    <w:rsid w:val="00AB6858"/>
    <w:rsid w:val="00AB6E31"/>
    <w:rsid w:val="00AB709B"/>
    <w:rsid w:val="00AB72FC"/>
    <w:rsid w:val="00AB74E7"/>
    <w:rsid w:val="00AB7760"/>
    <w:rsid w:val="00AB7857"/>
    <w:rsid w:val="00AB78C7"/>
    <w:rsid w:val="00AB7D52"/>
    <w:rsid w:val="00AB7FB0"/>
    <w:rsid w:val="00AC00F0"/>
    <w:rsid w:val="00AC019D"/>
    <w:rsid w:val="00AC04BA"/>
    <w:rsid w:val="00AC07DA"/>
    <w:rsid w:val="00AC08E1"/>
    <w:rsid w:val="00AC08F7"/>
    <w:rsid w:val="00AC0982"/>
    <w:rsid w:val="00AC0997"/>
    <w:rsid w:val="00AC0A76"/>
    <w:rsid w:val="00AC0E39"/>
    <w:rsid w:val="00AC0EF8"/>
    <w:rsid w:val="00AC12EB"/>
    <w:rsid w:val="00AC13AE"/>
    <w:rsid w:val="00AC1550"/>
    <w:rsid w:val="00AC1662"/>
    <w:rsid w:val="00AC16CC"/>
    <w:rsid w:val="00AC1ABC"/>
    <w:rsid w:val="00AC1D6C"/>
    <w:rsid w:val="00AC1FDE"/>
    <w:rsid w:val="00AC2255"/>
    <w:rsid w:val="00AC288F"/>
    <w:rsid w:val="00AC28C1"/>
    <w:rsid w:val="00AC2E58"/>
    <w:rsid w:val="00AC3036"/>
    <w:rsid w:val="00AC30A4"/>
    <w:rsid w:val="00AC335C"/>
    <w:rsid w:val="00AC38AF"/>
    <w:rsid w:val="00AC477B"/>
    <w:rsid w:val="00AC4BD4"/>
    <w:rsid w:val="00AC55BA"/>
    <w:rsid w:val="00AC56DC"/>
    <w:rsid w:val="00AC581D"/>
    <w:rsid w:val="00AC6072"/>
    <w:rsid w:val="00AC6098"/>
    <w:rsid w:val="00AC64A6"/>
    <w:rsid w:val="00AC67F0"/>
    <w:rsid w:val="00AC68BE"/>
    <w:rsid w:val="00AC6B5E"/>
    <w:rsid w:val="00AC6F9D"/>
    <w:rsid w:val="00AC7025"/>
    <w:rsid w:val="00AC70BA"/>
    <w:rsid w:val="00AC7159"/>
    <w:rsid w:val="00AC7564"/>
    <w:rsid w:val="00AC769A"/>
    <w:rsid w:val="00AC76F0"/>
    <w:rsid w:val="00AC78C9"/>
    <w:rsid w:val="00AC78CC"/>
    <w:rsid w:val="00AC7BEA"/>
    <w:rsid w:val="00AC7E8F"/>
    <w:rsid w:val="00AD08CD"/>
    <w:rsid w:val="00AD0A0A"/>
    <w:rsid w:val="00AD0B0B"/>
    <w:rsid w:val="00AD0DC5"/>
    <w:rsid w:val="00AD0E00"/>
    <w:rsid w:val="00AD0E4C"/>
    <w:rsid w:val="00AD0EFF"/>
    <w:rsid w:val="00AD1113"/>
    <w:rsid w:val="00AD11EC"/>
    <w:rsid w:val="00AD12CB"/>
    <w:rsid w:val="00AD17E2"/>
    <w:rsid w:val="00AD19D9"/>
    <w:rsid w:val="00AD1CEA"/>
    <w:rsid w:val="00AD1CEC"/>
    <w:rsid w:val="00AD24F3"/>
    <w:rsid w:val="00AD29D7"/>
    <w:rsid w:val="00AD29EF"/>
    <w:rsid w:val="00AD2B97"/>
    <w:rsid w:val="00AD2D92"/>
    <w:rsid w:val="00AD3082"/>
    <w:rsid w:val="00AD32B4"/>
    <w:rsid w:val="00AD33B0"/>
    <w:rsid w:val="00AD3429"/>
    <w:rsid w:val="00AD344B"/>
    <w:rsid w:val="00AD3A7F"/>
    <w:rsid w:val="00AD3AFF"/>
    <w:rsid w:val="00AD4108"/>
    <w:rsid w:val="00AD418D"/>
    <w:rsid w:val="00AD41E0"/>
    <w:rsid w:val="00AD4496"/>
    <w:rsid w:val="00AD4529"/>
    <w:rsid w:val="00AD4598"/>
    <w:rsid w:val="00AD4625"/>
    <w:rsid w:val="00AD4788"/>
    <w:rsid w:val="00AD481F"/>
    <w:rsid w:val="00AD49EC"/>
    <w:rsid w:val="00AD4AD0"/>
    <w:rsid w:val="00AD4ADC"/>
    <w:rsid w:val="00AD4C2D"/>
    <w:rsid w:val="00AD4CB7"/>
    <w:rsid w:val="00AD4DF6"/>
    <w:rsid w:val="00AD5436"/>
    <w:rsid w:val="00AD5699"/>
    <w:rsid w:val="00AD5BE2"/>
    <w:rsid w:val="00AD5C00"/>
    <w:rsid w:val="00AD5D29"/>
    <w:rsid w:val="00AD60CD"/>
    <w:rsid w:val="00AD6411"/>
    <w:rsid w:val="00AD64B2"/>
    <w:rsid w:val="00AD66B5"/>
    <w:rsid w:val="00AD686A"/>
    <w:rsid w:val="00AD6BBB"/>
    <w:rsid w:val="00AD6C8C"/>
    <w:rsid w:val="00AD7221"/>
    <w:rsid w:val="00AD7643"/>
    <w:rsid w:val="00AD77C4"/>
    <w:rsid w:val="00AD78FD"/>
    <w:rsid w:val="00AD7A13"/>
    <w:rsid w:val="00AD7DCD"/>
    <w:rsid w:val="00AD7DEC"/>
    <w:rsid w:val="00AD7E93"/>
    <w:rsid w:val="00AE067F"/>
    <w:rsid w:val="00AE091D"/>
    <w:rsid w:val="00AE09A7"/>
    <w:rsid w:val="00AE09EB"/>
    <w:rsid w:val="00AE0A25"/>
    <w:rsid w:val="00AE10BD"/>
    <w:rsid w:val="00AE10EA"/>
    <w:rsid w:val="00AE13D3"/>
    <w:rsid w:val="00AE1606"/>
    <w:rsid w:val="00AE16A6"/>
    <w:rsid w:val="00AE17D5"/>
    <w:rsid w:val="00AE1A55"/>
    <w:rsid w:val="00AE1DB7"/>
    <w:rsid w:val="00AE1DEE"/>
    <w:rsid w:val="00AE1F46"/>
    <w:rsid w:val="00AE1FA3"/>
    <w:rsid w:val="00AE209D"/>
    <w:rsid w:val="00AE21B0"/>
    <w:rsid w:val="00AE2417"/>
    <w:rsid w:val="00AE26DF"/>
    <w:rsid w:val="00AE2772"/>
    <w:rsid w:val="00AE2778"/>
    <w:rsid w:val="00AE29A6"/>
    <w:rsid w:val="00AE2AEC"/>
    <w:rsid w:val="00AE2BEE"/>
    <w:rsid w:val="00AE2DF6"/>
    <w:rsid w:val="00AE335E"/>
    <w:rsid w:val="00AE3402"/>
    <w:rsid w:val="00AE34A8"/>
    <w:rsid w:val="00AE387A"/>
    <w:rsid w:val="00AE3B60"/>
    <w:rsid w:val="00AE3DF7"/>
    <w:rsid w:val="00AE3E74"/>
    <w:rsid w:val="00AE42B2"/>
    <w:rsid w:val="00AE4490"/>
    <w:rsid w:val="00AE44D6"/>
    <w:rsid w:val="00AE4578"/>
    <w:rsid w:val="00AE4788"/>
    <w:rsid w:val="00AE495F"/>
    <w:rsid w:val="00AE49C0"/>
    <w:rsid w:val="00AE4EAB"/>
    <w:rsid w:val="00AE4ED1"/>
    <w:rsid w:val="00AE5014"/>
    <w:rsid w:val="00AE53A1"/>
    <w:rsid w:val="00AE5A3D"/>
    <w:rsid w:val="00AE5CBB"/>
    <w:rsid w:val="00AE5D32"/>
    <w:rsid w:val="00AE5FFF"/>
    <w:rsid w:val="00AE60AB"/>
    <w:rsid w:val="00AE63FD"/>
    <w:rsid w:val="00AE6592"/>
    <w:rsid w:val="00AE6823"/>
    <w:rsid w:val="00AE6943"/>
    <w:rsid w:val="00AE6A59"/>
    <w:rsid w:val="00AE6B7F"/>
    <w:rsid w:val="00AE6B8F"/>
    <w:rsid w:val="00AE6BD8"/>
    <w:rsid w:val="00AE6D00"/>
    <w:rsid w:val="00AE6DFF"/>
    <w:rsid w:val="00AE6E75"/>
    <w:rsid w:val="00AE727C"/>
    <w:rsid w:val="00AE73F8"/>
    <w:rsid w:val="00AE7516"/>
    <w:rsid w:val="00AE7ABA"/>
    <w:rsid w:val="00AE7DBC"/>
    <w:rsid w:val="00AF00D0"/>
    <w:rsid w:val="00AF02EC"/>
    <w:rsid w:val="00AF034F"/>
    <w:rsid w:val="00AF0926"/>
    <w:rsid w:val="00AF0A68"/>
    <w:rsid w:val="00AF0D34"/>
    <w:rsid w:val="00AF1001"/>
    <w:rsid w:val="00AF13F9"/>
    <w:rsid w:val="00AF1A99"/>
    <w:rsid w:val="00AF2219"/>
    <w:rsid w:val="00AF2484"/>
    <w:rsid w:val="00AF28E9"/>
    <w:rsid w:val="00AF2F7F"/>
    <w:rsid w:val="00AF313A"/>
    <w:rsid w:val="00AF31BE"/>
    <w:rsid w:val="00AF32D4"/>
    <w:rsid w:val="00AF388D"/>
    <w:rsid w:val="00AF3E60"/>
    <w:rsid w:val="00AF3F92"/>
    <w:rsid w:val="00AF4058"/>
    <w:rsid w:val="00AF433A"/>
    <w:rsid w:val="00AF4342"/>
    <w:rsid w:val="00AF44E4"/>
    <w:rsid w:val="00AF4604"/>
    <w:rsid w:val="00AF4726"/>
    <w:rsid w:val="00AF4AF5"/>
    <w:rsid w:val="00AF4B68"/>
    <w:rsid w:val="00AF4D9A"/>
    <w:rsid w:val="00AF51C6"/>
    <w:rsid w:val="00AF51DA"/>
    <w:rsid w:val="00AF52D5"/>
    <w:rsid w:val="00AF5488"/>
    <w:rsid w:val="00AF57F0"/>
    <w:rsid w:val="00AF5818"/>
    <w:rsid w:val="00AF59BA"/>
    <w:rsid w:val="00AF5C97"/>
    <w:rsid w:val="00AF5D10"/>
    <w:rsid w:val="00AF5E51"/>
    <w:rsid w:val="00AF5F04"/>
    <w:rsid w:val="00AF60FE"/>
    <w:rsid w:val="00AF6149"/>
    <w:rsid w:val="00AF626E"/>
    <w:rsid w:val="00AF63E7"/>
    <w:rsid w:val="00AF653D"/>
    <w:rsid w:val="00AF660B"/>
    <w:rsid w:val="00AF6783"/>
    <w:rsid w:val="00AF6952"/>
    <w:rsid w:val="00AF6991"/>
    <w:rsid w:val="00AF6B31"/>
    <w:rsid w:val="00AF6E17"/>
    <w:rsid w:val="00AF71CA"/>
    <w:rsid w:val="00AF74DA"/>
    <w:rsid w:val="00AF77A8"/>
    <w:rsid w:val="00AF7891"/>
    <w:rsid w:val="00AF7AD8"/>
    <w:rsid w:val="00B00185"/>
    <w:rsid w:val="00B003B7"/>
    <w:rsid w:val="00B0077A"/>
    <w:rsid w:val="00B0083A"/>
    <w:rsid w:val="00B00BDE"/>
    <w:rsid w:val="00B00D80"/>
    <w:rsid w:val="00B00F5E"/>
    <w:rsid w:val="00B0118B"/>
    <w:rsid w:val="00B011D8"/>
    <w:rsid w:val="00B012EA"/>
    <w:rsid w:val="00B0165D"/>
    <w:rsid w:val="00B01813"/>
    <w:rsid w:val="00B0198F"/>
    <w:rsid w:val="00B01B60"/>
    <w:rsid w:val="00B01C6D"/>
    <w:rsid w:val="00B01D5F"/>
    <w:rsid w:val="00B01FAD"/>
    <w:rsid w:val="00B0210D"/>
    <w:rsid w:val="00B022DB"/>
    <w:rsid w:val="00B02342"/>
    <w:rsid w:val="00B025A8"/>
    <w:rsid w:val="00B028F5"/>
    <w:rsid w:val="00B0293F"/>
    <w:rsid w:val="00B02D98"/>
    <w:rsid w:val="00B02FD5"/>
    <w:rsid w:val="00B031F3"/>
    <w:rsid w:val="00B0344E"/>
    <w:rsid w:val="00B034C1"/>
    <w:rsid w:val="00B037C7"/>
    <w:rsid w:val="00B0398E"/>
    <w:rsid w:val="00B03FA0"/>
    <w:rsid w:val="00B045C9"/>
    <w:rsid w:val="00B048CD"/>
    <w:rsid w:val="00B0492A"/>
    <w:rsid w:val="00B04A84"/>
    <w:rsid w:val="00B04CCB"/>
    <w:rsid w:val="00B04F06"/>
    <w:rsid w:val="00B04FD8"/>
    <w:rsid w:val="00B050EE"/>
    <w:rsid w:val="00B05184"/>
    <w:rsid w:val="00B052A4"/>
    <w:rsid w:val="00B0538A"/>
    <w:rsid w:val="00B05546"/>
    <w:rsid w:val="00B0562A"/>
    <w:rsid w:val="00B05818"/>
    <w:rsid w:val="00B05926"/>
    <w:rsid w:val="00B05E7F"/>
    <w:rsid w:val="00B05F47"/>
    <w:rsid w:val="00B0635F"/>
    <w:rsid w:val="00B063BF"/>
    <w:rsid w:val="00B068AF"/>
    <w:rsid w:val="00B06B51"/>
    <w:rsid w:val="00B06C4C"/>
    <w:rsid w:val="00B07002"/>
    <w:rsid w:val="00B070CB"/>
    <w:rsid w:val="00B07116"/>
    <w:rsid w:val="00B0717F"/>
    <w:rsid w:val="00B0727B"/>
    <w:rsid w:val="00B072B3"/>
    <w:rsid w:val="00B0730F"/>
    <w:rsid w:val="00B07A6A"/>
    <w:rsid w:val="00B07D46"/>
    <w:rsid w:val="00B07F95"/>
    <w:rsid w:val="00B10005"/>
    <w:rsid w:val="00B10057"/>
    <w:rsid w:val="00B10300"/>
    <w:rsid w:val="00B1052E"/>
    <w:rsid w:val="00B10566"/>
    <w:rsid w:val="00B10D70"/>
    <w:rsid w:val="00B10DF5"/>
    <w:rsid w:val="00B114EA"/>
    <w:rsid w:val="00B11533"/>
    <w:rsid w:val="00B1157C"/>
    <w:rsid w:val="00B11AAE"/>
    <w:rsid w:val="00B11B24"/>
    <w:rsid w:val="00B11C41"/>
    <w:rsid w:val="00B11DE5"/>
    <w:rsid w:val="00B11F4F"/>
    <w:rsid w:val="00B121ED"/>
    <w:rsid w:val="00B12388"/>
    <w:rsid w:val="00B125DE"/>
    <w:rsid w:val="00B12734"/>
    <w:rsid w:val="00B12C94"/>
    <w:rsid w:val="00B12D66"/>
    <w:rsid w:val="00B12E98"/>
    <w:rsid w:val="00B1322F"/>
    <w:rsid w:val="00B1337F"/>
    <w:rsid w:val="00B134AD"/>
    <w:rsid w:val="00B134BA"/>
    <w:rsid w:val="00B139FE"/>
    <w:rsid w:val="00B13E8E"/>
    <w:rsid w:val="00B13EE1"/>
    <w:rsid w:val="00B13FBD"/>
    <w:rsid w:val="00B13FDD"/>
    <w:rsid w:val="00B1428C"/>
    <w:rsid w:val="00B142C3"/>
    <w:rsid w:val="00B14498"/>
    <w:rsid w:val="00B14A5F"/>
    <w:rsid w:val="00B14C10"/>
    <w:rsid w:val="00B14E14"/>
    <w:rsid w:val="00B14F2D"/>
    <w:rsid w:val="00B14F33"/>
    <w:rsid w:val="00B152BB"/>
    <w:rsid w:val="00B152F9"/>
    <w:rsid w:val="00B15368"/>
    <w:rsid w:val="00B15472"/>
    <w:rsid w:val="00B15576"/>
    <w:rsid w:val="00B15888"/>
    <w:rsid w:val="00B158D6"/>
    <w:rsid w:val="00B15C70"/>
    <w:rsid w:val="00B15F23"/>
    <w:rsid w:val="00B15F3B"/>
    <w:rsid w:val="00B16299"/>
    <w:rsid w:val="00B1646B"/>
    <w:rsid w:val="00B165DB"/>
    <w:rsid w:val="00B16A2E"/>
    <w:rsid w:val="00B16A71"/>
    <w:rsid w:val="00B16ED1"/>
    <w:rsid w:val="00B170D4"/>
    <w:rsid w:val="00B1713B"/>
    <w:rsid w:val="00B17581"/>
    <w:rsid w:val="00B17877"/>
    <w:rsid w:val="00B17CBB"/>
    <w:rsid w:val="00B17FF5"/>
    <w:rsid w:val="00B20555"/>
    <w:rsid w:val="00B20AB7"/>
    <w:rsid w:val="00B20AD1"/>
    <w:rsid w:val="00B20DFE"/>
    <w:rsid w:val="00B20FFD"/>
    <w:rsid w:val="00B210FC"/>
    <w:rsid w:val="00B21446"/>
    <w:rsid w:val="00B2155C"/>
    <w:rsid w:val="00B2188C"/>
    <w:rsid w:val="00B218CF"/>
    <w:rsid w:val="00B21A19"/>
    <w:rsid w:val="00B21A45"/>
    <w:rsid w:val="00B21AD8"/>
    <w:rsid w:val="00B21B81"/>
    <w:rsid w:val="00B21DCC"/>
    <w:rsid w:val="00B21E0B"/>
    <w:rsid w:val="00B2270F"/>
    <w:rsid w:val="00B22734"/>
    <w:rsid w:val="00B228DD"/>
    <w:rsid w:val="00B22EB2"/>
    <w:rsid w:val="00B23142"/>
    <w:rsid w:val="00B2318C"/>
    <w:rsid w:val="00B2356A"/>
    <w:rsid w:val="00B23887"/>
    <w:rsid w:val="00B2398F"/>
    <w:rsid w:val="00B23D77"/>
    <w:rsid w:val="00B24007"/>
    <w:rsid w:val="00B240E0"/>
    <w:rsid w:val="00B2413A"/>
    <w:rsid w:val="00B24407"/>
    <w:rsid w:val="00B245BC"/>
    <w:rsid w:val="00B247C2"/>
    <w:rsid w:val="00B24BCF"/>
    <w:rsid w:val="00B24BE9"/>
    <w:rsid w:val="00B24C0F"/>
    <w:rsid w:val="00B24EEB"/>
    <w:rsid w:val="00B24F99"/>
    <w:rsid w:val="00B251A7"/>
    <w:rsid w:val="00B251C1"/>
    <w:rsid w:val="00B25231"/>
    <w:rsid w:val="00B25267"/>
    <w:rsid w:val="00B25675"/>
    <w:rsid w:val="00B25885"/>
    <w:rsid w:val="00B2592B"/>
    <w:rsid w:val="00B25B82"/>
    <w:rsid w:val="00B25C8C"/>
    <w:rsid w:val="00B25CBF"/>
    <w:rsid w:val="00B25F26"/>
    <w:rsid w:val="00B26418"/>
    <w:rsid w:val="00B265D6"/>
    <w:rsid w:val="00B266AE"/>
    <w:rsid w:val="00B267CD"/>
    <w:rsid w:val="00B2689F"/>
    <w:rsid w:val="00B26BA1"/>
    <w:rsid w:val="00B26C9F"/>
    <w:rsid w:val="00B26EFC"/>
    <w:rsid w:val="00B26FBE"/>
    <w:rsid w:val="00B27390"/>
    <w:rsid w:val="00B27442"/>
    <w:rsid w:val="00B277C5"/>
    <w:rsid w:val="00B279F4"/>
    <w:rsid w:val="00B27AFC"/>
    <w:rsid w:val="00B27BBA"/>
    <w:rsid w:val="00B27BE3"/>
    <w:rsid w:val="00B27BE8"/>
    <w:rsid w:val="00B27D4A"/>
    <w:rsid w:val="00B27FB6"/>
    <w:rsid w:val="00B308D4"/>
    <w:rsid w:val="00B309B1"/>
    <w:rsid w:val="00B30A4F"/>
    <w:rsid w:val="00B30F64"/>
    <w:rsid w:val="00B31167"/>
    <w:rsid w:val="00B312CF"/>
    <w:rsid w:val="00B313DD"/>
    <w:rsid w:val="00B31445"/>
    <w:rsid w:val="00B31D8C"/>
    <w:rsid w:val="00B32287"/>
    <w:rsid w:val="00B329D8"/>
    <w:rsid w:val="00B32AFD"/>
    <w:rsid w:val="00B32B3A"/>
    <w:rsid w:val="00B32B94"/>
    <w:rsid w:val="00B32BB9"/>
    <w:rsid w:val="00B32EDE"/>
    <w:rsid w:val="00B33006"/>
    <w:rsid w:val="00B330F2"/>
    <w:rsid w:val="00B333DB"/>
    <w:rsid w:val="00B33AE1"/>
    <w:rsid w:val="00B33B47"/>
    <w:rsid w:val="00B33CD4"/>
    <w:rsid w:val="00B33E65"/>
    <w:rsid w:val="00B33EF4"/>
    <w:rsid w:val="00B34244"/>
    <w:rsid w:val="00B345AC"/>
    <w:rsid w:val="00B345EB"/>
    <w:rsid w:val="00B347E1"/>
    <w:rsid w:val="00B3491A"/>
    <w:rsid w:val="00B3491F"/>
    <w:rsid w:val="00B34D0A"/>
    <w:rsid w:val="00B35166"/>
    <w:rsid w:val="00B355CE"/>
    <w:rsid w:val="00B3580C"/>
    <w:rsid w:val="00B358E6"/>
    <w:rsid w:val="00B358F9"/>
    <w:rsid w:val="00B35906"/>
    <w:rsid w:val="00B359FC"/>
    <w:rsid w:val="00B35F31"/>
    <w:rsid w:val="00B3602C"/>
    <w:rsid w:val="00B360CB"/>
    <w:rsid w:val="00B36298"/>
    <w:rsid w:val="00B36418"/>
    <w:rsid w:val="00B36750"/>
    <w:rsid w:val="00B3685E"/>
    <w:rsid w:val="00B368EB"/>
    <w:rsid w:val="00B37275"/>
    <w:rsid w:val="00B37437"/>
    <w:rsid w:val="00B375DD"/>
    <w:rsid w:val="00B3779B"/>
    <w:rsid w:val="00B3785F"/>
    <w:rsid w:val="00B379C2"/>
    <w:rsid w:val="00B37B5E"/>
    <w:rsid w:val="00B37C38"/>
    <w:rsid w:val="00B40725"/>
    <w:rsid w:val="00B40AAA"/>
    <w:rsid w:val="00B40AE8"/>
    <w:rsid w:val="00B40CC1"/>
    <w:rsid w:val="00B40CE1"/>
    <w:rsid w:val="00B40D55"/>
    <w:rsid w:val="00B40DD0"/>
    <w:rsid w:val="00B40DD8"/>
    <w:rsid w:val="00B40F84"/>
    <w:rsid w:val="00B416B0"/>
    <w:rsid w:val="00B4177B"/>
    <w:rsid w:val="00B41A39"/>
    <w:rsid w:val="00B41CA4"/>
    <w:rsid w:val="00B41CE5"/>
    <w:rsid w:val="00B41F8C"/>
    <w:rsid w:val="00B41FFF"/>
    <w:rsid w:val="00B4213B"/>
    <w:rsid w:val="00B4250D"/>
    <w:rsid w:val="00B42560"/>
    <w:rsid w:val="00B425BA"/>
    <w:rsid w:val="00B4267D"/>
    <w:rsid w:val="00B4288C"/>
    <w:rsid w:val="00B42C15"/>
    <w:rsid w:val="00B42C1F"/>
    <w:rsid w:val="00B42C72"/>
    <w:rsid w:val="00B4314B"/>
    <w:rsid w:val="00B4315D"/>
    <w:rsid w:val="00B43262"/>
    <w:rsid w:val="00B432EC"/>
    <w:rsid w:val="00B43307"/>
    <w:rsid w:val="00B43402"/>
    <w:rsid w:val="00B43544"/>
    <w:rsid w:val="00B4362E"/>
    <w:rsid w:val="00B437CB"/>
    <w:rsid w:val="00B43A4B"/>
    <w:rsid w:val="00B43E6E"/>
    <w:rsid w:val="00B440A2"/>
    <w:rsid w:val="00B440F3"/>
    <w:rsid w:val="00B44100"/>
    <w:rsid w:val="00B44266"/>
    <w:rsid w:val="00B44685"/>
    <w:rsid w:val="00B4481D"/>
    <w:rsid w:val="00B4493C"/>
    <w:rsid w:val="00B44D4E"/>
    <w:rsid w:val="00B44ECF"/>
    <w:rsid w:val="00B44FC0"/>
    <w:rsid w:val="00B45002"/>
    <w:rsid w:val="00B45028"/>
    <w:rsid w:val="00B4512E"/>
    <w:rsid w:val="00B45773"/>
    <w:rsid w:val="00B4581E"/>
    <w:rsid w:val="00B45A0A"/>
    <w:rsid w:val="00B45A92"/>
    <w:rsid w:val="00B45AEE"/>
    <w:rsid w:val="00B45B24"/>
    <w:rsid w:val="00B46714"/>
    <w:rsid w:val="00B46836"/>
    <w:rsid w:val="00B469F2"/>
    <w:rsid w:val="00B46CBA"/>
    <w:rsid w:val="00B46E5A"/>
    <w:rsid w:val="00B46E77"/>
    <w:rsid w:val="00B46F94"/>
    <w:rsid w:val="00B4701B"/>
    <w:rsid w:val="00B47097"/>
    <w:rsid w:val="00B4715E"/>
    <w:rsid w:val="00B4741E"/>
    <w:rsid w:val="00B47688"/>
    <w:rsid w:val="00B47823"/>
    <w:rsid w:val="00B4795E"/>
    <w:rsid w:val="00B47EB5"/>
    <w:rsid w:val="00B4CB2A"/>
    <w:rsid w:val="00B5003A"/>
    <w:rsid w:val="00B507D3"/>
    <w:rsid w:val="00B5080A"/>
    <w:rsid w:val="00B50852"/>
    <w:rsid w:val="00B50857"/>
    <w:rsid w:val="00B50D12"/>
    <w:rsid w:val="00B5115C"/>
    <w:rsid w:val="00B513D1"/>
    <w:rsid w:val="00B51BC8"/>
    <w:rsid w:val="00B51FD2"/>
    <w:rsid w:val="00B522CF"/>
    <w:rsid w:val="00B5262E"/>
    <w:rsid w:val="00B52903"/>
    <w:rsid w:val="00B52968"/>
    <w:rsid w:val="00B52B90"/>
    <w:rsid w:val="00B52F93"/>
    <w:rsid w:val="00B52FD1"/>
    <w:rsid w:val="00B53221"/>
    <w:rsid w:val="00B532A0"/>
    <w:rsid w:val="00B53700"/>
    <w:rsid w:val="00B5389E"/>
    <w:rsid w:val="00B53939"/>
    <w:rsid w:val="00B539DC"/>
    <w:rsid w:val="00B53F45"/>
    <w:rsid w:val="00B53F6D"/>
    <w:rsid w:val="00B54314"/>
    <w:rsid w:val="00B54727"/>
    <w:rsid w:val="00B54788"/>
    <w:rsid w:val="00B54914"/>
    <w:rsid w:val="00B54D5A"/>
    <w:rsid w:val="00B54E7B"/>
    <w:rsid w:val="00B54FF3"/>
    <w:rsid w:val="00B550E0"/>
    <w:rsid w:val="00B5511D"/>
    <w:rsid w:val="00B551B0"/>
    <w:rsid w:val="00B553EA"/>
    <w:rsid w:val="00B555A7"/>
    <w:rsid w:val="00B556CB"/>
    <w:rsid w:val="00B55707"/>
    <w:rsid w:val="00B5580F"/>
    <w:rsid w:val="00B55A09"/>
    <w:rsid w:val="00B55D66"/>
    <w:rsid w:val="00B55DD9"/>
    <w:rsid w:val="00B55F5A"/>
    <w:rsid w:val="00B55FB4"/>
    <w:rsid w:val="00B562D0"/>
    <w:rsid w:val="00B5644B"/>
    <w:rsid w:val="00B564A3"/>
    <w:rsid w:val="00B5665B"/>
    <w:rsid w:val="00B567E8"/>
    <w:rsid w:val="00B56C09"/>
    <w:rsid w:val="00B56C3E"/>
    <w:rsid w:val="00B56D12"/>
    <w:rsid w:val="00B56E6E"/>
    <w:rsid w:val="00B5734F"/>
    <w:rsid w:val="00B57404"/>
    <w:rsid w:val="00B57546"/>
    <w:rsid w:val="00B5780C"/>
    <w:rsid w:val="00B57BBD"/>
    <w:rsid w:val="00B57DAD"/>
    <w:rsid w:val="00B57E04"/>
    <w:rsid w:val="00B57E21"/>
    <w:rsid w:val="00B6003C"/>
    <w:rsid w:val="00B6047D"/>
    <w:rsid w:val="00B6050D"/>
    <w:rsid w:val="00B60DBD"/>
    <w:rsid w:val="00B60DC3"/>
    <w:rsid w:val="00B61043"/>
    <w:rsid w:val="00B614C5"/>
    <w:rsid w:val="00B616D4"/>
    <w:rsid w:val="00B61B13"/>
    <w:rsid w:val="00B61C1C"/>
    <w:rsid w:val="00B61F03"/>
    <w:rsid w:val="00B620B2"/>
    <w:rsid w:val="00B6210D"/>
    <w:rsid w:val="00B6237C"/>
    <w:rsid w:val="00B62462"/>
    <w:rsid w:val="00B62467"/>
    <w:rsid w:val="00B626E4"/>
    <w:rsid w:val="00B6297B"/>
    <w:rsid w:val="00B62CD2"/>
    <w:rsid w:val="00B636E4"/>
    <w:rsid w:val="00B6370D"/>
    <w:rsid w:val="00B63747"/>
    <w:rsid w:val="00B637FD"/>
    <w:rsid w:val="00B6399B"/>
    <w:rsid w:val="00B63B0C"/>
    <w:rsid w:val="00B63BAB"/>
    <w:rsid w:val="00B644F3"/>
    <w:rsid w:val="00B64664"/>
    <w:rsid w:val="00B6476B"/>
    <w:rsid w:val="00B649B4"/>
    <w:rsid w:val="00B64D03"/>
    <w:rsid w:val="00B64F9A"/>
    <w:rsid w:val="00B650C2"/>
    <w:rsid w:val="00B6534F"/>
    <w:rsid w:val="00B65BA6"/>
    <w:rsid w:val="00B65C5F"/>
    <w:rsid w:val="00B65D0D"/>
    <w:rsid w:val="00B65EAA"/>
    <w:rsid w:val="00B66069"/>
    <w:rsid w:val="00B6610E"/>
    <w:rsid w:val="00B66394"/>
    <w:rsid w:val="00B667B7"/>
    <w:rsid w:val="00B66950"/>
    <w:rsid w:val="00B669B7"/>
    <w:rsid w:val="00B66BDC"/>
    <w:rsid w:val="00B66CA4"/>
    <w:rsid w:val="00B66D11"/>
    <w:rsid w:val="00B66E7E"/>
    <w:rsid w:val="00B670E2"/>
    <w:rsid w:val="00B673B3"/>
    <w:rsid w:val="00B674E1"/>
    <w:rsid w:val="00B676EB"/>
    <w:rsid w:val="00B67966"/>
    <w:rsid w:val="00B67AD6"/>
    <w:rsid w:val="00B67B5F"/>
    <w:rsid w:val="00B702CE"/>
    <w:rsid w:val="00B70711"/>
    <w:rsid w:val="00B70714"/>
    <w:rsid w:val="00B70A71"/>
    <w:rsid w:val="00B70DE9"/>
    <w:rsid w:val="00B70E96"/>
    <w:rsid w:val="00B70F0F"/>
    <w:rsid w:val="00B71098"/>
    <w:rsid w:val="00B711CD"/>
    <w:rsid w:val="00B71209"/>
    <w:rsid w:val="00B71750"/>
    <w:rsid w:val="00B71799"/>
    <w:rsid w:val="00B7180E"/>
    <w:rsid w:val="00B7194A"/>
    <w:rsid w:val="00B71B6D"/>
    <w:rsid w:val="00B71D02"/>
    <w:rsid w:val="00B71E3E"/>
    <w:rsid w:val="00B71F11"/>
    <w:rsid w:val="00B720B2"/>
    <w:rsid w:val="00B72352"/>
    <w:rsid w:val="00B72595"/>
    <w:rsid w:val="00B7271E"/>
    <w:rsid w:val="00B72B95"/>
    <w:rsid w:val="00B72DA9"/>
    <w:rsid w:val="00B72F4A"/>
    <w:rsid w:val="00B72FCA"/>
    <w:rsid w:val="00B73094"/>
    <w:rsid w:val="00B735C6"/>
    <w:rsid w:val="00B73968"/>
    <w:rsid w:val="00B7398C"/>
    <w:rsid w:val="00B739FA"/>
    <w:rsid w:val="00B73B81"/>
    <w:rsid w:val="00B73D9D"/>
    <w:rsid w:val="00B73DD2"/>
    <w:rsid w:val="00B73FC8"/>
    <w:rsid w:val="00B7419C"/>
    <w:rsid w:val="00B7437C"/>
    <w:rsid w:val="00B74926"/>
    <w:rsid w:val="00B749BF"/>
    <w:rsid w:val="00B74A8E"/>
    <w:rsid w:val="00B74F18"/>
    <w:rsid w:val="00B75341"/>
    <w:rsid w:val="00B75348"/>
    <w:rsid w:val="00B7544F"/>
    <w:rsid w:val="00B75477"/>
    <w:rsid w:val="00B759A4"/>
    <w:rsid w:val="00B75ABE"/>
    <w:rsid w:val="00B75D58"/>
    <w:rsid w:val="00B75E36"/>
    <w:rsid w:val="00B760B2"/>
    <w:rsid w:val="00B76133"/>
    <w:rsid w:val="00B76200"/>
    <w:rsid w:val="00B76301"/>
    <w:rsid w:val="00B76591"/>
    <w:rsid w:val="00B76681"/>
    <w:rsid w:val="00B76897"/>
    <w:rsid w:val="00B76E1E"/>
    <w:rsid w:val="00B76F07"/>
    <w:rsid w:val="00B771B2"/>
    <w:rsid w:val="00B771B9"/>
    <w:rsid w:val="00B772AE"/>
    <w:rsid w:val="00B778A3"/>
    <w:rsid w:val="00B77DB2"/>
    <w:rsid w:val="00B77E0D"/>
    <w:rsid w:val="00B80160"/>
    <w:rsid w:val="00B801A8"/>
    <w:rsid w:val="00B80447"/>
    <w:rsid w:val="00B80693"/>
    <w:rsid w:val="00B809AE"/>
    <w:rsid w:val="00B80B1E"/>
    <w:rsid w:val="00B80CA3"/>
    <w:rsid w:val="00B80E5F"/>
    <w:rsid w:val="00B80E82"/>
    <w:rsid w:val="00B80E8A"/>
    <w:rsid w:val="00B80F9C"/>
    <w:rsid w:val="00B80FF7"/>
    <w:rsid w:val="00B810B1"/>
    <w:rsid w:val="00B8125E"/>
    <w:rsid w:val="00B81608"/>
    <w:rsid w:val="00B8188A"/>
    <w:rsid w:val="00B81BFF"/>
    <w:rsid w:val="00B81E20"/>
    <w:rsid w:val="00B81F1B"/>
    <w:rsid w:val="00B82402"/>
    <w:rsid w:val="00B825DF"/>
    <w:rsid w:val="00B82722"/>
    <w:rsid w:val="00B82B46"/>
    <w:rsid w:val="00B82CF4"/>
    <w:rsid w:val="00B82E61"/>
    <w:rsid w:val="00B82F28"/>
    <w:rsid w:val="00B83034"/>
    <w:rsid w:val="00B83238"/>
    <w:rsid w:val="00B8332A"/>
    <w:rsid w:val="00B83717"/>
    <w:rsid w:val="00B83766"/>
    <w:rsid w:val="00B83941"/>
    <w:rsid w:val="00B83C27"/>
    <w:rsid w:val="00B841D4"/>
    <w:rsid w:val="00B8429D"/>
    <w:rsid w:val="00B84415"/>
    <w:rsid w:val="00B84547"/>
    <w:rsid w:val="00B846B1"/>
    <w:rsid w:val="00B8471D"/>
    <w:rsid w:val="00B84720"/>
    <w:rsid w:val="00B84980"/>
    <w:rsid w:val="00B84BAA"/>
    <w:rsid w:val="00B84BC3"/>
    <w:rsid w:val="00B84BDD"/>
    <w:rsid w:val="00B84D50"/>
    <w:rsid w:val="00B84DE3"/>
    <w:rsid w:val="00B84EE9"/>
    <w:rsid w:val="00B8500E"/>
    <w:rsid w:val="00B850BF"/>
    <w:rsid w:val="00B85275"/>
    <w:rsid w:val="00B8534F"/>
    <w:rsid w:val="00B853D7"/>
    <w:rsid w:val="00B8570E"/>
    <w:rsid w:val="00B85855"/>
    <w:rsid w:val="00B858E8"/>
    <w:rsid w:val="00B85ACB"/>
    <w:rsid w:val="00B85BF3"/>
    <w:rsid w:val="00B85C8E"/>
    <w:rsid w:val="00B85ECA"/>
    <w:rsid w:val="00B8604E"/>
    <w:rsid w:val="00B863C9"/>
    <w:rsid w:val="00B868D0"/>
    <w:rsid w:val="00B86AE1"/>
    <w:rsid w:val="00B86B05"/>
    <w:rsid w:val="00B86B55"/>
    <w:rsid w:val="00B86CA3"/>
    <w:rsid w:val="00B86D43"/>
    <w:rsid w:val="00B87208"/>
    <w:rsid w:val="00B8728D"/>
    <w:rsid w:val="00B8750F"/>
    <w:rsid w:val="00B87624"/>
    <w:rsid w:val="00B87B2A"/>
    <w:rsid w:val="00B87C26"/>
    <w:rsid w:val="00B87EEF"/>
    <w:rsid w:val="00B90104"/>
    <w:rsid w:val="00B9084C"/>
    <w:rsid w:val="00B909D3"/>
    <w:rsid w:val="00B90A34"/>
    <w:rsid w:val="00B90E58"/>
    <w:rsid w:val="00B910FA"/>
    <w:rsid w:val="00B911F0"/>
    <w:rsid w:val="00B9121A"/>
    <w:rsid w:val="00B91777"/>
    <w:rsid w:val="00B9194D"/>
    <w:rsid w:val="00B91A6E"/>
    <w:rsid w:val="00B91FB9"/>
    <w:rsid w:val="00B92097"/>
    <w:rsid w:val="00B9224E"/>
    <w:rsid w:val="00B92276"/>
    <w:rsid w:val="00B926FE"/>
    <w:rsid w:val="00B92812"/>
    <w:rsid w:val="00B928E3"/>
    <w:rsid w:val="00B9316F"/>
    <w:rsid w:val="00B9321D"/>
    <w:rsid w:val="00B9394E"/>
    <w:rsid w:val="00B9395F"/>
    <w:rsid w:val="00B93A1E"/>
    <w:rsid w:val="00B93DFF"/>
    <w:rsid w:val="00B93E09"/>
    <w:rsid w:val="00B93F74"/>
    <w:rsid w:val="00B93F9C"/>
    <w:rsid w:val="00B943CD"/>
    <w:rsid w:val="00B9471D"/>
    <w:rsid w:val="00B947B5"/>
    <w:rsid w:val="00B94940"/>
    <w:rsid w:val="00B94A6D"/>
    <w:rsid w:val="00B94A83"/>
    <w:rsid w:val="00B94C21"/>
    <w:rsid w:val="00B94D26"/>
    <w:rsid w:val="00B94EC6"/>
    <w:rsid w:val="00B95290"/>
    <w:rsid w:val="00B9532D"/>
    <w:rsid w:val="00B95606"/>
    <w:rsid w:val="00B957E6"/>
    <w:rsid w:val="00B95AC9"/>
    <w:rsid w:val="00B95DB4"/>
    <w:rsid w:val="00B95F7D"/>
    <w:rsid w:val="00B96543"/>
    <w:rsid w:val="00B96CA2"/>
    <w:rsid w:val="00B96EDE"/>
    <w:rsid w:val="00B96F44"/>
    <w:rsid w:val="00B97040"/>
    <w:rsid w:val="00B972B5"/>
    <w:rsid w:val="00B976DB"/>
    <w:rsid w:val="00B9792F"/>
    <w:rsid w:val="00B97BF2"/>
    <w:rsid w:val="00BA022E"/>
    <w:rsid w:val="00BA027F"/>
    <w:rsid w:val="00BA0805"/>
    <w:rsid w:val="00BA0813"/>
    <w:rsid w:val="00BA107D"/>
    <w:rsid w:val="00BA129D"/>
    <w:rsid w:val="00BA1AB1"/>
    <w:rsid w:val="00BA1B15"/>
    <w:rsid w:val="00BA1F40"/>
    <w:rsid w:val="00BA223A"/>
    <w:rsid w:val="00BA2EEA"/>
    <w:rsid w:val="00BA32DC"/>
    <w:rsid w:val="00BA3362"/>
    <w:rsid w:val="00BA34DF"/>
    <w:rsid w:val="00BA366F"/>
    <w:rsid w:val="00BA392B"/>
    <w:rsid w:val="00BA3A6B"/>
    <w:rsid w:val="00BA3D2C"/>
    <w:rsid w:val="00BA3E12"/>
    <w:rsid w:val="00BA40A5"/>
    <w:rsid w:val="00BA42EE"/>
    <w:rsid w:val="00BA4385"/>
    <w:rsid w:val="00BA461F"/>
    <w:rsid w:val="00BA479F"/>
    <w:rsid w:val="00BA4CD4"/>
    <w:rsid w:val="00BA4CD6"/>
    <w:rsid w:val="00BA4DC3"/>
    <w:rsid w:val="00BA5866"/>
    <w:rsid w:val="00BA5971"/>
    <w:rsid w:val="00BA5AE8"/>
    <w:rsid w:val="00BA5BD4"/>
    <w:rsid w:val="00BA607B"/>
    <w:rsid w:val="00BA6089"/>
    <w:rsid w:val="00BA653A"/>
    <w:rsid w:val="00BA66A3"/>
    <w:rsid w:val="00BA6779"/>
    <w:rsid w:val="00BA6801"/>
    <w:rsid w:val="00BA6888"/>
    <w:rsid w:val="00BA68DB"/>
    <w:rsid w:val="00BA6D27"/>
    <w:rsid w:val="00BA7095"/>
    <w:rsid w:val="00BA70D4"/>
    <w:rsid w:val="00BA7294"/>
    <w:rsid w:val="00BA72FA"/>
    <w:rsid w:val="00BA7321"/>
    <w:rsid w:val="00BA7832"/>
    <w:rsid w:val="00BA7834"/>
    <w:rsid w:val="00BA7AC4"/>
    <w:rsid w:val="00BA7BB7"/>
    <w:rsid w:val="00BA7E3A"/>
    <w:rsid w:val="00BA7F99"/>
    <w:rsid w:val="00BA7FA1"/>
    <w:rsid w:val="00BA7FCD"/>
    <w:rsid w:val="00BB003E"/>
    <w:rsid w:val="00BB0141"/>
    <w:rsid w:val="00BB01A3"/>
    <w:rsid w:val="00BB0311"/>
    <w:rsid w:val="00BB03A2"/>
    <w:rsid w:val="00BB0A99"/>
    <w:rsid w:val="00BB0DEE"/>
    <w:rsid w:val="00BB1204"/>
    <w:rsid w:val="00BB13A7"/>
    <w:rsid w:val="00BB13C8"/>
    <w:rsid w:val="00BB1CF5"/>
    <w:rsid w:val="00BB1DA9"/>
    <w:rsid w:val="00BB222C"/>
    <w:rsid w:val="00BB233D"/>
    <w:rsid w:val="00BB2431"/>
    <w:rsid w:val="00BB2465"/>
    <w:rsid w:val="00BB262F"/>
    <w:rsid w:val="00BB2975"/>
    <w:rsid w:val="00BB2A62"/>
    <w:rsid w:val="00BB2AE9"/>
    <w:rsid w:val="00BB2D00"/>
    <w:rsid w:val="00BB2F27"/>
    <w:rsid w:val="00BB2F5C"/>
    <w:rsid w:val="00BB32A9"/>
    <w:rsid w:val="00BB3385"/>
    <w:rsid w:val="00BB347B"/>
    <w:rsid w:val="00BB35AB"/>
    <w:rsid w:val="00BB35AD"/>
    <w:rsid w:val="00BB363D"/>
    <w:rsid w:val="00BB3C0B"/>
    <w:rsid w:val="00BB4381"/>
    <w:rsid w:val="00BB45A1"/>
    <w:rsid w:val="00BB4A24"/>
    <w:rsid w:val="00BB4C0F"/>
    <w:rsid w:val="00BB4E2B"/>
    <w:rsid w:val="00BB4E60"/>
    <w:rsid w:val="00BB511D"/>
    <w:rsid w:val="00BB523F"/>
    <w:rsid w:val="00BB5476"/>
    <w:rsid w:val="00BB56D1"/>
    <w:rsid w:val="00BB5847"/>
    <w:rsid w:val="00BB5A5F"/>
    <w:rsid w:val="00BB5CDC"/>
    <w:rsid w:val="00BB5ECC"/>
    <w:rsid w:val="00BB60D7"/>
    <w:rsid w:val="00BB62EE"/>
    <w:rsid w:val="00BB6335"/>
    <w:rsid w:val="00BB64B1"/>
    <w:rsid w:val="00BB6851"/>
    <w:rsid w:val="00BB6C7E"/>
    <w:rsid w:val="00BB6E33"/>
    <w:rsid w:val="00BB6F9D"/>
    <w:rsid w:val="00BB7087"/>
    <w:rsid w:val="00BB7277"/>
    <w:rsid w:val="00BB7686"/>
    <w:rsid w:val="00BB7751"/>
    <w:rsid w:val="00BB7802"/>
    <w:rsid w:val="00BB7E49"/>
    <w:rsid w:val="00BB7F5E"/>
    <w:rsid w:val="00BB7FEE"/>
    <w:rsid w:val="00BC00E9"/>
    <w:rsid w:val="00BC04A8"/>
    <w:rsid w:val="00BC04DF"/>
    <w:rsid w:val="00BC08A5"/>
    <w:rsid w:val="00BC0C02"/>
    <w:rsid w:val="00BC0F96"/>
    <w:rsid w:val="00BC1029"/>
    <w:rsid w:val="00BC10DF"/>
    <w:rsid w:val="00BC13B6"/>
    <w:rsid w:val="00BC16B9"/>
    <w:rsid w:val="00BC1945"/>
    <w:rsid w:val="00BC1D44"/>
    <w:rsid w:val="00BC1F8A"/>
    <w:rsid w:val="00BC2019"/>
    <w:rsid w:val="00BC21B3"/>
    <w:rsid w:val="00BC22F9"/>
    <w:rsid w:val="00BC23F9"/>
    <w:rsid w:val="00BC26B0"/>
    <w:rsid w:val="00BC2AC1"/>
    <w:rsid w:val="00BC2B80"/>
    <w:rsid w:val="00BC31A6"/>
    <w:rsid w:val="00BC32F3"/>
    <w:rsid w:val="00BC3421"/>
    <w:rsid w:val="00BC364E"/>
    <w:rsid w:val="00BC36C5"/>
    <w:rsid w:val="00BC372D"/>
    <w:rsid w:val="00BC37A1"/>
    <w:rsid w:val="00BC37CC"/>
    <w:rsid w:val="00BC37CF"/>
    <w:rsid w:val="00BC3A27"/>
    <w:rsid w:val="00BC3C8B"/>
    <w:rsid w:val="00BC3EFA"/>
    <w:rsid w:val="00BC3F88"/>
    <w:rsid w:val="00BC404F"/>
    <w:rsid w:val="00BC4144"/>
    <w:rsid w:val="00BC42DB"/>
    <w:rsid w:val="00BC4705"/>
    <w:rsid w:val="00BC48CA"/>
    <w:rsid w:val="00BC493E"/>
    <w:rsid w:val="00BC4987"/>
    <w:rsid w:val="00BC4F53"/>
    <w:rsid w:val="00BC501F"/>
    <w:rsid w:val="00BC5318"/>
    <w:rsid w:val="00BC582A"/>
    <w:rsid w:val="00BC5C54"/>
    <w:rsid w:val="00BC5E2E"/>
    <w:rsid w:val="00BC5E88"/>
    <w:rsid w:val="00BC6342"/>
    <w:rsid w:val="00BC6397"/>
    <w:rsid w:val="00BC6992"/>
    <w:rsid w:val="00BC6CE3"/>
    <w:rsid w:val="00BC6D98"/>
    <w:rsid w:val="00BC6FE4"/>
    <w:rsid w:val="00BC732C"/>
    <w:rsid w:val="00BC746F"/>
    <w:rsid w:val="00BC7F71"/>
    <w:rsid w:val="00BC7FB3"/>
    <w:rsid w:val="00BD023F"/>
    <w:rsid w:val="00BD046A"/>
    <w:rsid w:val="00BD07CD"/>
    <w:rsid w:val="00BD0A1B"/>
    <w:rsid w:val="00BD0AAC"/>
    <w:rsid w:val="00BD0ACD"/>
    <w:rsid w:val="00BD0CE9"/>
    <w:rsid w:val="00BD0CF3"/>
    <w:rsid w:val="00BD1012"/>
    <w:rsid w:val="00BD10C6"/>
    <w:rsid w:val="00BD1211"/>
    <w:rsid w:val="00BD1803"/>
    <w:rsid w:val="00BD1AE6"/>
    <w:rsid w:val="00BD1B59"/>
    <w:rsid w:val="00BD1C1B"/>
    <w:rsid w:val="00BD248F"/>
    <w:rsid w:val="00BD24AB"/>
    <w:rsid w:val="00BD24F5"/>
    <w:rsid w:val="00BD2554"/>
    <w:rsid w:val="00BD274B"/>
    <w:rsid w:val="00BD2890"/>
    <w:rsid w:val="00BD2B31"/>
    <w:rsid w:val="00BD2DFB"/>
    <w:rsid w:val="00BD308C"/>
    <w:rsid w:val="00BD34C6"/>
    <w:rsid w:val="00BD354A"/>
    <w:rsid w:val="00BD36DF"/>
    <w:rsid w:val="00BD374E"/>
    <w:rsid w:val="00BD3783"/>
    <w:rsid w:val="00BD3821"/>
    <w:rsid w:val="00BD3B79"/>
    <w:rsid w:val="00BD41FC"/>
    <w:rsid w:val="00BD4384"/>
    <w:rsid w:val="00BD441E"/>
    <w:rsid w:val="00BD4421"/>
    <w:rsid w:val="00BD47A4"/>
    <w:rsid w:val="00BD486B"/>
    <w:rsid w:val="00BD48DD"/>
    <w:rsid w:val="00BD4C80"/>
    <w:rsid w:val="00BD4F26"/>
    <w:rsid w:val="00BD4FC8"/>
    <w:rsid w:val="00BD50CF"/>
    <w:rsid w:val="00BD5245"/>
    <w:rsid w:val="00BD5350"/>
    <w:rsid w:val="00BD56B8"/>
    <w:rsid w:val="00BD590E"/>
    <w:rsid w:val="00BD5AD4"/>
    <w:rsid w:val="00BD5BF0"/>
    <w:rsid w:val="00BD618A"/>
    <w:rsid w:val="00BD6368"/>
    <w:rsid w:val="00BD7120"/>
    <w:rsid w:val="00BD717D"/>
    <w:rsid w:val="00BD7374"/>
    <w:rsid w:val="00BD7753"/>
    <w:rsid w:val="00BD7844"/>
    <w:rsid w:val="00BD7B69"/>
    <w:rsid w:val="00BD7CD6"/>
    <w:rsid w:val="00BE0392"/>
    <w:rsid w:val="00BE03EE"/>
    <w:rsid w:val="00BE050F"/>
    <w:rsid w:val="00BE05FD"/>
    <w:rsid w:val="00BE0AEE"/>
    <w:rsid w:val="00BE1010"/>
    <w:rsid w:val="00BE163F"/>
    <w:rsid w:val="00BE1935"/>
    <w:rsid w:val="00BE19C5"/>
    <w:rsid w:val="00BE1B0B"/>
    <w:rsid w:val="00BE1D2B"/>
    <w:rsid w:val="00BE1D5D"/>
    <w:rsid w:val="00BE2097"/>
    <w:rsid w:val="00BE254A"/>
    <w:rsid w:val="00BE2580"/>
    <w:rsid w:val="00BE25D5"/>
    <w:rsid w:val="00BE266D"/>
    <w:rsid w:val="00BE26B0"/>
    <w:rsid w:val="00BE28F2"/>
    <w:rsid w:val="00BE2D33"/>
    <w:rsid w:val="00BE2ECD"/>
    <w:rsid w:val="00BE2F29"/>
    <w:rsid w:val="00BE2FAC"/>
    <w:rsid w:val="00BE35B8"/>
    <w:rsid w:val="00BE35F3"/>
    <w:rsid w:val="00BE365D"/>
    <w:rsid w:val="00BE37FC"/>
    <w:rsid w:val="00BE38FB"/>
    <w:rsid w:val="00BE391D"/>
    <w:rsid w:val="00BE3938"/>
    <w:rsid w:val="00BE3A5B"/>
    <w:rsid w:val="00BE3C1F"/>
    <w:rsid w:val="00BE400E"/>
    <w:rsid w:val="00BE40CD"/>
    <w:rsid w:val="00BE422C"/>
    <w:rsid w:val="00BE447C"/>
    <w:rsid w:val="00BE48B5"/>
    <w:rsid w:val="00BE491E"/>
    <w:rsid w:val="00BE4AF7"/>
    <w:rsid w:val="00BE4C11"/>
    <w:rsid w:val="00BE4DF6"/>
    <w:rsid w:val="00BE4F6D"/>
    <w:rsid w:val="00BE5133"/>
    <w:rsid w:val="00BE5136"/>
    <w:rsid w:val="00BE517B"/>
    <w:rsid w:val="00BE537F"/>
    <w:rsid w:val="00BE5527"/>
    <w:rsid w:val="00BE561F"/>
    <w:rsid w:val="00BE594B"/>
    <w:rsid w:val="00BE5AE3"/>
    <w:rsid w:val="00BE5E73"/>
    <w:rsid w:val="00BE5EF8"/>
    <w:rsid w:val="00BE5EFE"/>
    <w:rsid w:val="00BE63E1"/>
    <w:rsid w:val="00BE67FA"/>
    <w:rsid w:val="00BE69FD"/>
    <w:rsid w:val="00BE6AB0"/>
    <w:rsid w:val="00BE6C91"/>
    <w:rsid w:val="00BE6CD1"/>
    <w:rsid w:val="00BE6F8E"/>
    <w:rsid w:val="00BE71C0"/>
    <w:rsid w:val="00BE71D6"/>
    <w:rsid w:val="00BE746A"/>
    <w:rsid w:val="00BE74F5"/>
    <w:rsid w:val="00BE761D"/>
    <w:rsid w:val="00BE7753"/>
    <w:rsid w:val="00BE7824"/>
    <w:rsid w:val="00BE7994"/>
    <w:rsid w:val="00BE7A75"/>
    <w:rsid w:val="00BE7C84"/>
    <w:rsid w:val="00BF02ED"/>
    <w:rsid w:val="00BF03F5"/>
    <w:rsid w:val="00BF05F5"/>
    <w:rsid w:val="00BF0811"/>
    <w:rsid w:val="00BF08F2"/>
    <w:rsid w:val="00BF090A"/>
    <w:rsid w:val="00BF0C97"/>
    <w:rsid w:val="00BF0CD4"/>
    <w:rsid w:val="00BF0D22"/>
    <w:rsid w:val="00BF0D7B"/>
    <w:rsid w:val="00BF0EFE"/>
    <w:rsid w:val="00BF10E1"/>
    <w:rsid w:val="00BF130E"/>
    <w:rsid w:val="00BF1612"/>
    <w:rsid w:val="00BF1A9D"/>
    <w:rsid w:val="00BF1DC7"/>
    <w:rsid w:val="00BF2123"/>
    <w:rsid w:val="00BF23C8"/>
    <w:rsid w:val="00BF252B"/>
    <w:rsid w:val="00BF2A1F"/>
    <w:rsid w:val="00BF2F60"/>
    <w:rsid w:val="00BF307E"/>
    <w:rsid w:val="00BF30E5"/>
    <w:rsid w:val="00BF31A7"/>
    <w:rsid w:val="00BF31DC"/>
    <w:rsid w:val="00BF36BD"/>
    <w:rsid w:val="00BF37D7"/>
    <w:rsid w:val="00BF3B5F"/>
    <w:rsid w:val="00BF3C64"/>
    <w:rsid w:val="00BF3C76"/>
    <w:rsid w:val="00BF3D00"/>
    <w:rsid w:val="00BF3E54"/>
    <w:rsid w:val="00BF3FA7"/>
    <w:rsid w:val="00BF40D6"/>
    <w:rsid w:val="00BF40F9"/>
    <w:rsid w:val="00BF418F"/>
    <w:rsid w:val="00BF4502"/>
    <w:rsid w:val="00BF4599"/>
    <w:rsid w:val="00BF45AF"/>
    <w:rsid w:val="00BF45F5"/>
    <w:rsid w:val="00BF5295"/>
    <w:rsid w:val="00BF567A"/>
    <w:rsid w:val="00BF58E3"/>
    <w:rsid w:val="00BF58F2"/>
    <w:rsid w:val="00BF5A16"/>
    <w:rsid w:val="00BF5C37"/>
    <w:rsid w:val="00BF5C78"/>
    <w:rsid w:val="00BF5CB3"/>
    <w:rsid w:val="00BF610C"/>
    <w:rsid w:val="00BF661B"/>
    <w:rsid w:val="00BF66D8"/>
    <w:rsid w:val="00BF6873"/>
    <w:rsid w:val="00BF6BCE"/>
    <w:rsid w:val="00BF6F14"/>
    <w:rsid w:val="00BF6F1B"/>
    <w:rsid w:val="00BF6FE4"/>
    <w:rsid w:val="00BF72C3"/>
    <w:rsid w:val="00BF7BF5"/>
    <w:rsid w:val="00BF7E95"/>
    <w:rsid w:val="00C0011D"/>
    <w:rsid w:val="00C0015B"/>
    <w:rsid w:val="00C00190"/>
    <w:rsid w:val="00C0020F"/>
    <w:rsid w:val="00C00286"/>
    <w:rsid w:val="00C0042F"/>
    <w:rsid w:val="00C0060B"/>
    <w:rsid w:val="00C007E0"/>
    <w:rsid w:val="00C0087C"/>
    <w:rsid w:val="00C00A49"/>
    <w:rsid w:val="00C00DC9"/>
    <w:rsid w:val="00C00DE0"/>
    <w:rsid w:val="00C0111C"/>
    <w:rsid w:val="00C013A5"/>
    <w:rsid w:val="00C01662"/>
    <w:rsid w:val="00C01A6A"/>
    <w:rsid w:val="00C01A6C"/>
    <w:rsid w:val="00C01C98"/>
    <w:rsid w:val="00C01F42"/>
    <w:rsid w:val="00C0259F"/>
    <w:rsid w:val="00C02718"/>
    <w:rsid w:val="00C0274B"/>
    <w:rsid w:val="00C0277D"/>
    <w:rsid w:val="00C02C52"/>
    <w:rsid w:val="00C02F26"/>
    <w:rsid w:val="00C0305F"/>
    <w:rsid w:val="00C03130"/>
    <w:rsid w:val="00C033BD"/>
    <w:rsid w:val="00C03576"/>
    <w:rsid w:val="00C03604"/>
    <w:rsid w:val="00C03939"/>
    <w:rsid w:val="00C03B3C"/>
    <w:rsid w:val="00C03B4F"/>
    <w:rsid w:val="00C03E43"/>
    <w:rsid w:val="00C04020"/>
    <w:rsid w:val="00C0416D"/>
    <w:rsid w:val="00C041FE"/>
    <w:rsid w:val="00C04240"/>
    <w:rsid w:val="00C04566"/>
    <w:rsid w:val="00C046EC"/>
    <w:rsid w:val="00C048EC"/>
    <w:rsid w:val="00C04A23"/>
    <w:rsid w:val="00C04C59"/>
    <w:rsid w:val="00C04D55"/>
    <w:rsid w:val="00C04EBC"/>
    <w:rsid w:val="00C050B2"/>
    <w:rsid w:val="00C050C4"/>
    <w:rsid w:val="00C0519B"/>
    <w:rsid w:val="00C0527B"/>
    <w:rsid w:val="00C053A1"/>
    <w:rsid w:val="00C054B4"/>
    <w:rsid w:val="00C054D4"/>
    <w:rsid w:val="00C055C3"/>
    <w:rsid w:val="00C0569D"/>
    <w:rsid w:val="00C05B1F"/>
    <w:rsid w:val="00C06178"/>
    <w:rsid w:val="00C062D0"/>
    <w:rsid w:val="00C06433"/>
    <w:rsid w:val="00C066AF"/>
    <w:rsid w:val="00C06791"/>
    <w:rsid w:val="00C06E68"/>
    <w:rsid w:val="00C07259"/>
    <w:rsid w:val="00C07612"/>
    <w:rsid w:val="00C079A9"/>
    <w:rsid w:val="00C07E93"/>
    <w:rsid w:val="00C07FA9"/>
    <w:rsid w:val="00C10006"/>
    <w:rsid w:val="00C1004F"/>
    <w:rsid w:val="00C1037E"/>
    <w:rsid w:val="00C1052D"/>
    <w:rsid w:val="00C105A4"/>
    <w:rsid w:val="00C1061C"/>
    <w:rsid w:val="00C1085C"/>
    <w:rsid w:val="00C10881"/>
    <w:rsid w:val="00C10ACC"/>
    <w:rsid w:val="00C10BFA"/>
    <w:rsid w:val="00C116FC"/>
    <w:rsid w:val="00C11A41"/>
    <w:rsid w:val="00C11A81"/>
    <w:rsid w:val="00C11EB2"/>
    <w:rsid w:val="00C11F92"/>
    <w:rsid w:val="00C1207A"/>
    <w:rsid w:val="00C12280"/>
    <w:rsid w:val="00C124D1"/>
    <w:rsid w:val="00C12811"/>
    <w:rsid w:val="00C12BCF"/>
    <w:rsid w:val="00C13207"/>
    <w:rsid w:val="00C13539"/>
    <w:rsid w:val="00C13775"/>
    <w:rsid w:val="00C140D6"/>
    <w:rsid w:val="00C14134"/>
    <w:rsid w:val="00C14155"/>
    <w:rsid w:val="00C144A2"/>
    <w:rsid w:val="00C14782"/>
    <w:rsid w:val="00C147F5"/>
    <w:rsid w:val="00C14B0E"/>
    <w:rsid w:val="00C14BF0"/>
    <w:rsid w:val="00C14C30"/>
    <w:rsid w:val="00C14E02"/>
    <w:rsid w:val="00C15009"/>
    <w:rsid w:val="00C1510F"/>
    <w:rsid w:val="00C153F7"/>
    <w:rsid w:val="00C1541D"/>
    <w:rsid w:val="00C1579A"/>
    <w:rsid w:val="00C157DC"/>
    <w:rsid w:val="00C15956"/>
    <w:rsid w:val="00C15B58"/>
    <w:rsid w:val="00C16198"/>
    <w:rsid w:val="00C16387"/>
    <w:rsid w:val="00C164FA"/>
    <w:rsid w:val="00C167BC"/>
    <w:rsid w:val="00C16818"/>
    <w:rsid w:val="00C16B23"/>
    <w:rsid w:val="00C16C9F"/>
    <w:rsid w:val="00C16F06"/>
    <w:rsid w:val="00C17022"/>
    <w:rsid w:val="00C174D6"/>
    <w:rsid w:val="00C175E9"/>
    <w:rsid w:val="00C176E3"/>
    <w:rsid w:val="00C178B5"/>
    <w:rsid w:val="00C17A4D"/>
    <w:rsid w:val="00C17A51"/>
    <w:rsid w:val="00C17D25"/>
    <w:rsid w:val="00C17E0D"/>
    <w:rsid w:val="00C17FF1"/>
    <w:rsid w:val="00C20069"/>
    <w:rsid w:val="00C20172"/>
    <w:rsid w:val="00C201D3"/>
    <w:rsid w:val="00C2031B"/>
    <w:rsid w:val="00C2036A"/>
    <w:rsid w:val="00C206FD"/>
    <w:rsid w:val="00C2083D"/>
    <w:rsid w:val="00C2091F"/>
    <w:rsid w:val="00C20BD3"/>
    <w:rsid w:val="00C20CD0"/>
    <w:rsid w:val="00C20D00"/>
    <w:rsid w:val="00C2111F"/>
    <w:rsid w:val="00C21176"/>
    <w:rsid w:val="00C21183"/>
    <w:rsid w:val="00C21376"/>
    <w:rsid w:val="00C213DD"/>
    <w:rsid w:val="00C2169E"/>
    <w:rsid w:val="00C216B2"/>
    <w:rsid w:val="00C21936"/>
    <w:rsid w:val="00C21972"/>
    <w:rsid w:val="00C21B5F"/>
    <w:rsid w:val="00C21CBD"/>
    <w:rsid w:val="00C22079"/>
    <w:rsid w:val="00C2271C"/>
    <w:rsid w:val="00C22784"/>
    <w:rsid w:val="00C22C7C"/>
    <w:rsid w:val="00C23301"/>
    <w:rsid w:val="00C2331F"/>
    <w:rsid w:val="00C23365"/>
    <w:rsid w:val="00C233C9"/>
    <w:rsid w:val="00C23888"/>
    <w:rsid w:val="00C23A8E"/>
    <w:rsid w:val="00C23D44"/>
    <w:rsid w:val="00C23EBA"/>
    <w:rsid w:val="00C24158"/>
    <w:rsid w:val="00C2415D"/>
    <w:rsid w:val="00C24297"/>
    <w:rsid w:val="00C2441F"/>
    <w:rsid w:val="00C24514"/>
    <w:rsid w:val="00C24517"/>
    <w:rsid w:val="00C24667"/>
    <w:rsid w:val="00C246E6"/>
    <w:rsid w:val="00C24983"/>
    <w:rsid w:val="00C24A53"/>
    <w:rsid w:val="00C24BDE"/>
    <w:rsid w:val="00C24DF6"/>
    <w:rsid w:val="00C24E07"/>
    <w:rsid w:val="00C25236"/>
    <w:rsid w:val="00C253D1"/>
    <w:rsid w:val="00C254D3"/>
    <w:rsid w:val="00C25547"/>
    <w:rsid w:val="00C255A5"/>
    <w:rsid w:val="00C2595B"/>
    <w:rsid w:val="00C25B09"/>
    <w:rsid w:val="00C25CED"/>
    <w:rsid w:val="00C25D9D"/>
    <w:rsid w:val="00C2606F"/>
    <w:rsid w:val="00C263F4"/>
    <w:rsid w:val="00C2694F"/>
    <w:rsid w:val="00C26C52"/>
    <w:rsid w:val="00C26EA9"/>
    <w:rsid w:val="00C26EF8"/>
    <w:rsid w:val="00C27277"/>
    <w:rsid w:val="00C272BD"/>
    <w:rsid w:val="00C27427"/>
    <w:rsid w:val="00C27811"/>
    <w:rsid w:val="00C27C20"/>
    <w:rsid w:val="00C27CD6"/>
    <w:rsid w:val="00C27DCB"/>
    <w:rsid w:val="00C3026C"/>
    <w:rsid w:val="00C305B7"/>
    <w:rsid w:val="00C30BA4"/>
    <w:rsid w:val="00C30DC7"/>
    <w:rsid w:val="00C30E99"/>
    <w:rsid w:val="00C30ECE"/>
    <w:rsid w:val="00C310F8"/>
    <w:rsid w:val="00C31179"/>
    <w:rsid w:val="00C313CF"/>
    <w:rsid w:val="00C31472"/>
    <w:rsid w:val="00C3167E"/>
    <w:rsid w:val="00C31779"/>
    <w:rsid w:val="00C31C36"/>
    <w:rsid w:val="00C31E9C"/>
    <w:rsid w:val="00C31EAA"/>
    <w:rsid w:val="00C3211B"/>
    <w:rsid w:val="00C3217F"/>
    <w:rsid w:val="00C321CC"/>
    <w:rsid w:val="00C3248E"/>
    <w:rsid w:val="00C325CE"/>
    <w:rsid w:val="00C328B0"/>
    <w:rsid w:val="00C3290A"/>
    <w:rsid w:val="00C32B85"/>
    <w:rsid w:val="00C32CA1"/>
    <w:rsid w:val="00C32E01"/>
    <w:rsid w:val="00C32E72"/>
    <w:rsid w:val="00C32FD1"/>
    <w:rsid w:val="00C335AB"/>
    <w:rsid w:val="00C336C3"/>
    <w:rsid w:val="00C3378D"/>
    <w:rsid w:val="00C3402F"/>
    <w:rsid w:val="00C34326"/>
    <w:rsid w:val="00C345D1"/>
    <w:rsid w:val="00C348EC"/>
    <w:rsid w:val="00C34993"/>
    <w:rsid w:val="00C34A05"/>
    <w:rsid w:val="00C34A46"/>
    <w:rsid w:val="00C34C32"/>
    <w:rsid w:val="00C34C80"/>
    <w:rsid w:val="00C35571"/>
    <w:rsid w:val="00C35964"/>
    <w:rsid w:val="00C35BD0"/>
    <w:rsid w:val="00C35CCE"/>
    <w:rsid w:val="00C35CFB"/>
    <w:rsid w:val="00C363AD"/>
    <w:rsid w:val="00C363DF"/>
    <w:rsid w:val="00C363FA"/>
    <w:rsid w:val="00C36727"/>
    <w:rsid w:val="00C368EF"/>
    <w:rsid w:val="00C36B98"/>
    <w:rsid w:val="00C36C27"/>
    <w:rsid w:val="00C36DB5"/>
    <w:rsid w:val="00C3702B"/>
    <w:rsid w:val="00C3720E"/>
    <w:rsid w:val="00C3740A"/>
    <w:rsid w:val="00C376FE"/>
    <w:rsid w:val="00C37C21"/>
    <w:rsid w:val="00C37DEB"/>
    <w:rsid w:val="00C3CC3D"/>
    <w:rsid w:val="00C40163"/>
    <w:rsid w:val="00C4032F"/>
    <w:rsid w:val="00C4036F"/>
    <w:rsid w:val="00C403CB"/>
    <w:rsid w:val="00C404D0"/>
    <w:rsid w:val="00C4079F"/>
    <w:rsid w:val="00C40B36"/>
    <w:rsid w:val="00C40D3B"/>
    <w:rsid w:val="00C40DCB"/>
    <w:rsid w:val="00C40FE8"/>
    <w:rsid w:val="00C411E1"/>
    <w:rsid w:val="00C4135A"/>
    <w:rsid w:val="00C417E0"/>
    <w:rsid w:val="00C41B16"/>
    <w:rsid w:val="00C41F21"/>
    <w:rsid w:val="00C42124"/>
    <w:rsid w:val="00C4266C"/>
    <w:rsid w:val="00C427AE"/>
    <w:rsid w:val="00C42881"/>
    <w:rsid w:val="00C42F87"/>
    <w:rsid w:val="00C430D8"/>
    <w:rsid w:val="00C43194"/>
    <w:rsid w:val="00C43374"/>
    <w:rsid w:val="00C43439"/>
    <w:rsid w:val="00C434DA"/>
    <w:rsid w:val="00C43A16"/>
    <w:rsid w:val="00C43A2F"/>
    <w:rsid w:val="00C43E70"/>
    <w:rsid w:val="00C44047"/>
    <w:rsid w:val="00C4412C"/>
    <w:rsid w:val="00C4432F"/>
    <w:rsid w:val="00C4433C"/>
    <w:rsid w:val="00C44745"/>
    <w:rsid w:val="00C44761"/>
    <w:rsid w:val="00C44D4A"/>
    <w:rsid w:val="00C45003"/>
    <w:rsid w:val="00C45059"/>
    <w:rsid w:val="00C45155"/>
    <w:rsid w:val="00C4520D"/>
    <w:rsid w:val="00C45397"/>
    <w:rsid w:val="00C4561B"/>
    <w:rsid w:val="00C4564A"/>
    <w:rsid w:val="00C45736"/>
    <w:rsid w:val="00C45793"/>
    <w:rsid w:val="00C45CE2"/>
    <w:rsid w:val="00C45EA9"/>
    <w:rsid w:val="00C45F25"/>
    <w:rsid w:val="00C460FA"/>
    <w:rsid w:val="00C46142"/>
    <w:rsid w:val="00C4645A"/>
    <w:rsid w:val="00C46649"/>
    <w:rsid w:val="00C468E8"/>
    <w:rsid w:val="00C4692D"/>
    <w:rsid w:val="00C46A0E"/>
    <w:rsid w:val="00C46A2D"/>
    <w:rsid w:val="00C46E2D"/>
    <w:rsid w:val="00C46E8B"/>
    <w:rsid w:val="00C47032"/>
    <w:rsid w:val="00C4710D"/>
    <w:rsid w:val="00C47606"/>
    <w:rsid w:val="00C476AD"/>
    <w:rsid w:val="00C47B8B"/>
    <w:rsid w:val="00C47E95"/>
    <w:rsid w:val="00C5059D"/>
    <w:rsid w:val="00C505D6"/>
    <w:rsid w:val="00C505E4"/>
    <w:rsid w:val="00C506A8"/>
    <w:rsid w:val="00C50832"/>
    <w:rsid w:val="00C50A2D"/>
    <w:rsid w:val="00C50AFE"/>
    <w:rsid w:val="00C50C53"/>
    <w:rsid w:val="00C50F07"/>
    <w:rsid w:val="00C50F99"/>
    <w:rsid w:val="00C5153B"/>
    <w:rsid w:val="00C51A6B"/>
    <w:rsid w:val="00C51B90"/>
    <w:rsid w:val="00C51C43"/>
    <w:rsid w:val="00C51DCD"/>
    <w:rsid w:val="00C523A9"/>
    <w:rsid w:val="00C52A8A"/>
    <w:rsid w:val="00C52B52"/>
    <w:rsid w:val="00C52E22"/>
    <w:rsid w:val="00C52E72"/>
    <w:rsid w:val="00C52F2C"/>
    <w:rsid w:val="00C52FCB"/>
    <w:rsid w:val="00C53407"/>
    <w:rsid w:val="00C535EB"/>
    <w:rsid w:val="00C53AFC"/>
    <w:rsid w:val="00C53C8D"/>
    <w:rsid w:val="00C53F78"/>
    <w:rsid w:val="00C5406F"/>
    <w:rsid w:val="00C5411C"/>
    <w:rsid w:val="00C54479"/>
    <w:rsid w:val="00C545FA"/>
    <w:rsid w:val="00C5473B"/>
    <w:rsid w:val="00C5482D"/>
    <w:rsid w:val="00C5495B"/>
    <w:rsid w:val="00C5498F"/>
    <w:rsid w:val="00C54C2A"/>
    <w:rsid w:val="00C54E87"/>
    <w:rsid w:val="00C54E9D"/>
    <w:rsid w:val="00C54EC3"/>
    <w:rsid w:val="00C55235"/>
    <w:rsid w:val="00C554B2"/>
    <w:rsid w:val="00C5552A"/>
    <w:rsid w:val="00C555D0"/>
    <w:rsid w:val="00C556CB"/>
    <w:rsid w:val="00C55720"/>
    <w:rsid w:val="00C55AFB"/>
    <w:rsid w:val="00C55CB9"/>
    <w:rsid w:val="00C5656C"/>
    <w:rsid w:val="00C56BF5"/>
    <w:rsid w:val="00C56C05"/>
    <w:rsid w:val="00C57343"/>
    <w:rsid w:val="00C573AD"/>
    <w:rsid w:val="00C57590"/>
    <w:rsid w:val="00C575E6"/>
    <w:rsid w:val="00C579E1"/>
    <w:rsid w:val="00C57B54"/>
    <w:rsid w:val="00C57C38"/>
    <w:rsid w:val="00C57E76"/>
    <w:rsid w:val="00C57F0B"/>
    <w:rsid w:val="00C6053E"/>
    <w:rsid w:val="00C6057E"/>
    <w:rsid w:val="00C60743"/>
    <w:rsid w:val="00C6079A"/>
    <w:rsid w:val="00C60FDE"/>
    <w:rsid w:val="00C6118E"/>
    <w:rsid w:val="00C61233"/>
    <w:rsid w:val="00C617C0"/>
    <w:rsid w:val="00C6197E"/>
    <w:rsid w:val="00C61A95"/>
    <w:rsid w:val="00C61DE7"/>
    <w:rsid w:val="00C61E11"/>
    <w:rsid w:val="00C61ED9"/>
    <w:rsid w:val="00C6221C"/>
    <w:rsid w:val="00C624F5"/>
    <w:rsid w:val="00C62527"/>
    <w:rsid w:val="00C626D6"/>
    <w:rsid w:val="00C628B3"/>
    <w:rsid w:val="00C62AAD"/>
    <w:rsid w:val="00C62BD3"/>
    <w:rsid w:val="00C62DDD"/>
    <w:rsid w:val="00C62EAA"/>
    <w:rsid w:val="00C636EB"/>
    <w:rsid w:val="00C63B64"/>
    <w:rsid w:val="00C641CA"/>
    <w:rsid w:val="00C643F9"/>
    <w:rsid w:val="00C6496A"/>
    <w:rsid w:val="00C649F9"/>
    <w:rsid w:val="00C64C9F"/>
    <w:rsid w:val="00C64CD0"/>
    <w:rsid w:val="00C64DDB"/>
    <w:rsid w:val="00C65584"/>
    <w:rsid w:val="00C655D9"/>
    <w:rsid w:val="00C65693"/>
    <w:rsid w:val="00C65B32"/>
    <w:rsid w:val="00C65BC9"/>
    <w:rsid w:val="00C65BE1"/>
    <w:rsid w:val="00C65CFC"/>
    <w:rsid w:val="00C65E68"/>
    <w:rsid w:val="00C65ED1"/>
    <w:rsid w:val="00C65F61"/>
    <w:rsid w:val="00C65F9B"/>
    <w:rsid w:val="00C6614E"/>
    <w:rsid w:val="00C6624A"/>
    <w:rsid w:val="00C6636F"/>
    <w:rsid w:val="00C663F7"/>
    <w:rsid w:val="00C6656F"/>
    <w:rsid w:val="00C6676E"/>
    <w:rsid w:val="00C6678B"/>
    <w:rsid w:val="00C6684F"/>
    <w:rsid w:val="00C6686E"/>
    <w:rsid w:val="00C6686F"/>
    <w:rsid w:val="00C66B45"/>
    <w:rsid w:val="00C66DEA"/>
    <w:rsid w:val="00C671BB"/>
    <w:rsid w:val="00C674FF"/>
    <w:rsid w:val="00C677B0"/>
    <w:rsid w:val="00C680D3"/>
    <w:rsid w:val="00C700CD"/>
    <w:rsid w:val="00C701DD"/>
    <w:rsid w:val="00C70269"/>
    <w:rsid w:val="00C70342"/>
    <w:rsid w:val="00C70403"/>
    <w:rsid w:val="00C7058B"/>
    <w:rsid w:val="00C70708"/>
    <w:rsid w:val="00C70D08"/>
    <w:rsid w:val="00C70E70"/>
    <w:rsid w:val="00C70F6B"/>
    <w:rsid w:val="00C71099"/>
    <w:rsid w:val="00C713A6"/>
    <w:rsid w:val="00C714F0"/>
    <w:rsid w:val="00C718E1"/>
    <w:rsid w:val="00C718E2"/>
    <w:rsid w:val="00C71B9C"/>
    <w:rsid w:val="00C71C10"/>
    <w:rsid w:val="00C71C41"/>
    <w:rsid w:val="00C71C92"/>
    <w:rsid w:val="00C71FF7"/>
    <w:rsid w:val="00C72128"/>
    <w:rsid w:val="00C7256D"/>
    <w:rsid w:val="00C7283D"/>
    <w:rsid w:val="00C72910"/>
    <w:rsid w:val="00C72DB5"/>
    <w:rsid w:val="00C730FF"/>
    <w:rsid w:val="00C73111"/>
    <w:rsid w:val="00C73157"/>
    <w:rsid w:val="00C733A0"/>
    <w:rsid w:val="00C7357B"/>
    <w:rsid w:val="00C73971"/>
    <w:rsid w:val="00C73B51"/>
    <w:rsid w:val="00C73C2B"/>
    <w:rsid w:val="00C7422F"/>
    <w:rsid w:val="00C743BD"/>
    <w:rsid w:val="00C744A2"/>
    <w:rsid w:val="00C7469E"/>
    <w:rsid w:val="00C749F0"/>
    <w:rsid w:val="00C74F4A"/>
    <w:rsid w:val="00C7545D"/>
    <w:rsid w:val="00C75B29"/>
    <w:rsid w:val="00C75F8D"/>
    <w:rsid w:val="00C763BF"/>
    <w:rsid w:val="00C764C1"/>
    <w:rsid w:val="00C765E3"/>
    <w:rsid w:val="00C766EE"/>
    <w:rsid w:val="00C7688A"/>
    <w:rsid w:val="00C76F81"/>
    <w:rsid w:val="00C77380"/>
    <w:rsid w:val="00C773FA"/>
    <w:rsid w:val="00C77722"/>
    <w:rsid w:val="00C779EB"/>
    <w:rsid w:val="00C77E06"/>
    <w:rsid w:val="00C800AC"/>
    <w:rsid w:val="00C802C7"/>
    <w:rsid w:val="00C802F0"/>
    <w:rsid w:val="00C80354"/>
    <w:rsid w:val="00C80366"/>
    <w:rsid w:val="00C804B0"/>
    <w:rsid w:val="00C8062B"/>
    <w:rsid w:val="00C808B6"/>
    <w:rsid w:val="00C80C9A"/>
    <w:rsid w:val="00C80F0B"/>
    <w:rsid w:val="00C81058"/>
    <w:rsid w:val="00C8155B"/>
    <w:rsid w:val="00C817A4"/>
    <w:rsid w:val="00C818AA"/>
    <w:rsid w:val="00C8196C"/>
    <w:rsid w:val="00C81DEB"/>
    <w:rsid w:val="00C81F8A"/>
    <w:rsid w:val="00C82092"/>
    <w:rsid w:val="00C8259E"/>
    <w:rsid w:val="00C82F87"/>
    <w:rsid w:val="00C82FE8"/>
    <w:rsid w:val="00C8302C"/>
    <w:rsid w:val="00C8351E"/>
    <w:rsid w:val="00C8361B"/>
    <w:rsid w:val="00C83735"/>
    <w:rsid w:val="00C83762"/>
    <w:rsid w:val="00C83AB9"/>
    <w:rsid w:val="00C83E02"/>
    <w:rsid w:val="00C84033"/>
    <w:rsid w:val="00C840F1"/>
    <w:rsid w:val="00C84199"/>
    <w:rsid w:val="00C8422C"/>
    <w:rsid w:val="00C845E8"/>
    <w:rsid w:val="00C8490B"/>
    <w:rsid w:val="00C84BC3"/>
    <w:rsid w:val="00C84C6C"/>
    <w:rsid w:val="00C84CA8"/>
    <w:rsid w:val="00C84E05"/>
    <w:rsid w:val="00C84F48"/>
    <w:rsid w:val="00C85066"/>
    <w:rsid w:val="00C8531C"/>
    <w:rsid w:val="00C853D4"/>
    <w:rsid w:val="00C8569E"/>
    <w:rsid w:val="00C85989"/>
    <w:rsid w:val="00C85BEE"/>
    <w:rsid w:val="00C85D94"/>
    <w:rsid w:val="00C85E9F"/>
    <w:rsid w:val="00C85EC2"/>
    <w:rsid w:val="00C865D8"/>
    <w:rsid w:val="00C86804"/>
    <w:rsid w:val="00C8680F"/>
    <w:rsid w:val="00C86A1E"/>
    <w:rsid w:val="00C8702F"/>
    <w:rsid w:val="00C871F6"/>
    <w:rsid w:val="00C873D2"/>
    <w:rsid w:val="00C87550"/>
    <w:rsid w:val="00C87931"/>
    <w:rsid w:val="00C87D83"/>
    <w:rsid w:val="00C87E8A"/>
    <w:rsid w:val="00C90229"/>
    <w:rsid w:val="00C902A1"/>
    <w:rsid w:val="00C908FA"/>
    <w:rsid w:val="00C90A19"/>
    <w:rsid w:val="00C90B65"/>
    <w:rsid w:val="00C90C95"/>
    <w:rsid w:val="00C90CFD"/>
    <w:rsid w:val="00C90D13"/>
    <w:rsid w:val="00C90E23"/>
    <w:rsid w:val="00C913D6"/>
    <w:rsid w:val="00C91457"/>
    <w:rsid w:val="00C91464"/>
    <w:rsid w:val="00C914B9"/>
    <w:rsid w:val="00C91A50"/>
    <w:rsid w:val="00C91AE7"/>
    <w:rsid w:val="00C91C86"/>
    <w:rsid w:val="00C9221A"/>
    <w:rsid w:val="00C9226F"/>
    <w:rsid w:val="00C92811"/>
    <w:rsid w:val="00C92905"/>
    <w:rsid w:val="00C92C68"/>
    <w:rsid w:val="00C92E61"/>
    <w:rsid w:val="00C930C2"/>
    <w:rsid w:val="00C932DF"/>
    <w:rsid w:val="00C93880"/>
    <w:rsid w:val="00C93932"/>
    <w:rsid w:val="00C939F3"/>
    <w:rsid w:val="00C93C7D"/>
    <w:rsid w:val="00C93D2F"/>
    <w:rsid w:val="00C93E35"/>
    <w:rsid w:val="00C94159"/>
    <w:rsid w:val="00C95244"/>
    <w:rsid w:val="00C95770"/>
    <w:rsid w:val="00C95F0A"/>
    <w:rsid w:val="00C95FAD"/>
    <w:rsid w:val="00C96175"/>
    <w:rsid w:val="00C9650B"/>
    <w:rsid w:val="00C9689D"/>
    <w:rsid w:val="00C96922"/>
    <w:rsid w:val="00C969D2"/>
    <w:rsid w:val="00C96AF1"/>
    <w:rsid w:val="00C96B2D"/>
    <w:rsid w:val="00C96DA4"/>
    <w:rsid w:val="00C96DAB"/>
    <w:rsid w:val="00C9700E"/>
    <w:rsid w:val="00C97297"/>
    <w:rsid w:val="00C9731F"/>
    <w:rsid w:val="00C976D7"/>
    <w:rsid w:val="00C97736"/>
    <w:rsid w:val="00C97931"/>
    <w:rsid w:val="00C97B46"/>
    <w:rsid w:val="00C97E43"/>
    <w:rsid w:val="00C97EB3"/>
    <w:rsid w:val="00C97F8B"/>
    <w:rsid w:val="00CA049C"/>
    <w:rsid w:val="00CA059E"/>
    <w:rsid w:val="00CA05F8"/>
    <w:rsid w:val="00CA0921"/>
    <w:rsid w:val="00CA09B4"/>
    <w:rsid w:val="00CA09CA"/>
    <w:rsid w:val="00CA0F1D"/>
    <w:rsid w:val="00CA0FE3"/>
    <w:rsid w:val="00CA1167"/>
    <w:rsid w:val="00CA1298"/>
    <w:rsid w:val="00CA134F"/>
    <w:rsid w:val="00CA14E6"/>
    <w:rsid w:val="00CA1A86"/>
    <w:rsid w:val="00CA1E56"/>
    <w:rsid w:val="00CA1F98"/>
    <w:rsid w:val="00CA202E"/>
    <w:rsid w:val="00CA23F9"/>
    <w:rsid w:val="00CA2565"/>
    <w:rsid w:val="00CA28F2"/>
    <w:rsid w:val="00CA297F"/>
    <w:rsid w:val="00CA299E"/>
    <w:rsid w:val="00CA29CC"/>
    <w:rsid w:val="00CA2B55"/>
    <w:rsid w:val="00CA2CFE"/>
    <w:rsid w:val="00CA2F71"/>
    <w:rsid w:val="00CA31C8"/>
    <w:rsid w:val="00CA335F"/>
    <w:rsid w:val="00CA345A"/>
    <w:rsid w:val="00CA3591"/>
    <w:rsid w:val="00CA3709"/>
    <w:rsid w:val="00CA3B37"/>
    <w:rsid w:val="00CA3C80"/>
    <w:rsid w:val="00CA3D60"/>
    <w:rsid w:val="00CA4318"/>
    <w:rsid w:val="00CA45C8"/>
    <w:rsid w:val="00CA49AA"/>
    <w:rsid w:val="00CA4A36"/>
    <w:rsid w:val="00CA4D83"/>
    <w:rsid w:val="00CA4EB4"/>
    <w:rsid w:val="00CA4F94"/>
    <w:rsid w:val="00CA4F97"/>
    <w:rsid w:val="00CA5159"/>
    <w:rsid w:val="00CA53DA"/>
    <w:rsid w:val="00CA5566"/>
    <w:rsid w:val="00CA5578"/>
    <w:rsid w:val="00CA5848"/>
    <w:rsid w:val="00CA5A15"/>
    <w:rsid w:val="00CA5A69"/>
    <w:rsid w:val="00CA5C56"/>
    <w:rsid w:val="00CA5F5D"/>
    <w:rsid w:val="00CA6111"/>
    <w:rsid w:val="00CA6178"/>
    <w:rsid w:val="00CA61CE"/>
    <w:rsid w:val="00CA6266"/>
    <w:rsid w:val="00CA64A2"/>
    <w:rsid w:val="00CA6591"/>
    <w:rsid w:val="00CA695D"/>
    <w:rsid w:val="00CA69A9"/>
    <w:rsid w:val="00CA6C11"/>
    <w:rsid w:val="00CA6D63"/>
    <w:rsid w:val="00CA7158"/>
    <w:rsid w:val="00CA7569"/>
    <w:rsid w:val="00CA7E1E"/>
    <w:rsid w:val="00CA7FBF"/>
    <w:rsid w:val="00CB0AF0"/>
    <w:rsid w:val="00CB0EC0"/>
    <w:rsid w:val="00CB0ED1"/>
    <w:rsid w:val="00CB1244"/>
    <w:rsid w:val="00CB129C"/>
    <w:rsid w:val="00CB1C94"/>
    <w:rsid w:val="00CB1E82"/>
    <w:rsid w:val="00CB201B"/>
    <w:rsid w:val="00CB2163"/>
    <w:rsid w:val="00CB2270"/>
    <w:rsid w:val="00CB22A7"/>
    <w:rsid w:val="00CB2324"/>
    <w:rsid w:val="00CB2684"/>
    <w:rsid w:val="00CB274A"/>
    <w:rsid w:val="00CB28C9"/>
    <w:rsid w:val="00CB2BC1"/>
    <w:rsid w:val="00CB2CDE"/>
    <w:rsid w:val="00CB2E02"/>
    <w:rsid w:val="00CB2E60"/>
    <w:rsid w:val="00CB2F01"/>
    <w:rsid w:val="00CB3068"/>
    <w:rsid w:val="00CB3613"/>
    <w:rsid w:val="00CB3B10"/>
    <w:rsid w:val="00CB411B"/>
    <w:rsid w:val="00CB42A3"/>
    <w:rsid w:val="00CB4460"/>
    <w:rsid w:val="00CB44D3"/>
    <w:rsid w:val="00CB47F4"/>
    <w:rsid w:val="00CB494A"/>
    <w:rsid w:val="00CB4966"/>
    <w:rsid w:val="00CB4BA8"/>
    <w:rsid w:val="00CB5251"/>
    <w:rsid w:val="00CB52D7"/>
    <w:rsid w:val="00CB5810"/>
    <w:rsid w:val="00CB59A5"/>
    <w:rsid w:val="00CB5CA7"/>
    <w:rsid w:val="00CB5CFD"/>
    <w:rsid w:val="00CB5E23"/>
    <w:rsid w:val="00CB5E4B"/>
    <w:rsid w:val="00CB646D"/>
    <w:rsid w:val="00CB689D"/>
    <w:rsid w:val="00CB689E"/>
    <w:rsid w:val="00CB6E09"/>
    <w:rsid w:val="00CB6EB9"/>
    <w:rsid w:val="00CB6FC9"/>
    <w:rsid w:val="00CB6FF9"/>
    <w:rsid w:val="00CB753B"/>
    <w:rsid w:val="00CB7569"/>
    <w:rsid w:val="00CB7611"/>
    <w:rsid w:val="00CB7638"/>
    <w:rsid w:val="00CB76C3"/>
    <w:rsid w:val="00CB77D3"/>
    <w:rsid w:val="00CB7A08"/>
    <w:rsid w:val="00CB7F15"/>
    <w:rsid w:val="00CC0899"/>
    <w:rsid w:val="00CC0957"/>
    <w:rsid w:val="00CC095A"/>
    <w:rsid w:val="00CC0B11"/>
    <w:rsid w:val="00CC0DC9"/>
    <w:rsid w:val="00CC0E46"/>
    <w:rsid w:val="00CC10BD"/>
    <w:rsid w:val="00CC131E"/>
    <w:rsid w:val="00CC1D15"/>
    <w:rsid w:val="00CC2548"/>
    <w:rsid w:val="00CC27E4"/>
    <w:rsid w:val="00CC2B60"/>
    <w:rsid w:val="00CC2C4C"/>
    <w:rsid w:val="00CC2D0E"/>
    <w:rsid w:val="00CC2F65"/>
    <w:rsid w:val="00CC30B9"/>
    <w:rsid w:val="00CC343D"/>
    <w:rsid w:val="00CC349F"/>
    <w:rsid w:val="00CC3E27"/>
    <w:rsid w:val="00CC3EB8"/>
    <w:rsid w:val="00CC414F"/>
    <w:rsid w:val="00CC4157"/>
    <w:rsid w:val="00CC4213"/>
    <w:rsid w:val="00CC44D8"/>
    <w:rsid w:val="00CC45C8"/>
    <w:rsid w:val="00CC473A"/>
    <w:rsid w:val="00CC479D"/>
    <w:rsid w:val="00CC47B0"/>
    <w:rsid w:val="00CC48F5"/>
    <w:rsid w:val="00CC4C77"/>
    <w:rsid w:val="00CC534E"/>
    <w:rsid w:val="00CC5845"/>
    <w:rsid w:val="00CC5976"/>
    <w:rsid w:val="00CC5B3A"/>
    <w:rsid w:val="00CC6077"/>
    <w:rsid w:val="00CC612C"/>
    <w:rsid w:val="00CC66A1"/>
    <w:rsid w:val="00CC6732"/>
    <w:rsid w:val="00CC68E0"/>
    <w:rsid w:val="00CC6A8E"/>
    <w:rsid w:val="00CC6EF5"/>
    <w:rsid w:val="00CC6F8A"/>
    <w:rsid w:val="00CC7025"/>
    <w:rsid w:val="00CC7968"/>
    <w:rsid w:val="00CC7977"/>
    <w:rsid w:val="00CC7AB4"/>
    <w:rsid w:val="00CC7F00"/>
    <w:rsid w:val="00CC7FCD"/>
    <w:rsid w:val="00CD002A"/>
    <w:rsid w:val="00CD029A"/>
    <w:rsid w:val="00CD0627"/>
    <w:rsid w:val="00CD0B87"/>
    <w:rsid w:val="00CD123C"/>
    <w:rsid w:val="00CD14FC"/>
    <w:rsid w:val="00CD158D"/>
    <w:rsid w:val="00CD15A0"/>
    <w:rsid w:val="00CD17EB"/>
    <w:rsid w:val="00CD1A71"/>
    <w:rsid w:val="00CD1ACC"/>
    <w:rsid w:val="00CD1B38"/>
    <w:rsid w:val="00CD1C1C"/>
    <w:rsid w:val="00CD1E06"/>
    <w:rsid w:val="00CD1E17"/>
    <w:rsid w:val="00CD1E2B"/>
    <w:rsid w:val="00CD1F91"/>
    <w:rsid w:val="00CD20B2"/>
    <w:rsid w:val="00CD228D"/>
    <w:rsid w:val="00CD2390"/>
    <w:rsid w:val="00CD25D6"/>
    <w:rsid w:val="00CD275E"/>
    <w:rsid w:val="00CD2898"/>
    <w:rsid w:val="00CD2983"/>
    <w:rsid w:val="00CD2B47"/>
    <w:rsid w:val="00CD2D36"/>
    <w:rsid w:val="00CD2FE5"/>
    <w:rsid w:val="00CD3853"/>
    <w:rsid w:val="00CD3995"/>
    <w:rsid w:val="00CD3FF9"/>
    <w:rsid w:val="00CD40C0"/>
    <w:rsid w:val="00CD40FB"/>
    <w:rsid w:val="00CD4415"/>
    <w:rsid w:val="00CD452C"/>
    <w:rsid w:val="00CD491D"/>
    <w:rsid w:val="00CD4E1D"/>
    <w:rsid w:val="00CD4E53"/>
    <w:rsid w:val="00CD4F62"/>
    <w:rsid w:val="00CD5781"/>
    <w:rsid w:val="00CD5BFB"/>
    <w:rsid w:val="00CD5C42"/>
    <w:rsid w:val="00CD5E2D"/>
    <w:rsid w:val="00CD624A"/>
    <w:rsid w:val="00CD63DE"/>
    <w:rsid w:val="00CD675D"/>
    <w:rsid w:val="00CD6913"/>
    <w:rsid w:val="00CD6998"/>
    <w:rsid w:val="00CD6ACF"/>
    <w:rsid w:val="00CD6B78"/>
    <w:rsid w:val="00CD6CD1"/>
    <w:rsid w:val="00CD6D25"/>
    <w:rsid w:val="00CD6E9C"/>
    <w:rsid w:val="00CD6FC3"/>
    <w:rsid w:val="00CD6FF4"/>
    <w:rsid w:val="00CD7226"/>
    <w:rsid w:val="00CD73CF"/>
    <w:rsid w:val="00CD7442"/>
    <w:rsid w:val="00CD7595"/>
    <w:rsid w:val="00CD77E8"/>
    <w:rsid w:val="00CD7EC1"/>
    <w:rsid w:val="00CD7ECC"/>
    <w:rsid w:val="00CE002E"/>
    <w:rsid w:val="00CE035D"/>
    <w:rsid w:val="00CE08FF"/>
    <w:rsid w:val="00CE09B9"/>
    <w:rsid w:val="00CE0C67"/>
    <w:rsid w:val="00CE1165"/>
    <w:rsid w:val="00CE144F"/>
    <w:rsid w:val="00CE193B"/>
    <w:rsid w:val="00CE1C18"/>
    <w:rsid w:val="00CE1D82"/>
    <w:rsid w:val="00CE1E0B"/>
    <w:rsid w:val="00CE1F8C"/>
    <w:rsid w:val="00CE2644"/>
    <w:rsid w:val="00CE2659"/>
    <w:rsid w:val="00CE2A98"/>
    <w:rsid w:val="00CE2BFA"/>
    <w:rsid w:val="00CE2CE5"/>
    <w:rsid w:val="00CE2F27"/>
    <w:rsid w:val="00CE2F95"/>
    <w:rsid w:val="00CE3250"/>
    <w:rsid w:val="00CE330F"/>
    <w:rsid w:val="00CE38C7"/>
    <w:rsid w:val="00CE3A28"/>
    <w:rsid w:val="00CE3C3A"/>
    <w:rsid w:val="00CE3C96"/>
    <w:rsid w:val="00CE3E21"/>
    <w:rsid w:val="00CE3E33"/>
    <w:rsid w:val="00CE3F94"/>
    <w:rsid w:val="00CE416E"/>
    <w:rsid w:val="00CE42C4"/>
    <w:rsid w:val="00CE43F5"/>
    <w:rsid w:val="00CE4794"/>
    <w:rsid w:val="00CE5140"/>
    <w:rsid w:val="00CE51A8"/>
    <w:rsid w:val="00CE5260"/>
    <w:rsid w:val="00CE55F3"/>
    <w:rsid w:val="00CE56AF"/>
    <w:rsid w:val="00CE56B6"/>
    <w:rsid w:val="00CE586C"/>
    <w:rsid w:val="00CE5A7B"/>
    <w:rsid w:val="00CE5AB9"/>
    <w:rsid w:val="00CE5BFA"/>
    <w:rsid w:val="00CE5D9E"/>
    <w:rsid w:val="00CE611A"/>
    <w:rsid w:val="00CE61F3"/>
    <w:rsid w:val="00CE659F"/>
    <w:rsid w:val="00CE6737"/>
    <w:rsid w:val="00CE6DC3"/>
    <w:rsid w:val="00CE6E05"/>
    <w:rsid w:val="00CE7334"/>
    <w:rsid w:val="00CE74C3"/>
    <w:rsid w:val="00CE772A"/>
    <w:rsid w:val="00CE772F"/>
    <w:rsid w:val="00CE7BFC"/>
    <w:rsid w:val="00CE7E60"/>
    <w:rsid w:val="00CE7EBB"/>
    <w:rsid w:val="00CE7ECF"/>
    <w:rsid w:val="00CF0514"/>
    <w:rsid w:val="00CF0681"/>
    <w:rsid w:val="00CF0782"/>
    <w:rsid w:val="00CF0827"/>
    <w:rsid w:val="00CF0BFE"/>
    <w:rsid w:val="00CF0FBA"/>
    <w:rsid w:val="00CF125A"/>
    <w:rsid w:val="00CF1691"/>
    <w:rsid w:val="00CF17E5"/>
    <w:rsid w:val="00CF1839"/>
    <w:rsid w:val="00CF18BC"/>
    <w:rsid w:val="00CF1A43"/>
    <w:rsid w:val="00CF1B9E"/>
    <w:rsid w:val="00CF1E2C"/>
    <w:rsid w:val="00CF237A"/>
    <w:rsid w:val="00CF2446"/>
    <w:rsid w:val="00CF2620"/>
    <w:rsid w:val="00CF2669"/>
    <w:rsid w:val="00CF28AD"/>
    <w:rsid w:val="00CF2966"/>
    <w:rsid w:val="00CF2B00"/>
    <w:rsid w:val="00CF2BEE"/>
    <w:rsid w:val="00CF2DDC"/>
    <w:rsid w:val="00CF2E83"/>
    <w:rsid w:val="00CF2EE5"/>
    <w:rsid w:val="00CF2FB8"/>
    <w:rsid w:val="00CF30CC"/>
    <w:rsid w:val="00CF328C"/>
    <w:rsid w:val="00CF33CB"/>
    <w:rsid w:val="00CF3453"/>
    <w:rsid w:val="00CF369B"/>
    <w:rsid w:val="00CF3960"/>
    <w:rsid w:val="00CF39B0"/>
    <w:rsid w:val="00CF3A0B"/>
    <w:rsid w:val="00CF3F27"/>
    <w:rsid w:val="00CF411A"/>
    <w:rsid w:val="00CF45D4"/>
    <w:rsid w:val="00CF4E97"/>
    <w:rsid w:val="00CF4F77"/>
    <w:rsid w:val="00CF51BF"/>
    <w:rsid w:val="00CF5397"/>
    <w:rsid w:val="00CF5619"/>
    <w:rsid w:val="00CF5848"/>
    <w:rsid w:val="00CF5E4D"/>
    <w:rsid w:val="00CF5F18"/>
    <w:rsid w:val="00CF5FFC"/>
    <w:rsid w:val="00CF62C9"/>
    <w:rsid w:val="00CF6B8D"/>
    <w:rsid w:val="00CF6D57"/>
    <w:rsid w:val="00CF72CE"/>
    <w:rsid w:val="00CF7863"/>
    <w:rsid w:val="00CF7906"/>
    <w:rsid w:val="00CF7ED7"/>
    <w:rsid w:val="00D00083"/>
    <w:rsid w:val="00D00612"/>
    <w:rsid w:val="00D0063B"/>
    <w:rsid w:val="00D0071C"/>
    <w:rsid w:val="00D0077D"/>
    <w:rsid w:val="00D008C8"/>
    <w:rsid w:val="00D00BFB"/>
    <w:rsid w:val="00D00D48"/>
    <w:rsid w:val="00D00E28"/>
    <w:rsid w:val="00D01213"/>
    <w:rsid w:val="00D01452"/>
    <w:rsid w:val="00D017F7"/>
    <w:rsid w:val="00D018E5"/>
    <w:rsid w:val="00D01BC0"/>
    <w:rsid w:val="00D01C0C"/>
    <w:rsid w:val="00D01CB8"/>
    <w:rsid w:val="00D01DEA"/>
    <w:rsid w:val="00D01E6E"/>
    <w:rsid w:val="00D02539"/>
    <w:rsid w:val="00D0269E"/>
    <w:rsid w:val="00D02930"/>
    <w:rsid w:val="00D02AA8"/>
    <w:rsid w:val="00D02D14"/>
    <w:rsid w:val="00D02E2A"/>
    <w:rsid w:val="00D02E72"/>
    <w:rsid w:val="00D02E87"/>
    <w:rsid w:val="00D02EB0"/>
    <w:rsid w:val="00D033D5"/>
    <w:rsid w:val="00D039F3"/>
    <w:rsid w:val="00D03C3A"/>
    <w:rsid w:val="00D03CC3"/>
    <w:rsid w:val="00D03CCF"/>
    <w:rsid w:val="00D03DC8"/>
    <w:rsid w:val="00D04517"/>
    <w:rsid w:val="00D047DB"/>
    <w:rsid w:val="00D04813"/>
    <w:rsid w:val="00D04814"/>
    <w:rsid w:val="00D049C4"/>
    <w:rsid w:val="00D04AE9"/>
    <w:rsid w:val="00D04B88"/>
    <w:rsid w:val="00D04F48"/>
    <w:rsid w:val="00D05122"/>
    <w:rsid w:val="00D05484"/>
    <w:rsid w:val="00D0595A"/>
    <w:rsid w:val="00D05D6C"/>
    <w:rsid w:val="00D06203"/>
    <w:rsid w:val="00D0621C"/>
    <w:rsid w:val="00D0626A"/>
    <w:rsid w:val="00D06416"/>
    <w:rsid w:val="00D065A0"/>
    <w:rsid w:val="00D066F1"/>
    <w:rsid w:val="00D06857"/>
    <w:rsid w:val="00D06895"/>
    <w:rsid w:val="00D06CA4"/>
    <w:rsid w:val="00D06CD7"/>
    <w:rsid w:val="00D07375"/>
    <w:rsid w:val="00D07426"/>
    <w:rsid w:val="00D07651"/>
    <w:rsid w:val="00D0795B"/>
    <w:rsid w:val="00D079AC"/>
    <w:rsid w:val="00D07A1F"/>
    <w:rsid w:val="00D07CD7"/>
    <w:rsid w:val="00D1013F"/>
    <w:rsid w:val="00D10284"/>
    <w:rsid w:val="00D103B6"/>
    <w:rsid w:val="00D10579"/>
    <w:rsid w:val="00D10629"/>
    <w:rsid w:val="00D106F8"/>
    <w:rsid w:val="00D10B77"/>
    <w:rsid w:val="00D10C4E"/>
    <w:rsid w:val="00D10CE3"/>
    <w:rsid w:val="00D10E64"/>
    <w:rsid w:val="00D1109A"/>
    <w:rsid w:val="00D1161A"/>
    <w:rsid w:val="00D116EF"/>
    <w:rsid w:val="00D117F9"/>
    <w:rsid w:val="00D11850"/>
    <w:rsid w:val="00D11D0D"/>
    <w:rsid w:val="00D11DED"/>
    <w:rsid w:val="00D121C9"/>
    <w:rsid w:val="00D121DD"/>
    <w:rsid w:val="00D12519"/>
    <w:rsid w:val="00D1279B"/>
    <w:rsid w:val="00D129C3"/>
    <w:rsid w:val="00D12B93"/>
    <w:rsid w:val="00D12F19"/>
    <w:rsid w:val="00D13065"/>
    <w:rsid w:val="00D13155"/>
    <w:rsid w:val="00D1353B"/>
    <w:rsid w:val="00D136BC"/>
    <w:rsid w:val="00D13D87"/>
    <w:rsid w:val="00D140F7"/>
    <w:rsid w:val="00D141BB"/>
    <w:rsid w:val="00D14743"/>
    <w:rsid w:val="00D14BC0"/>
    <w:rsid w:val="00D154D1"/>
    <w:rsid w:val="00D15779"/>
    <w:rsid w:val="00D15810"/>
    <w:rsid w:val="00D15A30"/>
    <w:rsid w:val="00D167E2"/>
    <w:rsid w:val="00D16894"/>
    <w:rsid w:val="00D16D4E"/>
    <w:rsid w:val="00D16FE3"/>
    <w:rsid w:val="00D17794"/>
    <w:rsid w:val="00D17885"/>
    <w:rsid w:val="00D17983"/>
    <w:rsid w:val="00D17BBC"/>
    <w:rsid w:val="00D200E7"/>
    <w:rsid w:val="00D20403"/>
    <w:rsid w:val="00D2043C"/>
    <w:rsid w:val="00D20652"/>
    <w:rsid w:val="00D20736"/>
    <w:rsid w:val="00D20928"/>
    <w:rsid w:val="00D20CFE"/>
    <w:rsid w:val="00D20D69"/>
    <w:rsid w:val="00D20ECB"/>
    <w:rsid w:val="00D21127"/>
    <w:rsid w:val="00D21362"/>
    <w:rsid w:val="00D213F3"/>
    <w:rsid w:val="00D21532"/>
    <w:rsid w:val="00D21615"/>
    <w:rsid w:val="00D21958"/>
    <w:rsid w:val="00D21A53"/>
    <w:rsid w:val="00D21AC6"/>
    <w:rsid w:val="00D21F31"/>
    <w:rsid w:val="00D224BE"/>
    <w:rsid w:val="00D22656"/>
    <w:rsid w:val="00D2269F"/>
    <w:rsid w:val="00D227D7"/>
    <w:rsid w:val="00D22C09"/>
    <w:rsid w:val="00D236F7"/>
    <w:rsid w:val="00D2394A"/>
    <w:rsid w:val="00D23CAF"/>
    <w:rsid w:val="00D23E74"/>
    <w:rsid w:val="00D24090"/>
    <w:rsid w:val="00D24270"/>
    <w:rsid w:val="00D2468C"/>
    <w:rsid w:val="00D24A9B"/>
    <w:rsid w:val="00D24E10"/>
    <w:rsid w:val="00D2509D"/>
    <w:rsid w:val="00D2545D"/>
    <w:rsid w:val="00D254BE"/>
    <w:rsid w:val="00D25597"/>
    <w:rsid w:val="00D255E3"/>
    <w:rsid w:val="00D25ED3"/>
    <w:rsid w:val="00D265EF"/>
    <w:rsid w:val="00D26657"/>
    <w:rsid w:val="00D26712"/>
    <w:rsid w:val="00D26792"/>
    <w:rsid w:val="00D267BF"/>
    <w:rsid w:val="00D26A6A"/>
    <w:rsid w:val="00D26DD1"/>
    <w:rsid w:val="00D26E8E"/>
    <w:rsid w:val="00D272D5"/>
    <w:rsid w:val="00D27311"/>
    <w:rsid w:val="00D2742F"/>
    <w:rsid w:val="00D275CF"/>
    <w:rsid w:val="00D275F5"/>
    <w:rsid w:val="00D2763E"/>
    <w:rsid w:val="00D27995"/>
    <w:rsid w:val="00D27C2C"/>
    <w:rsid w:val="00D27D69"/>
    <w:rsid w:val="00D27F41"/>
    <w:rsid w:val="00D27F98"/>
    <w:rsid w:val="00D30200"/>
    <w:rsid w:val="00D30225"/>
    <w:rsid w:val="00D30561"/>
    <w:rsid w:val="00D3058B"/>
    <w:rsid w:val="00D30612"/>
    <w:rsid w:val="00D30D9B"/>
    <w:rsid w:val="00D30E18"/>
    <w:rsid w:val="00D30F01"/>
    <w:rsid w:val="00D31224"/>
    <w:rsid w:val="00D3151C"/>
    <w:rsid w:val="00D315E9"/>
    <w:rsid w:val="00D31692"/>
    <w:rsid w:val="00D316BF"/>
    <w:rsid w:val="00D31714"/>
    <w:rsid w:val="00D318A3"/>
    <w:rsid w:val="00D318EB"/>
    <w:rsid w:val="00D31A3B"/>
    <w:rsid w:val="00D31A5F"/>
    <w:rsid w:val="00D31C7B"/>
    <w:rsid w:val="00D31EC2"/>
    <w:rsid w:val="00D330E6"/>
    <w:rsid w:val="00D331B6"/>
    <w:rsid w:val="00D3320F"/>
    <w:rsid w:val="00D3334A"/>
    <w:rsid w:val="00D33401"/>
    <w:rsid w:val="00D334E1"/>
    <w:rsid w:val="00D338BC"/>
    <w:rsid w:val="00D33A88"/>
    <w:rsid w:val="00D33C13"/>
    <w:rsid w:val="00D33C34"/>
    <w:rsid w:val="00D33F91"/>
    <w:rsid w:val="00D340F2"/>
    <w:rsid w:val="00D34135"/>
    <w:rsid w:val="00D3413D"/>
    <w:rsid w:val="00D34236"/>
    <w:rsid w:val="00D3473D"/>
    <w:rsid w:val="00D347AC"/>
    <w:rsid w:val="00D347DC"/>
    <w:rsid w:val="00D35460"/>
    <w:rsid w:val="00D35527"/>
    <w:rsid w:val="00D35768"/>
    <w:rsid w:val="00D35C78"/>
    <w:rsid w:val="00D35EA1"/>
    <w:rsid w:val="00D36119"/>
    <w:rsid w:val="00D36441"/>
    <w:rsid w:val="00D36477"/>
    <w:rsid w:val="00D36738"/>
    <w:rsid w:val="00D36853"/>
    <w:rsid w:val="00D36BF8"/>
    <w:rsid w:val="00D37180"/>
    <w:rsid w:val="00D371F8"/>
    <w:rsid w:val="00D37562"/>
    <w:rsid w:val="00D37583"/>
    <w:rsid w:val="00D376CD"/>
    <w:rsid w:val="00D37EF8"/>
    <w:rsid w:val="00D400DF"/>
    <w:rsid w:val="00D40163"/>
    <w:rsid w:val="00D402FE"/>
    <w:rsid w:val="00D40355"/>
    <w:rsid w:val="00D403AB"/>
    <w:rsid w:val="00D4058B"/>
    <w:rsid w:val="00D4064E"/>
    <w:rsid w:val="00D407BC"/>
    <w:rsid w:val="00D40F07"/>
    <w:rsid w:val="00D41717"/>
    <w:rsid w:val="00D4181F"/>
    <w:rsid w:val="00D41B3B"/>
    <w:rsid w:val="00D41C0E"/>
    <w:rsid w:val="00D41D25"/>
    <w:rsid w:val="00D41DA5"/>
    <w:rsid w:val="00D42383"/>
    <w:rsid w:val="00D425D5"/>
    <w:rsid w:val="00D426EC"/>
    <w:rsid w:val="00D428DD"/>
    <w:rsid w:val="00D42A36"/>
    <w:rsid w:val="00D430E5"/>
    <w:rsid w:val="00D4313D"/>
    <w:rsid w:val="00D431E0"/>
    <w:rsid w:val="00D43363"/>
    <w:rsid w:val="00D43436"/>
    <w:rsid w:val="00D4345C"/>
    <w:rsid w:val="00D434A9"/>
    <w:rsid w:val="00D43748"/>
    <w:rsid w:val="00D437CC"/>
    <w:rsid w:val="00D43B8D"/>
    <w:rsid w:val="00D44000"/>
    <w:rsid w:val="00D4413F"/>
    <w:rsid w:val="00D44701"/>
    <w:rsid w:val="00D448BB"/>
    <w:rsid w:val="00D44B58"/>
    <w:rsid w:val="00D44C26"/>
    <w:rsid w:val="00D44E9B"/>
    <w:rsid w:val="00D44F7E"/>
    <w:rsid w:val="00D451B4"/>
    <w:rsid w:val="00D45426"/>
    <w:rsid w:val="00D459EA"/>
    <w:rsid w:val="00D45CE4"/>
    <w:rsid w:val="00D45FB1"/>
    <w:rsid w:val="00D46220"/>
    <w:rsid w:val="00D4646E"/>
    <w:rsid w:val="00D4687F"/>
    <w:rsid w:val="00D469C2"/>
    <w:rsid w:val="00D46CDA"/>
    <w:rsid w:val="00D46EC4"/>
    <w:rsid w:val="00D46FCC"/>
    <w:rsid w:val="00D47038"/>
    <w:rsid w:val="00D4752C"/>
    <w:rsid w:val="00D47AEB"/>
    <w:rsid w:val="00D47B6C"/>
    <w:rsid w:val="00D50240"/>
    <w:rsid w:val="00D502AE"/>
    <w:rsid w:val="00D505DF"/>
    <w:rsid w:val="00D5092F"/>
    <w:rsid w:val="00D50B1D"/>
    <w:rsid w:val="00D50CC9"/>
    <w:rsid w:val="00D50DB9"/>
    <w:rsid w:val="00D50E4D"/>
    <w:rsid w:val="00D50E53"/>
    <w:rsid w:val="00D50E72"/>
    <w:rsid w:val="00D50F64"/>
    <w:rsid w:val="00D50F68"/>
    <w:rsid w:val="00D511DE"/>
    <w:rsid w:val="00D51302"/>
    <w:rsid w:val="00D516D3"/>
    <w:rsid w:val="00D517C1"/>
    <w:rsid w:val="00D51A07"/>
    <w:rsid w:val="00D51BAD"/>
    <w:rsid w:val="00D51F15"/>
    <w:rsid w:val="00D51F94"/>
    <w:rsid w:val="00D520EC"/>
    <w:rsid w:val="00D524EE"/>
    <w:rsid w:val="00D52C43"/>
    <w:rsid w:val="00D52C71"/>
    <w:rsid w:val="00D52C87"/>
    <w:rsid w:val="00D52F6E"/>
    <w:rsid w:val="00D52F71"/>
    <w:rsid w:val="00D530C5"/>
    <w:rsid w:val="00D534FC"/>
    <w:rsid w:val="00D53632"/>
    <w:rsid w:val="00D537A2"/>
    <w:rsid w:val="00D53977"/>
    <w:rsid w:val="00D539AE"/>
    <w:rsid w:val="00D53C43"/>
    <w:rsid w:val="00D54455"/>
    <w:rsid w:val="00D547DC"/>
    <w:rsid w:val="00D5496F"/>
    <w:rsid w:val="00D54B5C"/>
    <w:rsid w:val="00D54C44"/>
    <w:rsid w:val="00D54CFF"/>
    <w:rsid w:val="00D54DA2"/>
    <w:rsid w:val="00D54F51"/>
    <w:rsid w:val="00D5508E"/>
    <w:rsid w:val="00D55192"/>
    <w:rsid w:val="00D552CD"/>
    <w:rsid w:val="00D555E9"/>
    <w:rsid w:val="00D55E94"/>
    <w:rsid w:val="00D55EC7"/>
    <w:rsid w:val="00D55EF3"/>
    <w:rsid w:val="00D56677"/>
    <w:rsid w:val="00D56A29"/>
    <w:rsid w:val="00D56E03"/>
    <w:rsid w:val="00D56F0B"/>
    <w:rsid w:val="00D57131"/>
    <w:rsid w:val="00D57577"/>
    <w:rsid w:val="00D57723"/>
    <w:rsid w:val="00D5777E"/>
    <w:rsid w:val="00D57890"/>
    <w:rsid w:val="00D579C8"/>
    <w:rsid w:val="00D57BF8"/>
    <w:rsid w:val="00D57C3C"/>
    <w:rsid w:val="00D60132"/>
    <w:rsid w:val="00D606EF"/>
    <w:rsid w:val="00D60792"/>
    <w:rsid w:val="00D608C1"/>
    <w:rsid w:val="00D60D4A"/>
    <w:rsid w:val="00D60DE0"/>
    <w:rsid w:val="00D60EAF"/>
    <w:rsid w:val="00D60FDA"/>
    <w:rsid w:val="00D610D5"/>
    <w:rsid w:val="00D61243"/>
    <w:rsid w:val="00D614BE"/>
    <w:rsid w:val="00D6163A"/>
    <w:rsid w:val="00D61678"/>
    <w:rsid w:val="00D617AB"/>
    <w:rsid w:val="00D621E5"/>
    <w:rsid w:val="00D623AA"/>
    <w:rsid w:val="00D62451"/>
    <w:rsid w:val="00D62513"/>
    <w:rsid w:val="00D626A6"/>
    <w:rsid w:val="00D627CD"/>
    <w:rsid w:val="00D6280E"/>
    <w:rsid w:val="00D62825"/>
    <w:rsid w:val="00D629AF"/>
    <w:rsid w:val="00D62EE4"/>
    <w:rsid w:val="00D63057"/>
    <w:rsid w:val="00D63907"/>
    <w:rsid w:val="00D63D48"/>
    <w:rsid w:val="00D63F91"/>
    <w:rsid w:val="00D64295"/>
    <w:rsid w:val="00D64496"/>
    <w:rsid w:val="00D6456C"/>
    <w:rsid w:val="00D64688"/>
    <w:rsid w:val="00D6479F"/>
    <w:rsid w:val="00D64AE8"/>
    <w:rsid w:val="00D64D08"/>
    <w:rsid w:val="00D6507F"/>
    <w:rsid w:val="00D655CD"/>
    <w:rsid w:val="00D656F6"/>
    <w:rsid w:val="00D658EC"/>
    <w:rsid w:val="00D65AE1"/>
    <w:rsid w:val="00D65FC8"/>
    <w:rsid w:val="00D66482"/>
    <w:rsid w:val="00D66632"/>
    <w:rsid w:val="00D667CC"/>
    <w:rsid w:val="00D66890"/>
    <w:rsid w:val="00D66C29"/>
    <w:rsid w:val="00D6740E"/>
    <w:rsid w:val="00D67993"/>
    <w:rsid w:val="00D67EB8"/>
    <w:rsid w:val="00D67EE9"/>
    <w:rsid w:val="00D702FF"/>
    <w:rsid w:val="00D705E2"/>
    <w:rsid w:val="00D706CC"/>
    <w:rsid w:val="00D7090B"/>
    <w:rsid w:val="00D70BA0"/>
    <w:rsid w:val="00D70C87"/>
    <w:rsid w:val="00D70E35"/>
    <w:rsid w:val="00D712BE"/>
    <w:rsid w:val="00D715D6"/>
    <w:rsid w:val="00D71F18"/>
    <w:rsid w:val="00D71F2E"/>
    <w:rsid w:val="00D71F56"/>
    <w:rsid w:val="00D725B2"/>
    <w:rsid w:val="00D7277C"/>
    <w:rsid w:val="00D72975"/>
    <w:rsid w:val="00D730BC"/>
    <w:rsid w:val="00D73637"/>
    <w:rsid w:val="00D737CC"/>
    <w:rsid w:val="00D738B4"/>
    <w:rsid w:val="00D73912"/>
    <w:rsid w:val="00D73D32"/>
    <w:rsid w:val="00D73F5C"/>
    <w:rsid w:val="00D73F6B"/>
    <w:rsid w:val="00D7412F"/>
    <w:rsid w:val="00D741E5"/>
    <w:rsid w:val="00D743A5"/>
    <w:rsid w:val="00D74403"/>
    <w:rsid w:val="00D7464A"/>
    <w:rsid w:val="00D74745"/>
    <w:rsid w:val="00D747DF"/>
    <w:rsid w:val="00D7484D"/>
    <w:rsid w:val="00D74AD7"/>
    <w:rsid w:val="00D74C6F"/>
    <w:rsid w:val="00D74ED6"/>
    <w:rsid w:val="00D75439"/>
    <w:rsid w:val="00D75540"/>
    <w:rsid w:val="00D755A7"/>
    <w:rsid w:val="00D755E0"/>
    <w:rsid w:val="00D756D4"/>
    <w:rsid w:val="00D759EB"/>
    <w:rsid w:val="00D75AE2"/>
    <w:rsid w:val="00D76179"/>
    <w:rsid w:val="00D7668E"/>
    <w:rsid w:val="00D767B7"/>
    <w:rsid w:val="00D76868"/>
    <w:rsid w:val="00D76A7A"/>
    <w:rsid w:val="00D76B3C"/>
    <w:rsid w:val="00D76CAB"/>
    <w:rsid w:val="00D7705E"/>
    <w:rsid w:val="00D77161"/>
    <w:rsid w:val="00D776BF"/>
    <w:rsid w:val="00D77882"/>
    <w:rsid w:val="00D77A6A"/>
    <w:rsid w:val="00D77C89"/>
    <w:rsid w:val="00D77E8B"/>
    <w:rsid w:val="00D77EDE"/>
    <w:rsid w:val="00D77F2A"/>
    <w:rsid w:val="00D800A5"/>
    <w:rsid w:val="00D802B9"/>
    <w:rsid w:val="00D80321"/>
    <w:rsid w:val="00D8036D"/>
    <w:rsid w:val="00D8044F"/>
    <w:rsid w:val="00D808DA"/>
    <w:rsid w:val="00D809ED"/>
    <w:rsid w:val="00D80AA7"/>
    <w:rsid w:val="00D80B49"/>
    <w:rsid w:val="00D80D6D"/>
    <w:rsid w:val="00D81051"/>
    <w:rsid w:val="00D81172"/>
    <w:rsid w:val="00D811C2"/>
    <w:rsid w:val="00D812E1"/>
    <w:rsid w:val="00D8151E"/>
    <w:rsid w:val="00D81BB0"/>
    <w:rsid w:val="00D81BD2"/>
    <w:rsid w:val="00D81C43"/>
    <w:rsid w:val="00D8208F"/>
    <w:rsid w:val="00D82159"/>
    <w:rsid w:val="00D82261"/>
    <w:rsid w:val="00D8254E"/>
    <w:rsid w:val="00D8272E"/>
    <w:rsid w:val="00D831AD"/>
    <w:rsid w:val="00D831EE"/>
    <w:rsid w:val="00D8333A"/>
    <w:rsid w:val="00D83475"/>
    <w:rsid w:val="00D83846"/>
    <w:rsid w:val="00D83890"/>
    <w:rsid w:val="00D83ADC"/>
    <w:rsid w:val="00D83BE5"/>
    <w:rsid w:val="00D83F9B"/>
    <w:rsid w:val="00D8404F"/>
    <w:rsid w:val="00D840E2"/>
    <w:rsid w:val="00D840E3"/>
    <w:rsid w:val="00D8422F"/>
    <w:rsid w:val="00D8455B"/>
    <w:rsid w:val="00D84667"/>
    <w:rsid w:val="00D84749"/>
    <w:rsid w:val="00D84791"/>
    <w:rsid w:val="00D84878"/>
    <w:rsid w:val="00D848E3"/>
    <w:rsid w:val="00D84916"/>
    <w:rsid w:val="00D84CFA"/>
    <w:rsid w:val="00D84E3B"/>
    <w:rsid w:val="00D85226"/>
    <w:rsid w:val="00D854A0"/>
    <w:rsid w:val="00D8560F"/>
    <w:rsid w:val="00D856CC"/>
    <w:rsid w:val="00D859BB"/>
    <w:rsid w:val="00D85B02"/>
    <w:rsid w:val="00D85C7D"/>
    <w:rsid w:val="00D85C90"/>
    <w:rsid w:val="00D85CFA"/>
    <w:rsid w:val="00D861ED"/>
    <w:rsid w:val="00D86386"/>
    <w:rsid w:val="00D8648C"/>
    <w:rsid w:val="00D865AC"/>
    <w:rsid w:val="00D868AE"/>
    <w:rsid w:val="00D86AA9"/>
    <w:rsid w:val="00D86B11"/>
    <w:rsid w:val="00D86B15"/>
    <w:rsid w:val="00D870DC"/>
    <w:rsid w:val="00D87517"/>
    <w:rsid w:val="00D876F9"/>
    <w:rsid w:val="00D87848"/>
    <w:rsid w:val="00D8789F"/>
    <w:rsid w:val="00D87B94"/>
    <w:rsid w:val="00D900FB"/>
    <w:rsid w:val="00D90252"/>
    <w:rsid w:val="00D912B7"/>
    <w:rsid w:val="00D9146F"/>
    <w:rsid w:val="00D91881"/>
    <w:rsid w:val="00D91884"/>
    <w:rsid w:val="00D91904"/>
    <w:rsid w:val="00D91964"/>
    <w:rsid w:val="00D91BA3"/>
    <w:rsid w:val="00D91D54"/>
    <w:rsid w:val="00D91E86"/>
    <w:rsid w:val="00D9202C"/>
    <w:rsid w:val="00D923C3"/>
    <w:rsid w:val="00D92442"/>
    <w:rsid w:val="00D9263F"/>
    <w:rsid w:val="00D92841"/>
    <w:rsid w:val="00D92BC7"/>
    <w:rsid w:val="00D92CD2"/>
    <w:rsid w:val="00D92D49"/>
    <w:rsid w:val="00D92EC1"/>
    <w:rsid w:val="00D9333D"/>
    <w:rsid w:val="00D93393"/>
    <w:rsid w:val="00D9354D"/>
    <w:rsid w:val="00D93849"/>
    <w:rsid w:val="00D93AE3"/>
    <w:rsid w:val="00D93CD1"/>
    <w:rsid w:val="00D93EC7"/>
    <w:rsid w:val="00D93EE0"/>
    <w:rsid w:val="00D93FB2"/>
    <w:rsid w:val="00D9458D"/>
    <w:rsid w:val="00D945B7"/>
    <w:rsid w:val="00D945C9"/>
    <w:rsid w:val="00D9474E"/>
    <w:rsid w:val="00D94A47"/>
    <w:rsid w:val="00D94EC5"/>
    <w:rsid w:val="00D95131"/>
    <w:rsid w:val="00D95FB1"/>
    <w:rsid w:val="00D9603E"/>
    <w:rsid w:val="00D9644F"/>
    <w:rsid w:val="00D968B0"/>
    <w:rsid w:val="00D96DEA"/>
    <w:rsid w:val="00D97597"/>
    <w:rsid w:val="00D9761D"/>
    <w:rsid w:val="00D976BF"/>
    <w:rsid w:val="00D97AA0"/>
    <w:rsid w:val="00D97D75"/>
    <w:rsid w:val="00D97F05"/>
    <w:rsid w:val="00D97FD7"/>
    <w:rsid w:val="00DA0056"/>
    <w:rsid w:val="00DA01C0"/>
    <w:rsid w:val="00DA055E"/>
    <w:rsid w:val="00DA0B1B"/>
    <w:rsid w:val="00DA0D69"/>
    <w:rsid w:val="00DA11D3"/>
    <w:rsid w:val="00DA135D"/>
    <w:rsid w:val="00DA1729"/>
    <w:rsid w:val="00DA21E2"/>
    <w:rsid w:val="00DA221D"/>
    <w:rsid w:val="00DA2258"/>
    <w:rsid w:val="00DA261B"/>
    <w:rsid w:val="00DA29F1"/>
    <w:rsid w:val="00DA3068"/>
    <w:rsid w:val="00DA3129"/>
    <w:rsid w:val="00DA3144"/>
    <w:rsid w:val="00DA31D3"/>
    <w:rsid w:val="00DA389E"/>
    <w:rsid w:val="00DA38EF"/>
    <w:rsid w:val="00DA3FB4"/>
    <w:rsid w:val="00DA4113"/>
    <w:rsid w:val="00DA4235"/>
    <w:rsid w:val="00DA47A4"/>
    <w:rsid w:val="00DA48D6"/>
    <w:rsid w:val="00DA4C00"/>
    <w:rsid w:val="00DA4D85"/>
    <w:rsid w:val="00DA4E41"/>
    <w:rsid w:val="00DA5137"/>
    <w:rsid w:val="00DA52F7"/>
    <w:rsid w:val="00DA53DA"/>
    <w:rsid w:val="00DA5465"/>
    <w:rsid w:val="00DA55CD"/>
    <w:rsid w:val="00DA5882"/>
    <w:rsid w:val="00DA593D"/>
    <w:rsid w:val="00DA5F70"/>
    <w:rsid w:val="00DA6004"/>
    <w:rsid w:val="00DA6283"/>
    <w:rsid w:val="00DA63B3"/>
    <w:rsid w:val="00DA6461"/>
    <w:rsid w:val="00DA66EE"/>
    <w:rsid w:val="00DA68C2"/>
    <w:rsid w:val="00DA6B1C"/>
    <w:rsid w:val="00DA6C20"/>
    <w:rsid w:val="00DA7187"/>
    <w:rsid w:val="00DA72EA"/>
    <w:rsid w:val="00DA7486"/>
    <w:rsid w:val="00DA74EF"/>
    <w:rsid w:val="00DA75A9"/>
    <w:rsid w:val="00DA76FC"/>
    <w:rsid w:val="00DA7AFA"/>
    <w:rsid w:val="00DA7B86"/>
    <w:rsid w:val="00DA7C19"/>
    <w:rsid w:val="00DA7D14"/>
    <w:rsid w:val="00DB0124"/>
    <w:rsid w:val="00DB06EE"/>
    <w:rsid w:val="00DB0A43"/>
    <w:rsid w:val="00DB0A88"/>
    <w:rsid w:val="00DB0AD6"/>
    <w:rsid w:val="00DB117A"/>
    <w:rsid w:val="00DB1743"/>
    <w:rsid w:val="00DB1ED8"/>
    <w:rsid w:val="00DB1F29"/>
    <w:rsid w:val="00DB2566"/>
    <w:rsid w:val="00DB26A7"/>
    <w:rsid w:val="00DB2789"/>
    <w:rsid w:val="00DB2C79"/>
    <w:rsid w:val="00DB2E07"/>
    <w:rsid w:val="00DB2E90"/>
    <w:rsid w:val="00DB2FFC"/>
    <w:rsid w:val="00DB30A3"/>
    <w:rsid w:val="00DB31DD"/>
    <w:rsid w:val="00DB334B"/>
    <w:rsid w:val="00DB3474"/>
    <w:rsid w:val="00DB37FC"/>
    <w:rsid w:val="00DB3811"/>
    <w:rsid w:val="00DB3A89"/>
    <w:rsid w:val="00DB3A8E"/>
    <w:rsid w:val="00DB3FE1"/>
    <w:rsid w:val="00DB41EE"/>
    <w:rsid w:val="00DB432C"/>
    <w:rsid w:val="00DB434B"/>
    <w:rsid w:val="00DB4438"/>
    <w:rsid w:val="00DB447E"/>
    <w:rsid w:val="00DB4597"/>
    <w:rsid w:val="00DB4716"/>
    <w:rsid w:val="00DB4766"/>
    <w:rsid w:val="00DB4A92"/>
    <w:rsid w:val="00DB4F64"/>
    <w:rsid w:val="00DB5173"/>
    <w:rsid w:val="00DB58B6"/>
    <w:rsid w:val="00DB5A91"/>
    <w:rsid w:val="00DB5C99"/>
    <w:rsid w:val="00DB5DA7"/>
    <w:rsid w:val="00DB5E63"/>
    <w:rsid w:val="00DB5FBE"/>
    <w:rsid w:val="00DB6037"/>
    <w:rsid w:val="00DB6082"/>
    <w:rsid w:val="00DB6108"/>
    <w:rsid w:val="00DB6202"/>
    <w:rsid w:val="00DB6303"/>
    <w:rsid w:val="00DB63EF"/>
    <w:rsid w:val="00DB65D6"/>
    <w:rsid w:val="00DB6E10"/>
    <w:rsid w:val="00DB6E9C"/>
    <w:rsid w:val="00DB6ED5"/>
    <w:rsid w:val="00DB701F"/>
    <w:rsid w:val="00DB7145"/>
    <w:rsid w:val="00DB7202"/>
    <w:rsid w:val="00DB7873"/>
    <w:rsid w:val="00DB7A67"/>
    <w:rsid w:val="00DB7BCB"/>
    <w:rsid w:val="00DB7FA6"/>
    <w:rsid w:val="00DC0340"/>
    <w:rsid w:val="00DC0549"/>
    <w:rsid w:val="00DC0D2B"/>
    <w:rsid w:val="00DC0D72"/>
    <w:rsid w:val="00DC137F"/>
    <w:rsid w:val="00DC144A"/>
    <w:rsid w:val="00DC187B"/>
    <w:rsid w:val="00DC19AA"/>
    <w:rsid w:val="00DC1CAC"/>
    <w:rsid w:val="00DC20E9"/>
    <w:rsid w:val="00DC25D8"/>
    <w:rsid w:val="00DC2669"/>
    <w:rsid w:val="00DC28E9"/>
    <w:rsid w:val="00DC2C29"/>
    <w:rsid w:val="00DC2E6D"/>
    <w:rsid w:val="00DC3271"/>
    <w:rsid w:val="00DC3273"/>
    <w:rsid w:val="00DC343D"/>
    <w:rsid w:val="00DC3486"/>
    <w:rsid w:val="00DC3680"/>
    <w:rsid w:val="00DC3982"/>
    <w:rsid w:val="00DC3A5E"/>
    <w:rsid w:val="00DC3AFB"/>
    <w:rsid w:val="00DC3DB9"/>
    <w:rsid w:val="00DC437C"/>
    <w:rsid w:val="00DC43E6"/>
    <w:rsid w:val="00DC4990"/>
    <w:rsid w:val="00DC4B11"/>
    <w:rsid w:val="00DC4D67"/>
    <w:rsid w:val="00DC52D0"/>
    <w:rsid w:val="00DC5685"/>
    <w:rsid w:val="00DC56A7"/>
    <w:rsid w:val="00DC57A3"/>
    <w:rsid w:val="00DC5938"/>
    <w:rsid w:val="00DC5B0B"/>
    <w:rsid w:val="00DC5EF1"/>
    <w:rsid w:val="00DC616B"/>
    <w:rsid w:val="00DC64D3"/>
    <w:rsid w:val="00DC6636"/>
    <w:rsid w:val="00DC66AD"/>
    <w:rsid w:val="00DC6860"/>
    <w:rsid w:val="00DC68CC"/>
    <w:rsid w:val="00DC6B67"/>
    <w:rsid w:val="00DC6C7F"/>
    <w:rsid w:val="00DC6C99"/>
    <w:rsid w:val="00DC6DCA"/>
    <w:rsid w:val="00DC6E37"/>
    <w:rsid w:val="00DC70AF"/>
    <w:rsid w:val="00DC7265"/>
    <w:rsid w:val="00DC7455"/>
    <w:rsid w:val="00DC763C"/>
    <w:rsid w:val="00DC76DB"/>
    <w:rsid w:val="00DC76E3"/>
    <w:rsid w:val="00DC7F28"/>
    <w:rsid w:val="00DD011F"/>
    <w:rsid w:val="00DD033E"/>
    <w:rsid w:val="00DD068F"/>
    <w:rsid w:val="00DD075C"/>
    <w:rsid w:val="00DD07F0"/>
    <w:rsid w:val="00DD0B3E"/>
    <w:rsid w:val="00DD101F"/>
    <w:rsid w:val="00DD109F"/>
    <w:rsid w:val="00DD10E0"/>
    <w:rsid w:val="00DD1130"/>
    <w:rsid w:val="00DD1150"/>
    <w:rsid w:val="00DD133A"/>
    <w:rsid w:val="00DD14DF"/>
    <w:rsid w:val="00DD1A43"/>
    <w:rsid w:val="00DD1CDA"/>
    <w:rsid w:val="00DD1E4A"/>
    <w:rsid w:val="00DD209F"/>
    <w:rsid w:val="00DD25B4"/>
    <w:rsid w:val="00DD2860"/>
    <w:rsid w:val="00DD29F6"/>
    <w:rsid w:val="00DD2A87"/>
    <w:rsid w:val="00DD2E69"/>
    <w:rsid w:val="00DD2EC0"/>
    <w:rsid w:val="00DD301E"/>
    <w:rsid w:val="00DD31EF"/>
    <w:rsid w:val="00DD34AE"/>
    <w:rsid w:val="00DD394D"/>
    <w:rsid w:val="00DD3B4F"/>
    <w:rsid w:val="00DD3B97"/>
    <w:rsid w:val="00DD3ECA"/>
    <w:rsid w:val="00DD4318"/>
    <w:rsid w:val="00DD467A"/>
    <w:rsid w:val="00DD4BF8"/>
    <w:rsid w:val="00DD5465"/>
    <w:rsid w:val="00DD5574"/>
    <w:rsid w:val="00DD569B"/>
    <w:rsid w:val="00DD60FE"/>
    <w:rsid w:val="00DD6479"/>
    <w:rsid w:val="00DD66AC"/>
    <w:rsid w:val="00DD67F7"/>
    <w:rsid w:val="00DD6ACF"/>
    <w:rsid w:val="00DD7118"/>
    <w:rsid w:val="00DD73C2"/>
    <w:rsid w:val="00DD7540"/>
    <w:rsid w:val="00DD78FB"/>
    <w:rsid w:val="00DD7C57"/>
    <w:rsid w:val="00DD7D54"/>
    <w:rsid w:val="00DD7E4C"/>
    <w:rsid w:val="00DD7F3D"/>
    <w:rsid w:val="00DD7FB7"/>
    <w:rsid w:val="00DE0282"/>
    <w:rsid w:val="00DE02C8"/>
    <w:rsid w:val="00DE05E1"/>
    <w:rsid w:val="00DE08DC"/>
    <w:rsid w:val="00DE0CB3"/>
    <w:rsid w:val="00DE0FF6"/>
    <w:rsid w:val="00DE1359"/>
    <w:rsid w:val="00DE1489"/>
    <w:rsid w:val="00DE17B0"/>
    <w:rsid w:val="00DE1A5A"/>
    <w:rsid w:val="00DE1BB8"/>
    <w:rsid w:val="00DE1CEE"/>
    <w:rsid w:val="00DE1EBE"/>
    <w:rsid w:val="00DE2024"/>
    <w:rsid w:val="00DE20ED"/>
    <w:rsid w:val="00DE2145"/>
    <w:rsid w:val="00DE2176"/>
    <w:rsid w:val="00DE2220"/>
    <w:rsid w:val="00DE2486"/>
    <w:rsid w:val="00DE27FF"/>
    <w:rsid w:val="00DE2B84"/>
    <w:rsid w:val="00DE2BF4"/>
    <w:rsid w:val="00DE2C04"/>
    <w:rsid w:val="00DE2EBE"/>
    <w:rsid w:val="00DE2F65"/>
    <w:rsid w:val="00DE319B"/>
    <w:rsid w:val="00DE3211"/>
    <w:rsid w:val="00DE32DC"/>
    <w:rsid w:val="00DE3324"/>
    <w:rsid w:val="00DE3330"/>
    <w:rsid w:val="00DE3334"/>
    <w:rsid w:val="00DE354A"/>
    <w:rsid w:val="00DE3612"/>
    <w:rsid w:val="00DE3797"/>
    <w:rsid w:val="00DE3ADB"/>
    <w:rsid w:val="00DE3DFE"/>
    <w:rsid w:val="00DE40CF"/>
    <w:rsid w:val="00DE4142"/>
    <w:rsid w:val="00DE4182"/>
    <w:rsid w:val="00DE41D0"/>
    <w:rsid w:val="00DE440B"/>
    <w:rsid w:val="00DE440D"/>
    <w:rsid w:val="00DE445D"/>
    <w:rsid w:val="00DE4522"/>
    <w:rsid w:val="00DE4607"/>
    <w:rsid w:val="00DE48CC"/>
    <w:rsid w:val="00DE4B17"/>
    <w:rsid w:val="00DE5303"/>
    <w:rsid w:val="00DE56F4"/>
    <w:rsid w:val="00DE5766"/>
    <w:rsid w:val="00DE57EE"/>
    <w:rsid w:val="00DE59B7"/>
    <w:rsid w:val="00DE5AC1"/>
    <w:rsid w:val="00DE6063"/>
    <w:rsid w:val="00DE6AB7"/>
    <w:rsid w:val="00DE6D2E"/>
    <w:rsid w:val="00DE6DDD"/>
    <w:rsid w:val="00DE733C"/>
    <w:rsid w:val="00DE73B3"/>
    <w:rsid w:val="00DE73CD"/>
    <w:rsid w:val="00DE7765"/>
    <w:rsid w:val="00DE7807"/>
    <w:rsid w:val="00DE7965"/>
    <w:rsid w:val="00DF0172"/>
    <w:rsid w:val="00DF02B1"/>
    <w:rsid w:val="00DF03CC"/>
    <w:rsid w:val="00DF03DB"/>
    <w:rsid w:val="00DF0558"/>
    <w:rsid w:val="00DF0696"/>
    <w:rsid w:val="00DF06F2"/>
    <w:rsid w:val="00DF0C2E"/>
    <w:rsid w:val="00DF0D9E"/>
    <w:rsid w:val="00DF0E1F"/>
    <w:rsid w:val="00DF0E60"/>
    <w:rsid w:val="00DF0F64"/>
    <w:rsid w:val="00DF106B"/>
    <w:rsid w:val="00DF1092"/>
    <w:rsid w:val="00DF123B"/>
    <w:rsid w:val="00DF169A"/>
    <w:rsid w:val="00DF1799"/>
    <w:rsid w:val="00DF1AA9"/>
    <w:rsid w:val="00DF1B24"/>
    <w:rsid w:val="00DF1BCF"/>
    <w:rsid w:val="00DF1C69"/>
    <w:rsid w:val="00DF24A0"/>
    <w:rsid w:val="00DF252B"/>
    <w:rsid w:val="00DF2662"/>
    <w:rsid w:val="00DF28CB"/>
    <w:rsid w:val="00DF2C6C"/>
    <w:rsid w:val="00DF2C72"/>
    <w:rsid w:val="00DF2FC7"/>
    <w:rsid w:val="00DF34FE"/>
    <w:rsid w:val="00DF355B"/>
    <w:rsid w:val="00DF3754"/>
    <w:rsid w:val="00DF3861"/>
    <w:rsid w:val="00DF3953"/>
    <w:rsid w:val="00DF3BBC"/>
    <w:rsid w:val="00DF4071"/>
    <w:rsid w:val="00DF4117"/>
    <w:rsid w:val="00DF4153"/>
    <w:rsid w:val="00DF41B3"/>
    <w:rsid w:val="00DF45AB"/>
    <w:rsid w:val="00DF475F"/>
    <w:rsid w:val="00DF4771"/>
    <w:rsid w:val="00DF4800"/>
    <w:rsid w:val="00DF49C1"/>
    <w:rsid w:val="00DF4D94"/>
    <w:rsid w:val="00DF51EF"/>
    <w:rsid w:val="00DF52A5"/>
    <w:rsid w:val="00DF5502"/>
    <w:rsid w:val="00DF56AA"/>
    <w:rsid w:val="00DF56AF"/>
    <w:rsid w:val="00DF56E7"/>
    <w:rsid w:val="00DF5804"/>
    <w:rsid w:val="00DF582A"/>
    <w:rsid w:val="00DF59AB"/>
    <w:rsid w:val="00DF5E07"/>
    <w:rsid w:val="00DF6033"/>
    <w:rsid w:val="00DF6075"/>
    <w:rsid w:val="00DF61C8"/>
    <w:rsid w:val="00DF62E7"/>
    <w:rsid w:val="00DF65BF"/>
    <w:rsid w:val="00DF677C"/>
    <w:rsid w:val="00DF6797"/>
    <w:rsid w:val="00DF68FC"/>
    <w:rsid w:val="00DF6935"/>
    <w:rsid w:val="00DF6CD7"/>
    <w:rsid w:val="00DF6DC6"/>
    <w:rsid w:val="00DF6EEE"/>
    <w:rsid w:val="00DF6FC3"/>
    <w:rsid w:val="00DF7141"/>
    <w:rsid w:val="00DF7271"/>
    <w:rsid w:val="00DF72FE"/>
    <w:rsid w:val="00DF73BD"/>
    <w:rsid w:val="00DF73F2"/>
    <w:rsid w:val="00DF7518"/>
    <w:rsid w:val="00DF7731"/>
    <w:rsid w:val="00DF779F"/>
    <w:rsid w:val="00DF78E7"/>
    <w:rsid w:val="00DF7979"/>
    <w:rsid w:val="00DF7A37"/>
    <w:rsid w:val="00DF7B34"/>
    <w:rsid w:val="00DF7C52"/>
    <w:rsid w:val="00E001AE"/>
    <w:rsid w:val="00E003CC"/>
    <w:rsid w:val="00E008C1"/>
    <w:rsid w:val="00E008F4"/>
    <w:rsid w:val="00E00CC7"/>
    <w:rsid w:val="00E00D75"/>
    <w:rsid w:val="00E00F30"/>
    <w:rsid w:val="00E0126C"/>
    <w:rsid w:val="00E0139A"/>
    <w:rsid w:val="00E013B5"/>
    <w:rsid w:val="00E0197F"/>
    <w:rsid w:val="00E01B27"/>
    <w:rsid w:val="00E01D56"/>
    <w:rsid w:val="00E01DE3"/>
    <w:rsid w:val="00E020CE"/>
    <w:rsid w:val="00E021F4"/>
    <w:rsid w:val="00E02470"/>
    <w:rsid w:val="00E024B6"/>
    <w:rsid w:val="00E02698"/>
    <w:rsid w:val="00E029C5"/>
    <w:rsid w:val="00E02A27"/>
    <w:rsid w:val="00E02D14"/>
    <w:rsid w:val="00E03451"/>
    <w:rsid w:val="00E03991"/>
    <w:rsid w:val="00E03A3F"/>
    <w:rsid w:val="00E03C57"/>
    <w:rsid w:val="00E03D25"/>
    <w:rsid w:val="00E03FE0"/>
    <w:rsid w:val="00E041F7"/>
    <w:rsid w:val="00E04373"/>
    <w:rsid w:val="00E04425"/>
    <w:rsid w:val="00E04441"/>
    <w:rsid w:val="00E048FB"/>
    <w:rsid w:val="00E0493A"/>
    <w:rsid w:val="00E04C6B"/>
    <w:rsid w:val="00E04D00"/>
    <w:rsid w:val="00E04E0E"/>
    <w:rsid w:val="00E04FBF"/>
    <w:rsid w:val="00E05356"/>
    <w:rsid w:val="00E05431"/>
    <w:rsid w:val="00E05651"/>
    <w:rsid w:val="00E05E04"/>
    <w:rsid w:val="00E05FEE"/>
    <w:rsid w:val="00E06075"/>
    <w:rsid w:val="00E060F8"/>
    <w:rsid w:val="00E06143"/>
    <w:rsid w:val="00E0627A"/>
    <w:rsid w:val="00E06283"/>
    <w:rsid w:val="00E062E4"/>
    <w:rsid w:val="00E0635A"/>
    <w:rsid w:val="00E067A8"/>
    <w:rsid w:val="00E06880"/>
    <w:rsid w:val="00E0688B"/>
    <w:rsid w:val="00E069D2"/>
    <w:rsid w:val="00E06A13"/>
    <w:rsid w:val="00E06B69"/>
    <w:rsid w:val="00E070C7"/>
    <w:rsid w:val="00E0735A"/>
    <w:rsid w:val="00E076C5"/>
    <w:rsid w:val="00E076FD"/>
    <w:rsid w:val="00E07778"/>
    <w:rsid w:val="00E07B23"/>
    <w:rsid w:val="00E07D28"/>
    <w:rsid w:val="00E07F5C"/>
    <w:rsid w:val="00E105A5"/>
    <w:rsid w:val="00E108BC"/>
    <w:rsid w:val="00E10911"/>
    <w:rsid w:val="00E10C9B"/>
    <w:rsid w:val="00E11016"/>
    <w:rsid w:val="00E1101F"/>
    <w:rsid w:val="00E110E0"/>
    <w:rsid w:val="00E11195"/>
    <w:rsid w:val="00E11229"/>
    <w:rsid w:val="00E113DC"/>
    <w:rsid w:val="00E1190F"/>
    <w:rsid w:val="00E11E55"/>
    <w:rsid w:val="00E11EF5"/>
    <w:rsid w:val="00E12627"/>
    <w:rsid w:val="00E126CD"/>
    <w:rsid w:val="00E12784"/>
    <w:rsid w:val="00E1283C"/>
    <w:rsid w:val="00E12B61"/>
    <w:rsid w:val="00E12D0B"/>
    <w:rsid w:val="00E13039"/>
    <w:rsid w:val="00E130F4"/>
    <w:rsid w:val="00E135E5"/>
    <w:rsid w:val="00E1366F"/>
    <w:rsid w:val="00E1384B"/>
    <w:rsid w:val="00E1488B"/>
    <w:rsid w:val="00E14B4F"/>
    <w:rsid w:val="00E14CB9"/>
    <w:rsid w:val="00E14E90"/>
    <w:rsid w:val="00E150BF"/>
    <w:rsid w:val="00E15143"/>
    <w:rsid w:val="00E15198"/>
    <w:rsid w:val="00E15263"/>
    <w:rsid w:val="00E15371"/>
    <w:rsid w:val="00E1538E"/>
    <w:rsid w:val="00E1592A"/>
    <w:rsid w:val="00E15D6E"/>
    <w:rsid w:val="00E1611A"/>
    <w:rsid w:val="00E161FD"/>
    <w:rsid w:val="00E1621D"/>
    <w:rsid w:val="00E16505"/>
    <w:rsid w:val="00E165E9"/>
    <w:rsid w:val="00E165F9"/>
    <w:rsid w:val="00E16774"/>
    <w:rsid w:val="00E167C5"/>
    <w:rsid w:val="00E1688E"/>
    <w:rsid w:val="00E16903"/>
    <w:rsid w:val="00E16A9C"/>
    <w:rsid w:val="00E16B34"/>
    <w:rsid w:val="00E16E7A"/>
    <w:rsid w:val="00E170FB"/>
    <w:rsid w:val="00E17102"/>
    <w:rsid w:val="00E175C6"/>
    <w:rsid w:val="00E176A7"/>
    <w:rsid w:val="00E1780A"/>
    <w:rsid w:val="00E179BF"/>
    <w:rsid w:val="00E17A40"/>
    <w:rsid w:val="00E17FDA"/>
    <w:rsid w:val="00E201A5"/>
    <w:rsid w:val="00E20385"/>
    <w:rsid w:val="00E2076A"/>
    <w:rsid w:val="00E20847"/>
    <w:rsid w:val="00E208F6"/>
    <w:rsid w:val="00E20953"/>
    <w:rsid w:val="00E21056"/>
    <w:rsid w:val="00E2109A"/>
    <w:rsid w:val="00E210E3"/>
    <w:rsid w:val="00E21548"/>
    <w:rsid w:val="00E216C1"/>
    <w:rsid w:val="00E21756"/>
    <w:rsid w:val="00E21F96"/>
    <w:rsid w:val="00E22308"/>
    <w:rsid w:val="00E2278B"/>
    <w:rsid w:val="00E22A2E"/>
    <w:rsid w:val="00E22ABF"/>
    <w:rsid w:val="00E22AD1"/>
    <w:rsid w:val="00E2305A"/>
    <w:rsid w:val="00E23374"/>
    <w:rsid w:val="00E23505"/>
    <w:rsid w:val="00E23594"/>
    <w:rsid w:val="00E23C36"/>
    <w:rsid w:val="00E23D86"/>
    <w:rsid w:val="00E24104"/>
    <w:rsid w:val="00E2430C"/>
    <w:rsid w:val="00E248A7"/>
    <w:rsid w:val="00E24D23"/>
    <w:rsid w:val="00E24D9D"/>
    <w:rsid w:val="00E24DA4"/>
    <w:rsid w:val="00E24E16"/>
    <w:rsid w:val="00E24F8A"/>
    <w:rsid w:val="00E25559"/>
    <w:rsid w:val="00E25CAC"/>
    <w:rsid w:val="00E25DDA"/>
    <w:rsid w:val="00E260CF"/>
    <w:rsid w:val="00E26249"/>
    <w:rsid w:val="00E262FE"/>
    <w:rsid w:val="00E26C8B"/>
    <w:rsid w:val="00E26EBB"/>
    <w:rsid w:val="00E26EF1"/>
    <w:rsid w:val="00E26F53"/>
    <w:rsid w:val="00E27058"/>
    <w:rsid w:val="00E27133"/>
    <w:rsid w:val="00E2755A"/>
    <w:rsid w:val="00E27C85"/>
    <w:rsid w:val="00E27D06"/>
    <w:rsid w:val="00E27E93"/>
    <w:rsid w:val="00E27ED6"/>
    <w:rsid w:val="00E3005D"/>
    <w:rsid w:val="00E302D0"/>
    <w:rsid w:val="00E30330"/>
    <w:rsid w:val="00E3041E"/>
    <w:rsid w:val="00E3089B"/>
    <w:rsid w:val="00E309C3"/>
    <w:rsid w:val="00E30AE6"/>
    <w:rsid w:val="00E30ED2"/>
    <w:rsid w:val="00E31003"/>
    <w:rsid w:val="00E31031"/>
    <w:rsid w:val="00E31045"/>
    <w:rsid w:val="00E312A9"/>
    <w:rsid w:val="00E31324"/>
    <w:rsid w:val="00E315BA"/>
    <w:rsid w:val="00E3186C"/>
    <w:rsid w:val="00E31953"/>
    <w:rsid w:val="00E31C29"/>
    <w:rsid w:val="00E31DB5"/>
    <w:rsid w:val="00E32008"/>
    <w:rsid w:val="00E3224C"/>
    <w:rsid w:val="00E3230F"/>
    <w:rsid w:val="00E32D2E"/>
    <w:rsid w:val="00E32E63"/>
    <w:rsid w:val="00E335C8"/>
    <w:rsid w:val="00E33D5F"/>
    <w:rsid w:val="00E3405E"/>
    <w:rsid w:val="00E345F7"/>
    <w:rsid w:val="00E3490C"/>
    <w:rsid w:val="00E3495B"/>
    <w:rsid w:val="00E34E3B"/>
    <w:rsid w:val="00E34EB8"/>
    <w:rsid w:val="00E34F01"/>
    <w:rsid w:val="00E350B5"/>
    <w:rsid w:val="00E35305"/>
    <w:rsid w:val="00E353C7"/>
    <w:rsid w:val="00E35477"/>
    <w:rsid w:val="00E3553D"/>
    <w:rsid w:val="00E35549"/>
    <w:rsid w:val="00E35554"/>
    <w:rsid w:val="00E355EE"/>
    <w:rsid w:val="00E35707"/>
    <w:rsid w:val="00E359CD"/>
    <w:rsid w:val="00E35BA7"/>
    <w:rsid w:val="00E361A6"/>
    <w:rsid w:val="00E36230"/>
    <w:rsid w:val="00E3623B"/>
    <w:rsid w:val="00E366FD"/>
    <w:rsid w:val="00E36806"/>
    <w:rsid w:val="00E36AA1"/>
    <w:rsid w:val="00E36D26"/>
    <w:rsid w:val="00E37198"/>
    <w:rsid w:val="00E37485"/>
    <w:rsid w:val="00E37558"/>
    <w:rsid w:val="00E375E3"/>
    <w:rsid w:val="00E37609"/>
    <w:rsid w:val="00E3760C"/>
    <w:rsid w:val="00E379B6"/>
    <w:rsid w:val="00E37E62"/>
    <w:rsid w:val="00E37F86"/>
    <w:rsid w:val="00E4029E"/>
    <w:rsid w:val="00E406FB"/>
    <w:rsid w:val="00E40819"/>
    <w:rsid w:val="00E40A47"/>
    <w:rsid w:val="00E40AF5"/>
    <w:rsid w:val="00E40B29"/>
    <w:rsid w:val="00E40C6F"/>
    <w:rsid w:val="00E410E1"/>
    <w:rsid w:val="00E413BC"/>
    <w:rsid w:val="00E4177C"/>
    <w:rsid w:val="00E418F3"/>
    <w:rsid w:val="00E41A77"/>
    <w:rsid w:val="00E41ECB"/>
    <w:rsid w:val="00E42676"/>
    <w:rsid w:val="00E42B85"/>
    <w:rsid w:val="00E42E4B"/>
    <w:rsid w:val="00E4372A"/>
    <w:rsid w:val="00E43A41"/>
    <w:rsid w:val="00E43FD1"/>
    <w:rsid w:val="00E44012"/>
    <w:rsid w:val="00E440CE"/>
    <w:rsid w:val="00E441E0"/>
    <w:rsid w:val="00E44239"/>
    <w:rsid w:val="00E446CE"/>
    <w:rsid w:val="00E44B49"/>
    <w:rsid w:val="00E44BC6"/>
    <w:rsid w:val="00E45096"/>
    <w:rsid w:val="00E45180"/>
    <w:rsid w:val="00E45397"/>
    <w:rsid w:val="00E454E9"/>
    <w:rsid w:val="00E4581D"/>
    <w:rsid w:val="00E45E27"/>
    <w:rsid w:val="00E45E6B"/>
    <w:rsid w:val="00E45E87"/>
    <w:rsid w:val="00E4625F"/>
    <w:rsid w:val="00E46304"/>
    <w:rsid w:val="00E46463"/>
    <w:rsid w:val="00E46609"/>
    <w:rsid w:val="00E466D2"/>
    <w:rsid w:val="00E46846"/>
    <w:rsid w:val="00E46A5D"/>
    <w:rsid w:val="00E46D20"/>
    <w:rsid w:val="00E46D8A"/>
    <w:rsid w:val="00E470F6"/>
    <w:rsid w:val="00E47179"/>
    <w:rsid w:val="00E471A0"/>
    <w:rsid w:val="00E4731E"/>
    <w:rsid w:val="00E474C8"/>
    <w:rsid w:val="00E475C6"/>
    <w:rsid w:val="00E47C1A"/>
    <w:rsid w:val="00E47E15"/>
    <w:rsid w:val="00E47F05"/>
    <w:rsid w:val="00E5028F"/>
    <w:rsid w:val="00E50397"/>
    <w:rsid w:val="00E50421"/>
    <w:rsid w:val="00E50538"/>
    <w:rsid w:val="00E506A8"/>
    <w:rsid w:val="00E50C2D"/>
    <w:rsid w:val="00E50C5A"/>
    <w:rsid w:val="00E50CEA"/>
    <w:rsid w:val="00E50F98"/>
    <w:rsid w:val="00E5103E"/>
    <w:rsid w:val="00E510A8"/>
    <w:rsid w:val="00E514BC"/>
    <w:rsid w:val="00E5163C"/>
    <w:rsid w:val="00E516E3"/>
    <w:rsid w:val="00E51848"/>
    <w:rsid w:val="00E518EF"/>
    <w:rsid w:val="00E51B6C"/>
    <w:rsid w:val="00E51D12"/>
    <w:rsid w:val="00E51D70"/>
    <w:rsid w:val="00E51E86"/>
    <w:rsid w:val="00E523BF"/>
    <w:rsid w:val="00E523F8"/>
    <w:rsid w:val="00E526DB"/>
    <w:rsid w:val="00E527D8"/>
    <w:rsid w:val="00E52A6C"/>
    <w:rsid w:val="00E52BBB"/>
    <w:rsid w:val="00E52CA3"/>
    <w:rsid w:val="00E52DE0"/>
    <w:rsid w:val="00E5312A"/>
    <w:rsid w:val="00E531EA"/>
    <w:rsid w:val="00E538E7"/>
    <w:rsid w:val="00E53966"/>
    <w:rsid w:val="00E53BA5"/>
    <w:rsid w:val="00E53DBA"/>
    <w:rsid w:val="00E53EFC"/>
    <w:rsid w:val="00E5412F"/>
    <w:rsid w:val="00E5447C"/>
    <w:rsid w:val="00E54574"/>
    <w:rsid w:val="00E5465D"/>
    <w:rsid w:val="00E548CA"/>
    <w:rsid w:val="00E54B2F"/>
    <w:rsid w:val="00E54BEA"/>
    <w:rsid w:val="00E54BFF"/>
    <w:rsid w:val="00E54C8A"/>
    <w:rsid w:val="00E54F0C"/>
    <w:rsid w:val="00E54FDB"/>
    <w:rsid w:val="00E550C1"/>
    <w:rsid w:val="00E550C7"/>
    <w:rsid w:val="00E554D7"/>
    <w:rsid w:val="00E55753"/>
    <w:rsid w:val="00E5579E"/>
    <w:rsid w:val="00E55E60"/>
    <w:rsid w:val="00E5617D"/>
    <w:rsid w:val="00E56210"/>
    <w:rsid w:val="00E563D7"/>
    <w:rsid w:val="00E56403"/>
    <w:rsid w:val="00E566AC"/>
    <w:rsid w:val="00E5690F"/>
    <w:rsid w:val="00E56A3C"/>
    <w:rsid w:val="00E56FE2"/>
    <w:rsid w:val="00E5711C"/>
    <w:rsid w:val="00E571C5"/>
    <w:rsid w:val="00E572B4"/>
    <w:rsid w:val="00E5746B"/>
    <w:rsid w:val="00E57788"/>
    <w:rsid w:val="00E57817"/>
    <w:rsid w:val="00E57819"/>
    <w:rsid w:val="00E579D9"/>
    <w:rsid w:val="00E57A41"/>
    <w:rsid w:val="00E57B23"/>
    <w:rsid w:val="00E57BEB"/>
    <w:rsid w:val="00E60279"/>
    <w:rsid w:val="00E603BF"/>
    <w:rsid w:val="00E60613"/>
    <w:rsid w:val="00E60962"/>
    <w:rsid w:val="00E60EFC"/>
    <w:rsid w:val="00E611B9"/>
    <w:rsid w:val="00E61444"/>
    <w:rsid w:val="00E614BE"/>
    <w:rsid w:val="00E6173E"/>
    <w:rsid w:val="00E619C1"/>
    <w:rsid w:val="00E61B66"/>
    <w:rsid w:val="00E61E2A"/>
    <w:rsid w:val="00E62312"/>
    <w:rsid w:val="00E6249A"/>
    <w:rsid w:val="00E624C9"/>
    <w:rsid w:val="00E62B47"/>
    <w:rsid w:val="00E62D98"/>
    <w:rsid w:val="00E62E2A"/>
    <w:rsid w:val="00E631C7"/>
    <w:rsid w:val="00E631CD"/>
    <w:rsid w:val="00E6339A"/>
    <w:rsid w:val="00E633BF"/>
    <w:rsid w:val="00E63445"/>
    <w:rsid w:val="00E63AED"/>
    <w:rsid w:val="00E63CEF"/>
    <w:rsid w:val="00E63E10"/>
    <w:rsid w:val="00E63F39"/>
    <w:rsid w:val="00E64477"/>
    <w:rsid w:val="00E64566"/>
    <w:rsid w:val="00E64C96"/>
    <w:rsid w:val="00E64FFE"/>
    <w:rsid w:val="00E6510F"/>
    <w:rsid w:val="00E653A8"/>
    <w:rsid w:val="00E6548A"/>
    <w:rsid w:val="00E65615"/>
    <w:rsid w:val="00E656B2"/>
    <w:rsid w:val="00E65A98"/>
    <w:rsid w:val="00E65C6C"/>
    <w:rsid w:val="00E65C77"/>
    <w:rsid w:val="00E65DC2"/>
    <w:rsid w:val="00E65F70"/>
    <w:rsid w:val="00E65FD4"/>
    <w:rsid w:val="00E6610F"/>
    <w:rsid w:val="00E663F4"/>
    <w:rsid w:val="00E664F5"/>
    <w:rsid w:val="00E6663A"/>
    <w:rsid w:val="00E666F2"/>
    <w:rsid w:val="00E66DD4"/>
    <w:rsid w:val="00E66E7C"/>
    <w:rsid w:val="00E671E3"/>
    <w:rsid w:val="00E6745A"/>
    <w:rsid w:val="00E676E2"/>
    <w:rsid w:val="00E67704"/>
    <w:rsid w:val="00E67723"/>
    <w:rsid w:val="00E67B4E"/>
    <w:rsid w:val="00E67B53"/>
    <w:rsid w:val="00E67C7F"/>
    <w:rsid w:val="00E67F9A"/>
    <w:rsid w:val="00E700BA"/>
    <w:rsid w:val="00E703FA"/>
    <w:rsid w:val="00E7060C"/>
    <w:rsid w:val="00E70711"/>
    <w:rsid w:val="00E707E3"/>
    <w:rsid w:val="00E707FF"/>
    <w:rsid w:val="00E70802"/>
    <w:rsid w:val="00E70D0A"/>
    <w:rsid w:val="00E70D78"/>
    <w:rsid w:val="00E70E33"/>
    <w:rsid w:val="00E7111D"/>
    <w:rsid w:val="00E7126C"/>
    <w:rsid w:val="00E712DA"/>
    <w:rsid w:val="00E71509"/>
    <w:rsid w:val="00E7158C"/>
    <w:rsid w:val="00E71872"/>
    <w:rsid w:val="00E71C95"/>
    <w:rsid w:val="00E71D34"/>
    <w:rsid w:val="00E7211C"/>
    <w:rsid w:val="00E7230F"/>
    <w:rsid w:val="00E72493"/>
    <w:rsid w:val="00E72834"/>
    <w:rsid w:val="00E72954"/>
    <w:rsid w:val="00E72ED1"/>
    <w:rsid w:val="00E73495"/>
    <w:rsid w:val="00E734DC"/>
    <w:rsid w:val="00E7374B"/>
    <w:rsid w:val="00E73957"/>
    <w:rsid w:val="00E73A82"/>
    <w:rsid w:val="00E73C1C"/>
    <w:rsid w:val="00E7412E"/>
    <w:rsid w:val="00E742BE"/>
    <w:rsid w:val="00E744B1"/>
    <w:rsid w:val="00E74503"/>
    <w:rsid w:val="00E746CF"/>
    <w:rsid w:val="00E74715"/>
    <w:rsid w:val="00E747C6"/>
    <w:rsid w:val="00E748CC"/>
    <w:rsid w:val="00E7495A"/>
    <w:rsid w:val="00E74DB9"/>
    <w:rsid w:val="00E7519B"/>
    <w:rsid w:val="00E75391"/>
    <w:rsid w:val="00E753D7"/>
    <w:rsid w:val="00E75415"/>
    <w:rsid w:val="00E75434"/>
    <w:rsid w:val="00E754E9"/>
    <w:rsid w:val="00E7594E"/>
    <w:rsid w:val="00E75A71"/>
    <w:rsid w:val="00E761D8"/>
    <w:rsid w:val="00E763FD"/>
    <w:rsid w:val="00E768A7"/>
    <w:rsid w:val="00E76D57"/>
    <w:rsid w:val="00E76D94"/>
    <w:rsid w:val="00E76FE3"/>
    <w:rsid w:val="00E775B1"/>
    <w:rsid w:val="00E77613"/>
    <w:rsid w:val="00E77689"/>
    <w:rsid w:val="00E777FB"/>
    <w:rsid w:val="00E80334"/>
    <w:rsid w:val="00E8078C"/>
    <w:rsid w:val="00E807DB"/>
    <w:rsid w:val="00E80835"/>
    <w:rsid w:val="00E8092D"/>
    <w:rsid w:val="00E809AB"/>
    <w:rsid w:val="00E809E3"/>
    <w:rsid w:val="00E80FBC"/>
    <w:rsid w:val="00E810A7"/>
    <w:rsid w:val="00E81195"/>
    <w:rsid w:val="00E8152A"/>
    <w:rsid w:val="00E81779"/>
    <w:rsid w:val="00E81867"/>
    <w:rsid w:val="00E818F5"/>
    <w:rsid w:val="00E8192F"/>
    <w:rsid w:val="00E81A3D"/>
    <w:rsid w:val="00E81B48"/>
    <w:rsid w:val="00E822EE"/>
    <w:rsid w:val="00E82707"/>
    <w:rsid w:val="00E827DD"/>
    <w:rsid w:val="00E82948"/>
    <w:rsid w:val="00E82E7C"/>
    <w:rsid w:val="00E8307D"/>
    <w:rsid w:val="00E83185"/>
    <w:rsid w:val="00E832D4"/>
    <w:rsid w:val="00E8342B"/>
    <w:rsid w:val="00E83462"/>
    <w:rsid w:val="00E83466"/>
    <w:rsid w:val="00E8352F"/>
    <w:rsid w:val="00E8379E"/>
    <w:rsid w:val="00E83820"/>
    <w:rsid w:val="00E83B75"/>
    <w:rsid w:val="00E83BC3"/>
    <w:rsid w:val="00E83D0B"/>
    <w:rsid w:val="00E83D17"/>
    <w:rsid w:val="00E83D71"/>
    <w:rsid w:val="00E84115"/>
    <w:rsid w:val="00E84403"/>
    <w:rsid w:val="00E844E4"/>
    <w:rsid w:val="00E84A59"/>
    <w:rsid w:val="00E84B86"/>
    <w:rsid w:val="00E84D56"/>
    <w:rsid w:val="00E84F09"/>
    <w:rsid w:val="00E85054"/>
    <w:rsid w:val="00E8526A"/>
    <w:rsid w:val="00E8526E"/>
    <w:rsid w:val="00E853A4"/>
    <w:rsid w:val="00E85616"/>
    <w:rsid w:val="00E857DE"/>
    <w:rsid w:val="00E85E86"/>
    <w:rsid w:val="00E85EDC"/>
    <w:rsid w:val="00E85F7D"/>
    <w:rsid w:val="00E8617E"/>
    <w:rsid w:val="00E86310"/>
    <w:rsid w:val="00E86841"/>
    <w:rsid w:val="00E86892"/>
    <w:rsid w:val="00E86A7F"/>
    <w:rsid w:val="00E86CA4"/>
    <w:rsid w:val="00E86D19"/>
    <w:rsid w:val="00E86E6F"/>
    <w:rsid w:val="00E870B5"/>
    <w:rsid w:val="00E87164"/>
    <w:rsid w:val="00E8726C"/>
    <w:rsid w:val="00E8735B"/>
    <w:rsid w:val="00E874E6"/>
    <w:rsid w:val="00E876D9"/>
    <w:rsid w:val="00E8777E"/>
    <w:rsid w:val="00E87906"/>
    <w:rsid w:val="00E87D73"/>
    <w:rsid w:val="00E90575"/>
    <w:rsid w:val="00E90AA2"/>
    <w:rsid w:val="00E90ACF"/>
    <w:rsid w:val="00E90AE1"/>
    <w:rsid w:val="00E90D39"/>
    <w:rsid w:val="00E90D75"/>
    <w:rsid w:val="00E90E58"/>
    <w:rsid w:val="00E90FE3"/>
    <w:rsid w:val="00E91072"/>
    <w:rsid w:val="00E913A6"/>
    <w:rsid w:val="00E91468"/>
    <w:rsid w:val="00E9146B"/>
    <w:rsid w:val="00E914FC"/>
    <w:rsid w:val="00E91554"/>
    <w:rsid w:val="00E918BA"/>
    <w:rsid w:val="00E91A92"/>
    <w:rsid w:val="00E91AF8"/>
    <w:rsid w:val="00E91B9D"/>
    <w:rsid w:val="00E91F5E"/>
    <w:rsid w:val="00E9224C"/>
    <w:rsid w:val="00E92499"/>
    <w:rsid w:val="00E92823"/>
    <w:rsid w:val="00E92A8C"/>
    <w:rsid w:val="00E92DE7"/>
    <w:rsid w:val="00E92E6A"/>
    <w:rsid w:val="00E93279"/>
    <w:rsid w:val="00E933CC"/>
    <w:rsid w:val="00E934AC"/>
    <w:rsid w:val="00E93629"/>
    <w:rsid w:val="00E936CF"/>
    <w:rsid w:val="00E937CC"/>
    <w:rsid w:val="00E9386D"/>
    <w:rsid w:val="00E9388D"/>
    <w:rsid w:val="00E938AB"/>
    <w:rsid w:val="00E93A00"/>
    <w:rsid w:val="00E93B5C"/>
    <w:rsid w:val="00E93CAA"/>
    <w:rsid w:val="00E93F4D"/>
    <w:rsid w:val="00E9406F"/>
    <w:rsid w:val="00E9444E"/>
    <w:rsid w:val="00E9464F"/>
    <w:rsid w:val="00E94CEC"/>
    <w:rsid w:val="00E952B4"/>
    <w:rsid w:val="00E9545C"/>
    <w:rsid w:val="00E95A4B"/>
    <w:rsid w:val="00E95B8A"/>
    <w:rsid w:val="00E95DAB"/>
    <w:rsid w:val="00E95F62"/>
    <w:rsid w:val="00E96108"/>
    <w:rsid w:val="00E961B5"/>
    <w:rsid w:val="00E9640C"/>
    <w:rsid w:val="00E9658F"/>
    <w:rsid w:val="00E966B4"/>
    <w:rsid w:val="00E96933"/>
    <w:rsid w:val="00E96A4F"/>
    <w:rsid w:val="00E96A7E"/>
    <w:rsid w:val="00E96B4C"/>
    <w:rsid w:val="00E9709B"/>
    <w:rsid w:val="00E970D0"/>
    <w:rsid w:val="00E97130"/>
    <w:rsid w:val="00E9718A"/>
    <w:rsid w:val="00E973D3"/>
    <w:rsid w:val="00E9774E"/>
    <w:rsid w:val="00E978CE"/>
    <w:rsid w:val="00E97CE0"/>
    <w:rsid w:val="00EA004B"/>
    <w:rsid w:val="00EA0466"/>
    <w:rsid w:val="00EA04EF"/>
    <w:rsid w:val="00EA0BF6"/>
    <w:rsid w:val="00EA1573"/>
    <w:rsid w:val="00EA166E"/>
    <w:rsid w:val="00EA18BC"/>
    <w:rsid w:val="00EA1A20"/>
    <w:rsid w:val="00EA1E2B"/>
    <w:rsid w:val="00EA206A"/>
    <w:rsid w:val="00EA255C"/>
    <w:rsid w:val="00EA2747"/>
    <w:rsid w:val="00EA28A3"/>
    <w:rsid w:val="00EA2975"/>
    <w:rsid w:val="00EA2D09"/>
    <w:rsid w:val="00EA2E02"/>
    <w:rsid w:val="00EA2FBF"/>
    <w:rsid w:val="00EA3045"/>
    <w:rsid w:val="00EA3615"/>
    <w:rsid w:val="00EA378F"/>
    <w:rsid w:val="00EA3902"/>
    <w:rsid w:val="00EA39E0"/>
    <w:rsid w:val="00EA3BEB"/>
    <w:rsid w:val="00EA46BF"/>
    <w:rsid w:val="00EA4A5F"/>
    <w:rsid w:val="00EA4B80"/>
    <w:rsid w:val="00EA4D86"/>
    <w:rsid w:val="00EA4E70"/>
    <w:rsid w:val="00EA4F0B"/>
    <w:rsid w:val="00EA54D5"/>
    <w:rsid w:val="00EA5950"/>
    <w:rsid w:val="00EA59DE"/>
    <w:rsid w:val="00EA5A90"/>
    <w:rsid w:val="00EA5EE7"/>
    <w:rsid w:val="00EA62B9"/>
    <w:rsid w:val="00EA6469"/>
    <w:rsid w:val="00EA654D"/>
    <w:rsid w:val="00EA66D6"/>
    <w:rsid w:val="00EA69C4"/>
    <w:rsid w:val="00EA6B7D"/>
    <w:rsid w:val="00EA6BC0"/>
    <w:rsid w:val="00EA6C0D"/>
    <w:rsid w:val="00EA6C79"/>
    <w:rsid w:val="00EA6E98"/>
    <w:rsid w:val="00EA6EA5"/>
    <w:rsid w:val="00EA6F19"/>
    <w:rsid w:val="00EA7259"/>
    <w:rsid w:val="00EA741C"/>
    <w:rsid w:val="00EA7756"/>
    <w:rsid w:val="00EA78E8"/>
    <w:rsid w:val="00EA7920"/>
    <w:rsid w:val="00EA7CF4"/>
    <w:rsid w:val="00EB009F"/>
    <w:rsid w:val="00EB0647"/>
    <w:rsid w:val="00EB09AA"/>
    <w:rsid w:val="00EB1093"/>
    <w:rsid w:val="00EB1132"/>
    <w:rsid w:val="00EB1851"/>
    <w:rsid w:val="00EB2023"/>
    <w:rsid w:val="00EB20BF"/>
    <w:rsid w:val="00EB2189"/>
    <w:rsid w:val="00EB21A6"/>
    <w:rsid w:val="00EB22FD"/>
    <w:rsid w:val="00EB27DD"/>
    <w:rsid w:val="00EB287D"/>
    <w:rsid w:val="00EB297D"/>
    <w:rsid w:val="00EB2B66"/>
    <w:rsid w:val="00EB2BE0"/>
    <w:rsid w:val="00EB2D1A"/>
    <w:rsid w:val="00EB2DC2"/>
    <w:rsid w:val="00EB34DF"/>
    <w:rsid w:val="00EB3520"/>
    <w:rsid w:val="00EB3657"/>
    <w:rsid w:val="00EB386F"/>
    <w:rsid w:val="00EB3D8D"/>
    <w:rsid w:val="00EB3DF8"/>
    <w:rsid w:val="00EB3E02"/>
    <w:rsid w:val="00EB44B1"/>
    <w:rsid w:val="00EB44D3"/>
    <w:rsid w:val="00EB44EC"/>
    <w:rsid w:val="00EB4853"/>
    <w:rsid w:val="00EB4AB2"/>
    <w:rsid w:val="00EB4FC4"/>
    <w:rsid w:val="00EB515B"/>
    <w:rsid w:val="00EB5603"/>
    <w:rsid w:val="00EB5615"/>
    <w:rsid w:val="00EB587C"/>
    <w:rsid w:val="00EB5CE3"/>
    <w:rsid w:val="00EB624F"/>
    <w:rsid w:val="00EB6320"/>
    <w:rsid w:val="00EB691A"/>
    <w:rsid w:val="00EB6926"/>
    <w:rsid w:val="00EB7090"/>
    <w:rsid w:val="00EB70C5"/>
    <w:rsid w:val="00EB719E"/>
    <w:rsid w:val="00EB73DE"/>
    <w:rsid w:val="00EB7678"/>
    <w:rsid w:val="00EB76CB"/>
    <w:rsid w:val="00EB77AC"/>
    <w:rsid w:val="00EB7A53"/>
    <w:rsid w:val="00EB7AAE"/>
    <w:rsid w:val="00EB7E84"/>
    <w:rsid w:val="00EC006E"/>
    <w:rsid w:val="00EC014C"/>
    <w:rsid w:val="00EC01F0"/>
    <w:rsid w:val="00EC0A49"/>
    <w:rsid w:val="00EC0EE6"/>
    <w:rsid w:val="00EC1286"/>
    <w:rsid w:val="00EC153C"/>
    <w:rsid w:val="00EC1555"/>
    <w:rsid w:val="00EC19DC"/>
    <w:rsid w:val="00EC1B7F"/>
    <w:rsid w:val="00EC1BBE"/>
    <w:rsid w:val="00EC1C5C"/>
    <w:rsid w:val="00EC1E1A"/>
    <w:rsid w:val="00EC209E"/>
    <w:rsid w:val="00EC22C0"/>
    <w:rsid w:val="00EC236C"/>
    <w:rsid w:val="00EC2427"/>
    <w:rsid w:val="00EC29FF"/>
    <w:rsid w:val="00EC2B2F"/>
    <w:rsid w:val="00EC2B50"/>
    <w:rsid w:val="00EC2B68"/>
    <w:rsid w:val="00EC2BB4"/>
    <w:rsid w:val="00EC2F98"/>
    <w:rsid w:val="00EC32D8"/>
    <w:rsid w:val="00EC3A79"/>
    <w:rsid w:val="00EC3AEF"/>
    <w:rsid w:val="00EC3E49"/>
    <w:rsid w:val="00EC43F0"/>
    <w:rsid w:val="00EC49DA"/>
    <w:rsid w:val="00EC4C77"/>
    <w:rsid w:val="00EC4C9F"/>
    <w:rsid w:val="00EC5157"/>
    <w:rsid w:val="00EC51B5"/>
    <w:rsid w:val="00EC5207"/>
    <w:rsid w:val="00EC5781"/>
    <w:rsid w:val="00EC57C2"/>
    <w:rsid w:val="00EC598D"/>
    <w:rsid w:val="00EC5CD7"/>
    <w:rsid w:val="00EC61F5"/>
    <w:rsid w:val="00EC636B"/>
    <w:rsid w:val="00EC63CF"/>
    <w:rsid w:val="00EC65CF"/>
    <w:rsid w:val="00EC6871"/>
    <w:rsid w:val="00EC68CF"/>
    <w:rsid w:val="00EC6A25"/>
    <w:rsid w:val="00EC6C6F"/>
    <w:rsid w:val="00EC6D4F"/>
    <w:rsid w:val="00EC6F91"/>
    <w:rsid w:val="00EC72DC"/>
    <w:rsid w:val="00EC734E"/>
    <w:rsid w:val="00EC7956"/>
    <w:rsid w:val="00EC7D93"/>
    <w:rsid w:val="00ED0130"/>
    <w:rsid w:val="00ED025E"/>
    <w:rsid w:val="00ED0376"/>
    <w:rsid w:val="00ED0888"/>
    <w:rsid w:val="00ED08C8"/>
    <w:rsid w:val="00ED0E77"/>
    <w:rsid w:val="00ED124A"/>
    <w:rsid w:val="00ED1414"/>
    <w:rsid w:val="00ED174E"/>
    <w:rsid w:val="00ED185E"/>
    <w:rsid w:val="00ED1BA5"/>
    <w:rsid w:val="00ED1C89"/>
    <w:rsid w:val="00ED1ECA"/>
    <w:rsid w:val="00ED218F"/>
    <w:rsid w:val="00ED21AA"/>
    <w:rsid w:val="00ED2225"/>
    <w:rsid w:val="00ED27C7"/>
    <w:rsid w:val="00ED2842"/>
    <w:rsid w:val="00ED2A36"/>
    <w:rsid w:val="00ED2A60"/>
    <w:rsid w:val="00ED2B10"/>
    <w:rsid w:val="00ED2EC1"/>
    <w:rsid w:val="00ED2FD1"/>
    <w:rsid w:val="00ED3568"/>
    <w:rsid w:val="00ED35F1"/>
    <w:rsid w:val="00ED3A9B"/>
    <w:rsid w:val="00ED3D0E"/>
    <w:rsid w:val="00ED402C"/>
    <w:rsid w:val="00ED46B0"/>
    <w:rsid w:val="00ED47EE"/>
    <w:rsid w:val="00ED4926"/>
    <w:rsid w:val="00ED52FA"/>
    <w:rsid w:val="00ED545F"/>
    <w:rsid w:val="00ED578B"/>
    <w:rsid w:val="00ED58F7"/>
    <w:rsid w:val="00ED5A01"/>
    <w:rsid w:val="00ED5E72"/>
    <w:rsid w:val="00ED67BE"/>
    <w:rsid w:val="00ED689B"/>
    <w:rsid w:val="00ED6C3E"/>
    <w:rsid w:val="00ED6D6A"/>
    <w:rsid w:val="00ED6E03"/>
    <w:rsid w:val="00ED6EEA"/>
    <w:rsid w:val="00ED7A86"/>
    <w:rsid w:val="00ED7C79"/>
    <w:rsid w:val="00ED7D3B"/>
    <w:rsid w:val="00EE0039"/>
    <w:rsid w:val="00EE02DE"/>
    <w:rsid w:val="00EE03E4"/>
    <w:rsid w:val="00EE05A6"/>
    <w:rsid w:val="00EE0AFA"/>
    <w:rsid w:val="00EE0E20"/>
    <w:rsid w:val="00EE0F07"/>
    <w:rsid w:val="00EE107E"/>
    <w:rsid w:val="00EE11D6"/>
    <w:rsid w:val="00EE13D5"/>
    <w:rsid w:val="00EE15AB"/>
    <w:rsid w:val="00EE1672"/>
    <w:rsid w:val="00EE1882"/>
    <w:rsid w:val="00EE1B1D"/>
    <w:rsid w:val="00EE1C68"/>
    <w:rsid w:val="00EE1E46"/>
    <w:rsid w:val="00EE2091"/>
    <w:rsid w:val="00EE2411"/>
    <w:rsid w:val="00EE2754"/>
    <w:rsid w:val="00EE2845"/>
    <w:rsid w:val="00EE2854"/>
    <w:rsid w:val="00EE2AFB"/>
    <w:rsid w:val="00EE2BE6"/>
    <w:rsid w:val="00EE2D64"/>
    <w:rsid w:val="00EE2E45"/>
    <w:rsid w:val="00EE2E51"/>
    <w:rsid w:val="00EE309A"/>
    <w:rsid w:val="00EE343D"/>
    <w:rsid w:val="00EE347A"/>
    <w:rsid w:val="00EE347F"/>
    <w:rsid w:val="00EE37DD"/>
    <w:rsid w:val="00EE3AEE"/>
    <w:rsid w:val="00EE3DFC"/>
    <w:rsid w:val="00EE4122"/>
    <w:rsid w:val="00EE457A"/>
    <w:rsid w:val="00EE464E"/>
    <w:rsid w:val="00EE4708"/>
    <w:rsid w:val="00EE4D9E"/>
    <w:rsid w:val="00EE4EAE"/>
    <w:rsid w:val="00EE4F4D"/>
    <w:rsid w:val="00EE5490"/>
    <w:rsid w:val="00EE54AB"/>
    <w:rsid w:val="00EE57DE"/>
    <w:rsid w:val="00EE5BEA"/>
    <w:rsid w:val="00EE5D18"/>
    <w:rsid w:val="00EE5E2C"/>
    <w:rsid w:val="00EE5FB3"/>
    <w:rsid w:val="00EE6072"/>
    <w:rsid w:val="00EE64B3"/>
    <w:rsid w:val="00EE65E0"/>
    <w:rsid w:val="00EE667E"/>
    <w:rsid w:val="00EE68D4"/>
    <w:rsid w:val="00EE6BA8"/>
    <w:rsid w:val="00EE6D3D"/>
    <w:rsid w:val="00EE6FDC"/>
    <w:rsid w:val="00EE70E2"/>
    <w:rsid w:val="00EE73C8"/>
    <w:rsid w:val="00EE748F"/>
    <w:rsid w:val="00EE74FD"/>
    <w:rsid w:val="00EE7CEB"/>
    <w:rsid w:val="00EE7D88"/>
    <w:rsid w:val="00EE7F79"/>
    <w:rsid w:val="00EF0062"/>
    <w:rsid w:val="00EF0434"/>
    <w:rsid w:val="00EF04AD"/>
    <w:rsid w:val="00EF098D"/>
    <w:rsid w:val="00EF0CE6"/>
    <w:rsid w:val="00EF0DBE"/>
    <w:rsid w:val="00EF0E32"/>
    <w:rsid w:val="00EF10C2"/>
    <w:rsid w:val="00EF152C"/>
    <w:rsid w:val="00EF15B0"/>
    <w:rsid w:val="00EF16A3"/>
    <w:rsid w:val="00EF17EC"/>
    <w:rsid w:val="00EF18EC"/>
    <w:rsid w:val="00EF1E7C"/>
    <w:rsid w:val="00EF1F8C"/>
    <w:rsid w:val="00EF20AF"/>
    <w:rsid w:val="00EF21C1"/>
    <w:rsid w:val="00EF221F"/>
    <w:rsid w:val="00EF22CC"/>
    <w:rsid w:val="00EF24DA"/>
    <w:rsid w:val="00EF2BC3"/>
    <w:rsid w:val="00EF2F78"/>
    <w:rsid w:val="00EF3504"/>
    <w:rsid w:val="00EF3659"/>
    <w:rsid w:val="00EF3679"/>
    <w:rsid w:val="00EF37CA"/>
    <w:rsid w:val="00EF38D2"/>
    <w:rsid w:val="00EF3986"/>
    <w:rsid w:val="00EF3B61"/>
    <w:rsid w:val="00EF40CE"/>
    <w:rsid w:val="00EF42FF"/>
    <w:rsid w:val="00EF4552"/>
    <w:rsid w:val="00EF464E"/>
    <w:rsid w:val="00EF4673"/>
    <w:rsid w:val="00EF471B"/>
    <w:rsid w:val="00EF4815"/>
    <w:rsid w:val="00EF4843"/>
    <w:rsid w:val="00EF487C"/>
    <w:rsid w:val="00EF4932"/>
    <w:rsid w:val="00EF4EFA"/>
    <w:rsid w:val="00EF4FC7"/>
    <w:rsid w:val="00EF5578"/>
    <w:rsid w:val="00EF5C77"/>
    <w:rsid w:val="00EF5C96"/>
    <w:rsid w:val="00EF5DB5"/>
    <w:rsid w:val="00EF63DA"/>
    <w:rsid w:val="00EF65CC"/>
    <w:rsid w:val="00EF6805"/>
    <w:rsid w:val="00EF681A"/>
    <w:rsid w:val="00EF6AEA"/>
    <w:rsid w:val="00EF6BEA"/>
    <w:rsid w:val="00EF6E1F"/>
    <w:rsid w:val="00EF6E5B"/>
    <w:rsid w:val="00EF715A"/>
    <w:rsid w:val="00EF72F2"/>
    <w:rsid w:val="00EF759B"/>
    <w:rsid w:val="00EF7C56"/>
    <w:rsid w:val="00F000D2"/>
    <w:rsid w:val="00F001E5"/>
    <w:rsid w:val="00F00440"/>
    <w:rsid w:val="00F004EA"/>
    <w:rsid w:val="00F00614"/>
    <w:rsid w:val="00F009DC"/>
    <w:rsid w:val="00F00A63"/>
    <w:rsid w:val="00F00ACB"/>
    <w:rsid w:val="00F00D1E"/>
    <w:rsid w:val="00F00FB4"/>
    <w:rsid w:val="00F01BB6"/>
    <w:rsid w:val="00F01FAE"/>
    <w:rsid w:val="00F0238E"/>
    <w:rsid w:val="00F0253E"/>
    <w:rsid w:val="00F0284E"/>
    <w:rsid w:val="00F02AE1"/>
    <w:rsid w:val="00F02CEA"/>
    <w:rsid w:val="00F02D79"/>
    <w:rsid w:val="00F02E35"/>
    <w:rsid w:val="00F036A1"/>
    <w:rsid w:val="00F03787"/>
    <w:rsid w:val="00F038D9"/>
    <w:rsid w:val="00F040E5"/>
    <w:rsid w:val="00F0435B"/>
    <w:rsid w:val="00F0437D"/>
    <w:rsid w:val="00F0441A"/>
    <w:rsid w:val="00F047E6"/>
    <w:rsid w:val="00F048A8"/>
    <w:rsid w:val="00F04C11"/>
    <w:rsid w:val="00F04F27"/>
    <w:rsid w:val="00F05247"/>
    <w:rsid w:val="00F05428"/>
    <w:rsid w:val="00F05587"/>
    <w:rsid w:val="00F057C7"/>
    <w:rsid w:val="00F05863"/>
    <w:rsid w:val="00F05998"/>
    <w:rsid w:val="00F05CD9"/>
    <w:rsid w:val="00F05D5F"/>
    <w:rsid w:val="00F060B2"/>
    <w:rsid w:val="00F06166"/>
    <w:rsid w:val="00F06498"/>
    <w:rsid w:val="00F06638"/>
    <w:rsid w:val="00F06687"/>
    <w:rsid w:val="00F0688B"/>
    <w:rsid w:val="00F06B5A"/>
    <w:rsid w:val="00F06E14"/>
    <w:rsid w:val="00F07319"/>
    <w:rsid w:val="00F0736A"/>
    <w:rsid w:val="00F073C2"/>
    <w:rsid w:val="00F0747B"/>
    <w:rsid w:val="00F07485"/>
    <w:rsid w:val="00F074F2"/>
    <w:rsid w:val="00F0759B"/>
    <w:rsid w:val="00F07686"/>
    <w:rsid w:val="00F079E7"/>
    <w:rsid w:val="00F07B9B"/>
    <w:rsid w:val="00F100D9"/>
    <w:rsid w:val="00F101B1"/>
    <w:rsid w:val="00F106E6"/>
    <w:rsid w:val="00F10919"/>
    <w:rsid w:val="00F1091C"/>
    <w:rsid w:val="00F10BB3"/>
    <w:rsid w:val="00F10E82"/>
    <w:rsid w:val="00F1110D"/>
    <w:rsid w:val="00F113A2"/>
    <w:rsid w:val="00F11426"/>
    <w:rsid w:val="00F115D4"/>
    <w:rsid w:val="00F11B74"/>
    <w:rsid w:val="00F11D13"/>
    <w:rsid w:val="00F11FFC"/>
    <w:rsid w:val="00F120AB"/>
    <w:rsid w:val="00F1219C"/>
    <w:rsid w:val="00F12A57"/>
    <w:rsid w:val="00F13312"/>
    <w:rsid w:val="00F1341B"/>
    <w:rsid w:val="00F13727"/>
    <w:rsid w:val="00F13748"/>
    <w:rsid w:val="00F13AAB"/>
    <w:rsid w:val="00F13E35"/>
    <w:rsid w:val="00F14846"/>
    <w:rsid w:val="00F148DC"/>
    <w:rsid w:val="00F151B5"/>
    <w:rsid w:val="00F152FA"/>
    <w:rsid w:val="00F153FB"/>
    <w:rsid w:val="00F15675"/>
    <w:rsid w:val="00F157A0"/>
    <w:rsid w:val="00F158A3"/>
    <w:rsid w:val="00F159ED"/>
    <w:rsid w:val="00F15E06"/>
    <w:rsid w:val="00F1601F"/>
    <w:rsid w:val="00F16209"/>
    <w:rsid w:val="00F16644"/>
    <w:rsid w:val="00F16BDD"/>
    <w:rsid w:val="00F16E0C"/>
    <w:rsid w:val="00F16EF9"/>
    <w:rsid w:val="00F1749B"/>
    <w:rsid w:val="00F17616"/>
    <w:rsid w:val="00F179D4"/>
    <w:rsid w:val="00F17B0B"/>
    <w:rsid w:val="00F17B2A"/>
    <w:rsid w:val="00F20660"/>
    <w:rsid w:val="00F20A23"/>
    <w:rsid w:val="00F20ACC"/>
    <w:rsid w:val="00F21484"/>
    <w:rsid w:val="00F21498"/>
    <w:rsid w:val="00F2158D"/>
    <w:rsid w:val="00F21725"/>
    <w:rsid w:val="00F2195D"/>
    <w:rsid w:val="00F2197E"/>
    <w:rsid w:val="00F219F9"/>
    <w:rsid w:val="00F21A07"/>
    <w:rsid w:val="00F21B1E"/>
    <w:rsid w:val="00F21DCF"/>
    <w:rsid w:val="00F21E63"/>
    <w:rsid w:val="00F22031"/>
    <w:rsid w:val="00F220AB"/>
    <w:rsid w:val="00F22127"/>
    <w:rsid w:val="00F2218B"/>
    <w:rsid w:val="00F227AD"/>
    <w:rsid w:val="00F22931"/>
    <w:rsid w:val="00F22A23"/>
    <w:rsid w:val="00F22BE8"/>
    <w:rsid w:val="00F22DBD"/>
    <w:rsid w:val="00F231C6"/>
    <w:rsid w:val="00F2344F"/>
    <w:rsid w:val="00F23684"/>
    <w:rsid w:val="00F238E0"/>
    <w:rsid w:val="00F23A45"/>
    <w:rsid w:val="00F23B65"/>
    <w:rsid w:val="00F23E3F"/>
    <w:rsid w:val="00F23FB5"/>
    <w:rsid w:val="00F241DA"/>
    <w:rsid w:val="00F24592"/>
    <w:rsid w:val="00F245CC"/>
    <w:rsid w:val="00F24947"/>
    <w:rsid w:val="00F24C56"/>
    <w:rsid w:val="00F24DAB"/>
    <w:rsid w:val="00F24E01"/>
    <w:rsid w:val="00F25047"/>
    <w:rsid w:val="00F251CD"/>
    <w:rsid w:val="00F25651"/>
    <w:rsid w:val="00F25942"/>
    <w:rsid w:val="00F25B8B"/>
    <w:rsid w:val="00F25D20"/>
    <w:rsid w:val="00F25F41"/>
    <w:rsid w:val="00F26359"/>
    <w:rsid w:val="00F26427"/>
    <w:rsid w:val="00F26507"/>
    <w:rsid w:val="00F268A9"/>
    <w:rsid w:val="00F26C93"/>
    <w:rsid w:val="00F271E1"/>
    <w:rsid w:val="00F27578"/>
    <w:rsid w:val="00F276A0"/>
    <w:rsid w:val="00F278C9"/>
    <w:rsid w:val="00F301BE"/>
    <w:rsid w:val="00F303F1"/>
    <w:rsid w:val="00F30B5E"/>
    <w:rsid w:val="00F30C57"/>
    <w:rsid w:val="00F30DE1"/>
    <w:rsid w:val="00F310AC"/>
    <w:rsid w:val="00F3128D"/>
    <w:rsid w:val="00F31917"/>
    <w:rsid w:val="00F31BB2"/>
    <w:rsid w:val="00F31C72"/>
    <w:rsid w:val="00F31DD8"/>
    <w:rsid w:val="00F3241B"/>
    <w:rsid w:val="00F32746"/>
    <w:rsid w:val="00F3286D"/>
    <w:rsid w:val="00F32E42"/>
    <w:rsid w:val="00F33016"/>
    <w:rsid w:val="00F3308A"/>
    <w:rsid w:val="00F332EE"/>
    <w:rsid w:val="00F3352F"/>
    <w:rsid w:val="00F33682"/>
    <w:rsid w:val="00F3396D"/>
    <w:rsid w:val="00F33C56"/>
    <w:rsid w:val="00F33D64"/>
    <w:rsid w:val="00F3438C"/>
    <w:rsid w:val="00F34585"/>
    <w:rsid w:val="00F347C7"/>
    <w:rsid w:val="00F34848"/>
    <w:rsid w:val="00F34C0A"/>
    <w:rsid w:val="00F34C0F"/>
    <w:rsid w:val="00F34E94"/>
    <w:rsid w:val="00F34EC9"/>
    <w:rsid w:val="00F35068"/>
    <w:rsid w:val="00F35408"/>
    <w:rsid w:val="00F35440"/>
    <w:rsid w:val="00F35468"/>
    <w:rsid w:val="00F3559E"/>
    <w:rsid w:val="00F356E0"/>
    <w:rsid w:val="00F35B75"/>
    <w:rsid w:val="00F35BE3"/>
    <w:rsid w:val="00F35F0C"/>
    <w:rsid w:val="00F36742"/>
    <w:rsid w:val="00F36A6F"/>
    <w:rsid w:val="00F36B5A"/>
    <w:rsid w:val="00F37206"/>
    <w:rsid w:val="00F374CB"/>
    <w:rsid w:val="00F375FB"/>
    <w:rsid w:val="00F3771C"/>
    <w:rsid w:val="00F37874"/>
    <w:rsid w:val="00F379A8"/>
    <w:rsid w:val="00F40393"/>
    <w:rsid w:val="00F40456"/>
    <w:rsid w:val="00F40651"/>
    <w:rsid w:val="00F407AA"/>
    <w:rsid w:val="00F408F8"/>
    <w:rsid w:val="00F40AFE"/>
    <w:rsid w:val="00F40B41"/>
    <w:rsid w:val="00F40C95"/>
    <w:rsid w:val="00F40E8B"/>
    <w:rsid w:val="00F40FA7"/>
    <w:rsid w:val="00F41120"/>
    <w:rsid w:val="00F41165"/>
    <w:rsid w:val="00F411E8"/>
    <w:rsid w:val="00F41821"/>
    <w:rsid w:val="00F41898"/>
    <w:rsid w:val="00F41D72"/>
    <w:rsid w:val="00F41FEB"/>
    <w:rsid w:val="00F428FD"/>
    <w:rsid w:val="00F42BC5"/>
    <w:rsid w:val="00F42D46"/>
    <w:rsid w:val="00F42FDE"/>
    <w:rsid w:val="00F435FC"/>
    <w:rsid w:val="00F43757"/>
    <w:rsid w:val="00F4388F"/>
    <w:rsid w:val="00F43A35"/>
    <w:rsid w:val="00F43C68"/>
    <w:rsid w:val="00F43C98"/>
    <w:rsid w:val="00F442AF"/>
    <w:rsid w:val="00F44819"/>
    <w:rsid w:val="00F4496C"/>
    <w:rsid w:val="00F44F3A"/>
    <w:rsid w:val="00F4532F"/>
    <w:rsid w:val="00F45355"/>
    <w:rsid w:val="00F45423"/>
    <w:rsid w:val="00F45838"/>
    <w:rsid w:val="00F4584E"/>
    <w:rsid w:val="00F4591F"/>
    <w:rsid w:val="00F459D5"/>
    <w:rsid w:val="00F459F0"/>
    <w:rsid w:val="00F45AA1"/>
    <w:rsid w:val="00F45AFF"/>
    <w:rsid w:val="00F45B69"/>
    <w:rsid w:val="00F45C97"/>
    <w:rsid w:val="00F45E17"/>
    <w:rsid w:val="00F4636C"/>
    <w:rsid w:val="00F466E2"/>
    <w:rsid w:val="00F468A4"/>
    <w:rsid w:val="00F46C14"/>
    <w:rsid w:val="00F4759A"/>
    <w:rsid w:val="00F476B5"/>
    <w:rsid w:val="00F478E1"/>
    <w:rsid w:val="00F47968"/>
    <w:rsid w:val="00F47BBF"/>
    <w:rsid w:val="00F47D11"/>
    <w:rsid w:val="00F50025"/>
    <w:rsid w:val="00F501C9"/>
    <w:rsid w:val="00F5036B"/>
    <w:rsid w:val="00F506ED"/>
    <w:rsid w:val="00F5094D"/>
    <w:rsid w:val="00F50CBC"/>
    <w:rsid w:val="00F50E01"/>
    <w:rsid w:val="00F511C4"/>
    <w:rsid w:val="00F5131B"/>
    <w:rsid w:val="00F5163C"/>
    <w:rsid w:val="00F5167B"/>
    <w:rsid w:val="00F51811"/>
    <w:rsid w:val="00F5199C"/>
    <w:rsid w:val="00F51D40"/>
    <w:rsid w:val="00F51D9F"/>
    <w:rsid w:val="00F51F10"/>
    <w:rsid w:val="00F51F9B"/>
    <w:rsid w:val="00F527E4"/>
    <w:rsid w:val="00F529A5"/>
    <w:rsid w:val="00F52B09"/>
    <w:rsid w:val="00F52B2F"/>
    <w:rsid w:val="00F52CDE"/>
    <w:rsid w:val="00F52EF8"/>
    <w:rsid w:val="00F5310D"/>
    <w:rsid w:val="00F53185"/>
    <w:rsid w:val="00F53587"/>
    <w:rsid w:val="00F53AC4"/>
    <w:rsid w:val="00F53B4E"/>
    <w:rsid w:val="00F53E01"/>
    <w:rsid w:val="00F53E3B"/>
    <w:rsid w:val="00F545B7"/>
    <w:rsid w:val="00F5462C"/>
    <w:rsid w:val="00F54A0A"/>
    <w:rsid w:val="00F54C25"/>
    <w:rsid w:val="00F54D40"/>
    <w:rsid w:val="00F5513B"/>
    <w:rsid w:val="00F5532A"/>
    <w:rsid w:val="00F555AE"/>
    <w:rsid w:val="00F555BB"/>
    <w:rsid w:val="00F55A78"/>
    <w:rsid w:val="00F56152"/>
    <w:rsid w:val="00F56594"/>
    <w:rsid w:val="00F565B1"/>
    <w:rsid w:val="00F565CE"/>
    <w:rsid w:val="00F5675D"/>
    <w:rsid w:val="00F56961"/>
    <w:rsid w:val="00F56DEA"/>
    <w:rsid w:val="00F571BC"/>
    <w:rsid w:val="00F5741E"/>
    <w:rsid w:val="00F57983"/>
    <w:rsid w:val="00F6002B"/>
    <w:rsid w:val="00F60517"/>
    <w:rsid w:val="00F60568"/>
    <w:rsid w:val="00F606A8"/>
    <w:rsid w:val="00F608DF"/>
    <w:rsid w:val="00F6095D"/>
    <w:rsid w:val="00F60F00"/>
    <w:rsid w:val="00F61106"/>
    <w:rsid w:val="00F6117B"/>
    <w:rsid w:val="00F614C0"/>
    <w:rsid w:val="00F61725"/>
    <w:rsid w:val="00F61761"/>
    <w:rsid w:val="00F61B33"/>
    <w:rsid w:val="00F61B39"/>
    <w:rsid w:val="00F61D07"/>
    <w:rsid w:val="00F61D98"/>
    <w:rsid w:val="00F61DF8"/>
    <w:rsid w:val="00F61F29"/>
    <w:rsid w:val="00F620FC"/>
    <w:rsid w:val="00F62C48"/>
    <w:rsid w:val="00F62E80"/>
    <w:rsid w:val="00F62F26"/>
    <w:rsid w:val="00F6301E"/>
    <w:rsid w:val="00F631CA"/>
    <w:rsid w:val="00F63231"/>
    <w:rsid w:val="00F634CB"/>
    <w:rsid w:val="00F63512"/>
    <w:rsid w:val="00F63714"/>
    <w:rsid w:val="00F63863"/>
    <w:rsid w:val="00F63E59"/>
    <w:rsid w:val="00F63E66"/>
    <w:rsid w:val="00F63FEB"/>
    <w:rsid w:val="00F64070"/>
    <w:rsid w:val="00F64074"/>
    <w:rsid w:val="00F64470"/>
    <w:rsid w:val="00F647A8"/>
    <w:rsid w:val="00F64963"/>
    <w:rsid w:val="00F64A4E"/>
    <w:rsid w:val="00F64C94"/>
    <w:rsid w:val="00F64CD6"/>
    <w:rsid w:val="00F64DD4"/>
    <w:rsid w:val="00F64E87"/>
    <w:rsid w:val="00F64F89"/>
    <w:rsid w:val="00F65086"/>
    <w:rsid w:val="00F65194"/>
    <w:rsid w:val="00F65243"/>
    <w:rsid w:val="00F6531C"/>
    <w:rsid w:val="00F654C4"/>
    <w:rsid w:val="00F6565F"/>
    <w:rsid w:val="00F65787"/>
    <w:rsid w:val="00F65AAD"/>
    <w:rsid w:val="00F65AE6"/>
    <w:rsid w:val="00F65B35"/>
    <w:rsid w:val="00F65BC3"/>
    <w:rsid w:val="00F65BCC"/>
    <w:rsid w:val="00F65D9E"/>
    <w:rsid w:val="00F65F4D"/>
    <w:rsid w:val="00F65FFD"/>
    <w:rsid w:val="00F661B4"/>
    <w:rsid w:val="00F6637A"/>
    <w:rsid w:val="00F665C6"/>
    <w:rsid w:val="00F667CA"/>
    <w:rsid w:val="00F66DF6"/>
    <w:rsid w:val="00F66E7A"/>
    <w:rsid w:val="00F66F61"/>
    <w:rsid w:val="00F673D6"/>
    <w:rsid w:val="00F67547"/>
    <w:rsid w:val="00F6762A"/>
    <w:rsid w:val="00F6769F"/>
    <w:rsid w:val="00F6773A"/>
    <w:rsid w:val="00F67A21"/>
    <w:rsid w:val="00F67F29"/>
    <w:rsid w:val="00F67F2E"/>
    <w:rsid w:val="00F67FBC"/>
    <w:rsid w:val="00F7004F"/>
    <w:rsid w:val="00F70178"/>
    <w:rsid w:val="00F7033B"/>
    <w:rsid w:val="00F703E1"/>
    <w:rsid w:val="00F70766"/>
    <w:rsid w:val="00F70881"/>
    <w:rsid w:val="00F70ADF"/>
    <w:rsid w:val="00F70B25"/>
    <w:rsid w:val="00F70C39"/>
    <w:rsid w:val="00F70EE7"/>
    <w:rsid w:val="00F70F60"/>
    <w:rsid w:val="00F71065"/>
    <w:rsid w:val="00F710CD"/>
    <w:rsid w:val="00F710F3"/>
    <w:rsid w:val="00F711C7"/>
    <w:rsid w:val="00F7178C"/>
    <w:rsid w:val="00F7186E"/>
    <w:rsid w:val="00F7197F"/>
    <w:rsid w:val="00F71CA9"/>
    <w:rsid w:val="00F71E2D"/>
    <w:rsid w:val="00F71E6A"/>
    <w:rsid w:val="00F72050"/>
    <w:rsid w:val="00F722A1"/>
    <w:rsid w:val="00F723A1"/>
    <w:rsid w:val="00F72482"/>
    <w:rsid w:val="00F7251F"/>
    <w:rsid w:val="00F7265E"/>
    <w:rsid w:val="00F7272D"/>
    <w:rsid w:val="00F72A9F"/>
    <w:rsid w:val="00F72AC1"/>
    <w:rsid w:val="00F72ACB"/>
    <w:rsid w:val="00F72DC3"/>
    <w:rsid w:val="00F72E47"/>
    <w:rsid w:val="00F72FA5"/>
    <w:rsid w:val="00F72FE2"/>
    <w:rsid w:val="00F7329E"/>
    <w:rsid w:val="00F73767"/>
    <w:rsid w:val="00F7380D"/>
    <w:rsid w:val="00F73833"/>
    <w:rsid w:val="00F73927"/>
    <w:rsid w:val="00F73F44"/>
    <w:rsid w:val="00F74086"/>
    <w:rsid w:val="00F741E2"/>
    <w:rsid w:val="00F7444D"/>
    <w:rsid w:val="00F744FF"/>
    <w:rsid w:val="00F74555"/>
    <w:rsid w:val="00F74576"/>
    <w:rsid w:val="00F745C9"/>
    <w:rsid w:val="00F746A0"/>
    <w:rsid w:val="00F74751"/>
    <w:rsid w:val="00F74780"/>
    <w:rsid w:val="00F7482D"/>
    <w:rsid w:val="00F7486F"/>
    <w:rsid w:val="00F74C46"/>
    <w:rsid w:val="00F74E66"/>
    <w:rsid w:val="00F75534"/>
    <w:rsid w:val="00F7553B"/>
    <w:rsid w:val="00F7576E"/>
    <w:rsid w:val="00F75A27"/>
    <w:rsid w:val="00F75AAD"/>
    <w:rsid w:val="00F75E83"/>
    <w:rsid w:val="00F75F90"/>
    <w:rsid w:val="00F76062"/>
    <w:rsid w:val="00F7606C"/>
    <w:rsid w:val="00F76328"/>
    <w:rsid w:val="00F763E7"/>
    <w:rsid w:val="00F764F2"/>
    <w:rsid w:val="00F7655D"/>
    <w:rsid w:val="00F7682E"/>
    <w:rsid w:val="00F769BA"/>
    <w:rsid w:val="00F76BBC"/>
    <w:rsid w:val="00F76D93"/>
    <w:rsid w:val="00F76EC2"/>
    <w:rsid w:val="00F76EE2"/>
    <w:rsid w:val="00F76FB5"/>
    <w:rsid w:val="00F770A6"/>
    <w:rsid w:val="00F7720F"/>
    <w:rsid w:val="00F7737E"/>
    <w:rsid w:val="00F77959"/>
    <w:rsid w:val="00F77978"/>
    <w:rsid w:val="00F77C42"/>
    <w:rsid w:val="00F8018F"/>
    <w:rsid w:val="00F80213"/>
    <w:rsid w:val="00F8022A"/>
    <w:rsid w:val="00F80A46"/>
    <w:rsid w:val="00F80E95"/>
    <w:rsid w:val="00F80EE1"/>
    <w:rsid w:val="00F817DC"/>
    <w:rsid w:val="00F81A62"/>
    <w:rsid w:val="00F81C7F"/>
    <w:rsid w:val="00F81C9D"/>
    <w:rsid w:val="00F81DB6"/>
    <w:rsid w:val="00F820E5"/>
    <w:rsid w:val="00F82267"/>
    <w:rsid w:val="00F82305"/>
    <w:rsid w:val="00F8258B"/>
    <w:rsid w:val="00F82702"/>
    <w:rsid w:val="00F82900"/>
    <w:rsid w:val="00F8299F"/>
    <w:rsid w:val="00F82A3C"/>
    <w:rsid w:val="00F82AC4"/>
    <w:rsid w:val="00F82B08"/>
    <w:rsid w:val="00F82C63"/>
    <w:rsid w:val="00F8312D"/>
    <w:rsid w:val="00F833F7"/>
    <w:rsid w:val="00F83559"/>
    <w:rsid w:val="00F8380E"/>
    <w:rsid w:val="00F83848"/>
    <w:rsid w:val="00F839FD"/>
    <w:rsid w:val="00F83A9C"/>
    <w:rsid w:val="00F83C41"/>
    <w:rsid w:val="00F840E5"/>
    <w:rsid w:val="00F841BE"/>
    <w:rsid w:val="00F8430B"/>
    <w:rsid w:val="00F84375"/>
    <w:rsid w:val="00F84391"/>
    <w:rsid w:val="00F844FB"/>
    <w:rsid w:val="00F84576"/>
    <w:rsid w:val="00F8464F"/>
    <w:rsid w:val="00F84730"/>
    <w:rsid w:val="00F847DE"/>
    <w:rsid w:val="00F847F4"/>
    <w:rsid w:val="00F85149"/>
    <w:rsid w:val="00F85499"/>
    <w:rsid w:val="00F85512"/>
    <w:rsid w:val="00F85AEB"/>
    <w:rsid w:val="00F85C3B"/>
    <w:rsid w:val="00F85F00"/>
    <w:rsid w:val="00F85F20"/>
    <w:rsid w:val="00F860EE"/>
    <w:rsid w:val="00F8634F"/>
    <w:rsid w:val="00F86357"/>
    <w:rsid w:val="00F863C2"/>
    <w:rsid w:val="00F865DC"/>
    <w:rsid w:val="00F86985"/>
    <w:rsid w:val="00F86ECD"/>
    <w:rsid w:val="00F873F9"/>
    <w:rsid w:val="00F8744B"/>
    <w:rsid w:val="00F875D7"/>
    <w:rsid w:val="00F877FB"/>
    <w:rsid w:val="00F87AF1"/>
    <w:rsid w:val="00F87BBF"/>
    <w:rsid w:val="00F87CB6"/>
    <w:rsid w:val="00F87DC3"/>
    <w:rsid w:val="00F90108"/>
    <w:rsid w:val="00F901C3"/>
    <w:rsid w:val="00F903CD"/>
    <w:rsid w:val="00F90487"/>
    <w:rsid w:val="00F90AE4"/>
    <w:rsid w:val="00F90D67"/>
    <w:rsid w:val="00F90ECF"/>
    <w:rsid w:val="00F913DE"/>
    <w:rsid w:val="00F91571"/>
    <w:rsid w:val="00F91876"/>
    <w:rsid w:val="00F91D42"/>
    <w:rsid w:val="00F920BF"/>
    <w:rsid w:val="00F9231D"/>
    <w:rsid w:val="00F92480"/>
    <w:rsid w:val="00F924F6"/>
    <w:rsid w:val="00F927AB"/>
    <w:rsid w:val="00F9293C"/>
    <w:rsid w:val="00F92E6B"/>
    <w:rsid w:val="00F93010"/>
    <w:rsid w:val="00F93202"/>
    <w:rsid w:val="00F93343"/>
    <w:rsid w:val="00F935A2"/>
    <w:rsid w:val="00F936A4"/>
    <w:rsid w:val="00F937DE"/>
    <w:rsid w:val="00F93837"/>
    <w:rsid w:val="00F93871"/>
    <w:rsid w:val="00F93884"/>
    <w:rsid w:val="00F938CE"/>
    <w:rsid w:val="00F93C87"/>
    <w:rsid w:val="00F93D55"/>
    <w:rsid w:val="00F93E6E"/>
    <w:rsid w:val="00F93F15"/>
    <w:rsid w:val="00F94436"/>
    <w:rsid w:val="00F947B2"/>
    <w:rsid w:val="00F94B85"/>
    <w:rsid w:val="00F94DA3"/>
    <w:rsid w:val="00F94E0B"/>
    <w:rsid w:val="00F9539A"/>
    <w:rsid w:val="00F95895"/>
    <w:rsid w:val="00F95DDD"/>
    <w:rsid w:val="00F96038"/>
    <w:rsid w:val="00F96152"/>
    <w:rsid w:val="00F96277"/>
    <w:rsid w:val="00F9631C"/>
    <w:rsid w:val="00F96356"/>
    <w:rsid w:val="00F96917"/>
    <w:rsid w:val="00F9694F"/>
    <w:rsid w:val="00F96959"/>
    <w:rsid w:val="00F96B1F"/>
    <w:rsid w:val="00F96D29"/>
    <w:rsid w:val="00F96D33"/>
    <w:rsid w:val="00F972CB"/>
    <w:rsid w:val="00F975E9"/>
    <w:rsid w:val="00F977BF"/>
    <w:rsid w:val="00F977E9"/>
    <w:rsid w:val="00F97813"/>
    <w:rsid w:val="00F97830"/>
    <w:rsid w:val="00F9785E"/>
    <w:rsid w:val="00F979D0"/>
    <w:rsid w:val="00F97CE0"/>
    <w:rsid w:val="00F97CEF"/>
    <w:rsid w:val="00FA003F"/>
    <w:rsid w:val="00FA0512"/>
    <w:rsid w:val="00FA0B22"/>
    <w:rsid w:val="00FA0EA6"/>
    <w:rsid w:val="00FA10BC"/>
    <w:rsid w:val="00FA1123"/>
    <w:rsid w:val="00FA1164"/>
    <w:rsid w:val="00FA117B"/>
    <w:rsid w:val="00FA1B7D"/>
    <w:rsid w:val="00FA1CD7"/>
    <w:rsid w:val="00FA1EBF"/>
    <w:rsid w:val="00FA1FE7"/>
    <w:rsid w:val="00FA2351"/>
    <w:rsid w:val="00FA275B"/>
    <w:rsid w:val="00FA2968"/>
    <w:rsid w:val="00FA2F26"/>
    <w:rsid w:val="00FA317C"/>
    <w:rsid w:val="00FA3597"/>
    <w:rsid w:val="00FA38E1"/>
    <w:rsid w:val="00FA3D7A"/>
    <w:rsid w:val="00FA3E0D"/>
    <w:rsid w:val="00FA408F"/>
    <w:rsid w:val="00FA41D2"/>
    <w:rsid w:val="00FA4207"/>
    <w:rsid w:val="00FA464A"/>
    <w:rsid w:val="00FA58AA"/>
    <w:rsid w:val="00FA5F73"/>
    <w:rsid w:val="00FA6092"/>
    <w:rsid w:val="00FA6113"/>
    <w:rsid w:val="00FA6383"/>
    <w:rsid w:val="00FA67D1"/>
    <w:rsid w:val="00FA68B8"/>
    <w:rsid w:val="00FA6A4A"/>
    <w:rsid w:val="00FA6BE5"/>
    <w:rsid w:val="00FA6E01"/>
    <w:rsid w:val="00FA6E52"/>
    <w:rsid w:val="00FA71D9"/>
    <w:rsid w:val="00FA71E0"/>
    <w:rsid w:val="00FA779B"/>
    <w:rsid w:val="00FA7B72"/>
    <w:rsid w:val="00FA7F54"/>
    <w:rsid w:val="00FB0009"/>
    <w:rsid w:val="00FB0503"/>
    <w:rsid w:val="00FB08A6"/>
    <w:rsid w:val="00FB0A09"/>
    <w:rsid w:val="00FB0C57"/>
    <w:rsid w:val="00FB0D20"/>
    <w:rsid w:val="00FB1002"/>
    <w:rsid w:val="00FB12EB"/>
    <w:rsid w:val="00FB1588"/>
    <w:rsid w:val="00FB15F4"/>
    <w:rsid w:val="00FB17ED"/>
    <w:rsid w:val="00FB1938"/>
    <w:rsid w:val="00FB1A7C"/>
    <w:rsid w:val="00FB1D37"/>
    <w:rsid w:val="00FB1FC0"/>
    <w:rsid w:val="00FB2487"/>
    <w:rsid w:val="00FB24EA"/>
    <w:rsid w:val="00FB2864"/>
    <w:rsid w:val="00FB28B7"/>
    <w:rsid w:val="00FB2A6A"/>
    <w:rsid w:val="00FB2B7D"/>
    <w:rsid w:val="00FB2C6F"/>
    <w:rsid w:val="00FB2E49"/>
    <w:rsid w:val="00FB2F33"/>
    <w:rsid w:val="00FB3393"/>
    <w:rsid w:val="00FB37FB"/>
    <w:rsid w:val="00FB391A"/>
    <w:rsid w:val="00FB4080"/>
    <w:rsid w:val="00FB41E2"/>
    <w:rsid w:val="00FB4349"/>
    <w:rsid w:val="00FB4475"/>
    <w:rsid w:val="00FB44D3"/>
    <w:rsid w:val="00FB4504"/>
    <w:rsid w:val="00FB4725"/>
    <w:rsid w:val="00FB49F0"/>
    <w:rsid w:val="00FB4C04"/>
    <w:rsid w:val="00FB4F8A"/>
    <w:rsid w:val="00FB5103"/>
    <w:rsid w:val="00FB588C"/>
    <w:rsid w:val="00FB5AB8"/>
    <w:rsid w:val="00FB605B"/>
    <w:rsid w:val="00FB62AB"/>
    <w:rsid w:val="00FB62D2"/>
    <w:rsid w:val="00FB6317"/>
    <w:rsid w:val="00FB654B"/>
    <w:rsid w:val="00FB65DD"/>
    <w:rsid w:val="00FB661D"/>
    <w:rsid w:val="00FB6678"/>
    <w:rsid w:val="00FB667B"/>
    <w:rsid w:val="00FB679A"/>
    <w:rsid w:val="00FB67F2"/>
    <w:rsid w:val="00FB6BB6"/>
    <w:rsid w:val="00FB6BD0"/>
    <w:rsid w:val="00FB6F1B"/>
    <w:rsid w:val="00FB723A"/>
    <w:rsid w:val="00FB73DC"/>
    <w:rsid w:val="00FB75E0"/>
    <w:rsid w:val="00FB78D0"/>
    <w:rsid w:val="00FB7954"/>
    <w:rsid w:val="00FB7DEB"/>
    <w:rsid w:val="00FB7E3B"/>
    <w:rsid w:val="00FB7E57"/>
    <w:rsid w:val="00FC01CE"/>
    <w:rsid w:val="00FC04C9"/>
    <w:rsid w:val="00FC0644"/>
    <w:rsid w:val="00FC069A"/>
    <w:rsid w:val="00FC07B9"/>
    <w:rsid w:val="00FC0810"/>
    <w:rsid w:val="00FC089F"/>
    <w:rsid w:val="00FC0A11"/>
    <w:rsid w:val="00FC0A77"/>
    <w:rsid w:val="00FC0C23"/>
    <w:rsid w:val="00FC0D1A"/>
    <w:rsid w:val="00FC0F76"/>
    <w:rsid w:val="00FC123C"/>
    <w:rsid w:val="00FC16D7"/>
    <w:rsid w:val="00FC177D"/>
    <w:rsid w:val="00FC189B"/>
    <w:rsid w:val="00FC18FC"/>
    <w:rsid w:val="00FC1C1C"/>
    <w:rsid w:val="00FC1D82"/>
    <w:rsid w:val="00FC1E56"/>
    <w:rsid w:val="00FC1E7B"/>
    <w:rsid w:val="00FC1EC7"/>
    <w:rsid w:val="00FC1F81"/>
    <w:rsid w:val="00FC214D"/>
    <w:rsid w:val="00FC21E2"/>
    <w:rsid w:val="00FC2247"/>
    <w:rsid w:val="00FC23E3"/>
    <w:rsid w:val="00FC25BC"/>
    <w:rsid w:val="00FC2D71"/>
    <w:rsid w:val="00FC2D9E"/>
    <w:rsid w:val="00FC2DB8"/>
    <w:rsid w:val="00FC2DDF"/>
    <w:rsid w:val="00FC3050"/>
    <w:rsid w:val="00FC366D"/>
    <w:rsid w:val="00FC37C2"/>
    <w:rsid w:val="00FC3AD9"/>
    <w:rsid w:val="00FC3B5B"/>
    <w:rsid w:val="00FC3DE9"/>
    <w:rsid w:val="00FC3E01"/>
    <w:rsid w:val="00FC3E11"/>
    <w:rsid w:val="00FC3E88"/>
    <w:rsid w:val="00FC3EC6"/>
    <w:rsid w:val="00FC468F"/>
    <w:rsid w:val="00FC483C"/>
    <w:rsid w:val="00FC49C3"/>
    <w:rsid w:val="00FC4B1F"/>
    <w:rsid w:val="00FC4BD3"/>
    <w:rsid w:val="00FC4CF9"/>
    <w:rsid w:val="00FC4E21"/>
    <w:rsid w:val="00FC543F"/>
    <w:rsid w:val="00FC56E6"/>
    <w:rsid w:val="00FC5843"/>
    <w:rsid w:val="00FC5C94"/>
    <w:rsid w:val="00FC5F6D"/>
    <w:rsid w:val="00FC6210"/>
    <w:rsid w:val="00FC6767"/>
    <w:rsid w:val="00FC68B5"/>
    <w:rsid w:val="00FC6D51"/>
    <w:rsid w:val="00FC6FCE"/>
    <w:rsid w:val="00FC700E"/>
    <w:rsid w:val="00FC75D5"/>
    <w:rsid w:val="00FC77A1"/>
    <w:rsid w:val="00FC7B4C"/>
    <w:rsid w:val="00FC7C57"/>
    <w:rsid w:val="00FC7CBC"/>
    <w:rsid w:val="00FD0107"/>
    <w:rsid w:val="00FD0224"/>
    <w:rsid w:val="00FD0251"/>
    <w:rsid w:val="00FD04EE"/>
    <w:rsid w:val="00FD0D69"/>
    <w:rsid w:val="00FD13EB"/>
    <w:rsid w:val="00FD14AF"/>
    <w:rsid w:val="00FD1505"/>
    <w:rsid w:val="00FD1585"/>
    <w:rsid w:val="00FD16D8"/>
    <w:rsid w:val="00FD1C02"/>
    <w:rsid w:val="00FD1CB1"/>
    <w:rsid w:val="00FD1D6D"/>
    <w:rsid w:val="00FD209A"/>
    <w:rsid w:val="00FD21C8"/>
    <w:rsid w:val="00FD2A8F"/>
    <w:rsid w:val="00FD2C2F"/>
    <w:rsid w:val="00FD2C68"/>
    <w:rsid w:val="00FD2EC1"/>
    <w:rsid w:val="00FD3516"/>
    <w:rsid w:val="00FD3520"/>
    <w:rsid w:val="00FD3569"/>
    <w:rsid w:val="00FD394A"/>
    <w:rsid w:val="00FD3A6B"/>
    <w:rsid w:val="00FD3B31"/>
    <w:rsid w:val="00FD3DC2"/>
    <w:rsid w:val="00FD3F9C"/>
    <w:rsid w:val="00FD4025"/>
    <w:rsid w:val="00FD41FA"/>
    <w:rsid w:val="00FD42D0"/>
    <w:rsid w:val="00FD44FF"/>
    <w:rsid w:val="00FD4998"/>
    <w:rsid w:val="00FD4CB9"/>
    <w:rsid w:val="00FD4E8E"/>
    <w:rsid w:val="00FD4FB3"/>
    <w:rsid w:val="00FD508D"/>
    <w:rsid w:val="00FD5117"/>
    <w:rsid w:val="00FD51C3"/>
    <w:rsid w:val="00FD5216"/>
    <w:rsid w:val="00FD5364"/>
    <w:rsid w:val="00FD5E81"/>
    <w:rsid w:val="00FD5EEE"/>
    <w:rsid w:val="00FD600E"/>
    <w:rsid w:val="00FD601E"/>
    <w:rsid w:val="00FD6134"/>
    <w:rsid w:val="00FD6138"/>
    <w:rsid w:val="00FD62DA"/>
    <w:rsid w:val="00FD67B5"/>
    <w:rsid w:val="00FD685E"/>
    <w:rsid w:val="00FD6C2B"/>
    <w:rsid w:val="00FD6D65"/>
    <w:rsid w:val="00FD6EDF"/>
    <w:rsid w:val="00FD70BE"/>
    <w:rsid w:val="00FD711D"/>
    <w:rsid w:val="00FD7215"/>
    <w:rsid w:val="00FD76BE"/>
    <w:rsid w:val="00FD7703"/>
    <w:rsid w:val="00FD789B"/>
    <w:rsid w:val="00FD7A29"/>
    <w:rsid w:val="00FD7A4F"/>
    <w:rsid w:val="00FD7DC2"/>
    <w:rsid w:val="00FD7DFE"/>
    <w:rsid w:val="00FD7F6B"/>
    <w:rsid w:val="00FE00AE"/>
    <w:rsid w:val="00FE0396"/>
    <w:rsid w:val="00FE0398"/>
    <w:rsid w:val="00FE03C2"/>
    <w:rsid w:val="00FE04FB"/>
    <w:rsid w:val="00FE07A6"/>
    <w:rsid w:val="00FE07D0"/>
    <w:rsid w:val="00FE0808"/>
    <w:rsid w:val="00FE0A57"/>
    <w:rsid w:val="00FE0A96"/>
    <w:rsid w:val="00FE0D45"/>
    <w:rsid w:val="00FE0E0D"/>
    <w:rsid w:val="00FE12C0"/>
    <w:rsid w:val="00FE14E6"/>
    <w:rsid w:val="00FE1644"/>
    <w:rsid w:val="00FE17AF"/>
    <w:rsid w:val="00FE1823"/>
    <w:rsid w:val="00FE1A86"/>
    <w:rsid w:val="00FE1B62"/>
    <w:rsid w:val="00FE1B63"/>
    <w:rsid w:val="00FE23EA"/>
    <w:rsid w:val="00FE296E"/>
    <w:rsid w:val="00FE2E6C"/>
    <w:rsid w:val="00FE3045"/>
    <w:rsid w:val="00FE30FD"/>
    <w:rsid w:val="00FE31A6"/>
    <w:rsid w:val="00FE3261"/>
    <w:rsid w:val="00FE3317"/>
    <w:rsid w:val="00FE375F"/>
    <w:rsid w:val="00FE3853"/>
    <w:rsid w:val="00FE3CD1"/>
    <w:rsid w:val="00FE3D29"/>
    <w:rsid w:val="00FE3F37"/>
    <w:rsid w:val="00FE44C4"/>
    <w:rsid w:val="00FE4535"/>
    <w:rsid w:val="00FE487A"/>
    <w:rsid w:val="00FE4962"/>
    <w:rsid w:val="00FE4B50"/>
    <w:rsid w:val="00FE4BE9"/>
    <w:rsid w:val="00FE4D89"/>
    <w:rsid w:val="00FE50E7"/>
    <w:rsid w:val="00FE51B7"/>
    <w:rsid w:val="00FE59DC"/>
    <w:rsid w:val="00FE5A33"/>
    <w:rsid w:val="00FE5ED0"/>
    <w:rsid w:val="00FE62CE"/>
    <w:rsid w:val="00FE6448"/>
    <w:rsid w:val="00FE652C"/>
    <w:rsid w:val="00FE6894"/>
    <w:rsid w:val="00FE69BE"/>
    <w:rsid w:val="00FE6A66"/>
    <w:rsid w:val="00FE6B8C"/>
    <w:rsid w:val="00FE6CC5"/>
    <w:rsid w:val="00FE6E20"/>
    <w:rsid w:val="00FE6EDD"/>
    <w:rsid w:val="00FE7022"/>
    <w:rsid w:val="00FE703F"/>
    <w:rsid w:val="00FE706E"/>
    <w:rsid w:val="00FE725B"/>
    <w:rsid w:val="00FE75E1"/>
    <w:rsid w:val="00FE7819"/>
    <w:rsid w:val="00FE78C0"/>
    <w:rsid w:val="00FE7935"/>
    <w:rsid w:val="00FE7C9C"/>
    <w:rsid w:val="00FF04FD"/>
    <w:rsid w:val="00FF0569"/>
    <w:rsid w:val="00FF05E7"/>
    <w:rsid w:val="00FF0643"/>
    <w:rsid w:val="00FF06D4"/>
    <w:rsid w:val="00FF07E1"/>
    <w:rsid w:val="00FF09CB"/>
    <w:rsid w:val="00FF0A99"/>
    <w:rsid w:val="00FF0F9A"/>
    <w:rsid w:val="00FF1143"/>
    <w:rsid w:val="00FF19D1"/>
    <w:rsid w:val="00FF1F8D"/>
    <w:rsid w:val="00FF206E"/>
    <w:rsid w:val="00FF2595"/>
    <w:rsid w:val="00FF27E3"/>
    <w:rsid w:val="00FF2F0B"/>
    <w:rsid w:val="00FF3058"/>
    <w:rsid w:val="00FF31A6"/>
    <w:rsid w:val="00FF34A9"/>
    <w:rsid w:val="00FF354C"/>
    <w:rsid w:val="00FF374B"/>
    <w:rsid w:val="00FF3979"/>
    <w:rsid w:val="00FF3C69"/>
    <w:rsid w:val="00FF3F6C"/>
    <w:rsid w:val="00FF4044"/>
    <w:rsid w:val="00FF4061"/>
    <w:rsid w:val="00FF42A1"/>
    <w:rsid w:val="00FF4394"/>
    <w:rsid w:val="00FF4606"/>
    <w:rsid w:val="00FF467C"/>
    <w:rsid w:val="00FF46EF"/>
    <w:rsid w:val="00FF4858"/>
    <w:rsid w:val="00FF49A6"/>
    <w:rsid w:val="00FF4AD5"/>
    <w:rsid w:val="00FF4CB1"/>
    <w:rsid w:val="00FF4D48"/>
    <w:rsid w:val="00FF4D7C"/>
    <w:rsid w:val="00FF4D93"/>
    <w:rsid w:val="00FF50E4"/>
    <w:rsid w:val="00FF52EF"/>
    <w:rsid w:val="00FF53DF"/>
    <w:rsid w:val="00FF548F"/>
    <w:rsid w:val="00FF5DB1"/>
    <w:rsid w:val="00FF5EAC"/>
    <w:rsid w:val="00FF5F47"/>
    <w:rsid w:val="00FF5FE8"/>
    <w:rsid w:val="00FF62B4"/>
    <w:rsid w:val="00FF63E8"/>
    <w:rsid w:val="00FF6452"/>
    <w:rsid w:val="00FF6580"/>
    <w:rsid w:val="00FF66D6"/>
    <w:rsid w:val="00FF66ED"/>
    <w:rsid w:val="00FF6879"/>
    <w:rsid w:val="00FF6B57"/>
    <w:rsid w:val="00FF6DFC"/>
    <w:rsid w:val="00FF6E0A"/>
    <w:rsid w:val="00FF6FB8"/>
    <w:rsid w:val="00FF6FD9"/>
    <w:rsid w:val="00FF7053"/>
    <w:rsid w:val="00FF7272"/>
    <w:rsid w:val="00FF7416"/>
    <w:rsid w:val="00FF7521"/>
    <w:rsid w:val="00FF764C"/>
    <w:rsid w:val="00FF77B2"/>
    <w:rsid w:val="00FF7AD2"/>
    <w:rsid w:val="00FF7BFC"/>
    <w:rsid w:val="00FF7C9C"/>
    <w:rsid w:val="010B77C2"/>
    <w:rsid w:val="0111EAD6"/>
    <w:rsid w:val="011AA430"/>
    <w:rsid w:val="01366698"/>
    <w:rsid w:val="01449DA5"/>
    <w:rsid w:val="014FB450"/>
    <w:rsid w:val="0173A315"/>
    <w:rsid w:val="019244ED"/>
    <w:rsid w:val="0195F7EA"/>
    <w:rsid w:val="019CEF08"/>
    <w:rsid w:val="019E9310"/>
    <w:rsid w:val="01B20B5B"/>
    <w:rsid w:val="01B359D5"/>
    <w:rsid w:val="01B7518F"/>
    <w:rsid w:val="01BDD50A"/>
    <w:rsid w:val="01C9B835"/>
    <w:rsid w:val="01E46000"/>
    <w:rsid w:val="01EA9B47"/>
    <w:rsid w:val="01ECCCF8"/>
    <w:rsid w:val="01F27947"/>
    <w:rsid w:val="023FAF30"/>
    <w:rsid w:val="02448DAD"/>
    <w:rsid w:val="024773F7"/>
    <w:rsid w:val="024A9113"/>
    <w:rsid w:val="0252CE52"/>
    <w:rsid w:val="026A0E05"/>
    <w:rsid w:val="027D82E2"/>
    <w:rsid w:val="028EDF80"/>
    <w:rsid w:val="02B59FB0"/>
    <w:rsid w:val="02CD2268"/>
    <w:rsid w:val="02E28EC2"/>
    <w:rsid w:val="02F2F9DF"/>
    <w:rsid w:val="02FA94CD"/>
    <w:rsid w:val="02FE5FDD"/>
    <w:rsid w:val="03094352"/>
    <w:rsid w:val="030E93FD"/>
    <w:rsid w:val="0310D9C8"/>
    <w:rsid w:val="032AEE20"/>
    <w:rsid w:val="03568DD4"/>
    <w:rsid w:val="039A3C3D"/>
    <w:rsid w:val="03A08C45"/>
    <w:rsid w:val="03BFBB80"/>
    <w:rsid w:val="03BFC0D7"/>
    <w:rsid w:val="03C1F6B2"/>
    <w:rsid w:val="03C6A3DC"/>
    <w:rsid w:val="03DB397E"/>
    <w:rsid w:val="03EDAA17"/>
    <w:rsid w:val="0409E411"/>
    <w:rsid w:val="04123006"/>
    <w:rsid w:val="0412734D"/>
    <w:rsid w:val="041C4324"/>
    <w:rsid w:val="042E5853"/>
    <w:rsid w:val="0432EADF"/>
    <w:rsid w:val="043F6059"/>
    <w:rsid w:val="0443C006"/>
    <w:rsid w:val="046550C9"/>
    <w:rsid w:val="04777D27"/>
    <w:rsid w:val="04AF29BB"/>
    <w:rsid w:val="04E9862B"/>
    <w:rsid w:val="04F15E23"/>
    <w:rsid w:val="0500C8F5"/>
    <w:rsid w:val="05101A19"/>
    <w:rsid w:val="051478DE"/>
    <w:rsid w:val="054BD35C"/>
    <w:rsid w:val="054E4E7F"/>
    <w:rsid w:val="05728A95"/>
    <w:rsid w:val="059D5297"/>
    <w:rsid w:val="05ABAE1A"/>
    <w:rsid w:val="05AFAD30"/>
    <w:rsid w:val="05BAF853"/>
    <w:rsid w:val="05C3A989"/>
    <w:rsid w:val="05D40D7D"/>
    <w:rsid w:val="05DCA915"/>
    <w:rsid w:val="05F862CF"/>
    <w:rsid w:val="05FAFA0C"/>
    <w:rsid w:val="060E871F"/>
    <w:rsid w:val="061CEFAE"/>
    <w:rsid w:val="061D007B"/>
    <w:rsid w:val="0625C536"/>
    <w:rsid w:val="0626429D"/>
    <w:rsid w:val="06303F23"/>
    <w:rsid w:val="06352BBE"/>
    <w:rsid w:val="06359AED"/>
    <w:rsid w:val="065C2E05"/>
    <w:rsid w:val="0671839D"/>
    <w:rsid w:val="06AC3CEC"/>
    <w:rsid w:val="06BE6286"/>
    <w:rsid w:val="06D67E28"/>
    <w:rsid w:val="06DE055E"/>
    <w:rsid w:val="06DECDBE"/>
    <w:rsid w:val="06E0B351"/>
    <w:rsid w:val="06F68C25"/>
    <w:rsid w:val="06FDB61C"/>
    <w:rsid w:val="06FF9135"/>
    <w:rsid w:val="070A3B9C"/>
    <w:rsid w:val="070DEF96"/>
    <w:rsid w:val="072A9873"/>
    <w:rsid w:val="073172B4"/>
    <w:rsid w:val="0744D21F"/>
    <w:rsid w:val="0769F53C"/>
    <w:rsid w:val="076D1C52"/>
    <w:rsid w:val="0776D963"/>
    <w:rsid w:val="07916D98"/>
    <w:rsid w:val="07990BA7"/>
    <w:rsid w:val="07BD3585"/>
    <w:rsid w:val="07D4ED96"/>
    <w:rsid w:val="07F02002"/>
    <w:rsid w:val="0807DF65"/>
    <w:rsid w:val="083106D6"/>
    <w:rsid w:val="084D962C"/>
    <w:rsid w:val="084EDA6D"/>
    <w:rsid w:val="085ACD57"/>
    <w:rsid w:val="0862DDB4"/>
    <w:rsid w:val="08732B6B"/>
    <w:rsid w:val="088A3D64"/>
    <w:rsid w:val="08990035"/>
    <w:rsid w:val="08AD0AAE"/>
    <w:rsid w:val="08B14E94"/>
    <w:rsid w:val="08BF7CDE"/>
    <w:rsid w:val="08C94801"/>
    <w:rsid w:val="0919409B"/>
    <w:rsid w:val="091AF0D8"/>
    <w:rsid w:val="091EA903"/>
    <w:rsid w:val="095409C5"/>
    <w:rsid w:val="095F5BE2"/>
    <w:rsid w:val="096B447C"/>
    <w:rsid w:val="09713A15"/>
    <w:rsid w:val="0983D17F"/>
    <w:rsid w:val="098DCEBD"/>
    <w:rsid w:val="09907C23"/>
    <w:rsid w:val="09970C69"/>
    <w:rsid w:val="09AF0C7B"/>
    <w:rsid w:val="09C13CCC"/>
    <w:rsid w:val="09CD861A"/>
    <w:rsid w:val="09D6CFE9"/>
    <w:rsid w:val="0A2A243F"/>
    <w:rsid w:val="0A3A6BDB"/>
    <w:rsid w:val="0A44E09B"/>
    <w:rsid w:val="0A5A75EA"/>
    <w:rsid w:val="0A5ECA06"/>
    <w:rsid w:val="0A8F90C6"/>
    <w:rsid w:val="0A9218DC"/>
    <w:rsid w:val="0A9EC7CC"/>
    <w:rsid w:val="0AAAB1B5"/>
    <w:rsid w:val="0AB0A236"/>
    <w:rsid w:val="0ABE9352"/>
    <w:rsid w:val="0ADD349C"/>
    <w:rsid w:val="0ADED0F6"/>
    <w:rsid w:val="0AE78388"/>
    <w:rsid w:val="0AF0A57F"/>
    <w:rsid w:val="0AF4A38F"/>
    <w:rsid w:val="0AF7F982"/>
    <w:rsid w:val="0AF9F1C0"/>
    <w:rsid w:val="0AFCE718"/>
    <w:rsid w:val="0B0114FD"/>
    <w:rsid w:val="0B11DD6E"/>
    <w:rsid w:val="0B23B069"/>
    <w:rsid w:val="0B34242C"/>
    <w:rsid w:val="0B376DB2"/>
    <w:rsid w:val="0B41F337"/>
    <w:rsid w:val="0B61BD84"/>
    <w:rsid w:val="0B6CE34B"/>
    <w:rsid w:val="0B7ACEBB"/>
    <w:rsid w:val="0BE76954"/>
    <w:rsid w:val="0BFA33E5"/>
    <w:rsid w:val="0BFB0B8A"/>
    <w:rsid w:val="0C05BCAD"/>
    <w:rsid w:val="0C0628F2"/>
    <w:rsid w:val="0C0E7B1F"/>
    <w:rsid w:val="0C2E4C25"/>
    <w:rsid w:val="0C516E3D"/>
    <w:rsid w:val="0C63AACC"/>
    <w:rsid w:val="0C82FDB9"/>
    <w:rsid w:val="0CB5CE68"/>
    <w:rsid w:val="0CB8B39C"/>
    <w:rsid w:val="0CBEC48F"/>
    <w:rsid w:val="0CDAEBE1"/>
    <w:rsid w:val="0CE42595"/>
    <w:rsid w:val="0CEC78B4"/>
    <w:rsid w:val="0CFA1DBB"/>
    <w:rsid w:val="0D00C626"/>
    <w:rsid w:val="0D073CCF"/>
    <w:rsid w:val="0D26B696"/>
    <w:rsid w:val="0D33DF0E"/>
    <w:rsid w:val="0D366368"/>
    <w:rsid w:val="0D507AB2"/>
    <w:rsid w:val="0D52849D"/>
    <w:rsid w:val="0D98DF39"/>
    <w:rsid w:val="0DD83807"/>
    <w:rsid w:val="0DFEF8EA"/>
    <w:rsid w:val="0E03F510"/>
    <w:rsid w:val="0E0FB44C"/>
    <w:rsid w:val="0E43EFD9"/>
    <w:rsid w:val="0E4A8193"/>
    <w:rsid w:val="0E583C53"/>
    <w:rsid w:val="0E58EE6E"/>
    <w:rsid w:val="0E6875C8"/>
    <w:rsid w:val="0EA53EC1"/>
    <w:rsid w:val="0EA6682A"/>
    <w:rsid w:val="0EB61EF8"/>
    <w:rsid w:val="0EBEF598"/>
    <w:rsid w:val="0EC45053"/>
    <w:rsid w:val="0EDA9D0A"/>
    <w:rsid w:val="0EE545A1"/>
    <w:rsid w:val="0F3A97EE"/>
    <w:rsid w:val="0F3D323C"/>
    <w:rsid w:val="0F3DEF60"/>
    <w:rsid w:val="0F3F0DD4"/>
    <w:rsid w:val="0F4930D7"/>
    <w:rsid w:val="0F4A339B"/>
    <w:rsid w:val="0F570741"/>
    <w:rsid w:val="0F5B7A05"/>
    <w:rsid w:val="0F65A3E5"/>
    <w:rsid w:val="0F8203A0"/>
    <w:rsid w:val="0F88074D"/>
    <w:rsid w:val="0F999420"/>
    <w:rsid w:val="0F9CD98C"/>
    <w:rsid w:val="0FA82EA1"/>
    <w:rsid w:val="0FB109BB"/>
    <w:rsid w:val="0FBD26D5"/>
    <w:rsid w:val="0FC8D057"/>
    <w:rsid w:val="0FDC4A93"/>
    <w:rsid w:val="0FE10632"/>
    <w:rsid w:val="10350E34"/>
    <w:rsid w:val="103CD331"/>
    <w:rsid w:val="104ACE04"/>
    <w:rsid w:val="10530CDB"/>
    <w:rsid w:val="10B5E1C3"/>
    <w:rsid w:val="10BA5495"/>
    <w:rsid w:val="10BBF45C"/>
    <w:rsid w:val="10BCCFB8"/>
    <w:rsid w:val="10C5694C"/>
    <w:rsid w:val="10C8C4F0"/>
    <w:rsid w:val="10CC7AEB"/>
    <w:rsid w:val="10DAC905"/>
    <w:rsid w:val="10EF8E04"/>
    <w:rsid w:val="1117579C"/>
    <w:rsid w:val="11317C3F"/>
    <w:rsid w:val="1140A0A3"/>
    <w:rsid w:val="116E707B"/>
    <w:rsid w:val="1176B070"/>
    <w:rsid w:val="1180E2AB"/>
    <w:rsid w:val="1181100B"/>
    <w:rsid w:val="11B17398"/>
    <w:rsid w:val="11C5D524"/>
    <w:rsid w:val="11D757FC"/>
    <w:rsid w:val="11E00ED0"/>
    <w:rsid w:val="12089571"/>
    <w:rsid w:val="1208C842"/>
    <w:rsid w:val="12134124"/>
    <w:rsid w:val="121B4B06"/>
    <w:rsid w:val="121F9D57"/>
    <w:rsid w:val="1220C1AF"/>
    <w:rsid w:val="123523B4"/>
    <w:rsid w:val="123B4332"/>
    <w:rsid w:val="12542733"/>
    <w:rsid w:val="1270A45F"/>
    <w:rsid w:val="127A89E2"/>
    <w:rsid w:val="12803A21"/>
    <w:rsid w:val="128E1AF9"/>
    <w:rsid w:val="128EEBE7"/>
    <w:rsid w:val="129919AC"/>
    <w:rsid w:val="12B6D19D"/>
    <w:rsid w:val="12C90C86"/>
    <w:rsid w:val="12DB38E4"/>
    <w:rsid w:val="13078CE0"/>
    <w:rsid w:val="130C1041"/>
    <w:rsid w:val="130E681C"/>
    <w:rsid w:val="131F34E8"/>
    <w:rsid w:val="132BB6BE"/>
    <w:rsid w:val="134ACDBF"/>
    <w:rsid w:val="13615C89"/>
    <w:rsid w:val="1363D0B7"/>
    <w:rsid w:val="137E0145"/>
    <w:rsid w:val="137F2D9D"/>
    <w:rsid w:val="13C1ADA8"/>
    <w:rsid w:val="13C60B2B"/>
    <w:rsid w:val="13C6FB47"/>
    <w:rsid w:val="13E7C56A"/>
    <w:rsid w:val="13E7C8D6"/>
    <w:rsid w:val="13F46773"/>
    <w:rsid w:val="1406BAA3"/>
    <w:rsid w:val="142C280A"/>
    <w:rsid w:val="1447D3D2"/>
    <w:rsid w:val="144A492C"/>
    <w:rsid w:val="145474B8"/>
    <w:rsid w:val="1458F237"/>
    <w:rsid w:val="14663DAD"/>
    <w:rsid w:val="1494627F"/>
    <w:rsid w:val="14A34811"/>
    <w:rsid w:val="14A56E85"/>
    <w:rsid w:val="14B8908F"/>
    <w:rsid w:val="14BBA8B3"/>
    <w:rsid w:val="150F1F5F"/>
    <w:rsid w:val="151D8DB4"/>
    <w:rsid w:val="152BCE0B"/>
    <w:rsid w:val="15319069"/>
    <w:rsid w:val="153A374E"/>
    <w:rsid w:val="153F2F7C"/>
    <w:rsid w:val="15537A2A"/>
    <w:rsid w:val="155814A2"/>
    <w:rsid w:val="1594FBA0"/>
    <w:rsid w:val="159858B0"/>
    <w:rsid w:val="15BB8388"/>
    <w:rsid w:val="15CD4B3F"/>
    <w:rsid w:val="15D1474E"/>
    <w:rsid w:val="15D31987"/>
    <w:rsid w:val="15D4D8DC"/>
    <w:rsid w:val="15EE92E7"/>
    <w:rsid w:val="15FE11FF"/>
    <w:rsid w:val="161F0D9E"/>
    <w:rsid w:val="164BBBA5"/>
    <w:rsid w:val="16713FF8"/>
    <w:rsid w:val="167D2F82"/>
    <w:rsid w:val="167E2A00"/>
    <w:rsid w:val="16A3413B"/>
    <w:rsid w:val="16A6671D"/>
    <w:rsid w:val="16BF7A9B"/>
    <w:rsid w:val="16DB6484"/>
    <w:rsid w:val="16DF6486"/>
    <w:rsid w:val="16EFAEAE"/>
    <w:rsid w:val="16F4881F"/>
    <w:rsid w:val="17029975"/>
    <w:rsid w:val="171B1DC9"/>
    <w:rsid w:val="1729DB95"/>
    <w:rsid w:val="173E5511"/>
    <w:rsid w:val="1750C824"/>
    <w:rsid w:val="176899B1"/>
    <w:rsid w:val="177D60FF"/>
    <w:rsid w:val="178F28B6"/>
    <w:rsid w:val="17A3A9E6"/>
    <w:rsid w:val="17BBF367"/>
    <w:rsid w:val="17BFEC3C"/>
    <w:rsid w:val="17C6D54A"/>
    <w:rsid w:val="17CBD810"/>
    <w:rsid w:val="17CF39AF"/>
    <w:rsid w:val="17F03611"/>
    <w:rsid w:val="17FE6596"/>
    <w:rsid w:val="18007545"/>
    <w:rsid w:val="184198FA"/>
    <w:rsid w:val="18496D1A"/>
    <w:rsid w:val="18592139"/>
    <w:rsid w:val="18651EB2"/>
    <w:rsid w:val="189A359B"/>
    <w:rsid w:val="18AA15A1"/>
    <w:rsid w:val="18D05ADE"/>
    <w:rsid w:val="18D6E052"/>
    <w:rsid w:val="18DAA695"/>
    <w:rsid w:val="18ED2FFD"/>
    <w:rsid w:val="18F88462"/>
    <w:rsid w:val="191807CC"/>
    <w:rsid w:val="19217A41"/>
    <w:rsid w:val="192A3A61"/>
    <w:rsid w:val="192FD169"/>
    <w:rsid w:val="1936C373"/>
    <w:rsid w:val="195D7AAC"/>
    <w:rsid w:val="197D5A29"/>
    <w:rsid w:val="1995CA4B"/>
    <w:rsid w:val="199F35AE"/>
    <w:rsid w:val="19CD76DF"/>
    <w:rsid w:val="1A071CAC"/>
    <w:rsid w:val="1A424402"/>
    <w:rsid w:val="1A46094D"/>
    <w:rsid w:val="1A571546"/>
    <w:rsid w:val="1A6BF318"/>
    <w:rsid w:val="1A89F80D"/>
    <w:rsid w:val="1AB0B736"/>
    <w:rsid w:val="1AB201D1"/>
    <w:rsid w:val="1AC14C0A"/>
    <w:rsid w:val="1ADB54AC"/>
    <w:rsid w:val="1ADE07DC"/>
    <w:rsid w:val="1AE64AC9"/>
    <w:rsid w:val="1AEC01AD"/>
    <w:rsid w:val="1B0A86DF"/>
    <w:rsid w:val="1B109A57"/>
    <w:rsid w:val="1B3F37A0"/>
    <w:rsid w:val="1B5B6CE3"/>
    <w:rsid w:val="1B70B026"/>
    <w:rsid w:val="1B71AE8E"/>
    <w:rsid w:val="1B745AE8"/>
    <w:rsid w:val="1B825BF7"/>
    <w:rsid w:val="1B82D986"/>
    <w:rsid w:val="1B842E8F"/>
    <w:rsid w:val="1B857B71"/>
    <w:rsid w:val="1BDDCB67"/>
    <w:rsid w:val="1BF94595"/>
    <w:rsid w:val="1C1C4CBC"/>
    <w:rsid w:val="1C1E5CCE"/>
    <w:rsid w:val="1C48E597"/>
    <w:rsid w:val="1C57EFCA"/>
    <w:rsid w:val="1CA3D222"/>
    <w:rsid w:val="1CB90B0A"/>
    <w:rsid w:val="1CC82070"/>
    <w:rsid w:val="1CDB894E"/>
    <w:rsid w:val="1CEA713B"/>
    <w:rsid w:val="1CF086BE"/>
    <w:rsid w:val="1CFE234B"/>
    <w:rsid w:val="1D295E4F"/>
    <w:rsid w:val="1D3107F1"/>
    <w:rsid w:val="1D656580"/>
    <w:rsid w:val="1D7DFC7E"/>
    <w:rsid w:val="1D807B38"/>
    <w:rsid w:val="1D85E7EE"/>
    <w:rsid w:val="1D8B46D9"/>
    <w:rsid w:val="1D8F42E8"/>
    <w:rsid w:val="1DA3A4ED"/>
    <w:rsid w:val="1DAA8D6B"/>
    <w:rsid w:val="1DCF9BB8"/>
    <w:rsid w:val="1DD03DC8"/>
    <w:rsid w:val="1DD9C1F6"/>
    <w:rsid w:val="1DF7DEDF"/>
    <w:rsid w:val="1E016543"/>
    <w:rsid w:val="1E02ACB2"/>
    <w:rsid w:val="1E119D4F"/>
    <w:rsid w:val="1E11DAB8"/>
    <w:rsid w:val="1E17AB28"/>
    <w:rsid w:val="1E1BDB4A"/>
    <w:rsid w:val="1E2963EB"/>
    <w:rsid w:val="1E378DBF"/>
    <w:rsid w:val="1E3CDF99"/>
    <w:rsid w:val="1E3E7595"/>
    <w:rsid w:val="1E56943E"/>
    <w:rsid w:val="1E613CD5"/>
    <w:rsid w:val="1E648B41"/>
    <w:rsid w:val="1E681811"/>
    <w:rsid w:val="1E6FBD23"/>
    <w:rsid w:val="1E7CE955"/>
    <w:rsid w:val="1E8C79E3"/>
    <w:rsid w:val="1E8CBA60"/>
    <w:rsid w:val="1E8CEBC6"/>
    <w:rsid w:val="1E927A4A"/>
    <w:rsid w:val="1E9F8368"/>
    <w:rsid w:val="1EA51FA2"/>
    <w:rsid w:val="1EBE2D31"/>
    <w:rsid w:val="1EC96828"/>
    <w:rsid w:val="1ECB4C4F"/>
    <w:rsid w:val="1F08C7EA"/>
    <w:rsid w:val="1F1856EF"/>
    <w:rsid w:val="1F2866ED"/>
    <w:rsid w:val="1F4DFA7D"/>
    <w:rsid w:val="1F5D574B"/>
    <w:rsid w:val="1F651DBD"/>
    <w:rsid w:val="1F750266"/>
    <w:rsid w:val="1F7CA075"/>
    <w:rsid w:val="1F864C4B"/>
    <w:rsid w:val="1F8C9631"/>
    <w:rsid w:val="1F8D068F"/>
    <w:rsid w:val="1FA59100"/>
    <w:rsid w:val="1FA64A73"/>
    <w:rsid w:val="1FB99B53"/>
    <w:rsid w:val="1FC114F2"/>
    <w:rsid w:val="1FD74404"/>
    <w:rsid w:val="200B20DF"/>
    <w:rsid w:val="200B9794"/>
    <w:rsid w:val="20405147"/>
    <w:rsid w:val="204D83ED"/>
    <w:rsid w:val="2072EC01"/>
    <w:rsid w:val="207964F0"/>
    <w:rsid w:val="20800AA8"/>
    <w:rsid w:val="20885D13"/>
    <w:rsid w:val="208E6452"/>
    <w:rsid w:val="20903335"/>
    <w:rsid w:val="209BD6C6"/>
    <w:rsid w:val="20B7E2F0"/>
    <w:rsid w:val="20D8AB61"/>
    <w:rsid w:val="20E0F5AF"/>
    <w:rsid w:val="2107270C"/>
    <w:rsid w:val="2124E4B8"/>
    <w:rsid w:val="213BCC78"/>
    <w:rsid w:val="213E7DEC"/>
    <w:rsid w:val="2142BDDF"/>
    <w:rsid w:val="215B9B68"/>
    <w:rsid w:val="2169A027"/>
    <w:rsid w:val="21802157"/>
    <w:rsid w:val="219409AF"/>
    <w:rsid w:val="219B948B"/>
    <w:rsid w:val="21B03F8C"/>
    <w:rsid w:val="21B474E7"/>
    <w:rsid w:val="21EC04D5"/>
    <w:rsid w:val="21F9CF15"/>
    <w:rsid w:val="21FA3FBC"/>
    <w:rsid w:val="2211C274"/>
    <w:rsid w:val="2255B9AA"/>
    <w:rsid w:val="22573018"/>
    <w:rsid w:val="22674E37"/>
    <w:rsid w:val="226EB2D0"/>
    <w:rsid w:val="22878799"/>
    <w:rsid w:val="2287B96F"/>
    <w:rsid w:val="22A44663"/>
    <w:rsid w:val="22A856D5"/>
    <w:rsid w:val="22AA94BF"/>
    <w:rsid w:val="22C27186"/>
    <w:rsid w:val="22C4055F"/>
    <w:rsid w:val="22DD868E"/>
    <w:rsid w:val="22EB753E"/>
    <w:rsid w:val="22F8B1C1"/>
    <w:rsid w:val="23307480"/>
    <w:rsid w:val="23355683"/>
    <w:rsid w:val="2342EA60"/>
    <w:rsid w:val="23A4215F"/>
    <w:rsid w:val="23ADFEF2"/>
    <w:rsid w:val="23B841B0"/>
    <w:rsid w:val="23C2DBC9"/>
    <w:rsid w:val="23CABDBC"/>
    <w:rsid w:val="23EEE7C4"/>
    <w:rsid w:val="23F4502C"/>
    <w:rsid w:val="2403F1F6"/>
    <w:rsid w:val="241592C1"/>
    <w:rsid w:val="2445A962"/>
    <w:rsid w:val="244927CE"/>
    <w:rsid w:val="24684DDD"/>
    <w:rsid w:val="247233B2"/>
    <w:rsid w:val="24A00E81"/>
    <w:rsid w:val="24DCF23B"/>
    <w:rsid w:val="24EC5622"/>
    <w:rsid w:val="24F7BA5F"/>
    <w:rsid w:val="25084793"/>
    <w:rsid w:val="2514302D"/>
    <w:rsid w:val="25314906"/>
    <w:rsid w:val="2552EEC1"/>
    <w:rsid w:val="2553F185"/>
    <w:rsid w:val="25599F0F"/>
    <w:rsid w:val="255DF4FB"/>
    <w:rsid w:val="25759DE5"/>
    <w:rsid w:val="2591C537"/>
    <w:rsid w:val="259D6D00"/>
    <w:rsid w:val="25A69776"/>
    <w:rsid w:val="25E28DB8"/>
    <w:rsid w:val="2602C91C"/>
    <w:rsid w:val="2607B5B7"/>
    <w:rsid w:val="26179A60"/>
    <w:rsid w:val="261F386F"/>
    <w:rsid w:val="26303C20"/>
    <w:rsid w:val="2646911B"/>
    <w:rsid w:val="265F0381"/>
    <w:rsid w:val="2661BD36"/>
    <w:rsid w:val="266C6D75"/>
    <w:rsid w:val="266EA422"/>
    <w:rsid w:val="268B880A"/>
    <w:rsid w:val="26910185"/>
    <w:rsid w:val="26A5D2C9"/>
    <w:rsid w:val="26C5B246"/>
    <w:rsid w:val="26F749F5"/>
    <w:rsid w:val="26FFCFF7"/>
    <w:rsid w:val="2716D028"/>
    <w:rsid w:val="2718B9E3"/>
    <w:rsid w:val="2725F10E"/>
    <w:rsid w:val="2734DB37"/>
    <w:rsid w:val="273B3A29"/>
    <w:rsid w:val="27616B73"/>
    <w:rsid w:val="276DED01"/>
    <w:rsid w:val="278500E6"/>
    <w:rsid w:val="27B3B552"/>
    <w:rsid w:val="27CC12B8"/>
    <w:rsid w:val="28013FC2"/>
    <w:rsid w:val="2809A427"/>
    <w:rsid w:val="2812535B"/>
    <w:rsid w:val="2812862C"/>
    <w:rsid w:val="282A7F99"/>
    <w:rsid w:val="283B9C32"/>
    <w:rsid w:val="2858F274"/>
    <w:rsid w:val="2867B040"/>
    <w:rsid w:val="2879CB8B"/>
    <w:rsid w:val="287C3BF3"/>
    <w:rsid w:val="287DF243"/>
    <w:rsid w:val="28987B0C"/>
    <w:rsid w:val="28A4758E"/>
    <w:rsid w:val="28CC86AC"/>
    <w:rsid w:val="28E8F2DD"/>
    <w:rsid w:val="28EF689E"/>
    <w:rsid w:val="28FDC421"/>
    <w:rsid w:val="2904974F"/>
    <w:rsid w:val="29114ACA"/>
    <w:rsid w:val="2912CA7D"/>
    <w:rsid w:val="292DB6FB"/>
    <w:rsid w:val="292F5E81"/>
    <w:rsid w:val="2946DE5D"/>
    <w:rsid w:val="2964A4D9"/>
    <w:rsid w:val="296B1A73"/>
    <w:rsid w:val="2988EB87"/>
    <w:rsid w:val="298B7CA4"/>
    <w:rsid w:val="29922F3B"/>
    <w:rsid w:val="29DF7C74"/>
    <w:rsid w:val="29E03257"/>
    <w:rsid w:val="29EC2A3F"/>
    <w:rsid w:val="29F31013"/>
    <w:rsid w:val="2A10788D"/>
    <w:rsid w:val="2A18CD48"/>
    <w:rsid w:val="2A2CAE6A"/>
    <w:rsid w:val="2A500A6E"/>
    <w:rsid w:val="2A7B49C1"/>
    <w:rsid w:val="2A8388BB"/>
    <w:rsid w:val="2A9DF9A6"/>
    <w:rsid w:val="2AA65D90"/>
    <w:rsid w:val="2AA73FDB"/>
    <w:rsid w:val="2AAE4496"/>
    <w:rsid w:val="2AB24595"/>
    <w:rsid w:val="2ABBA589"/>
    <w:rsid w:val="2AC1A9DF"/>
    <w:rsid w:val="2AC93F82"/>
    <w:rsid w:val="2AD79B05"/>
    <w:rsid w:val="2AD99ED6"/>
    <w:rsid w:val="2AE3839F"/>
    <w:rsid w:val="2AF16D85"/>
    <w:rsid w:val="2B106364"/>
    <w:rsid w:val="2B279EC6"/>
    <w:rsid w:val="2B29D3F8"/>
    <w:rsid w:val="2B2DAE8D"/>
    <w:rsid w:val="2B48ED66"/>
    <w:rsid w:val="2B59F56C"/>
    <w:rsid w:val="2B919B85"/>
    <w:rsid w:val="2B9D3388"/>
    <w:rsid w:val="2BE5B83D"/>
    <w:rsid w:val="2BF25224"/>
    <w:rsid w:val="2C3E18AD"/>
    <w:rsid w:val="2C472C9A"/>
    <w:rsid w:val="2C523017"/>
    <w:rsid w:val="2C5D5F9F"/>
    <w:rsid w:val="2C60ADBB"/>
    <w:rsid w:val="2C86D53B"/>
    <w:rsid w:val="2CACFF25"/>
    <w:rsid w:val="2CC3501C"/>
    <w:rsid w:val="2CCA1CA1"/>
    <w:rsid w:val="2CD57F08"/>
    <w:rsid w:val="2CDBB324"/>
    <w:rsid w:val="2CDE3C9A"/>
    <w:rsid w:val="2CE64AC9"/>
    <w:rsid w:val="2CE92270"/>
    <w:rsid w:val="2CF66ADA"/>
    <w:rsid w:val="2CFA8C25"/>
    <w:rsid w:val="2D1BD1D7"/>
    <w:rsid w:val="2D207102"/>
    <w:rsid w:val="2D29CE5C"/>
    <w:rsid w:val="2D60C9D2"/>
    <w:rsid w:val="2D6B7269"/>
    <w:rsid w:val="2D7A44FC"/>
    <w:rsid w:val="2D801A5B"/>
    <w:rsid w:val="2D93C734"/>
    <w:rsid w:val="2DAC8BCE"/>
    <w:rsid w:val="2DB4DF14"/>
    <w:rsid w:val="2DB7D493"/>
    <w:rsid w:val="2DC5B151"/>
    <w:rsid w:val="2DCB6FAB"/>
    <w:rsid w:val="2E1D13DD"/>
    <w:rsid w:val="2E1E493C"/>
    <w:rsid w:val="2E3703B2"/>
    <w:rsid w:val="2E53F853"/>
    <w:rsid w:val="2E82D494"/>
    <w:rsid w:val="2E86D609"/>
    <w:rsid w:val="2E8B15FC"/>
    <w:rsid w:val="2EA5DE04"/>
    <w:rsid w:val="2EB9F3F0"/>
    <w:rsid w:val="2EBA1863"/>
    <w:rsid w:val="2ECCE4C2"/>
    <w:rsid w:val="2F0D7063"/>
    <w:rsid w:val="2F406FC7"/>
    <w:rsid w:val="2F40815D"/>
    <w:rsid w:val="2F609126"/>
    <w:rsid w:val="2F62D165"/>
    <w:rsid w:val="2F6C7762"/>
    <w:rsid w:val="2F7FF93B"/>
    <w:rsid w:val="2F83CC05"/>
    <w:rsid w:val="2F8D075F"/>
    <w:rsid w:val="2F9F8835"/>
    <w:rsid w:val="2FBB7DB1"/>
    <w:rsid w:val="2FD0118C"/>
    <w:rsid w:val="2FD04EF5"/>
    <w:rsid w:val="3025F94C"/>
    <w:rsid w:val="3047F3A5"/>
    <w:rsid w:val="30493619"/>
    <w:rsid w:val="304A9D33"/>
    <w:rsid w:val="30A290B9"/>
    <w:rsid w:val="30A6EE77"/>
    <w:rsid w:val="30A7DC31"/>
    <w:rsid w:val="30BBBFBB"/>
    <w:rsid w:val="30DE9EFE"/>
    <w:rsid w:val="310B2853"/>
    <w:rsid w:val="311A5841"/>
    <w:rsid w:val="311C7AA1"/>
    <w:rsid w:val="312AA421"/>
    <w:rsid w:val="313B95FF"/>
    <w:rsid w:val="3148F58A"/>
    <w:rsid w:val="31510EF1"/>
    <w:rsid w:val="3156F879"/>
    <w:rsid w:val="316EFFA5"/>
    <w:rsid w:val="31714A55"/>
    <w:rsid w:val="3178E864"/>
    <w:rsid w:val="317A32FF"/>
    <w:rsid w:val="317E7297"/>
    <w:rsid w:val="318F395B"/>
    <w:rsid w:val="31B10BAD"/>
    <w:rsid w:val="31CE841C"/>
    <w:rsid w:val="31DF2EA7"/>
    <w:rsid w:val="31E54189"/>
    <w:rsid w:val="31EB8560"/>
    <w:rsid w:val="31FB745B"/>
    <w:rsid w:val="321924EF"/>
    <w:rsid w:val="32232055"/>
    <w:rsid w:val="322B5150"/>
    <w:rsid w:val="3236EBD1"/>
    <w:rsid w:val="32375BA8"/>
    <w:rsid w:val="326E0079"/>
    <w:rsid w:val="327C5297"/>
    <w:rsid w:val="328CADF5"/>
    <w:rsid w:val="3291E1F4"/>
    <w:rsid w:val="32A4E0D8"/>
    <w:rsid w:val="32B6E874"/>
    <w:rsid w:val="32C7B38D"/>
    <w:rsid w:val="32EEEF93"/>
    <w:rsid w:val="32FDD8D4"/>
    <w:rsid w:val="330D3AB7"/>
    <w:rsid w:val="332DC20E"/>
    <w:rsid w:val="333AC5DB"/>
    <w:rsid w:val="334D6C96"/>
    <w:rsid w:val="335D0296"/>
    <w:rsid w:val="3369103F"/>
    <w:rsid w:val="338EE938"/>
    <w:rsid w:val="339504C3"/>
    <w:rsid w:val="339B358C"/>
    <w:rsid w:val="33C2AF03"/>
    <w:rsid w:val="33C55090"/>
    <w:rsid w:val="33C6DBE0"/>
    <w:rsid w:val="33CB355D"/>
    <w:rsid w:val="33CFA547"/>
    <w:rsid w:val="33D959A2"/>
    <w:rsid w:val="342CDF0C"/>
    <w:rsid w:val="3435D5A1"/>
    <w:rsid w:val="343F0B6A"/>
    <w:rsid w:val="3441DF6D"/>
    <w:rsid w:val="344BA5A5"/>
    <w:rsid w:val="3450E9E3"/>
    <w:rsid w:val="34593C80"/>
    <w:rsid w:val="34611200"/>
    <w:rsid w:val="346AFABF"/>
    <w:rsid w:val="349C5816"/>
    <w:rsid w:val="349F4AC8"/>
    <w:rsid w:val="34D32612"/>
    <w:rsid w:val="34EBAD71"/>
    <w:rsid w:val="34F19519"/>
    <w:rsid w:val="34FA5A91"/>
    <w:rsid w:val="350CF31D"/>
    <w:rsid w:val="350DBD66"/>
    <w:rsid w:val="35124FF2"/>
    <w:rsid w:val="352BB990"/>
    <w:rsid w:val="353CEA31"/>
    <w:rsid w:val="353E7218"/>
    <w:rsid w:val="354997DF"/>
    <w:rsid w:val="35599926"/>
    <w:rsid w:val="355ADE49"/>
    <w:rsid w:val="355E096A"/>
    <w:rsid w:val="35605126"/>
    <w:rsid w:val="35663030"/>
    <w:rsid w:val="3567E142"/>
    <w:rsid w:val="3572A22B"/>
    <w:rsid w:val="3586D4FB"/>
    <w:rsid w:val="35900A35"/>
    <w:rsid w:val="359F64FE"/>
    <w:rsid w:val="35A6773F"/>
    <w:rsid w:val="35B3E729"/>
    <w:rsid w:val="35C340C2"/>
    <w:rsid w:val="35CAD2DC"/>
    <w:rsid w:val="35D0C336"/>
    <w:rsid w:val="36387039"/>
    <w:rsid w:val="3643BD6A"/>
    <w:rsid w:val="3673DC2F"/>
    <w:rsid w:val="36760F18"/>
    <w:rsid w:val="36A71235"/>
    <w:rsid w:val="36ACD657"/>
    <w:rsid w:val="36AD619D"/>
    <w:rsid w:val="36B37290"/>
    <w:rsid w:val="36F89C50"/>
    <w:rsid w:val="37153560"/>
    <w:rsid w:val="3734825C"/>
    <w:rsid w:val="37551CF5"/>
    <w:rsid w:val="37668FD0"/>
    <w:rsid w:val="376909C4"/>
    <w:rsid w:val="3770F74A"/>
    <w:rsid w:val="3789DF41"/>
    <w:rsid w:val="3795650C"/>
    <w:rsid w:val="37A065B1"/>
    <w:rsid w:val="37C01864"/>
    <w:rsid w:val="37F55E18"/>
    <w:rsid w:val="37F5F372"/>
    <w:rsid w:val="3803FDA6"/>
    <w:rsid w:val="3804D3D3"/>
    <w:rsid w:val="381B805E"/>
    <w:rsid w:val="3848A481"/>
    <w:rsid w:val="3853A3A7"/>
    <w:rsid w:val="38690D5E"/>
    <w:rsid w:val="388C4D55"/>
    <w:rsid w:val="38914583"/>
    <w:rsid w:val="38935CEC"/>
    <w:rsid w:val="38B452A9"/>
    <w:rsid w:val="38CC2F70"/>
    <w:rsid w:val="38D24063"/>
    <w:rsid w:val="38D9F3A2"/>
    <w:rsid w:val="390D998F"/>
    <w:rsid w:val="391F6146"/>
    <w:rsid w:val="39235D55"/>
    <w:rsid w:val="39645835"/>
    <w:rsid w:val="3972C5ED"/>
    <w:rsid w:val="397745E2"/>
    <w:rsid w:val="398E190A"/>
    <w:rsid w:val="3994E18C"/>
    <w:rsid w:val="39B7FDC8"/>
    <w:rsid w:val="39CC99B3"/>
    <w:rsid w:val="39DBBE0E"/>
    <w:rsid w:val="39DDD48A"/>
    <w:rsid w:val="39EAAEAB"/>
    <w:rsid w:val="39F076F2"/>
    <w:rsid w:val="39F55742"/>
    <w:rsid w:val="3A0BA839"/>
    <w:rsid w:val="3A109F1B"/>
    <w:rsid w:val="3A2B70F7"/>
    <w:rsid w:val="3A2D7A8B"/>
    <w:rsid w:val="3A2ED7A8"/>
    <w:rsid w:val="3A3B9751"/>
    <w:rsid w:val="3A52479E"/>
    <w:rsid w:val="3A6718E2"/>
    <w:rsid w:val="3A6B8BA6"/>
    <w:rsid w:val="3A705BA4"/>
    <w:rsid w:val="3A7D0EDA"/>
    <w:rsid w:val="3A92EC22"/>
    <w:rsid w:val="3A9D2E76"/>
    <w:rsid w:val="3AA2DE2B"/>
    <w:rsid w:val="3ADB6C5C"/>
    <w:rsid w:val="3ADE8067"/>
    <w:rsid w:val="3AE0D5EA"/>
    <w:rsid w:val="3AFA6701"/>
    <w:rsid w:val="3B0D9273"/>
    <w:rsid w:val="3B12057D"/>
    <w:rsid w:val="3B1DEE17"/>
    <w:rsid w:val="3B214FB6"/>
    <w:rsid w:val="3B41F857"/>
    <w:rsid w:val="3B5B1FB9"/>
    <w:rsid w:val="3B9B8321"/>
    <w:rsid w:val="3BAB3740"/>
    <w:rsid w:val="3BAC8C22"/>
    <w:rsid w:val="3BB7AB6E"/>
    <w:rsid w:val="3BBC8B2E"/>
    <w:rsid w:val="3BD4BCD1"/>
    <w:rsid w:val="3BEA75FF"/>
    <w:rsid w:val="3BFF4743"/>
    <w:rsid w:val="3C156FB0"/>
    <w:rsid w:val="3C504F05"/>
    <w:rsid w:val="3C696872"/>
    <w:rsid w:val="3C86C211"/>
    <w:rsid w:val="3C8F7621"/>
    <w:rsid w:val="3C8FE79E"/>
    <w:rsid w:val="3CA94DEA"/>
    <w:rsid w:val="3CB25994"/>
    <w:rsid w:val="3CCDD069"/>
    <w:rsid w:val="3CD04B8C"/>
    <w:rsid w:val="3CE7699D"/>
    <w:rsid w:val="3CFAF168"/>
    <w:rsid w:val="3D07BC44"/>
    <w:rsid w:val="3D25B6E6"/>
    <w:rsid w:val="3D2D3BE8"/>
    <w:rsid w:val="3D57C39B"/>
    <w:rsid w:val="3D877A18"/>
    <w:rsid w:val="3D918E36"/>
    <w:rsid w:val="3D945A09"/>
    <w:rsid w:val="3DBF8103"/>
    <w:rsid w:val="3DCAF19B"/>
    <w:rsid w:val="3DD35118"/>
    <w:rsid w:val="3DD36BE6"/>
    <w:rsid w:val="3DD91E27"/>
    <w:rsid w:val="3DE5DADE"/>
    <w:rsid w:val="3E1C1145"/>
    <w:rsid w:val="3E340AB2"/>
    <w:rsid w:val="3E585900"/>
    <w:rsid w:val="3E5A8FDF"/>
    <w:rsid w:val="3E6516D4"/>
    <w:rsid w:val="3E6EBE52"/>
    <w:rsid w:val="3E97916B"/>
    <w:rsid w:val="3EB49FAC"/>
    <w:rsid w:val="3ED64496"/>
    <w:rsid w:val="3EE3C1DC"/>
    <w:rsid w:val="3EF60A51"/>
    <w:rsid w:val="3EFF03F0"/>
    <w:rsid w:val="3F059A03"/>
    <w:rsid w:val="3F061391"/>
    <w:rsid w:val="3F0FCBF7"/>
    <w:rsid w:val="3F115D37"/>
    <w:rsid w:val="3F2F7A41"/>
    <w:rsid w:val="3F3E02AA"/>
    <w:rsid w:val="3F3F3292"/>
    <w:rsid w:val="3F78D46C"/>
    <w:rsid w:val="3F9B6045"/>
    <w:rsid w:val="3FADFE29"/>
    <w:rsid w:val="3FBD696A"/>
    <w:rsid w:val="3FCAA5F4"/>
    <w:rsid w:val="3FD7BB55"/>
    <w:rsid w:val="3FE4A1BF"/>
    <w:rsid w:val="3FE4D490"/>
    <w:rsid w:val="3FF17565"/>
    <w:rsid w:val="3FFCA975"/>
    <w:rsid w:val="3FFCCDFD"/>
    <w:rsid w:val="401A3677"/>
    <w:rsid w:val="402B46E6"/>
    <w:rsid w:val="402DAE4B"/>
    <w:rsid w:val="403B97AE"/>
    <w:rsid w:val="40429CC5"/>
    <w:rsid w:val="404B450E"/>
    <w:rsid w:val="405AE028"/>
    <w:rsid w:val="4064025A"/>
    <w:rsid w:val="4070B1E3"/>
    <w:rsid w:val="40775406"/>
    <w:rsid w:val="40848D64"/>
    <w:rsid w:val="40892D29"/>
    <w:rsid w:val="40B754BD"/>
    <w:rsid w:val="40D7DF57"/>
    <w:rsid w:val="40DD5CE0"/>
    <w:rsid w:val="40F27588"/>
    <w:rsid w:val="40FBDA72"/>
    <w:rsid w:val="411EE66B"/>
    <w:rsid w:val="4121B1BF"/>
    <w:rsid w:val="412A732B"/>
    <w:rsid w:val="412F7A45"/>
    <w:rsid w:val="413271EE"/>
    <w:rsid w:val="4152AB50"/>
    <w:rsid w:val="4163B356"/>
    <w:rsid w:val="41876387"/>
    <w:rsid w:val="419B596F"/>
    <w:rsid w:val="41A96A1D"/>
    <w:rsid w:val="41C2F35E"/>
    <w:rsid w:val="41C56C2D"/>
    <w:rsid w:val="41CDE88A"/>
    <w:rsid w:val="41CEFF5C"/>
    <w:rsid w:val="41E9D9AB"/>
    <w:rsid w:val="420E3A66"/>
    <w:rsid w:val="421B7E2F"/>
    <w:rsid w:val="42251BF2"/>
    <w:rsid w:val="4229EEE4"/>
    <w:rsid w:val="4239ED36"/>
    <w:rsid w:val="423F577B"/>
    <w:rsid w:val="426D4B22"/>
    <w:rsid w:val="42857ABF"/>
    <w:rsid w:val="428E4CF2"/>
    <w:rsid w:val="42C0A42D"/>
    <w:rsid w:val="42C7186D"/>
    <w:rsid w:val="42E25D9F"/>
    <w:rsid w:val="42F8607A"/>
    <w:rsid w:val="432E999D"/>
    <w:rsid w:val="433D8A3A"/>
    <w:rsid w:val="43533B59"/>
    <w:rsid w:val="435532E5"/>
    <w:rsid w:val="439ACBE6"/>
    <w:rsid w:val="43B725BA"/>
    <w:rsid w:val="43BB029E"/>
    <w:rsid w:val="43EDECCD"/>
    <w:rsid w:val="440B3507"/>
    <w:rsid w:val="441B8161"/>
    <w:rsid w:val="44301E3D"/>
    <w:rsid w:val="443A86AA"/>
    <w:rsid w:val="4440C19C"/>
    <w:rsid w:val="4468BA80"/>
    <w:rsid w:val="447975E2"/>
    <w:rsid w:val="4494ABAD"/>
    <w:rsid w:val="449B7C78"/>
    <w:rsid w:val="44A6E4EA"/>
    <w:rsid w:val="44A9D7FB"/>
    <w:rsid w:val="44C44FCE"/>
    <w:rsid w:val="44E61FB6"/>
    <w:rsid w:val="44F820C1"/>
    <w:rsid w:val="453502DF"/>
    <w:rsid w:val="4545CC75"/>
    <w:rsid w:val="4558E3D3"/>
    <w:rsid w:val="456A4F10"/>
    <w:rsid w:val="457BD0C9"/>
    <w:rsid w:val="457F2054"/>
    <w:rsid w:val="45D472A1"/>
    <w:rsid w:val="45D99DA0"/>
    <w:rsid w:val="45EF5481"/>
    <w:rsid w:val="460126BD"/>
    <w:rsid w:val="4614878D"/>
    <w:rsid w:val="461A9880"/>
    <w:rsid w:val="4667B963"/>
    <w:rsid w:val="467077E9"/>
    <w:rsid w:val="46864D92"/>
    <w:rsid w:val="46876C8A"/>
    <w:rsid w:val="469399B1"/>
    <w:rsid w:val="46AF0E6A"/>
    <w:rsid w:val="46B0AC61"/>
    <w:rsid w:val="46BB660B"/>
    <w:rsid w:val="46BCCE71"/>
    <w:rsid w:val="46CBE792"/>
    <w:rsid w:val="46DBCA73"/>
    <w:rsid w:val="46FF9449"/>
    <w:rsid w:val="4701B07E"/>
    <w:rsid w:val="4705D675"/>
    <w:rsid w:val="471C74B5"/>
    <w:rsid w:val="471E36FD"/>
    <w:rsid w:val="47223098"/>
    <w:rsid w:val="4722D43A"/>
    <w:rsid w:val="47366AE0"/>
    <w:rsid w:val="47427D37"/>
    <w:rsid w:val="474C8455"/>
    <w:rsid w:val="475C3A45"/>
    <w:rsid w:val="476B883D"/>
    <w:rsid w:val="478DCC15"/>
    <w:rsid w:val="478E686C"/>
    <w:rsid w:val="4790C6D9"/>
    <w:rsid w:val="479FC3CA"/>
    <w:rsid w:val="47BED03E"/>
    <w:rsid w:val="47C449B9"/>
    <w:rsid w:val="47DD2C9A"/>
    <w:rsid w:val="47DF6553"/>
    <w:rsid w:val="47F6CB00"/>
    <w:rsid w:val="47F8C32C"/>
    <w:rsid w:val="4817CF23"/>
    <w:rsid w:val="482E02E6"/>
    <w:rsid w:val="4849D066"/>
    <w:rsid w:val="485A5D9A"/>
    <w:rsid w:val="485C9D3C"/>
    <w:rsid w:val="48631051"/>
    <w:rsid w:val="486576FE"/>
    <w:rsid w:val="486F5687"/>
    <w:rsid w:val="48793CDB"/>
    <w:rsid w:val="4890B98C"/>
    <w:rsid w:val="4890F906"/>
    <w:rsid w:val="48A6078C"/>
    <w:rsid w:val="48C7B3EC"/>
    <w:rsid w:val="48D2FAEF"/>
    <w:rsid w:val="48E096CD"/>
    <w:rsid w:val="48E6958F"/>
    <w:rsid w:val="48EC1C2F"/>
    <w:rsid w:val="48F15D95"/>
    <w:rsid w:val="48FC558B"/>
    <w:rsid w:val="491C115E"/>
    <w:rsid w:val="493B18A9"/>
    <w:rsid w:val="49502D04"/>
    <w:rsid w:val="4954DF23"/>
    <w:rsid w:val="49774805"/>
    <w:rsid w:val="4998A722"/>
    <w:rsid w:val="49A28BEB"/>
    <w:rsid w:val="49CA2BD5"/>
    <w:rsid w:val="49CF4C04"/>
    <w:rsid w:val="49E0E20C"/>
    <w:rsid w:val="49F7E8D0"/>
    <w:rsid w:val="4A033E36"/>
    <w:rsid w:val="4A22B875"/>
    <w:rsid w:val="4A7FDE70"/>
    <w:rsid w:val="4A8AFA65"/>
    <w:rsid w:val="4A9DE341"/>
    <w:rsid w:val="4A9E30D1"/>
    <w:rsid w:val="4A9E3CFB"/>
    <w:rsid w:val="4AD1B373"/>
    <w:rsid w:val="4B00535F"/>
    <w:rsid w:val="4B06613C"/>
    <w:rsid w:val="4B09E17E"/>
    <w:rsid w:val="4B1484D1"/>
    <w:rsid w:val="4B1A5F31"/>
    <w:rsid w:val="4B1BA935"/>
    <w:rsid w:val="4B3B7895"/>
    <w:rsid w:val="4B3BE2C1"/>
    <w:rsid w:val="4B4B255A"/>
    <w:rsid w:val="4B5586BC"/>
    <w:rsid w:val="4B649C33"/>
    <w:rsid w:val="4B66118C"/>
    <w:rsid w:val="4B88B7B0"/>
    <w:rsid w:val="4B8E25F4"/>
    <w:rsid w:val="4BA3C613"/>
    <w:rsid w:val="4BC5AFDC"/>
    <w:rsid w:val="4BCBE192"/>
    <w:rsid w:val="4BD3FF9E"/>
    <w:rsid w:val="4BE9EDA2"/>
    <w:rsid w:val="4C3B08E4"/>
    <w:rsid w:val="4C417EA5"/>
    <w:rsid w:val="4C7311E4"/>
    <w:rsid w:val="4C7CD7AA"/>
    <w:rsid w:val="4C980CD8"/>
    <w:rsid w:val="4CFB4588"/>
    <w:rsid w:val="4D01ED54"/>
    <w:rsid w:val="4D17EB56"/>
    <w:rsid w:val="4D3CB8CF"/>
    <w:rsid w:val="4D4AA4B9"/>
    <w:rsid w:val="4D5639B3"/>
    <w:rsid w:val="4D7EC471"/>
    <w:rsid w:val="4DAADDF9"/>
    <w:rsid w:val="4DBA89BA"/>
    <w:rsid w:val="4DCD7920"/>
    <w:rsid w:val="4DDEFAA3"/>
    <w:rsid w:val="4DF3F21E"/>
    <w:rsid w:val="4E0DBB90"/>
    <w:rsid w:val="4E0E91BD"/>
    <w:rsid w:val="4E24D38B"/>
    <w:rsid w:val="4E31D5A9"/>
    <w:rsid w:val="4E41AA79"/>
    <w:rsid w:val="4E616193"/>
    <w:rsid w:val="4E7B8087"/>
    <w:rsid w:val="4E819B9B"/>
    <w:rsid w:val="4E9B036D"/>
    <w:rsid w:val="4E9D1AD6"/>
    <w:rsid w:val="4EAC0B73"/>
    <w:rsid w:val="4EAF00CB"/>
    <w:rsid w:val="4EB32EB0"/>
    <w:rsid w:val="4EC800EF"/>
    <w:rsid w:val="4ECC3B62"/>
    <w:rsid w:val="4ECD2476"/>
    <w:rsid w:val="4EDE8558"/>
    <w:rsid w:val="4F03F731"/>
    <w:rsid w:val="4F16F2D2"/>
    <w:rsid w:val="4F3CE6CB"/>
    <w:rsid w:val="4F4DBFED"/>
    <w:rsid w:val="4F824553"/>
    <w:rsid w:val="4F9FC71F"/>
    <w:rsid w:val="4FAF930A"/>
    <w:rsid w:val="4FB49E4D"/>
    <w:rsid w:val="4FC0F979"/>
    <w:rsid w:val="4FCBEE57"/>
    <w:rsid w:val="5023479D"/>
    <w:rsid w:val="5035401E"/>
    <w:rsid w:val="50373875"/>
    <w:rsid w:val="503B3877"/>
    <w:rsid w:val="50438B62"/>
    <w:rsid w:val="504704B4"/>
    <w:rsid w:val="50597889"/>
    <w:rsid w:val="505DA329"/>
    <w:rsid w:val="507AD8BC"/>
    <w:rsid w:val="507BE463"/>
    <w:rsid w:val="50949A62"/>
    <w:rsid w:val="509B7F3C"/>
    <w:rsid w:val="509E0272"/>
    <w:rsid w:val="50AB1A98"/>
    <w:rsid w:val="50D1C74B"/>
    <w:rsid w:val="50E5DD3B"/>
    <w:rsid w:val="50E7D77B"/>
    <w:rsid w:val="50EAECC7"/>
    <w:rsid w:val="50FD1BBB"/>
    <w:rsid w:val="5100E7AA"/>
    <w:rsid w:val="5102F614"/>
    <w:rsid w:val="510424EB"/>
    <w:rsid w:val="511D1309"/>
    <w:rsid w:val="5127AC01"/>
    <w:rsid w:val="5135C0A5"/>
    <w:rsid w:val="514BB641"/>
    <w:rsid w:val="515D05AB"/>
    <w:rsid w:val="516B0F59"/>
    <w:rsid w:val="517F4EF2"/>
    <w:rsid w:val="51845279"/>
    <w:rsid w:val="518919B9"/>
    <w:rsid w:val="519B0AD2"/>
    <w:rsid w:val="519E1DCE"/>
    <w:rsid w:val="51AB49EE"/>
    <w:rsid w:val="51B172C6"/>
    <w:rsid w:val="51B5DB53"/>
    <w:rsid w:val="51D63A9C"/>
    <w:rsid w:val="51DA31B7"/>
    <w:rsid w:val="51DD2C03"/>
    <w:rsid w:val="51DDC5F4"/>
    <w:rsid w:val="51F49890"/>
    <w:rsid w:val="5206480D"/>
    <w:rsid w:val="520B9959"/>
    <w:rsid w:val="5226C23B"/>
    <w:rsid w:val="52421C77"/>
    <w:rsid w:val="52478CFD"/>
    <w:rsid w:val="5258000E"/>
    <w:rsid w:val="525A0CEF"/>
    <w:rsid w:val="527F55DD"/>
    <w:rsid w:val="527FF76A"/>
    <w:rsid w:val="528672F9"/>
    <w:rsid w:val="528B54FC"/>
    <w:rsid w:val="52B2A72D"/>
    <w:rsid w:val="52B30BD4"/>
    <w:rsid w:val="52CC0C24"/>
    <w:rsid w:val="52F19E3C"/>
    <w:rsid w:val="52F254D8"/>
    <w:rsid w:val="52F5677A"/>
    <w:rsid w:val="530920F4"/>
    <w:rsid w:val="53222793"/>
    <w:rsid w:val="5329415C"/>
    <w:rsid w:val="532D0976"/>
    <w:rsid w:val="533D686B"/>
    <w:rsid w:val="5346B34A"/>
    <w:rsid w:val="538CAAA4"/>
    <w:rsid w:val="539BEE90"/>
    <w:rsid w:val="53A66009"/>
    <w:rsid w:val="53A7EA84"/>
    <w:rsid w:val="53AA3CF9"/>
    <w:rsid w:val="53B8519F"/>
    <w:rsid w:val="53BCEBA1"/>
    <w:rsid w:val="53CAE2A4"/>
    <w:rsid w:val="53CFC4A7"/>
    <w:rsid w:val="53DD0F02"/>
    <w:rsid w:val="5414BB96"/>
    <w:rsid w:val="546872DA"/>
    <w:rsid w:val="54842BE4"/>
    <w:rsid w:val="5485CB3F"/>
    <w:rsid w:val="548CA652"/>
    <w:rsid w:val="54C3605C"/>
    <w:rsid w:val="54CAFE6B"/>
    <w:rsid w:val="54E395F2"/>
    <w:rsid w:val="550111F9"/>
    <w:rsid w:val="550321B4"/>
    <w:rsid w:val="55750E71"/>
    <w:rsid w:val="55758564"/>
    <w:rsid w:val="557EC918"/>
    <w:rsid w:val="558971AF"/>
    <w:rsid w:val="55B6E5E6"/>
    <w:rsid w:val="55FB334F"/>
    <w:rsid w:val="560344DE"/>
    <w:rsid w:val="562DDC0C"/>
    <w:rsid w:val="56625555"/>
    <w:rsid w:val="5664B269"/>
    <w:rsid w:val="567701A3"/>
    <w:rsid w:val="568DB73E"/>
    <w:rsid w:val="56962E90"/>
    <w:rsid w:val="56AA63FA"/>
    <w:rsid w:val="56BB2646"/>
    <w:rsid w:val="56D9D06F"/>
    <w:rsid w:val="56DF8D86"/>
    <w:rsid w:val="570F3256"/>
    <w:rsid w:val="573A62CB"/>
    <w:rsid w:val="573C9E66"/>
    <w:rsid w:val="575C9B10"/>
    <w:rsid w:val="57856CA8"/>
    <w:rsid w:val="57904615"/>
    <w:rsid w:val="57912171"/>
    <w:rsid w:val="57A96F5A"/>
    <w:rsid w:val="57A98A1D"/>
    <w:rsid w:val="57B572B7"/>
    <w:rsid w:val="57BD10C6"/>
    <w:rsid w:val="57F46405"/>
    <w:rsid w:val="58064F84"/>
    <w:rsid w:val="581858AC"/>
    <w:rsid w:val="581ADC7E"/>
    <w:rsid w:val="582392FF"/>
    <w:rsid w:val="58253C19"/>
    <w:rsid w:val="584BF392"/>
    <w:rsid w:val="584EB959"/>
    <w:rsid w:val="5870BC93"/>
    <w:rsid w:val="587B840A"/>
    <w:rsid w:val="5882B9DD"/>
    <w:rsid w:val="58843ADE"/>
    <w:rsid w:val="589BADE6"/>
    <w:rsid w:val="58B3A753"/>
    <w:rsid w:val="58CFA767"/>
    <w:rsid w:val="58F671A7"/>
    <w:rsid w:val="58F85341"/>
    <w:rsid w:val="58FC9E44"/>
    <w:rsid w:val="59021E64"/>
    <w:rsid w:val="59145655"/>
    <w:rsid w:val="5948BCDD"/>
    <w:rsid w:val="596177B6"/>
    <w:rsid w:val="59627357"/>
    <w:rsid w:val="5962F34F"/>
    <w:rsid w:val="59909C01"/>
    <w:rsid w:val="599A3616"/>
    <w:rsid w:val="59AD38A1"/>
    <w:rsid w:val="59BBDC0C"/>
    <w:rsid w:val="5A0984A6"/>
    <w:rsid w:val="5A439DA5"/>
    <w:rsid w:val="5A5E11C2"/>
    <w:rsid w:val="5A77F5C8"/>
    <w:rsid w:val="5A9887DB"/>
    <w:rsid w:val="5AAC0E01"/>
    <w:rsid w:val="5AC5C243"/>
    <w:rsid w:val="5AD706A6"/>
    <w:rsid w:val="5AE06096"/>
    <w:rsid w:val="5AE64C0A"/>
    <w:rsid w:val="5B0CEED9"/>
    <w:rsid w:val="5B337A39"/>
    <w:rsid w:val="5B4729D1"/>
    <w:rsid w:val="5B47741F"/>
    <w:rsid w:val="5B47D8C6"/>
    <w:rsid w:val="5B5613AD"/>
    <w:rsid w:val="5B588BD8"/>
    <w:rsid w:val="5B5E40B7"/>
    <w:rsid w:val="5B740CFA"/>
    <w:rsid w:val="5B91B8C3"/>
    <w:rsid w:val="5B984444"/>
    <w:rsid w:val="5BB6CD47"/>
    <w:rsid w:val="5BD1819B"/>
    <w:rsid w:val="5BD543D5"/>
    <w:rsid w:val="5BDE308B"/>
    <w:rsid w:val="5BE35B8A"/>
    <w:rsid w:val="5C064C0A"/>
    <w:rsid w:val="5C0668B0"/>
    <w:rsid w:val="5C1E4577"/>
    <w:rsid w:val="5C216112"/>
    <w:rsid w:val="5C2F3F43"/>
    <w:rsid w:val="5C2FA78C"/>
    <w:rsid w:val="5C545E74"/>
    <w:rsid w:val="5C5485B2"/>
    <w:rsid w:val="5C597DE0"/>
    <w:rsid w:val="5C5A540D"/>
    <w:rsid w:val="5C5FAF96"/>
    <w:rsid w:val="5C6D218A"/>
    <w:rsid w:val="5C9750DC"/>
    <w:rsid w:val="5CAFCF6E"/>
    <w:rsid w:val="5CE2C9AE"/>
    <w:rsid w:val="5D15AF5F"/>
    <w:rsid w:val="5D1EAFBA"/>
    <w:rsid w:val="5D313DD9"/>
    <w:rsid w:val="5D5DBE40"/>
    <w:rsid w:val="5D8DAED3"/>
    <w:rsid w:val="5DFFC05C"/>
    <w:rsid w:val="5E05E08D"/>
    <w:rsid w:val="5E092EF9"/>
    <w:rsid w:val="5E2364E7"/>
    <w:rsid w:val="5E2E5C96"/>
    <w:rsid w:val="5E402EE5"/>
    <w:rsid w:val="5E538E50"/>
    <w:rsid w:val="5E5B32DA"/>
    <w:rsid w:val="5E6B0158"/>
    <w:rsid w:val="5E70041E"/>
    <w:rsid w:val="5E7E18C2"/>
    <w:rsid w:val="5E8DF1D8"/>
    <w:rsid w:val="5E9EFAD9"/>
    <w:rsid w:val="5EDFA020"/>
    <w:rsid w:val="5EFD4D47"/>
    <w:rsid w:val="5F094AC0"/>
    <w:rsid w:val="5F2B6CDA"/>
    <w:rsid w:val="5F3C8C06"/>
    <w:rsid w:val="5F3D2EAC"/>
    <w:rsid w:val="5F49F20C"/>
    <w:rsid w:val="5F51F4C2"/>
    <w:rsid w:val="5F525969"/>
    <w:rsid w:val="5F581E13"/>
    <w:rsid w:val="5F60FB84"/>
    <w:rsid w:val="5F7B0C60"/>
    <w:rsid w:val="5F7ED2A3"/>
    <w:rsid w:val="5F968FCB"/>
    <w:rsid w:val="5FBD993F"/>
    <w:rsid w:val="5FCE666F"/>
    <w:rsid w:val="5FDAEF81"/>
    <w:rsid w:val="5FF2AD1D"/>
    <w:rsid w:val="6010C215"/>
    <w:rsid w:val="603DBF97"/>
    <w:rsid w:val="6047D413"/>
    <w:rsid w:val="604A1478"/>
    <w:rsid w:val="604C722E"/>
    <w:rsid w:val="6051C0E8"/>
    <w:rsid w:val="60967000"/>
    <w:rsid w:val="60E0D4D7"/>
    <w:rsid w:val="60E67010"/>
    <w:rsid w:val="60E6A1E6"/>
    <w:rsid w:val="61133AC1"/>
    <w:rsid w:val="6125671F"/>
    <w:rsid w:val="61547A8D"/>
    <w:rsid w:val="6154E344"/>
    <w:rsid w:val="617C05AB"/>
    <w:rsid w:val="6192759A"/>
    <w:rsid w:val="619F3AFB"/>
    <w:rsid w:val="61A0D50D"/>
    <w:rsid w:val="61B4C665"/>
    <w:rsid w:val="61CC8401"/>
    <w:rsid w:val="61F64AB6"/>
    <w:rsid w:val="61F9723D"/>
    <w:rsid w:val="61FB5D1B"/>
    <w:rsid w:val="61FC3877"/>
    <w:rsid w:val="62091A3B"/>
    <w:rsid w:val="622BEDF9"/>
    <w:rsid w:val="622F0308"/>
    <w:rsid w:val="62307404"/>
    <w:rsid w:val="62599812"/>
    <w:rsid w:val="6270E4FE"/>
    <w:rsid w:val="6297C613"/>
    <w:rsid w:val="62A2B24E"/>
    <w:rsid w:val="62A763A7"/>
    <w:rsid w:val="62B7763C"/>
    <w:rsid w:val="62C20F96"/>
    <w:rsid w:val="62CAEA73"/>
    <w:rsid w:val="62D4E590"/>
    <w:rsid w:val="62DCC40B"/>
    <w:rsid w:val="62E4BF78"/>
    <w:rsid w:val="62E7BE5C"/>
    <w:rsid w:val="62EB7F47"/>
    <w:rsid w:val="62EDDAF3"/>
    <w:rsid w:val="62EE032C"/>
    <w:rsid w:val="62FAC59E"/>
    <w:rsid w:val="6306651A"/>
    <w:rsid w:val="630D2B1D"/>
    <w:rsid w:val="633A2BDC"/>
    <w:rsid w:val="6347FE30"/>
    <w:rsid w:val="6363B548"/>
    <w:rsid w:val="6364FDFC"/>
    <w:rsid w:val="6369BF96"/>
    <w:rsid w:val="636C4C7E"/>
    <w:rsid w:val="6394B2CC"/>
    <w:rsid w:val="63CE54A6"/>
    <w:rsid w:val="63D533FF"/>
    <w:rsid w:val="6418045A"/>
    <w:rsid w:val="641B064A"/>
    <w:rsid w:val="642CB879"/>
    <w:rsid w:val="642CFF35"/>
    <w:rsid w:val="6430A0E8"/>
    <w:rsid w:val="643F5790"/>
    <w:rsid w:val="644C14D6"/>
    <w:rsid w:val="6469FCA3"/>
    <w:rsid w:val="646B1F7D"/>
    <w:rsid w:val="649A4FAE"/>
    <w:rsid w:val="64A4C157"/>
    <w:rsid w:val="64B5C95D"/>
    <w:rsid w:val="64BDC8FE"/>
    <w:rsid w:val="64BE965C"/>
    <w:rsid w:val="64D0F490"/>
    <w:rsid w:val="64D8C67E"/>
    <w:rsid w:val="64D9798E"/>
    <w:rsid w:val="64E2BB4F"/>
    <w:rsid w:val="64EEB95F"/>
    <w:rsid w:val="64FB8024"/>
    <w:rsid w:val="651BB9DA"/>
    <w:rsid w:val="6537BB1F"/>
    <w:rsid w:val="655AF4A6"/>
    <w:rsid w:val="6562593F"/>
    <w:rsid w:val="656A0F32"/>
    <w:rsid w:val="656D9436"/>
    <w:rsid w:val="656E89B0"/>
    <w:rsid w:val="6572B9D1"/>
    <w:rsid w:val="6574FC79"/>
    <w:rsid w:val="657FA351"/>
    <w:rsid w:val="658C033D"/>
    <w:rsid w:val="659E1E88"/>
    <w:rsid w:val="65A42F7B"/>
    <w:rsid w:val="65A7EDCC"/>
    <w:rsid w:val="65CC92FB"/>
    <w:rsid w:val="660949CB"/>
    <w:rsid w:val="662A2FD5"/>
    <w:rsid w:val="66359DC7"/>
    <w:rsid w:val="6641C723"/>
    <w:rsid w:val="6644F661"/>
    <w:rsid w:val="666F26C4"/>
    <w:rsid w:val="667B7012"/>
    <w:rsid w:val="6685A24D"/>
    <w:rsid w:val="6696C37E"/>
    <w:rsid w:val="66ADCDC8"/>
    <w:rsid w:val="66AF4CED"/>
    <w:rsid w:val="66B0BB69"/>
    <w:rsid w:val="66B342C8"/>
    <w:rsid w:val="66E28E33"/>
    <w:rsid w:val="66E77036"/>
    <w:rsid w:val="66F590BE"/>
    <w:rsid w:val="66FA87A0"/>
    <w:rsid w:val="67093BC1"/>
    <w:rsid w:val="670D87E4"/>
    <w:rsid w:val="671863A2"/>
    <w:rsid w:val="672436B6"/>
    <w:rsid w:val="6734CB8A"/>
    <w:rsid w:val="673A87AD"/>
    <w:rsid w:val="674002D4"/>
    <w:rsid w:val="67424E86"/>
    <w:rsid w:val="678419D7"/>
    <w:rsid w:val="6785A4C2"/>
    <w:rsid w:val="6792D7A3"/>
    <w:rsid w:val="67A669DF"/>
    <w:rsid w:val="67B0A8B7"/>
    <w:rsid w:val="67C9CF9F"/>
    <w:rsid w:val="67CB8BE9"/>
    <w:rsid w:val="67CDCC28"/>
    <w:rsid w:val="67D4B39E"/>
    <w:rsid w:val="67D7CE92"/>
    <w:rsid w:val="680B57D9"/>
    <w:rsid w:val="68209484"/>
    <w:rsid w:val="682DFF50"/>
    <w:rsid w:val="68545F44"/>
    <w:rsid w:val="6858A0F5"/>
    <w:rsid w:val="688B5C6E"/>
    <w:rsid w:val="689CD1F2"/>
    <w:rsid w:val="689E6BCA"/>
    <w:rsid w:val="68C39EB7"/>
    <w:rsid w:val="68CCE89B"/>
    <w:rsid w:val="68FE3F76"/>
    <w:rsid w:val="69113668"/>
    <w:rsid w:val="6923D3E0"/>
    <w:rsid w:val="692655D7"/>
    <w:rsid w:val="692BE57D"/>
    <w:rsid w:val="6936A1B4"/>
    <w:rsid w:val="693D1C1D"/>
    <w:rsid w:val="695885D4"/>
    <w:rsid w:val="69669D94"/>
    <w:rsid w:val="696CAE87"/>
    <w:rsid w:val="69760752"/>
    <w:rsid w:val="699CDDCF"/>
    <w:rsid w:val="69AC823E"/>
    <w:rsid w:val="69C9B413"/>
    <w:rsid w:val="69D4A08E"/>
    <w:rsid w:val="69E52EBD"/>
    <w:rsid w:val="69EF7CDD"/>
    <w:rsid w:val="69F47BFD"/>
    <w:rsid w:val="6A0C4C43"/>
    <w:rsid w:val="6A0D7C12"/>
    <w:rsid w:val="6A137A15"/>
    <w:rsid w:val="6A164911"/>
    <w:rsid w:val="6A2B21CB"/>
    <w:rsid w:val="6A66FC44"/>
    <w:rsid w:val="6A6DF963"/>
    <w:rsid w:val="6A8DE9CE"/>
    <w:rsid w:val="6A903C1B"/>
    <w:rsid w:val="6AAB0D3F"/>
    <w:rsid w:val="6ACF8839"/>
    <w:rsid w:val="6ADFE21C"/>
    <w:rsid w:val="6AE55129"/>
    <w:rsid w:val="6AFE73E8"/>
    <w:rsid w:val="6B08C133"/>
    <w:rsid w:val="6B0CDF9E"/>
    <w:rsid w:val="6B10E645"/>
    <w:rsid w:val="6B157BB5"/>
    <w:rsid w:val="6B3FAF71"/>
    <w:rsid w:val="6B69E52A"/>
    <w:rsid w:val="6B6A6598"/>
    <w:rsid w:val="6B724FD4"/>
    <w:rsid w:val="6B76B4B3"/>
    <w:rsid w:val="6B7C1188"/>
    <w:rsid w:val="6B7F434E"/>
    <w:rsid w:val="6BE314B1"/>
    <w:rsid w:val="6BF5CA14"/>
    <w:rsid w:val="6BF71ACF"/>
    <w:rsid w:val="6BF81D93"/>
    <w:rsid w:val="6C1F4129"/>
    <w:rsid w:val="6C2EBBF7"/>
    <w:rsid w:val="6C359091"/>
    <w:rsid w:val="6C40B682"/>
    <w:rsid w:val="6C756732"/>
    <w:rsid w:val="6C81E635"/>
    <w:rsid w:val="6C99B567"/>
    <w:rsid w:val="6CA27F6C"/>
    <w:rsid w:val="6CB56D5A"/>
    <w:rsid w:val="6CC604D0"/>
    <w:rsid w:val="6CEABD29"/>
    <w:rsid w:val="6CF4A1F2"/>
    <w:rsid w:val="6D0141BC"/>
    <w:rsid w:val="6D0F5646"/>
    <w:rsid w:val="6D21620B"/>
    <w:rsid w:val="6D352D93"/>
    <w:rsid w:val="6D397A28"/>
    <w:rsid w:val="6D3B053A"/>
    <w:rsid w:val="6D5187B6"/>
    <w:rsid w:val="6D683E8D"/>
    <w:rsid w:val="6D69DE54"/>
    <w:rsid w:val="6D77FBCA"/>
    <w:rsid w:val="6D9EF53D"/>
    <w:rsid w:val="6DD3A2AF"/>
    <w:rsid w:val="6DF7CEBC"/>
    <w:rsid w:val="6E02F8A0"/>
    <w:rsid w:val="6E12BEF4"/>
    <w:rsid w:val="6E5BF785"/>
    <w:rsid w:val="6E6B63E5"/>
    <w:rsid w:val="6E6DBF3C"/>
    <w:rsid w:val="6E8DF8C8"/>
    <w:rsid w:val="6EA2464B"/>
    <w:rsid w:val="6EA56BD0"/>
    <w:rsid w:val="6EABCA91"/>
    <w:rsid w:val="6EADD035"/>
    <w:rsid w:val="6EB6B23A"/>
    <w:rsid w:val="6EBD653D"/>
    <w:rsid w:val="6F0BDC4E"/>
    <w:rsid w:val="6F130D04"/>
    <w:rsid w:val="6F1DF799"/>
    <w:rsid w:val="6F266196"/>
    <w:rsid w:val="6F3AD309"/>
    <w:rsid w:val="6F3C04F1"/>
    <w:rsid w:val="6F4703A4"/>
    <w:rsid w:val="6F76F67E"/>
    <w:rsid w:val="6F80633C"/>
    <w:rsid w:val="6F9394AC"/>
    <w:rsid w:val="6F9C6D55"/>
    <w:rsid w:val="6FA5F7B7"/>
    <w:rsid w:val="6FB576D8"/>
    <w:rsid w:val="6FC6C3BD"/>
    <w:rsid w:val="6FC88733"/>
    <w:rsid w:val="6FD9A0B6"/>
    <w:rsid w:val="6FF77FE5"/>
    <w:rsid w:val="7006E029"/>
    <w:rsid w:val="700E1791"/>
    <w:rsid w:val="70134290"/>
    <w:rsid w:val="701AC8B9"/>
    <w:rsid w:val="70225601"/>
    <w:rsid w:val="7047FAC7"/>
    <w:rsid w:val="705F18D8"/>
    <w:rsid w:val="7067CFAC"/>
    <w:rsid w:val="706A015D"/>
    <w:rsid w:val="706B1582"/>
    <w:rsid w:val="707A60B1"/>
    <w:rsid w:val="708C8D0F"/>
    <w:rsid w:val="708D1D5E"/>
    <w:rsid w:val="708D633C"/>
    <w:rsid w:val="70A9DACF"/>
    <w:rsid w:val="70CF3202"/>
    <w:rsid w:val="70DBE80F"/>
    <w:rsid w:val="70E67539"/>
    <w:rsid w:val="70E7BD09"/>
    <w:rsid w:val="710C0B8D"/>
    <w:rsid w:val="710C9FC1"/>
    <w:rsid w:val="71288B3C"/>
    <w:rsid w:val="712ED806"/>
    <w:rsid w:val="714DA539"/>
    <w:rsid w:val="714E96C0"/>
    <w:rsid w:val="715E85A3"/>
    <w:rsid w:val="717E2F8B"/>
    <w:rsid w:val="71929C28"/>
    <w:rsid w:val="719568AA"/>
    <w:rsid w:val="71A891C4"/>
    <w:rsid w:val="71A8C495"/>
    <w:rsid w:val="71DDA684"/>
    <w:rsid w:val="71E7EE75"/>
    <w:rsid w:val="71ED1974"/>
    <w:rsid w:val="71EE50E6"/>
    <w:rsid w:val="72356601"/>
    <w:rsid w:val="723762A0"/>
    <w:rsid w:val="725A0AA7"/>
    <w:rsid w:val="7262C515"/>
    <w:rsid w:val="726908D9"/>
    <w:rsid w:val="72696D80"/>
    <w:rsid w:val="728129D4"/>
    <w:rsid w:val="72967E32"/>
    <w:rsid w:val="72A77F9A"/>
    <w:rsid w:val="72C3F564"/>
    <w:rsid w:val="72E2C009"/>
    <w:rsid w:val="72E44221"/>
    <w:rsid w:val="72EF9834"/>
    <w:rsid w:val="73130F80"/>
    <w:rsid w:val="7314EB18"/>
    <w:rsid w:val="73286DA4"/>
    <w:rsid w:val="733A0D22"/>
    <w:rsid w:val="7351A1E8"/>
    <w:rsid w:val="73677C2A"/>
    <w:rsid w:val="7369C2BA"/>
    <w:rsid w:val="736A6F3B"/>
    <w:rsid w:val="7379D912"/>
    <w:rsid w:val="73894E7C"/>
    <w:rsid w:val="739EB833"/>
    <w:rsid w:val="73AE1B8F"/>
    <w:rsid w:val="73C388DC"/>
    <w:rsid w:val="73D1F272"/>
    <w:rsid w:val="741677BB"/>
    <w:rsid w:val="74381A80"/>
    <w:rsid w:val="743D12AE"/>
    <w:rsid w:val="7442DFBD"/>
    <w:rsid w:val="7474761D"/>
    <w:rsid w:val="7482DFCA"/>
    <w:rsid w:val="7487D6AC"/>
    <w:rsid w:val="749509E1"/>
    <w:rsid w:val="749DCC48"/>
    <w:rsid w:val="74B42291"/>
    <w:rsid w:val="74C01C02"/>
    <w:rsid w:val="74DB2FC0"/>
    <w:rsid w:val="74F5FA3F"/>
    <w:rsid w:val="74FE22CC"/>
    <w:rsid w:val="75070B31"/>
    <w:rsid w:val="7509FF3C"/>
    <w:rsid w:val="751308AA"/>
    <w:rsid w:val="75280314"/>
    <w:rsid w:val="752B0217"/>
    <w:rsid w:val="752EF165"/>
    <w:rsid w:val="7551B96F"/>
    <w:rsid w:val="7558149F"/>
    <w:rsid w:val="7570DD2D"/>
    <w:rsid w:val="757143A1"/>
    <w:rsid w:val="75808DDA"/>
    <w:rsid w:val="7584CA4A"/>
    <w:rsid w:val="7599A304"/>
    <w:rsid w:val="75A0F912"/>
    <w:rsid w:val="75C5E46C"/>
    <w:rsid w:val="75D88900"/>
    <w:rsid w:val="75E45452"/>
    <w:rsid w:val="75EABCA5"/>
    <w:rsid w:val="75F723DE"/>
    <w:rsid w:val="760951AF"/>
    <w:rsid w:val="76214D46"/>
    <w:rsid w:val="762C1F7D"/>
    <w:rsid w:val="7643B443"/>
    <w:rsid w:val="76477D81"/>
    <w:rsid w:val="765F76EE"/>
    <w:rsid w:val="7690CA8E"/>
    <w:rsid w:val="7696ACDC"/>
    <w:rsid w:val="76C2EBF3"/>
    <w:rsid w:val="76E6320B"/>
    <w:rsid w:val="76F02DFA"/>
    <w:rsid w:val="76FC9271"/>
    <w:rsid w:val="77005D31"/>
    <w:rsid w:val="770EAE86"/>
    <w:rsid w:val="772F2509"/>
    <w:rsid w:val="77471E76"/>
    <w:rsid w:val="775898B8"/>
    <w:rsid w:val="775EA12E"/>
    <w:rsid w:val="7762DEC9"/>
    <w:rsid w:val="777B8DEA"/>
    <w:rsid w:val="778C473B"/>
    <w:rsid w:val="779A6677"/>
    <w:rsid w:val="779C3384"/>
    <w:rsid w:val="77B55643"/>
    <w:rsid w:val="77C37282"/>
    <w:rsid w:val="77E21EFE"/>
    <w:rsid w:val="77FC05EF"/>
    <w:rsid w:val="78006C3A"/>
    <w:rsid w:val="78038F94"/>
    <w:rsid w:val="7808BF63"/>
    <w:rsid w:val="7811D456"/>
    <w:rsid w:val="781D1472"/>
    <w:rsid w:val="782A3277"/>
    <w:rsid w:val="784E51E7"/>
    <w:rsid w:val="785A21D3"/>
    <w:rsid w:val="78B4CBA5"/>
    <w:rsid w:val="78C2DE91"/>
    <w:rsid w:val="78C469A5"/>
    <w:rsid w:val="78C79B6B"/>
    <w:rsid w:val="78D033C7"/>
    <w:rsid w:val="78E6703B"/>
    <w:rsid w:val="78F0A519"/>
    <w:rsid w:val="78F0CFAF"/>
    <w:rsid w:val="7913997E"/>
    <w:rsid w:val="793F99C6"/>
    <w:rsid w:val="794075B0"/>
    <w:rsid w:val="7940A881"/>
    <w:rsid w:val="79490CE6"/>
    <w:rsid w:val="794A86FC"/>
    <w:rsid w:val="794D4956"/>
    <w:rsid w:val="79581733"/>
    <w:rsid w:val="796D7332"/>
    <w:rsid w:val="798670C2"/>
    <w:rsid w:val="799097CF"/>
    <w:rsid w:val="79A718FF"/>
    <w:rsid w:val="79D74847"/>
    <w:rsid w:val="79D9B251"/>
    <w:rsid w:val="79DEF1E9"/>
    <w:rsid w:val="79DFCD45"/>
    <w:rsid w:val="79FA39C2"/>
    <w:rsid w:val="79FC7A01"/>
    <w:rsid w:val="7A276014"/>
    <w:rsid w:val="7A2BE676"/>
    <w:rsid w:val="7A38BA1C"/>
    <w:rsid w:val="7A3930D1"/>
    <w:rsid w:val="7A61485D"/>
    <w:rsid w:val="7A74DD67"/>
    <w:rsid w:val="7A77044B"/>
    <w:rsid w:val="7A86471C"/>
    <w:rsid w:val="7AA17560"/>
    <w:rsid w:val="7AAE7F41"/>
    <w:rsid w:val="7AB2FAC5"/>
    <w:rsid w:val="7AB38D0F"/>
    <w:rsid w:val="7AC97862"/>
    <w:rsid w:val="7AE4ACAB"/>
    <w:rsid w:val="7B0788BE"/>
    <w:rsid w:val="7B0F26CD"/>
    <w:rsid w:val="7B13F9F5"/>
    <w:rsid w:val="7B780790"/>
    <w:rsid w:val="7B851DC8"/>
    <w:rsid w:val="7B95C127"/>
    <w:rsid w:val="7BCD9A11"/>
    <w:rsid w:val="7BD650E5"/>
    <w:rsid w:val="7BD8348A"/>
    <w:rsid w:val="7C08A841"/>
    <w:rsid w:val="7C0B3909"/>
    <w:rsid w:val="7C129100"/>
    <w:rsid w:val="7C16D0F3"/>
    <w:rsid w:val="7C1C8169"/>
    <w:rsid w:val="7C1D7985"/>
    <w:rsid w:val="7C22EC5E"/>
    <w:rsid w:val="7C276E94"/>
    <w:rsid w:val="7C2A8A6D"/>
    <w:rsid w:val="7C33EDBF"/>
    <w:rsid w:val="7C44300C"/>
    <w:rsid w:val="7C54346B"/>
    <w:rsid w:val="7C8D23A3"/>
    <w:rsid w:val="7C932690"/>
    <w:rsid w:val="7CA0EBFA"/>
    <w:rsid w:val="7CAB46A5"/>
    <w:rsid w:val="7CB9818C"/>
    <w:rsid w:val="7CC23B71"/>
    <w:rsid w:val="7CCB3ABE"/>
    <w:rsid w:val="7CFDCEF5"/>
    <w:rsid w:val="7CFF4EA8"/>
    <w:rsid w:val="7D0176B0"/>
    <w:rsid w:val="7D04AA31"/>
    <w:rsid w:val="7D19AE46"/>
    <w:rsid w:val="7D1B386F"/>
    <w:rsid w:val="7D20D5F9"/>
    <w:rsid w:val="7D2B432C"/>
    <w:rsid w:val="7D30C957"/>
    <w:rsid w:val="7D50FA24"/>
    <w:rsid w:val="7D5F00D6"/>
    <w:rsid w:val="7D785977"/>
    <w:rsid w:val="7D7E8B2D"/>
    <w:rsid w:val="7D85D73A"/>
    <w:rsid w:val="7D869559"/>
    <w:rsid w:val="7D8DD7C1"/>
    <w:rsid w:val="7D9CC85E"/>
    <w:rsid w:val="7DB027C9"/>
    <w:rsid w:val="7DB56E21"/>
    <w:rsid w:val="7DBDA923"/>
    <w:rsid w:val="7DD46E77"/>
    <w:rsid w:val="7E11CDFC"/>
    <w:rsid w:val="7E24402C"/>
    <w:rsid w:val="7E32769D"/>
    <w:rsid w:val="7E998A26"/>
    <w:rsid w:val="7E9CFE2C"/>
    <w:rsid w:val="7EA829B4"/>
    <w:rsid w:val="7EF2920B"/>
    <w:rsid w:val="7EF7CFB5"/>
    <w:rsid w:val="7F08B020"/>
    <w:rsid w:val="7F0D058F"/>
    <w:rsid w:val="7F13CFC9"/>
    <w:rsid w:val="7F150582"/>
    <w:rsid w:val="7F2397A2"/>
    <w:rsid w:val="7F304692"/>
    <w:rsid w:val="7F321792"/>
    <w:rsid w:val="7F357191"/>
    <w:rsid w:val="7F35A367"/>
    <w:rsid w:val="7F3788FA"/>
    <w:rsid w:val="7F4B5722"/>
    <w:rsid w:val="7F5EA5D5"/>
    <w:rsid w:val="7F705B7E"/>
    <w:rsid w:val="7F7451B8"/>
    <w:rsid w:val="7FA69BB9"/>
    <w:rsid w:val="7FABF88E"/>
    <w:rsid w:val="7FEC344B"/>
  </w:rsids>
  <m:mathPr>
    <m:mathFont m:val="Cambria Math"/>
    <m:brkBin m:val="before"/>
    <m:brkBinSub m:val="--"/>
    <m:smallFrac/>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red,#4d4d4f"/>
    </o:shapedefaults>
    <o:shapelayout v:ext="edit">
      <o:idmap v:ext="edit" data="2"/>
    </o:shapelayout>
  </w:shapeDefaults>
  <w:decimalSymbol w:val="."/>
  <w:listSeparator w:val=","/>
  <w14:docId w14:val="30365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uiPriority="1" w:qFormat="1"/>
    <w:lsdException w:name="heading 3" w:uiPriority="2" w:qFormat="1"/>
    <w:lsdException w:name="heading 4" w:uiPriority="2"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uiPriority="99" w:qFormat="1"/>
    <w:lsdException w:name="Strong" w:semiHidden="1"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5C34EF"/>
    <w:pPr>
      <w:spacing w:after="240" w:line="240" w:lineRule="atLeast"/>
    </w:pPr>
    <w:rPr>
      <w:rFonts w:ascii="Arial" w:hAnsi="Arial"/>
      <w:sz w:val="20"/>
    </w:rPr>
  </w:style>
  <w:style w:type="paragraph" w:styleId="Heading1">
    <w:name w:val="heading 1"/>
    <w:basedOn w:val="Normal"/>
    <w:next w:val="Normal"/>
    <w:link w:val="Heading1Char"/>
    <w:qFormat/>
    <w:rsid w:val="00C55235"/>
    <w:pPr>
      <w:keepNext/>
      <w:pageBreakBefore/>
      <w:widowControl w:val="0"/>
      <w:spacing w:after="360" w:line="550" w:lineRule="exact"/>
      <w:outlineLvl w:val="0"/>
    </w:pPr>
    <w:rPr>
      <w:rFonts w:cs="Arial"/>
      <w:bCs/>
      <w:color w:val="323232"/>
      <w:kern w:val="32"/>
      <w:sz w:val="53"/>
      <w:szCs w:val="32"/>
    </w:rPr>
  </w:style>
  <w:style w:type="paragraph" w:styleId="Heading2">
    <w:name w:val="heading 2"/>
    <w:basedOn w:val="Normal"/>
    <w:next w:val="Paragraph"/>
    <w:link w:val="Heading2Char"/>
    <w:uiPriority w:val="1"/>
    <w:qFormat/>
    <w:rsid w:val="00C55235"/>
    <w:pPr>
      <w:keepNext/>
      <w:spacing w:before="320" w:after="60"/>
      <w:outlineLvl w:val="1"/>
    </w:pPr>
    <w:rPr>
      <w:rFonts w:cs="Arial"/>
      <w:b/>
      <w:bCs/>
      <w:iCs/>
      <w:sz w:val="28"/>
      <w:szCs w:val="28"/>
    </w:rPr>
  </w:style>
  <w:style w:type="paragraph" w:styleId="Heading3">
    <w:name w:val="heading 3"/>
    <w:basedOn w:val="Normal"/>
    <w:next w:val="Normal"/>
    <w:link w:val="Heading3Char"/>
    <w:uiPriority w:val="2"/>
    <w:qFormat/>
    <w:rsid w:val="00C55235"/>
    <w:pPr>
      <w:keepNext/>
      <w:spacing w:before="60" w:after="60"/>
      <w:outlineLvl w:val="2"/>
    </w:pPr>
    <w:rPr>
      <w:rFonts w:cs="Arial"/>
      <w:b/>
      <w:bCs/>
      <w:szCs w:val="26"/>
    </w:rPr>
  </w:style>
  <w:style w:type="paragraph" w:styleId="Heading4">
    <w:name w:val="heading 4"/>
    <w:basedOn w:val="BodySubHeader"/>
    <w:next w:val="Normal"/>
    <w:uiPriority w:val="2"/>
    <w:qFormat/>
    <w:rsid w:val="005B2F0D"/>
    <w:pPr>
      <w:outlineLvl w:val="3"/>
    </w:pPr>
    <w:rPr>
      <w:rFonts w:cs="Arial"/>
    </w:rPr>
  </w:style>
  <w:style w:type="paragraph" w:styleId="Heading5">
    <w:name w:val="heading 5"/>
    <w:basedOn w:val="Normal"/>
    <w:next w:val="Normal"/>
    <w:semiHidden/>
    <w:qFormat/>
    <w:rsid w:val="00AD5436"/>
    <w:pPr>
      <w:numPr>
        <w:ilvl w:val="4"/>
        <w:numId w:val="5"/>
      </w:numPr>
      <w:spacing w:before="240" w:after="60"/>
      <w:outlineLvl w:val="4"/>
    </w:pPr>
    <w:rPr>
      <w:b/>
      <w:bCs/>
      <w:i/>
      <w:iCs/>
      <w:sz w:val="26"/>
      <w:szCs w:val="26"/>
    </w:rPr>
  </w:style>
  <w:style w:type="paragraph" w:styleId="Heading6">
    <w:name w:val="heading 6"/>
    <w:basedOn w:val="Normal"/>
    <w:next w:val="Normal"/>
    <w:semiHidden/>
    <w:qFormat/>
    <w:rsid w:val="00AD5436"/>
    <w:pPr>
      <w:numPr>
        <w:ilvl w:val="5"/>
        <w:numId w:val="5"/>
      </w:num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AD5436"/>
    <w:pPr>
      <w:numPr>
        <w:ilvl w:val="6"/>
        <w:numId w:val="5"/>
      </w:numPr>
      <w:spacing w:before="240" w:after="60"/>
      <w:outlineLvl w:val="6"/>
    </w:pPr>
    <w:rPr>
      <w:rFonts w:ascii="Times New Roman" w:hAnsi="Times New Roman"/>
      <w:sz w:val="24"/>
    </w:rPr>
  </w:style>
  <w:style w:type="paragraph" w:styleId="Heading8">
    <w:name w:val="heading 8"/>
    <w:basedOn w:val="Normal"/>
    <w:next w:val="Normal"/>
    <w:semiHidden/>
    <w:qFormat/>
    <w:rsid w:val="00AD5436"/>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semiHidden/>
    <w:qFormat/>
    <w:rsid w:val="00AD5436"/>
    <w:pPr>
      <w:numPr>
        <w:ilvl w:val="8"/>
        <w:numId w:val="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0791C"/>
    <w:pPr>
      <w:tabs>
        <w:tab w:val="center" w:pos="4153"/>
        <w:tab w:val="right" w:pos="8306"/>
      </w:tabs>
      <w:spacing w:line="240" w:lineRule="auto"/>
    </w:pPr>
    <w:rPr>
      <w:sz w:val="16"/>
    </w:rPr>
  </w:style>
  <w:style w:type="paragraph" w:styleId="Footer">
    <w:name w:val="footer"/>
    <w:basedOn w:val="Normal"/>
    <w:link w:val="FooterChar"/>
    <w:semiHidden/>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semiHidden/>
    <w:rsid w:val="00EC2B68"/>
    <w:rPr>
      <w:rFonts w:ascii="Arial" w:hAnsi="Arial"/>
      <w:color w:val="323232"/>
      <w:sz w:val="16"/>
    </w:rPr>
  </w:style>
  <w:style w:type="paragraph" w:customStyle="1" w:styleId="Reporttitle">
    <w:name w:val="Report title"/>
    <w:basedOn w:val="Normal"/>
    <w:uiPriority w:val="19"/>
    <w:qFormat/>
    <w:rsid w:val="00A51D1A"/>
    <w:pPr>
      <w:spacing w:after="0" w:line="560" w:lineRule="exact"/>
    </w:pPr>
    <w:rPr>
      <w:b/>
      <w:spacing w:val="-28"/>
      <w:sz w:val="53"/>
    </w:rPr>
  </w:style>
  <w:style w:type="paragraph" w:customStyle="1" w:styleId="Reportsubtitle">
    <w:name w:val="Report subtitle"/>
    <w:basedOn w:val="Normal"/>
    <w:uiPriority w:val="20"/>
    <w:qFormat/>
    <w:rsid w:val="00950159"/>
    <w:pPr>
      <w:spacing w:after="200" w:line="560" w:lineRule="exact"/>
    </w:pPr>
    <w:rPr>
      <w:color w:val="323232"/>
      <w:spacing w:val="-28"/>
      <w:sz w:val="53"/>
    </w:rPr>
  </w:style>
  <w:style w:type="table" w:styleId="TableGrid">
    <w:name w:val="Table Grid"/>
    <w:basedOn w:val="TableNormal"/>
    <w:uiPriority w:val="39"/>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date">
    <w:name w:val="Report date"/>
    <w:basedOn w:val="Reportsubtitle"/>
    <w:uiPriority w:val="21"/>
    <w:qFormat/>
    <w:rsid w:val="00950159"/>
    <w:pPr>
      <w:spacing w:after="1200" w:line="240" w:lineRule="auto"/>
    </w:pPr>
    <w:rPr>
      <w:caps/>
      <w:spacing w:val="-10"/>
      <w:sz w:val="20"/>
    </w:rPr>
  </w:style>
  <w:style w:type="paragraph" w:customStyle="1" w:styleId="Tableheaderrow">
    <w:name w:val="Table header row"/>
    <w:basedOn w:val="Normal"/>
    <w:uiPriority w:val="14"/>
    <w:qFormat/>
    <w:rsid w:val="00774FDB"/>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semiHidden/>
    <w:qFormat/>
    <w:rsid w:val="00950159"/>
    <w:pPr>
      <w:spacing w:before="1200" w:line="240" w:lineRule="auto"/>
    </w:pPr>
    <w:rPr>
      <w:b/>
      <w:color w:val="323232"/>
      <w:spacing w:val="-28"/>
      <w:sz w:val="53"/>
    </w:rPr>
  </w:style>
  <w:style w:type="paragraph" w:styleId="Caption">
    <w:name w:val="caption"/>
    <w:aliases w:val="Caption table"/>
    <w:basedOn w:val="Normal"/>
    <w:next w:val="Normal"/>
    <w:uiPriority w:val="35"/>
    <w:qFormat/>
    <w:rsid w:val="00E8152A"/>
    <w:pPr>
      <w:numPr>
        <w:numId w:val="9"/>
      </w:numPr>
      <w:spacing w:after="0"/>
    </w:pPr>
    <w:rPr>
      <w:b/>
      <w:bCs/>
      <w:color w:val="323232"/>
      <w:szCs w:val="20"/>
    </w:rPr>
  </w:style>
  <w:style w:type="paragraph" w:customStyle="1" w:styleId="BodySubHeader">
    <w:name w:val="BodySubHeader"/>
    <w:basedOn w:val="Normal"/>
    <w:next w:val="Normal"/>
    <w:qFormat/>
    <w:rsid w:val="00146CE6"/>
    <w:pPr>
      <w:spacing w:before="240" w:after="0"/>
    </w:pPr>
    <w:rPr>
      <w:b/>
      <w:i/>
    </w:rPr>
  </w:style>
  <w:style w:type="paragraph" w:styleId="ListBullet">
    <w:name w:val="List Bullet"/>
    <w:aliases w:val="List Bullet 1"/>
    <w:basedOn w:val="Normal"/>
    <w:link w:val="ListBulletChar"/>
    <w:qFormat/>
    <w:rsid w:val="001C6AEE"/>
    <w:pPr>
      <w:numPr>
        <w:numId w:val="1"/>
      </w:numPr>
      <w:spacing w:after="80"/>
    </w:pPr>
  </w:style>
  <w:style w:type="paragraph" w:styleId="ListBullet2">
    <w:name w:val="List Bullet 2"/>
    <w:basedOn w:val="Normal"/>
    <w:qFormat/>
    <w:rsid w:val="001C6AEE"/>
    <w:pPr>
      <w:numPr>
        <w:numId w:val="2"/>
      </w:numPr>
      <w:spacing w:after="80"/>
    </w:pPr>
  </w:style>
  <w:style w:type="paragraph" w:styleId="ListNumber">
    <w:name w:val="List Number"/>
    <w:basedOn w:val="Normal"/>
    <w:qFormat/>
    <w:rsid w:val="00C24A53"/>
    <w:pPr>
      <w:numPr>
        <w:numId w:val="81"/>
      </w:numPr>
      <w:spacing w:after="80"/>
    </w:pPr>
  </w:style>
  <w:style w:type="paragraph" w:styleId="ListNumber2">
    <w:name w:val="List Number 2"/>
    <w:basedOn w:val="Normal"/>
    <w:qFormat/>
    <w:rsid w:val="004A70D6"/>
    <w:pPr>
      <w:numPr>
        <w:numId w:val="4"/>
      </w:numPr>
      <w:spacing w:after="80"/>
      <w:ind w:left="828" w:hanging="357"/>
    </w:pPr>
  </w:style>
  <w:style w:type="paragraph" w:customStyle="1" w:styleId="URLEmail">
    <w:name w:val="URL/Email"/>
    <w:basedOn w:val="Normal"/>
    <w:semiHidden/>
    <w:rsid w:val="00302480"/>
    <w:rPr>
      <w:color w:val="4D4D4F"/>
      <w:spacing w:val="4"/>
    </w:rPr>
  </w:style>
  <w:style w:type="paragraph" w:customStyle="1" w:styleId="Execsummaryheading">
    <w:name w:val="Exec summary heading"/>
    <w:basedOn w:val="Normal"/>
    <w:uiPriority w:val="22"/>
    <w:qFormat/>
    <w:rsid w:val="006B52DE"/>
    <w:pPr>
      <w:pageBreakBefore/>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ListContinue5">
    <w:name w:val="List Continue 5"/>
    <w:basedOn w:val="Normal"/>
    <w:semiHidden/>
    <w:rsid w:val="00EC2B68"/>
    <w:pPr>
      <w:spacing w:after="120"/>
      <w:ind w:left="1415"/>
      <w:contextualSpacing/>
    </w:pPr>
  </w:style>
  <w:style w:type="paragraph" w:customStyle="1" w:styleId="Paragraphbeforelist">
    <w:name w:val="Paragraph before list"/>
    <w:basedOn w:val="Paragraph"/>
    <w:uiPriority w:val="4"/>
    <w:qFormat/>
    <w:rsid w:val="00C87E8A"/>
    <w:pPr>
      <w:spacing w:after="80"/>
    </w:pPr>
  </w:style>
  <w:style w:type="paragraph" w:styleId="TOC1">
    <w:name w:val="toc 1"/>
    <w:basedOn w:val="Normal"/>
    <w:next w:val="Normal"/>
    <w:uiPriority w:val="39"/>
    <w:qFormat/>
    <w:rsid w:val="007A6CC0"/>
    <w:pPr>
      <w:tabs>
        <w:tab w:val="right" w:pos="7660"/>
      </w:tabs>
      <w:spacing w:before="280" w:after="80" w:line="320" w:lineRule="exact"/>
      <w:ind w:right="851"/>
    </w:pPr>
    <w:rPr>
      <w:b/>
      <w:noProof/>
      <w:spacing w:val="-14"/>
      <w:sz w:val="28"/>
    </w:rPr>
  </w:style>
  <w:style w:type="paragraph" w:styleId="TOC2">
    <w:name w:val="toc 2"/>
    <w:basedOn w:val="Normal"/>
    <w:next w:val="Normal"/>
    <w:uiPriority w:val="39"/>
    <w:qFormat/>
    <w:rsid w:val="007A6CC0"/>
    <w:pPr>
      <w:tabs>
        <w:tab w:val="right" w:pos="7660"/>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7A6CC0"/>
    <w:pPr>
      <w:tabs>
        <w:tab w:val="right" w:pos="7661"/>
      </w:tabs>
      <w:spacing w:after="80" w:line="240" w:lineRule="auto"/>
    </w:pPr>
    <w:rPr>
      <w:noProof/>
      <w:sz w:val="22"/>
      <w:szCs w:val="22"/>
    </w:rPr>
  </w:style>
  <w:style w:type="character" w:styleId="Hyperlink">
    <w:name w:val="Hyperlink"/>
    <w:aliases w:val="CEO_Hyperlink"/>
    <w:basedOn w:val="DefaultParagraphFont"/>
    <w:uiPriority w:val="99"/>
    <w:qFormat/>
    <w:rsid w:val="00C35CCE"/>
    <w:rPr>
      <w:color w:val="0000FF"/>
      <w:u w:val="single" w:color="0000FF"/>
    </w:rPr>
  </w:style>
  <w:style w:type="character" w:styleId="FootnoteReference">
    <w:name w:val="footnote reference"/>
    <w:aliases w:val="Appel note de bas de p,Appel note de bas de p + 11 pt,Italic,Footnote,Style 12,(NECG) Footnote Reference,Style 124,o,fr,Style 3,Appel note de bas de p1,Appel note de bas de p2,Appel note de bas de p3,Footnote Reference/,Style 13,FR"/>
    <w:basedOn w:val="DefaultParagraphFont"/>
    <w:qFormat/>
    <w:rsid w:val="00566AB4"/>
    <w:rPr>
      <w:rFonts w:ascii="Arial" w:hAnsi="Arial"/>
      <w:vertAlign w:val="superscript"/>
    </w:rPr>
  </w:style>
  <w:style w:type="paragraph" w:styleId="FootnoteText">
    <w:name w:val="footnote text"/>
    <w:aliases w:val="Footnote text,ACMA Footnote Text,footnote text,Footnote Text Char1,Footnote Text Char Char,Footnote Text Char1 Char Char,Footnote Text Char Char Char Char,Footnote Text Char1 Char Char Char Char,Footnote Text Char Char Char Char Char Char"/>
    <w:basedOn w:val="Normal"/>
    <w:link w:val="FootnoteTextChar"/>
    <w:qFormat/>
    <w:rsid w:val="00D61243"/>
    <w:pPr>
      <w:spacing w:after="0"/>
    </w:pPr>
    <w:rPr>
      <w:sz w:val="16"/>
      <w:szCs w:val="16"/>
    </w:rPr>
  </w:style>
  <w:style w:type="paragraph" w:customStyle="1" w:styleId="TableBody">
    <w:name w:val="Table Body"/>
    <w:basedOn w:val="Normal"/>
    <w:qFormat/>
    <w:rsid w:val="00774FDB"/>
    <w:pPr>
      <w:spacing w:after="0" w:line="240" w:lineRule="auto"/>
    </w:pPr>
  </w:style>
  <w:style w:type="character" w:styleId="CommentReference">
    <w:name w:val="annotation reference"/>
    <w:basedOn w:val="DefaultParagraphFont"/>
    <w:uiPriority w:val="99"/>
    <w:rsid w:val="00EE7F79"/>
    <w:rPr>
      <w:sz w:val="16"/>
      <w:szCs w:val="16"/>
    </w:rPr>
  </w:style>
  <w:style w:type="paragraph" w:styleId="CommentText">
    <w:name w:val="annotation text"/>
    <w:basedOn w:val="Normal"/>
    <w:link w:val="CommentTextChar"/>
    <w:uiPriority w:val="99"/>
    <w:qFormat/>
    <w:rsid w:val="00EE7F79"/>
    <w:pPr>
      <w:spacing w:line="240" w:lineRule="auto"/>
    </w:pPr>
    <w:rPr>
      <w:szCs w:val="20"/>
    </w:rPr>
  </w:style>
  <w:style w:type="character" w:customStyle="1" w:styleId="CommentTextChar">
    <w:name w:val="Comment Text Char"/>
    <w:basedOn w:val="DefaultParagraphFont"/>
    <w:link w:val="CommentText"/>
    <w:uiPriority w:val="99"/>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unhideWhenUsed/>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paragraph" w:customStyle="1" w:styleId="Bulletlevel1">
    <w:name w:val="Bullet level 1"/>
    <w:basedOn w:val="ListBullet"/>
    <w:uiPriority w:val="5"/>
    <w:qFormat/>
    <w:rsid w:val="00A824E8"/>
    <w:rPr>
      <w:rFonts w:cs="Arial"/>
    </w:rPr>
  </w:style>
  <w:style w:type="paragraph" w:customStyle="1" w:styleId="ACMACorporateAddressHeader">
    <w:name w:val="ACMA_CorporateAddressHeader"/>
    <w:basedOn w:val="Normal"/>
    <w:next w:val="ACMACorporateAddresses"/>
    <w:semiHidden/>
    <w:unhideWhenUsed/>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semiHidden/>
    <w:unhideWhenUsed/>
    <w:qFormat/>
    <w:rsid w:val="00FC07B9"/>
    <w:pPr>
      <w:spacing w:before="0" w:after="120"/>
    </w:pPr>
    <w:rPr>
      <w:b w:val="0"/>
    </w:rPr>
  </w:style>
  <w:style w:type="paragraph" w:customStyle="1" w:styleId="ACMACopyrightHeader">
    <w:name w:val="ACMA_CopyrightHeader"/>
    <w:basedOn w:val="ACMACorporateAddressHeader"/>
    <w:semiHidden/>
    <w:unhideWhenUsed/>
    <w:qFormat/>
    <w:rsid w:val="00950159"/>
    <w:pPr>
      <w:spacing w:before="3000"/>
    </w:pPr>
  </w:style>
  <w:style w:type="paragraph" w:customStyle="1" w:styleId="ACMACClogo">
    <w:name w:val="ACMA_CClogo"/>
    <w:semiHidden/>
    <w:unhideWhenUsed/>
    <w:qFormat/>
    <w:rsid w:val="00623FF9"/>
    <w:pPr>
      <w:spacing w:before="160" w:after="120"/>
    </w:pPr>
    <w:rPr>
      <w:rFonts w:ascii="Arial" w:hAnsi="Arial"/>
      <w:b/>
      <w:sz w:val="13"/>
    </w:rPr>
  </w:style>
  <w:style w:type="paragraph" w:customStyle="1" w:styleId="ListBulletLast">
    <w:name w:val="List Bullet Last"/>
    <w:basedOn w:val="ListBullet"/>
    <w:qFormat/>
    <w:rsid w:val="00146CE6"/>
    <w:pPr>
      <w:spacing w:after="240"/>
    </w:pPr>
    <w:rPr>
      <w:rFonts w:cs="Arial"/>
    </w:rPr>
  </w:style>
  <w:style w:type="paragraph" w:customStyle="1" w:styleId="ListNumberLast">
    <w:name w:val="List Number Last"/>
    <w:basedOn w:val="ListNumber"/>
    <w:semiHidden/>
    <w:qFormat/>
    <w:rsid w:val="00C16198"/>
    <w:pPr>
      <w:spacing w:after="240"/>
      <w:ind w:left="357" w:hanging="357"/>
    </w:pPr>
    <w:rPr>
      <w:rFonts w:cs="Arial"/>
    </w:rPr>
  </w:style>
  <w:style w:type="paragraph" w:customStyle="1" w:styleId="ACMATableHeader">
    <w:name w:val="ACMA_TableHeader"/>
    <w:qFormat/>
    <w:rsid w:val="003F10EE"/>
    <w:pPr>
      <w:numPr>
        <w:numId w:val="7"/>
      </w:numPr>
      <w:spacing w:after="160"/>
    </w:pPr>
    <w:rPr>
      <w:rFonts w:ascii="Arial" w:hAnsi="Arial"/>
      <w:b/>
      <w:bCs/>
      <w:color w:val="323232"/>
      <w:sz w:val="20"/>
      <w:szCs w:val="20"/>
    </w:rPr>
  </w:style>
  <w:style w:type="paragraph" w:customStyle="1" w:styleId="ACMANotes">
    <w:name w:val="ACMA_Notes"/>
    <w:semiHidden/>
    <w:rsid w:val="00FF206E"/>
    <w:pPr>
      <w:spacing w:before="80"/>
    </w:pPr>
    <w:rPr>
      <w:rFonts w:ascii="Arial" w:hAnsi="Arial" w:cs="Arial"/>
      <w:i/>
      <w:sz w:val="16"/>
    </w:rPr>
  </w:style>
  <w:style w:type="paragraph" w:customStyle="1" w:styleId="Numberlistlevel1">
    <w:name w:val="Number list level 1"/>
    <w:basedOn w:val="ListNumber"/>
    <w:uiPriority w:val="9"/>
    <w:qFormat/>
    <w:rsid w:val="004A70D6"/>
  </w:style>
  <w:style w:type="character" w:styleId="Emphasis">
    <w:name w:val="Emphasis"/>
    <w:basedOn w:val="DefaultParagraphFont"/>
    <w:semiHidden/>
    <w:qFormat/>
    <w:rsid w:val="006D576C"/>
    <w:rPr>
      <w:i/>
      <w:iCs/>
    </w:rPr>
  </w:style>
  <w:style w:type="paragraph" w:customStyle="1" w:styleId="ListNumber2Last">
    <w:name w:val="List Number 2 Last"/>
    <w:basedOn w:val="ListNumber2"/>
    <w:semiHidden/>
    <w:qFormat/>
    <w:rsid w:val="00E35707"/>
    <w:pPr>
      <w:spacing w:after="240"/>
      <w:ind w:left="907"/>
    </w:pPr>
    <w:rPr>
      <w:rFonts w:cs="Arial"/>
    </w:rPr>
  </w:style>
  <w:style w:type="paragraph" w:customStyle="1" w:styleId="Spaceaftertable">
    <w:name w:val="Space after table"/>
    <w:basedOn w:val="Normal"/>
    <w:uiPriority w:val="99"/>
    <w:qFormat/>
    <w:rsid w:val="00C2083D"/>
    <w:rPr>
      <w:rFonts w:cs="Arial"/>
    </w:rPr>
  </w:style>
  <w:style w:type="paragraph" w:customStyle="1" w:styleId="FooterLeft">
    <w:name w:val="Footer Left"/>
    <w:basedOn w:val="Footer"/>
    <w:semiHidden/>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qFormat/>
    <w:rsid w:val="003F10EE"/>
    <w:pPr>
      <w:numPr>
        <w:numId w:val="6"/>
      </w:numPr>
      <w:spacing w:after="160"/>
    </w:pPr>
    <w:rPr>
      <w:rFonts w:ascii="Arial" w:hAnsi="Arial"/>
      <w:b/>
      <w:bCs/>
      <w:color w:val="323232"/>
      <w:sz w:val="20"/>
      <w:szCs w:val="20"/>
    </w:rPr>
  </w:style>
  <w:style w:type="paragraph" w:customStyle="1" w:styleId="Captionfigure">
    <w:name w:val="Caption figure"/>
    <w:basedOn w:val="Caption"/>
    <w:semiHidden/>
    <w:qFormat/>
    <w:rsid w:val="00E8152A"/>
    <w:pPr>
      <w:keepNext/>
      <w:numPr>
        <w:numId w:val="8"/>
      </w:numPr>
    </w:pPr>
    <w:rPr>
      <w:rFonts w:cs="Arial"/>
    </w:rPr>
  </w:style>
  <w:style w:type="paragraph" w:customStyle="1" w:styleId="GridTable31">
    <w:name w:val="Grid Table 31"/>
    <w:basedOn w:val="Normal"/>
    <w:semiHidden/>
    <w:qFormat/>
    <w:rsid w:val="00971914"/>
    <w:pPr>
      <w:spacing w:after="0" w:line="240" w:lineRule="auto"/>
    </w:pPr>
    <w:rPr>
      <w:b/>
      <w:color w:val="4D4D4F"/>
      <w:spacing w:val="-28"/>
      <w:sz w:val="53"/>
    </w:rPr>
  </w:style>
  <w:style w:type="character" w:customStyle="1" w:styleId="HeaderChar">
    <w:name w:val="Header Char"/>
    <w:link w:val="Header"/>
    <w:uiPriority w:val="99"/>
    <w:rsid w:val="00971914"/>
    <w:rPr>
      <w:rFonts w:ascii="Arial" w:hAnsi="Arial"/>
      <w:sz w:val="16"/>
    </w:rPr>
  </w:style>
  <w:style w:type="character" w:customStyle="1" w:styleId="Heading1Char">
    <w:name w:val="Heading 1 Char"/>
    <w:basedOn w:val="DefaultParagraphFont"/>
    <w:link w:val="Heading1"/>
    <w:rsid w:val="00F5310D"/>
    <w:rPr>
      <w:rFonts w:ascii="Arial" w:hAnsi="Arial" w:cs="Arial"/>
      <w:bCs/>
      <w:color w:val="323232"/>
      <w:kern w:val="32"/>
      <w:sz w:val="53"/>
      <w:szCs w:val="32"/>
    </w:rPr>
  </w:style>
  <w:style w:type="character" w:customStyle="1" w:styleId="Heading2Char">
    <w:name w:val="Heading 2 Char"/>
    <w:basedOn w:val="DefaultParagraphFont"/>
    <w:link w:val="Heading2"/>
    <w:uiPriority w:val="1"/>
    <w:rsid w:val="00800CCD"/>
    <w:rPr>
      <w:rFonts w:ascii="Arial" w:hAnsi="Arial" w:cs="Arial"/>
      <w:b/>
      <w:bCs/>
      <w:iCs/>
      <w:sz w:val="28"/>
      <w:szCs w:val="28"/>
    </w:rPr>
  </w:style>
  <w:style w:type="character" w:styleId="UnresolvedMention">
    <w:name w:val="Unresolved Mention"/>
    <w:basedOn w:val="DefaultParagraphFont"/>
    <w:uiPriority w:val="99"/>
    <w:unhideWhenUsed/>
    <w:rsid w:val="006B52DE"/>
    <w:rPr>
      <w:color w:val="605E5C"/>
      <w:shd w:val="clear" w:color="auto" w:fill="E1DFDD"/>
    </w:rPr>
  </w:style>
  <w:style w:type="character" w:customStyle="1" w:styleId="Heading3Char">
    <w:name w:val="Heading 3 Char"/>
    <w:basedOn w:val="DefaultParagraphFont"/>
    <w:link w:val="Heading3"/>
    <w:uiPriority w:val="2"/>
    <w:rsid w:val="00800CCD"/>
    <w:rPr>
      <w:rFonts w:ascii="Arial" w:hAnsi="Arial" w:cs="Arial"/>
      <w:b/>
      <w:bCs/>
      <w:sz w:val="20"/>
      <w:szCs w:val="26"/>
    </w:rPr>
  </w:style>
  <w:style w:type="paragraph" w:customStyle="1" w:styleId="Paragraph">
    <w:name w:val="Paragraph"/>
    <w:basedOn w:val="Normal"/>
    <w:link w:val="ParagraphChar"/>
    <w:qFormat/>
    <w:rsid w:val="00A824E8"/>
    <w:rPr>
      <w:rFonts w:cs="Arial"/>
    </w:rPr>
  </w:style>
  <w:style w:type="paragraph" w:customStyle="1" w:styleId="Bulletlevel2">
    <w:name w:val="Bullet level 2"/>
    <w:basedOn w:val="ListBullet2"/>
    <w:uiPriority w:val="7"/>
    <w:qFormat/>
    <w:rsid w:val="00A824E8"/>
    <w:rPr>
      <w:rFonts w:cs="Arial"/>
    </w:rPr>
  </w:style>
  <w:style w:type="paragraph" w:customStyle="1" w:styleId="Bulletlevel1last">
    <w:name w:val="Bullet level 1 last"/>
    <w:basedOn w:val="ListBulletLast"/>
    <w:uiPriority w:val="6"/>
    <w:qFormat/>
    <w:rsid w:val="00A824E8"/>
  </w:style>
  <w:style w:type="paragraph" w:customStyle="1" w:styleId="Numberlistlevel2">
    <w:name w:val="Number list level 2"/>
    <w:basedOn w:val="ListNumber2"/>
    <w:uiPriority w:val="11"/>
    <w:qFormat/>
    <w:rsid w:val="004A70D6"/>
  </w:style>
  <w:style w:type="paragraph" w:customStyle="1" w:styleId="Numberlistlast">
    <w:name w:val="Number list last"/>
    <w:basedOn w:val="ListNumberLast"/>
    <w:uiPriority w:val="10"/>
    <w:qFormat/>
    <w:rsid w:val="004A70D6"/>
  </w:style>
  <w:style w:type="paragraph" w:customStyle="1" w:styleId="Numberlistlevel2last">
    <w:name w:val="Number list level 2 last"/>
    <w:basedOn w:val="Numberlistlevel2"/>
    <w:uiPriority w:val="12"/>
    <w:qFormat/>
    <w:rsid w:val="004A70D6"/>
    <w:pPr>
      <w:spacing w:after="240"/>
    </w:pPr>
  </w:style>
  <w:style w:type="paragraph" w:customStyle="1" w:styleId="Bulletlevel2last">
    <w:name w:val="Bullet level 2 last"/>
    <w:basedOn w:val="Bulletlevel2"/>
    <w:uiPriority w:val="8"/>
    <w:qFormat/>
    <w:rsid w:val="004A70D6"/>
    <w:pPr>
      <w:spacing w:after="240"/>
    </w:pPr>
  </w:style>
  <w:style w:type="table" w:customStyle="1" w:styleId="ACMAtablestyle">
    <w:name w:val="ACMA table style"/>
    <w:basedOn w:val="TableNormal"/>
    <w:uiPriority w:val="99"/>
    <w:rsid w:val="0063346D"/>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blStylePr w:type="firstRow">
      <w:rPr>
        <w:rFonts w:ascii="Arial" w:hAnsi="Arial"/>
        <w:b w:val="0"/>
        <w:color w:val="FFFFFF" w:themeColor="background1"/>
        <w:sz w:val="20"/>
      </w:rPr>
      <w:tblPr/>
      <w:trPr>
        <w:tblHeader/>
      </w:trPr>
      <w:tcPr>
        <w:tcBorders>
          <w:top w:val="single" w:sz="4" w:space="0" w:color="auto"/>
          <w:left w:val="single" w:sz="4" w:space="0" w:color="auto"/>
          <w:bottom w:val="single" w:sz="4" w:space="0" w:color="auto"/>
          <w:right w:val="single" w:sz="4" w:space="0" w:color="auto"/>
          <w:insideH w:val="nil"/>
          <w:insideV w:val="nil"/>
        </w:tcBorders>
        <w:shd w:val="clear" w:color="auto" w:fill="404040" w:themeFill="text1" w:themeFillTint="BF"/>
      </w:tcPr>
    </w:tblStylePr>
    <w:tblStylePr w:type="band1Horz">
      <w:rPr>
        <w:rFonts w:ascii="Arial" w:hAnsi="Arial"/>
        <w:sz w:val="20"/>
      </w:rPr>
      <w:tblPr/>
      <w:tcPr>
        <w:shd w:val="clear" w:color="auto" w:fill="F2F2F2" w:themeFill="background1" w:themeFillShade="F2"/>
      </w:tcPr>
    </w:tblStylePr>
    <w:tblStylePr w:type="band2Horz">
      <w:rPr>
        <w:rFonts w:ascii="Arial" w:hAnsi="Arial"/>
        <w:sz w:val="20"/>
      </w:rPr>
    </w:tblStylePr>
  </w:style>
  <w:style w:type="paragraph" w:customStyle="1" w:styleId="Tableheading">
    <w:name w:val="Table heading"/>
    <w:basedOn w:val="ACMATableHeader"/>
    <w:next w:val="Paragraph"/>
    <w:uiPriority w:val="13"/>
    <w:qFormat/>
    <w:rsid w:val="0063346D"/>
    <w:pPr>
      <w:keepNext/>
      <w:spacing w:line="240" w:lineRule="atLeast"/>
    </w:pPr>
  </w:style>
  <w:style w:type="paragraph" w:customStyle="1" w:styleId="Tableorfigurenote">
    <w:name w:val="Table or figure note"/>
    <w:basedOn w:val="ACMANotes"/>
    <w:uiPriority w:val="17"/>
    <w:qFormat/>
    <w:rsid w:val="00930510"/>
    <w:pPr>
      <w:spacing w:after="240"/>
    </w:pPr>
  </w:style>
  <w:style w:type="paragraph" w:customStyle="1" w:styleId="Figureheading">
    <w:name w:val="Figure heading"/>
    <w:basedOn w:val="ACMAFigureHeader"/>
    <w:next w:val="Paragraph"/>
    <w:uiPriority w:val="16"/>
    <w:qFormat/>
    <w:rsid w:val="0063346D"/>
    <w:pPr>
      <w:keepNext/>
      <w:spacing w:line="240" w:lineRule="atLeast"/>
    </w:pPr>
  </w:style>
  <w:style w:type="paragraph" w:customStyle="1" w:styleId="Tableorfigurenotemultiple">
    <w:name w:val="Table or figure note multiple"/>
    <w:basedOn w:val="Tableorfigurenote"/>
    <w:uiPriority w:val="18"/>
    <w:qFormat/>
    <w:rsid w:val="00930510"/>
    <w:pPr>
      <w:spacing w:after="80"/>
    </w:pPr>
  </w:style>
  <w:style w:type="paragraph" w:styleId="BalloonText">
    <w:name w:val="Balloon Text"/>
    <w:basedOn w:val="Normal"/>
    <w:link w:val="BalloonTextChar"/>
    <w:semiHidden/>
    <w:unhideWhenUsed/>
    <w:rsid w:val="003933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3933E8"/>
    <w:rPr>
      <w:rFonts w:ascii="Segoe UI" w:hAnsi="Segoe UI" w:cs="Segoe UI"/>
      <w:sz w:val="18"/>
      <w:szCs w:val="18"/>
    </w:rPr>
  </w:style>
  <w:style w:type="paragraph" w:customStyle="1" w:styleId="Note">
    <w:name w:val="Note"/>
    <w:basedOn w:val="ACMANotes"/>
    <w:uiPriority w:val="23"/>
    <w:semiHidden/>
    <w:qFormat/>
    <w:rsid w:val="00D61243"/>
  </w:style>
  <w:style w:type="paragraph" w:customStyle="1" w:styleId="ACMABulletLevel1">
    <w:name w:val="ACMA Bullet Level 1"/>
    <w:rsid w:val="005C34EF"/>
    <w:pPr>
      <w:numPr>
        <w:numId w:val="10"/>
      </w:numPr>
      <w:tabs>
        <w:tab w:val="num" w:pos="-31680"/>
      </w:tabs>
      <w:spacing w:after="120"/>
    </w:pPr>
    <w:rPr>
      <w:szCs w:val="20"/>
      <w:lang w:eastAsia="en-US"/>
    </w:rPr>
  </w:style>
  <w:style w:type="paragraph" w:customStyle="1" w:styleId="Protectivemarking">
    <w:name w:val="Protective marking"/>
    <w:basedOn w:val="ACMABulletLevel1"/>
    <w:uiPriority w:val="99"/>
    <w:qFormat/>
    <w:rsid w:val="005C34EF"/>
    <w:pPr>
      <w:numPr>
        <w:numId w:val="0"/>
      </w:numPr>
      <w:tabs>
        <w:tab w:val="left" w:pos="720"/>
      </w:tabs>
      <w:spacing w:after="0"/>
      <w:jc w:val="center"/>
    </w:pPr>
    <w:rPr>
      <w:rFonts w:ascii="Arial" w:hAnsi="Arial" w:cs="Arial"/>
      <w:b/>
      <w:bCs/>
      <w:color w:val="FF0000"/>
      <w:sz w:val="32"/>
      <w:szCs w:val="24"/>
    </w:rPr>
  </w:style>
  <w:style w:type="character" w:customStyle="1" w:styleId="ListBulletChar">
    <w:name w:val="List Bullet Char"/>
    <w:aliases w:val="List Bullet 1 Char"/>
    <w:basedOn w:val="DefaultParagraphFont"/>
    <w:link w:val="ListBullet"/>
    <w:locked/>
    <w:rsid w:val="00D116EF"/>
    <w:rPr>
      <w:rFonts w:ascii="Arial" w:hAnsi="Arial"/>
      <w:sz w:val="20"/>
    </w:rPr>
  </w:style>
  <w:style w:type="table" w:styleId="ListTable3-Accent1">
    <w:name w:val="List Table 3 Accent 1"/>
    <w:basedOn w:val="TableNormal"/>
    <w:uiPriority w:val="48"/>
    <w:rsid w:val="008F63F2"/>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ListParagraph">
    <w:name w:val="List Paragraph"/>
    <w:aliases w:val="List Paragraph1,Recommendation"/>
    <w:basedOn w:val="Normal"/>
    <w:link w:val="ListParagraphChar"/>
    <w:uiPriority w:val="34"/>
    <w:qFormat/>
    <w:rsid w:val="00884EE0"/>
    <w:pPr>
      <w:ind w:left="720"/>
      <w:contextualSpacing/>
    </w:pPr>
  </w:style>
  <w:style w:type="paragraph" w:customStyle="1" w:styleId="paragraph0">
    <w:name w:val="paragraph"/>
    <w:basedOn w:val="Normal"/>
    <w:rsid w:val="00E8726C"/>
    <w:pPr>
      <w:spacing w:before="100" w:beforeAutospacing="1" w:after="100" w:afterAutospacing="1" w:line="240" w:lineRule="auto"/>
    </w:pPr>
    <w:rPr>
      <w:rFonts w:ascii="Times New Roman" w:hAnsi="Times New Roman"/>
      <w:sz w:val="24"/>
    </w:rPr>
  </w:style>
  <w:style w:type="character" w:customStyle="1" w:styleId="normaltextrun">
    <w:name w:val="normaltextrun"/>
    <w:basedOn w:val="DefaultParagraphFont"/>
    <w:rsid w:val="00E8726C"/>
  </w:style>
  <w:style w:type="character" w:customStyle="1" w:styleId="eop">
    <w:name w:val="eop"/>
    <w:basedOn w:val="DefaultParagraphFont"/>
    <w:rsid w:val="00E8726C"/>
  </w:style>
  <w:style w:type="paragraph" w:customStyle="1" w:styleId="acthead5">
    <w:name w:val="acthead5"/>
    <w:basedOn w:val="Normal"/>
    <w:rsid w:val="00B80B1E"/>
    <w:pPr>
      <w:spacing w:before="100" w:beforeAutospacing="1" w:after="100" w:afterAutospacing="1" w:line="240" w:lineRule="auto"/>
    </w:pPr>
    <w:rPr>
      <w:rFonts w:ascii="Times New Roman" w:hAnsi="Times New Roman"/>
      <w:sz w:val="24"/>
    </w:rPr>
  </w:style>
  <w:style w:type="character" w:customStyle="1" w:styleId="charsectno">
    <w:name w:val="charsectno"/>
    <w:basedOn w:val="DefaultParagraphFont"/>
    <w:rsid w:val="00B80B1E"/>
  </w:style>
  <w:style w:type="paragraph" w:customStyle="1" w:styleId="subsection">
    <w:name w:val="subsection"/>
    <w:basedOn w:val="Normal"/>
    <w:rsid w:val="00B80B1E"/>
    <w:pPr>
      <w:spacing w:before="100" w:beforeAutospacing="1" w:after="100" w:afterAutospacing="1" w:line="240" w:lineRule="auto"/>
    </w:pPr>
    <w:rPr>
      <w:rFonts w:ascii="Times New Roman" w:hAnsi="Times New Roman"/>
      <w:sz w:val="24"/>
    </w:rPr>
  </w:style>
  <w:style w:type="paragraph" w:styleId="NormalWeb">
    <w:name w:val="Normal (Web)"/>
    <w:basedOn w:val="Normal"/>
    <w:semiHidden/>
    <w:unhideWhenUsed/>
    <w:rsid w:val="00DA68C2"/>
    <w:pPr>
      <w:spacing w:before="100" w:beforeAutospacing="1" w:after="100" w:afterAutospacing="1" w:line="240" w:lineRule="auto"/>
    </w:pPr>
    <w:rPr>
      <w:rFonts w:ascii="Times New Roman" w:hAnsi="Times New Roman"/>
      <w:sz w:val="24"/>
    </w:rPr>
  </w:style>
  <w:style w:type="paragraph" w:styleId="Revision">
    <w:name w:val="Revision"/>
    <w:hidden/>
    <w:semiHidden/>
    <w:rsid w:val="00E85616"/>
    <w:rPr>
      <w:rFonts w:ascii="Arial" w:hAnsi="Arial"/>
      <w:sz w:val="20"/>
    </w:rPr>
  </w:style>
  <w:style w:type="paragraph" w:customStyle="1" w:styleId="ACMASpaceaftertable">
    <w:name w:val="ACMA_Space after table"/>
    <w:basedOn w:val="Normal"/>
    <w:qFormat/>
    <w:rsid w:val="008E3C6B"/>
    <w:rPr>
      <w:rFonts w:cs="Arial"/>
    </w:rPr>
  </w:style>
  <w:style w:type="character" w:customStyle="1" w:styleId="FootnoteTextChar">
    <w:name w:val="Footnote Text Char"/>
    <w:aliases w:val="Footnote text Char,ACMA Footnote Text Char,footnote text Char,Footnote Text Char1 Char,Footnote Text Char Char Char,Footnote Text Char1 Char Char Char,Footnote Text Char Char Char Char Char,Footnote Text Char1 Char Char Char Char Char"/>
    <w:basedOn w:val="DefaultParagraphFont"/>
    <w:link w:val="FootnoteText"/>
    <w:qFormat/>
    <w:rsid w:val="008E3C6B"/>
    <w:rPr>
      <w:rFonts w:ascii="Arial" w:hAnsi="Arial"/>
      <w:sz w:val="16"/>
      <w:szCs w:val="16"/>
    </w:rPr>
  </w:style>
  <w:style w:type="paragraph" w:customStyle="1" w:styleId="TableHeading0">
    <w:name w:val="Table Heading"/>
    <w:basedOn w:val="Normal"/>
    <w:qFormat/>
    <w:rsid w:val="008E3C6B"/>
    <w:pPr>
      <w:spacing w:after="0"/>
    </w:pPr>
    <w:rPr>
      <w:b/>
    </w:rPr>
  </w:style>
  <w:style w:type="paragraph" w:customStyle="1" w:styleId="ACMANumberedList">
    <w:name w:val="ACMA Numbered List"/>
    <w:rsid w:val="008E3C6B"/>
    <w:pPr>
      <w:numPr>
        <w:numId w:val="11"/>
      </w:numPr>
      <w:spacing w:before="20" w:after="20"/>
    </w:pPr>
    <w:rPr>
      <w:szCs w:val="20"/>
      <w:lang w:eastAsia="en-US"/>
    </w:rPr>
  </w:style>
  <w:style w:type="table" w:styleId="GridTable4">
    <w:name w:val="Grid Table 4"/>
    <w:basedOn w:val="TableNormal"/>
    <w:uiPriority w:val="49"/>
    <w:rsid w:val="008E3C6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Textform">
    <w:name w:val="TableText form"/>
    <w:basedOn w:val="Normal"/>
    <w:qFormat/>
    <w:rsid w:val="008E3C6B"/>
    <w:pPr>
      <w:spacing w:before="40" w:line="240" w:lineRule="auto"/>
    </w:pPr>
    <w:rPr>
      <w:rFonts w:eastAsiaTheme="majorEastAsia" w:cs="Arial"/>
      <w:bCs/>
      <w:szCs w:val="20"/>
      <w:lang w:eastAsia="en-US"/>
    </w:rPr>
  </w:style>
  <w:style w:type="character" w:customStyle="1" w:styleId="textrun">
    <w:name w:val="textrun"/>
    <w:basedOn w:val="DefaultParagraphFont"/>
    <w:rsid w:val="003835E9"/>
  </w:style>
  <w:style w:type="character" w:customStyle="1" w:styleId="ListParagraphChar">
    <w:name w:val="List Paragraph Char"/>
    <w:aliases w:val="List Paragraph1 Char,Recommendation Char"/>
    <w:basedOn w:val="DefaultParagraphFont"/>
    <w:link w:val="ListParagraph"/>
    <w:uiPriority w:val="34"/>
    <w:rsid w:val="00114259"/>
    <w:rPr>
      <w:rFonts w:ascii="Arial" w:hAnsi="Arial"/>
      <w:sz w:val="20"/>
    </w:rPr>
  </w:style>
  <w:style w:type="paragraph" w:customStyle="1" w:styleId="Default">
    <w:name w:val="Default"/>
    <w:rsid w:val="00B25CBF"/>
    <w:pPr>
      <w:autoSpaceDE w:val="0"/>
      <w:autoSpaceDN w:val="0"/>
      <w:adjustRightInd w:val="0"/>
    </w:pPr>
    <w:rPr>
      <w:color w:val="000000"/>
    </w:rPr>
  </w:style>
  <w:style w:type="table" w:customStyle="1" w:styleId="TableGrid1">
    <w:name w:val="Table Grid1"/>
    <w:basedOn w:val="TableNormal"/>
    <w:next w:val="TableGrid"/>
    <w:rsid w:val="0001218B"/>
    <w:pPr>
      <w:spacing w:after="284" w:line="240" w:lineRule="atLeas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7C5005"/>
    <w:pPr>
      <w:spacing w:after="284" w:line="240" w:lineRule="atLeas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Char">
    <w:name w:val="Paragraph Char"/>
    <w:basedOn w:val="DefaultParagraphFont"/>
    <w:link w:val="Paragraph"/>
    <w:locked/>
    <w:rsid w:val="007F40EF"/>
    <w:rPr>
      <w:rFonts w:ascii="Arial" w:hAnsi="Arial" w:cs="Arial"/>
      <w:sz w:val="20"/>
    </w:rPr>
  </w:style>
  <w:style w:type="character" w:styleId="Mention">
    <w:name w:val="Mention"/>
    <w:basedOn w:val="DefaultParagraphFont"/>
    <w:uiPriority w:val="99"/>
    <w:unhideWhenUsed/>
    <w:rsid w:val="005828D6"/>
    <w:rPr>
      <w:color w:val="2B579A"/>
      <w:shd w:val="clear" w:color="auto" w:fill="E1DFDD"/>
    </w:rPr>
  </w:style>
  <w:style w:type="paragraph" w:customStyle="1" w:styleId="ACMABodyText">
    <w:name w:val="ACMA Body Text"/>
    <w:rsid w:val="00AD11EC"/>
    <w:pPr>
      <w:suppressAutoHyphens/>
      <w:spacing w:before="80" w:after="120" w:line="280" w:lineRule="atLeast"/>
    </w:pPr>
    <w:rPr>
      <w:snapToGrid w:val="0"/>
      <w:szCs w:val="20"/>
      <w:lang w:eastAsia="en-US"/>
    </w:rPr>
  </w:style>
  <w:style w:type="paragraph" w:customStyle="1" w:styleId="Item">
    <w:name w:val="Item"/>
    <w:aliases w:val="i"/>
    <w:basedOn w:val="Normal"/>
    <w:next w:val="ItemHead"/>
    <w:rsid w:val="00CF2620"/>
    <w:pPr>
      <w:keepLines/>
      <w:spacing w:before="80" w:after="0" w:line="240" w:lineRule="auto"/>
      <w:ind w:left="709"/>
    </w:pPr>
    <w:rPr>
      <w:rFonts w:ascii="Times New Roman" w:hAnsi="Times New Roman"/>
      <w:sz w:val="22"/>
      <w:szCs w:val="20"/>
    </w:rPr>
  </w:style>
  <w:style w:type="paragraph" w:customStyle="1" w:styleId="ItemHead">
    <w:name w:val="ItemHead"/>
    <w:aliases w:val="ih"/>
    <w:basedOn w:val="Normal"/>
    <w:next w:val="Item"/>
    <w:rsid w:val="00CF2620"/>
    <w:pPr>
      <w:keepNext/>
      <w:keepLines/>
      <w:spacing w:before="220" w:after="0" w:line="240" w:lineRule="auto"/>
      <w:ind w:left="709" w:hanging="709"/>
    </w:pPr>
    <w:rPr>
      <w:b/>
      <w:kern w:val="28"/>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813674">
      <w:bodyDiv w:val="1"/>
      <w:marLeft w:val="0"/>
      <w:marRight w:val="0"/>
      <w:marTop w:val="0"/>
      <w:marBottom w:val="0"/>
      <w:divBdr>
        <w:top w:val="none" w:sz="0" w:space="0" w:color="auto"/>
        <w:left w:val="none" w:sz="0" w:space="0" w:color="auto"/>
        <w:bottom w:val="none" w:sz="0" w:space="0" w:color="auto"/>
        <w:right w:val="none" w:sz="0" w:space="0" w:color="auto"/>
      </w:divBdr>
    </w:div>
    <w:div w:id="332805874">
      <w:bodyDiv w:val="1"/>
      <w:marLeft w:val="0"/>
      <w:marRight w:val="0"/>
      <w:marTop w:val="0"/>
      <w:marBottom w:val="0"/>
      <w:divBdr>
        <w:top w:val="none" w:sz="0" w:space="0" w:color="auto"/>
        <w:left w:val="none" w:sz="0" w:space="0" w:color="auto"/>
        <w:bottom w:val="none" w:sz="0" w:space="0" w:color="auto"/>
        <w:right w:val="none" w:sz="0" w:space="0" w:color="auto"/>
      </w:divBdr>
    </w:div>
    <w:div w:id="533156252">
      <w:bodyDiv w:val="1"/>
      <w:marLeft w:val="0"/>
      <w:marRight w:val="0"/>
      <w:marTop w:val="0"/>
      <w:marBottom w:val="0"/>
      <w:divBdr>
        <w:top w:val="none" w:sz="0" w:space="0" w:color="auto"/>
        <w:left w:val="none" w:sz="0" w:space="0" w:color="auto"/>
        <w:bottom w:val="none" w:sz="0" w:space="0" w:color="auto"/>
        <w:right w:val="none" w:sz="0" w:space="0" w:color="auto"/>
      </w:divBdr>
    </w:div>
    <w:div w:id="576784553">
      <w:bodyDiv w:val="1"/>
      <w:marLeft w:val="0"/>
      <w:marRight w:val="0"/>
      <w:marTop w:val="0"/>
      <w:marBottom w:val="0"/>
      <w:divBdr>
        <w:top w:val="none" w:sz="0" w:space="0" w:color="auto"/>
        <w:left w:val="none" w:sz="0" w:space="0" w:color="auto"/>
        <w:bottom w:val="none" w:sz="0" w:space="0" w:color="auto"/>
        <w:right w:val="none" w:sz="0" w:space="0" w:color="auto"/>
      </w:divBdr>
    </w:div>
    <w:div w:id="587740142">
      <w:bodyDiv w:val="1"/>
      <w:marLeft w:val="0"/>
      <w:marRight w:val="0"/>
      <w:marTop w:val="0"/>
      <w:marBottom w:val="0"/>
      <w:divBdr>
        <w:top w:val="none" w:sz="0" w:space="0" w:color="auto"/>
        <w:left w:val="none" w:sz="0" w:space="0" w:color="auto"/>
        <w:bottom w:val="none" w:sz="0" w:space="0" w:color="auto"/>
        <w:right w:val="none" w:sz="0" w:space="0" w:color="auto"/>
      </w:divBdr>
    </w:div>
    <w:div w:id="694424619">
      <w:bodyDiv w:val="1"/>
      <w:marLeft w:val="0"/>
      <w:marRight w:val="0"/>
      <w:marTop w:val="0"/>
      <w:marBottom w:val="0"/>
      <w:divBdr>
        <w:top w:val="none" w:sz="0" w:space="0" w:color="auto"/>
        <w:left w:val="none" w:sz="0" w:space="0" w:color="auto"/>
        <w:bottom w:val="none" w:sz="0" w:space="0" w:color="auto"/>
        <w:right w:val="none" w:sz="0" w:space="0" w:color="auto"/>
      </w:divBdr>
      <w:divsChild>
        <w:div w:id="416944527">
          <w:marLeft w:val="0"/>
          <w:marRight w:val="0"/>
          <w:marTop w:val="0"/>
          <w:marBottom w:val="0"/>
          <w:divBdr>
            <w:top w:val="none" w:sz="0" w:space="0" w:color="auto"/>
            <w:left w:val="none" w:sz="0" w:space="0" w:color="auto"/>
            <w:bottom w:val="none" w:sz="0" w:space="0" w:color="auto"/>
            <w:right w:val="none" w:sz="0" w:space="0" w:color="auto"/>
          </w:divBdr>
        </w:div>
        <w:div w:id="578060116">
          <w:marLeft w:val="0"/>
          <w:marRight w:val="0"/>
          <w:marTop w:val="0"/>
          <w:marBottom w:val="0"/>
          <w:divBdr>
            <w:top w:val="none" w:sz="0" w:space="0" w:color="auto"/>
            <w:left w:val="none" w:sz="0" w:space="0" w:color="auto"/>
            <w:bottom w:val="none" w:sz="0" w:space="0" w:color="auto"/>
            <w:right w:val="none" w:sz="0" w:space="0" w:color="auto"/>
          </w:divBdr>
        </w:div>
        <w:div w:id="608780455">
          <w:marLeft w:val="0"/>
          <w:marRight w:val="0"/>
          <w:marTop w:val="0"/>
          <w:marBottom w:val="0"/>
          <w:divBdr>
            <w:top w:val="none" w:sz="0" w:space="0" w:color="auto"/>
            <w:left w:val="none" w:sz="0" w:space="0" w:color="auto"/>
            <w:bottom w:val="none" w:sz="0" w:space="0" w:color="auto"/>
            <w:right w:val="none" w:sz="0" w:space="0" w:color="auto"/>
          </w:divBdr>
        </w:div>
        <w:div w:id="1119496691">
          <w:marLeft w:val="0"/>
          <w:marRight w:val="0"/>
          <w:marTop w:val="0"/>
          <w:marBottom w:val="0"/>
          <w:divBdr>
            <w:top w:val="none" w:sz="0" w:space="0" w:color="auto"/>
            <w:left w:val="none" w:sz="0" w:space="0" w:color="auto"/>
            <w:bottom w:val="none" w:sz="0" w:space="0" w:color="auto"/>
            <w:right w:val="none" w:sz="0" w:space="0" w:color="auto"/>
          </w:divBdr>
        </w:div>
        <w:div w:id="1367410834">
          <w:marLeft w:val="0"/>
          <w:marRight w:val="0"/>
          <w:marTop w:val="0"/>
          <w:marBottom w:val="0"/>
          <w:divBdr>
            <w:top w:val="none" w:sz="0" w:space="0" w:color="auto"/>
            <w:left w:val="none" w:sz="0" w:space="0" w:color="auto"/>
            <w:bottom w:val="none" w:sz="0" w:space="0" w:color="auto"/>
            <w:right w:val="none" w:sz="0" w:space="0" w:color="auto"/>
          </w:divBdr>
        </w:div>
        <w:div w:id="1444424984">
          <w:marLeft w:val="0"/>
          <w:marRight w:val="0"/>
          <w:marTop w:val="0"/>
          <w:marBottom w:val="0"/>
          <w:divBdr>
            <w:top w:val="none" w:sz="0" w:space="0" w:color="auto"/>
            <w:left w:val="none" w:sz="0" w:space="0" w:color="auto"/>
            <w:bottom w:val="none" w:sz="0" w:space="0" w:color="auto"/>
            <w:right w:val="none" w:sz="0" w:space="0" w:color="auto"/>
          </w:divBdr>
        </w:div>
        <w:div w:id="1503660511">
          <w:marLeft w:val="0"/>
          <w:marRight w:val="0"/>
          <w:marTop w:val="0"/>
          <w:marBottom w:val="0"/>
          <w:divBdr>
            <w:top w:val="none" w:sz="0" w:space="0" w:color="auto"/>
            <w:left w:val="none" w:sz="0" w:space="0" w:color="auto"/>
            <w:bottom w:val="none" w:sz="0" w:space="0" w:color="auto"/>
            <w:right w:val="none" w:sz="0" w:space="0" w:color="auto"/>
          </w:divBdr>
        </w:div>
        <w:div w:id="1690713222">
          <w:marLeft w:val="0"/>
          <w:marRight w:val="0"/>
          <w:marTop w:val="0"/>
          <w:marBottom w:val="0"/>
          <w:divBdr>
            <w:top w:val="none" w:sz="0" w:space="0" w:color="auto"/>
            <w:left w:val="none" w:sz="0" w:space="0" w:color="auto"/>
            <w:bottom w:val="none" w:sz="0" w:space="0" w:color="auto"/>
            <w:right w:val="none" w:sz="0" w:space="0" w:color="auto"/>
          </w:divBdr>
          <w:divsChild>
            <w:div w:id="245923077">
              <w:marLeft w:val="0"/>
              <w:marRight w:val="0"/>
              <w:marTop w:val="0"/>
              <w:marBottom w:val="0"/>
              <w:divBdr>
                <w:top w:val="none" w:sz="0" w:space="0" w:color="auto"/>
                <w:left w:val="none" w:sz="0" w:space="0" w:color="auto"/>
                <w:bottom w:val="none" w:sz="0" w:space="0" w:color="auto"/>
                <w:right w:val="none" w:sz="0" w:space="0" w:color="auto"/>
              </w:divBdr>
            </w:div>
            <w:div w:id="1619871269">
              <w:marLeft w:val="0"/>
              <w:marRight w:val="0"/>
              <w:marTop w:val="0"/>
              <w:marBottom w:val="0"/>
              <w:divBdr>
                <w:top w:val="none" w:sz="0" w:space="0" w:color="auto"/>
                <w:left w:val="none" w:sz="0" w:space="0" w:color="auto"/>
                <w:bottom w:val="none" w:sz="0" w:space="0" w:color="auto"/>
                <w:right w:val="none" w:sz="0" w:space="0" w:color="auto"/>
              </w:divBdr>
            </w:div>
            <w:div w:id="1801531841">
              <w:marLeft w:val="0"/>
              <w:marRight w:val="0"/>
              <w:marTop w:val="0"/>
              <w:marBottom w:val="0"/>
              <w:divBdr>
                <w:top w:val="none" w:sz="0" w:space="0" w:color="auto"/>
                <w:left w:val="none" w:sz="0" w:space="0" w:color="auto"/>
                <w:bottom w:val="none" w:sz="0" w:space="0" w:color="auto"/>
                <w:right w:val="none" w:sz="0" w:space="0" w:color="auto"/>
              </w:divBdr>
            </w:div>
          </w:divsChild>
        </w:div>
        <w:div w:id="1861238743">
          <w:marLeft w:val="0"/>
          <w:marRight w:val="0"/>
          <w:marTop w:val="0"/>
          <w:marBottom w:val="0"/>
          <w:divBdr>
            <w:top w:val="none" w:sz="0" w:space="0" w:color="auto"/>
            <w:left w:val="none" w:sz="0" w:space="0" w:color="auto"/>
            <w:bottom w:val="none" w:sz="0" w:space="0" w:color="auto"/>
            <w:right w:val="none" w:sz="0" w:space="0" w:color="auto"/>
          </w:divBdr>
        </w:div>
        <w:div w:id="2120489875">
          <w:marLeft w:val="0"/>
          <w:marRight w:val="0"/>
          <w:marTop w:val="0"/>
          <w:marBottom w:val="0"/>
          <w:divBdr>
            <w:top w:val="none" w:sz="0" w:space="0" w:color="auto"/>
            <w:left w:val="none" w:sz="0" w:space="0" w:color="auto"/>
            <w:bottom w:val="none" w:sz="0" w:space="0" w:color="auto"/>
            <w:right w:val="none" w:sz="0" w:space="0" w:color="auto"/>
          </w:divBdr>
        </w:div>
      </w:divsChild>
    </w:div>
    <w:div w:id="696470233">
      <w:bodyDiv w:val="1"/>
      <w:marLeft w:val="0"/>
      <w:marRight w:val="0"/>
      <w:marTop w:val="0"/>
      <w:marBottom w:val="0"/>
      <w:divBdr>
        <w:top w:val="none" w:sz="0" w:space="0" w:color="auto"/>
        <w:left w:val="none" w:sz="0" w:space="0" w:color="auto"/>
        <w:bottom w:val="none" w:sz="0" w:space="0" w:color="auto"/>
        <w:right w:val="none" w:sz="0" w:space="0" w:color="auto"/>
      </w:divBdr>
      <w:divsChild>
        <w:div w:id="55015467">
          <w:marLeft w:val="446"/>
          <w:marRight w:val="0"/>
          <w:marTop w:val="0"/>
          <w:marBottom w:val="160"/>
          <w:divBdr>
            <w:top w:val="none" w:sz="0" w:space="0" w:color="auto"/>
            <w:left w:val="none" w:sz="0" w:space="0" w:color="auto"/>
            <w:bottom w:val="none" w:sz="0" w:space="0" w:color="auto"/>
            <w:right w:val="none" w:sz="0" w:space="0" w:color="auto"/>
          </w:divBdr>
        </w:div>
        <w:div w:id="164370854">
          <w:marLeft w:val="446"/>
          <w:marRight w:val="0"/>
          <w:marTop w:val="0"/>
          <w:marBottom w:val="160"/>
          <w:divBdr>
            <w:top w:val="none" w:sz="0" w:space="0" w:color="auto"/>
            <w:left w:val="none" w:sz="0" w:space="0" w:color="auto"/>
            <w:bottom w:val="none" w:sz="0" w:space="0" w:color="auto"/>
            <w:right w:val="none" w:sz="0" w:space="0" w:color="auto"/>
          </w:divBdr>
        </w:div>
      </w:divsChild>
    </w:div>
    <w:div w:id="988024754">
      <w:bodyDiv w:val="1"/>
      <w:marLeft w:val="0"/>
      <w:marRight w:val="0"/>
      <w:marTop w:val="0"/>
      <w:marBottom w:val="0"/>
      <w:divBdr>
        <w:top w:val="none" w:sz="0" w:space="0" w:color="auto"/>
        <w:left w:val="none" w:sz="0" w:space="0" w:color="auto"/>
        <w:bottom w:val="none" w:sz="0" w:space="0" w:color="auto"/>
        <w:right w:val="none" w:sz="0" w:space="0" w:color="auto"/>
      </w:divBdr>
      <w:divsChild>
        <w:div w:id="16657629">
          <w:marLeft w:val="0"/>
          <w:marRight w:val="0"/>
          <w:marTop w:val="0"/>
          <w:marBottom w:val="0"/>
          <w:divBdr>
            <w:top w:val="none" w:sz="0" w:space="0" w:color="auto"/>
            <w:left w:val="none" w:sz="0" w:space="0" w:color="auto"/>
            <w:bottom w:val="none" w:sz="0" w:space="0" w:color="auto"/>
            <w:right w:val="none" w:sz="0" w:space="0" w:color="auto"/>
          </w:divBdr>
        </w:div>
        <w:div w:id="116028152">
          <w:marLeft w:val="0"/>
          <w:marRight w:val="0"/>
          <w:marTop w:val="0"/>
          <w:marBottom w:val="0"/>
          <w:divBdr>
            <w:top w:val="none" w:sz="0" w:space="0" w:color="auto"/>
            <w:left w:val="none" w:sz="0" w:space="0" w:color="auto"/>
            <w:bottom w:val="none" w:sz="0" w:space="0" w:color="auto"/>
            <w:right w:val="none" w:sz="0" w:space="0" w:color="auto"/>
          </w:divBdr>
        </w:div>
        <w:div w:id="402871332">
          <w:marLeft w:val="0"/>
          <w:marRight w:val="0"/>
          <w:marTop w:val="0"/>
          <w:marBottom w:val="0"/>
          <w:divBdr>
            <w:top w:val="none" w:sz="0" w:space="0" w:color="auto"/>
            <w:left w:val="none" w:sz="0" w:space="0" w:color="auto"/>
            <w:bottom w:val="none" w:sz="0" w:space="0" w:color="auto"/>
            <w:right w:val="none" w:sz="0" w:space="0" w:color="auto"/>
          </w:divBdr>
          <w:divsChild>
            <w:div w:id="205873516">
              <w:marLeft w:val="0"/>
              <w:marRight w:val="0"/>
              <w:marTop w:val="0"/>
              <w:marBottom w:val="0"/>
              <w:divBdr>
                <w:top w:val="none" w:sz="0" w:space="0" w:color="auto"/>
                <w:left w:val="none" w:sz="0" w:space="0" w:color="auto"/>
                <w:bottom w:val="none" w:sz="0" w:space="0" w:color="auto"/>
                <w:right w:val="none" w:sz="0" w:space="0" w:color="auto"/>
              </w:divBdr>
            </w:div>
            <w:div w:id="1812671585">
              <w:marLeft w:val="0"/>
              <w:marRight w:val="0"/>
              <w:marTop w:val="0"/>
              <w:marBottom w:val="0"/>
              <w:divBdr>
                <w:top w:val="none" w:sz="0" w:space="0" w:color="auto"/>
                <w:left w:val="none" w:sz="0" w:space="0" w:color="auto"/>
                <w:bottom w:val="none" w:sz="0" w:space="0" w:color="auto"/>
                <w:right w:val="none" w:sz="0" w:space="0" w:color="auto"/>
              </w:divBdr>
            </w:div>
            <w:div w:id="2119179800">
              <w:marLeft w:val="0"/>
              <w:marRight w:val="0"/>
              <w:marTop w:val="0"/>
              <w:marBottom w:val="0"/>
              <w:divBdr>
                <w:top w:val="none" w:sz="0" w:space="0" w:color="auto"/>
                <w:left w:val="none" w:sz="0" w:space="0" w:color="auto"/>
                <w:bottom w:val="none" w:sz="0" w:space="0" w:color="auto"/>
                <w:right w:val="none" w:sz="0" w:space="0" w:color="auto"/>
              </w:divBdr>
            </w:div>
          </w:divsChild>
        </w:div>
        <w:div w:id="816453933">
          <w:marLeft w:val="0"/>
          <w:marRight w:val="0"/>
          <w:marTop w:val="0"/>
          <w:marBottom w:val="0"/>
          <w:divBdr>
            <w:top w:val="none" w:sz="0" w:space="0" w:color="auto"/>
            <w:left w:val="none" w:sz="0" w:space="0" w:color="auto"/>
            <w:bottom w:val="none" w:sz="0" w:space="0" w:color="auto"/>
            <w:right w:val="none" w:sz="0" w:space="0" w:color="auto"/>
          </w:divBdr>
        </w:div>
        <w:div w:id="1066150871">
          <w:marLeft w:val="0"/>
          <w:marRight w:val="0"/>
          <w:marTop w:val="0"/>
          <w:marBottom w:val="0"/>
          <w:divBdr>
            <w:top w:val="none" w:sz="0" w:space="0" w:color="auto"/>
            <w:left w:val="none" w:sz="0" w:space="0" w:color="auto"/>
            <w:bottom w:val="none" w:sz="0" w:space="0" w:color="auto"/>
            <w:right w:val="none" w:sz="0" w:space="0" w:color="auto"/>
          </w:divBdr>
        </w:div>
        <w:div w:id="1264536438">
          <w:marLeft w:val="0"/>
          <w:marRight w:val="0"/>
          <w:marTop w:val="0"/>
          <w:marBottom w:val="0"/>
          <w:divBdr>
            <w:top w:val="none" w:sz="0" w:space="0" w:color="auto"/>
            <w:left w:val="none" w:sz="0" w:space="0" w:color="auto"/>
            <w:bottom w:val="none" w:sz="0" w:space="0" w:color="auto"/>
            <w:right w:val="none" w:sz="0" w:space="0" w:color="auto"/>
          </w:divBdr>
          <w:divsChild>
            <w:div w:id="576131682">
              <w:marLeft w:val="-75"/>
              <w:marRight w:val="0"/>
              <w:marTop w:val="30"/>
              <w:marBottom w:val="30"/>
              <w:divBdr>
                <w:top w:val="none" w:sz="0" w:space="0" w:color="auto"/>
                <w:left w:val="none" w:sz="0" w:space="0" w:color="auto"/>
                <w:bottom w:val="none" w:sz="0" w:space="0" w:color="auto"/>
                <w:right w:val="none" w:sz="0" w:space="0" w:color="auto"/>
              </w:divBdr>
              <w:divsChild>
                <w:div w:id="150676904">
                  <w:marLeft w:val="0"/>
                  <w:marRight w:val="0"/>
                  <w:marTop w:val="0"/>
                  <w:marBottom w:val="0"/>
                  <w:divBdr>
                    <w:top w:val="none" w:sz="0" w:space="0" w:color="auto"/>
                    <w:left w:val="none" w:sz="0" w:space="0" w:color="auto"/>
                    <w:bottom w:val="none" w:sz="0" w:space="0" w:color="auto"/>
                    <w:right w:val="none" w:sz="0" w:space="0" w:color="auto"/>
                  </w:divBdr>
                  <w:divsChild>
                    <w:div w:id="948387678">
                      <w:marLeft w:val="0"/>
                      <w:marRight w:val="0"/>
                      <w:marTop w:val="0"/>
                      <w:marBottom w:val="0"/>
                      <w:divBdr>
                        <w:top w:val="none" w:sz="0" w:space="0" w:color="auto"/>
                        <w:left w:val="none" w:sz="0" w:space="0" w:color="auto"/>
                        <w:bottom w:val="none" w:sz="0" w:space="0" w:color="auto"/>
                        <w:right w:val="none" w:sz="0" w:space="0" w:color="auto"/>
                      </w:divBdr>
                    </w:div>
                  </w:divsChild>
                </w:div>
                <w:div w:id="357782482">
                  <w:marLeft w:val="0"/>
                  <w:marRight w:val="0"/>
                  <w:marTop w:val="0"/>
                  <w:marBottom w:val="0"/>
                  <w:divBdr>
                    <w:top w:val="none" w:sz="0" w:space="0" w:color="auto"/>
                    <w:left w:val="none" w:sz="0" w:space="0" w:color="auto"/>
                    <w:bottom w:val="none" w:sz="0" w:space="0" w:color="auto"/>
                    <w:right w:val="none" w:sz="0" w:space="0" w:color="auto"/>
                  </w:divBdr>
                  <w:divsChild>
                    <w:div w:id="1349402679">
                      <w:marLeft w:val="0"/>
                      <w:marRight w:val="0"/>
                      <w:marTop w:val="0"/>
                      <w:marBottom w:val="0"/>
                      <w:divBdr>
                        <w:top w:val="none" w:sz="0" w:space="0" w:color="auto"/>
                        <w:left w:val="none" w:sz="0" w:space="0" w:color="auto"/>
                        <w:bottom w:val="none" w:sz="0" w:space="0" w:color="auto"/>
                        <w:right w:val="none" w:sz="0" w:space="0" w:color="auto"/>
                      </w:divBdr>
                    </w:div>
                  </w:divsChild>
                </w:div>
                <w:div w:id="446051230">
                  <w:marLeft w:val="0"/>
                  <w:marRight w:val="0"/>
                  <w:marTop w:val="0"/>
                  <w:marBottom w:val="0"/>
                  <w:divBdr>
                    <w:top w:val="none" w:sz="0" w:space="0" w:color="auto"/>
                    <w:left w:val="none" w:sz="0" w:space="0" w:color="auto"/>
                    <w:bottom w:val="none" w:sz="0" w:space="0" w:color="auto"/>
                    <w:right w:val="none" w:sz="0" w:space="0" w:color="auto"/>
                  </w:divBdr>
                  <w:divsChild>
                    <w:div w:id="972713515">
                      <w:marLeft w:val="0"/>
                      <w:marRight w:val="0"/>
                      <w:marTop w:val="0"/>
                      <w:marBottom w:val="0"/>
                      <w:divBdr>
                        <w:top w:val="none" w:sz="0" w:space="0" w:color="auto"/>
                        <w:left w:val="none" w:sz="0" w:space="0" w:color="auto"/>
                        <w:bottom w:val="none" w:sz="0" w:space="0" w:color="auto"/>
                        <w:right w:val="none" w:sz="0" w:space="0" w:color="auto"/>
                      </w:divBdr>
                    </w:div>
                  </w:divsChild>
                </w:div>
                <w:div w:id="819148945">
                  <w:marLeft w:val="0"/>
                  <w:marRight w:val="0"/>
                  <w:marTop w:val="0"/>
                  <w:marBottom w:val="0"/>
                  <w:divBdr>
                    <w:top w:val="none" w:sz="0" w:space="0" w:color="auto"/>
                    <w:left w:val="none" w:sz="0" w:space="0" w:color="auto"/>
                    <w:bottom w:val="none" w:sz="0" w:space="0" w:color="auto"/>
                    <w:right w:val="none" w:sz="0" w:space="0" w:color="auto"/>
                  </w:divBdr>
                  <w:divsChild>
                    <w:div w:id="1023673212">
                      <w:marLeft w:val="0"/>
                      <w:marRight w:val="0"/>
                      <w:marTop w:val="0"/>
                      <w:marBottom w:val="0"/>
                      <w:divBdr>
                        <w:top w:val="none" w:sz="0" w:space="0" w:color="auto"/>
                        <w:left w:val="none" w:sz="0" w:space="0" w:color="auto"/>
                        <w:bottom w:val="none" w:sz="0" w:space="0" w:color="auto"/>
                        <w:right w:val="none" w:sz="0" w:space="0" w:color="auto"/>
                      </w:divBdr>
                    </w:div>
                  </w:divsChild>
                </w:div>
                <w:div w:id="834414913">
                  <w:marLeft w:val="0"/>
                  <w:marRight w:val="0"/>
                  <w:marTop w:val="0"/>
                  <w:marBottom w:val="0"/>
                  <w:divBdr>
                    <w:top w:val="none" w:sz="0" w:space="0" w:color="auto"/>
                    <w:left w:val="none" w:sz="0" w:space="0" w:color="auto"/>
                    <w:bottom w:val="none" w:sz="0" w:space="0" w:color="auto"/>
                    <w:right w:val="none" w:sz="0" w:space="0" w:color="auto"/>
                  </w:divBdr>
                  <w:divsChild>
                    <w:div w:id="1138105687">
                      <w:marLeft w:val="0"/>
                      <w:marRight w:val="0"/>
                      <w:marTop w:val="0"/>
                      <w:marBottom w:val="0"/>
                      <w:divBdr>
                        <w:top w:val="none" w:sz="0" w:space="0" w:color="auto"/>
                        <w:left w:val="none" w:sz="0" w:space="0" w:color="auto"/>
                        <w:bottom w:val="none" w:sz="0" w:space="0" w:color="auto"/>
                        <w:right w:val="none" w:sz="0" w:space="0" w:color="auto"/>
                      </w:divBdr>
                    </w:div>
                  </w:divsChild>
                </w:div>
                <w:div w:id="901258088">
                  <w:marLeft w:val="0"/>
                  <w:marRight w:val="0"/>
                  <w:marTop w:val="0"/>
                  <w:marBottom w:val="0"/>
                  <w:divBdr>
                    <w:top w:val="none" w:sz="0" w:space="0" w:color="auto"/>
                    <w:left w:val="none" w:sz="0" w:space="0" w:color="auto"/>
                    <w:bottom w:val="none" w:sz="0" w:space="0" w:color="auto"/>
                    <w:right w:val="none" w:sz="0" w:space="0" w:color="auto"/>
                  </w:divBdr>
                  <w:divsChild>
                    <w:div w:id="1754664362">
                      <w:marLeft w:val="0"/>
                      <w:marRight w:val="0"/>
                      <w:marTop w:val="0"/>
                      <w:marBottom w:val="0"/>
                      <w:divBdr>
                        <w:top w:val="none" w:sz="0" w:space="0" w:color="auto"/>
                        <w:left w:val="none" w:sz="0" w:space="0" w:color="auto"/>
                        <w:bottom w:val="none" w:sz="0" w:space="0" w:color="auto"/>
                        <w:right w:val="none" w:sz="0" w:space="0" w:color="auto"/>
                      </w:divBdr>
                    </w:div>
                  </w:divsChild>
                </w:div>
                <w:div w:id="1242449531">
                  <w:marLeft w:val="0"/>
                  <w:marRight w:val="0"/>
                  <w:marTop w:val="0"/>
                  <w:marBottom w:val="0"/>
                  <w:divBdr>
                    <w:top w:val="none" w:sz="0" w:space="0" w:color="auto"/>
                    <w:left w:val="none" w:sz="0" w:space="0" w:color="auto"/>
                    <w:bottom w:val="none" w:sz="0" w:space="0" w:color="auto"/>
                    <w:right w:val="none" w:sz="0" w:space="0" w:color="auto"/>
                  </w:divBdr>
                  <w:divsChild>
                    <w:div w:id="736974265">
                      <w:marLeft w:val="0"/>
                      <w:marRight w:val="0"/>
                      <w:marTop w:val="0"/>
                      <w:marBottom w:val="0"/>
                      <w:divBdr>
                        <w:top w:val="none" w:sz="0" w:space="0" w:color="auto"/>
                        <w:left w:val="none" w:sz="0" w:space="0" w:color="auto"/>
                        <w:bottom w:val="none" w:sz="0" w:space="0" w:color="auto"/>
                        <w:right w:val="none" w:sz="0" w:space="0" w:color="auto"/>
                      </w:divBdr>
                    </w:div>
                  </w:divsChild>
                </w:div>
                <w:div w:id="1378161831">
                  <w:marLeft w:val="0"/>
                  <w:marRight w:val="0"/>
                  <w:marTop w:val="0"/>
                  <w:marBottom w:val="0"/>
                  <w:divBdr>
                    <w:top w:val="none" w:sz="0" w:space="0" w:color="auto"/>
                    <w:left w:val="none" w:sz="0" w:space="0" w:color="auto"/>
                    <w:bottom w:val="none" w:sz="0" w:space="0" w:color="auto"/>
                    <w:right w:val="none" w:sz="0" w:space="0" w:color="auto"/>
                  </w:divBdr>
                  <w:divsChild>
                    <w:div w:id="1823617400">
                      <w:marLeft w:val="0"/>
                      <w:marRight w:val="0"/>
                      <w:marTop w:val="0"/>
                      <w:marBottom w:val="0"/>
                      <w:divBdr>
                        <w:top w:val="none" w:sz="0" w:space="0" w:color="auto"/>
                        <w:left w:val="none" w:sz="0" w:space="0" w:color="auto"/>
                        <w:bottom w:val="none" w:sz="0" w:space="0" w:color="auto"/>
                        <w:right w:val="none" w:sz="0" w:space="0" w:color="auto"/>
                      </w:divBdr>
                    </w:div>
                  </w:divsChild>
                </w:div>
                <w:div w:id="1531723389">
                  <w:marLeft w:val="0"/>
                  <w:marRight w:val="0"/>
                  <w:marTop w:val="0"/>
                  <w:marBottom w:val="0"/>
                  <w:divBdr>
                    <w:top w:val="none" w:sz="0" w:space="0" w:color="auto"/>
                    <w:left w:val="none" w:sz="0" w:space="0" w:color="auto"/>
                    <w:bottom w:val="none" w:sz="0" w:space="0" w:color="auto"/>
                    <w:right w:val="none" w:sz="0" w:space="0" w:color="auto"/>
                  </w:divBdr>
                  <w:divsChild>
                    <w:div w:id="1549685248">
                      <w:marLeft w:val="0"/>
                      <w:marRight w:val="0"/>
                      <w:marTop w:val="0"/>
                      <w:marBottom w:val="0"/>
                      <w:divBdr>
                        <w:top w:val="none" w:sz="0" w:space="0" w:color="auto"/>
                        <w:left w:val="none" w:sz="0" w:space="0" w:color="auto"/>
                        <w:bottom w:val="none" w:sz="0" w:space="0" w:color="auto"/>
                        <w:right w:val="none" w:sz="0" w:space="0" w:color="auto"/>
                      </w:divBdr>
                    </w:div>
                  </w:divsChild>
                </w:div>
                <w:div w:id="1544098262">
                  <w:marLeft w:val="0"/>
                  <w:marRight w:val="0"/>
                  <w:marTop w:val="0"/>
                  <w:marBottom w:val="0"/>
                  <w:divBdr>
                    <w:top w:val="none" w:sz="0" w:space="0" w:color="auto"/>
                    <w:left w:val="none" w:sz="0" w:space="0" w:color="auto"/>
                    <w:bottom w:val="none" w:sz="0" w:space="0" w:color="auto"/>
                    <w:right w:val="none" w:sz="0" w:space="0" w:color="auto"/>
                  </w:divBdr>
                  <w:divsChild>
                    <w:div w:id="24795371">
                      <w:marLeft w:val="0"/>
                      <w:marRight w:val="0"/>
                      <w:marTop w:val="0"/>
                      <w:marBottom w:val="0"/>
                      <w:divBdr>
                        <w:top w:val="none" w:sz="0" w:space="0" w:color="auto"/>
                        <w:left w:val="none" w:sz="0" w:space="0" w:color="auto"/>
                        <w:bottom w:val="none" w:sz="0" w:space="0" w:color="auto"/>
                        <w:right w:val="none" w:sz="0" w:space="0" w:color="auto"/>
                      </w:divBdr>
                    </w:div>
                  </w:divsChild>
                </w:div>
                <w:div w:id="1553272945">
                  <w:marLeft w:val="0"/>
                  <w:marRight w:val="0"/>
                  <w:marTop w:val="0"/>
                  <w:marBottom w:val="0"/>
                  <w:divBdr>
                    <w:top w:val="none" w:sz="0" w:space="0" w:color="auto"/>
                    <w:left w:val="none" w:sz="0" w:space="0" w:color="auto"/>
                    <w:bottom w:val="none" w:sz="0" w:space="0" w:color="auto"/>
                    <w:right w:val="none" w:sz="0" w:space="0" w:color="auto"/>
                  </w:divBdr>
                  <w:divsChild>
                    <w:div w:id="1815828118">
                      <w:marLeft w:val="0"/>
                      <w:marRight w:val="0"/>
                      <w:marTop w:val="0"/>
                      <w:marBottom w:val="0"/>
                      <w:divBdr>
                        <w:top w:val="none" w:sz="0" w:space="0" w:color="auto"/>
                        <w:left w:val="none" w:sz="0" w:space="0" w:color="auto"/>
                        <w:bottom w:val="none" w:sz="0" w:space="0" w:color="auto"/>
                        <w:right w:val="none" w:sz="0" w:space="0" w:color="auto"/>
                      </w:divBdr>
                    </w:div>
                  </w:divsChild>
                </w:div>
                <w:div w:id="1576937049">
                  <w:marLeft w:val="0"/>
                  <w:marRight w:val="0"/>
                  <w:marTop w:val="0"/>
                  <w:marBottom w:val="0"/>
                  <w:divBdr>
                    <w:top w:val="none" w:sz="0" w:space="0" w:color="auto"/>
                    <w:left w:val="none" w:sz="0" w:space="0" w:color="auto"/>
                    <w:bottom w:val="none" w:sz="0" w:space="0" w:color="auto"/>
                    <w:right w:val="none" w:sz="0" w:space="0" w:color="auto"/>
                  </w:divBdr>
                  <w:divsChild>
                    <w:div w:id="1921063516">
                      <w:marLeft w:val="0"/>
                      <w:marRight w:val="0"/>
                      <w:marTop w:val="0"/>
                      <w:marBottom w:val="0"/>
                      <w:divBdr>
                        <w:top w:val="none" w:sz="0" w:space="0" w:color="auto"/>
                        <w:left w:val="none" w:sz="0" w:space="0" w:color="auto"/>
                        <w:bottom w:val="none" w:sz="0" w:space="0" w:color="auto"/>
                        <w:right w:val="none" w:sz="0" w:space="0" w:color="auto"/>
                      </w:divBdr>
                    </w:div>
                  </w:divsChild>
                </w:div>
                <w:div w:id="1631981612">
                  <w:marLeft w:val="0"/>
                  <w:marRight w:val="0"/>
                  <w:marTop w:val="0"/>
                  <w:marBottom w:val="0"/>
                  <w:divBdr>
                    <w:top w:val="none" w:sz="0" w:space="0" w:color="auto"/>
                    <w:left w:val="none" w:sz="0" w:space="0" w:color="auto"/>
                    <w:bottom w:val="none" w:sz="0" w:space="0" w:color="auto"/>
                    <w:right w:val="none" w:sz="0" w:space="0" w:color="auto"/>
                  </w:divBdr>
                  <w:divsChild>
                    <w:div w:id="1171797919">
                      <w:marLeft w:val="0"/>
                      <w:marRight w:val="0"/>
                      <w:marTop w:val="0"/>
                      <w:marBottom w:val="0"/>
                      <w:divBdr>
                        <w:top w:val="none" w:sz="0" w:space="0" w:color="auto"/>
                        <w:left w:val="none" w:sz="0" w:space="0" w:color="auto"/>
                        <w:bottom w:val="none" w:sz="0" w:space="0" w:color="auto"/>
                        <w:right w:val="none" w:sz="0" w:space="0" w:color="auto"/>
                      </w:divBdr>
                    </w:div>
                  </w:divsChild>
                </w:div>
                <w:div w:id="1709522524">
                  <w:marLeft w:val="0"/>
                  <w:marRight w:val="0"/>
                  <w:marTop w:val="0"/>
                  <w:marBottom w:val="0"/>
                  <w:divBdr>
                    <w:top w:val="none" w:sz="0" w:space="0" w:color="auto"/>
                    <w:left w:val="none" w:sz="0" w:space="0" w:color="auto"/>
                    <w:bottom w:val="none" w:sz="0" w:space="0" w:color="auto"/>
                    <w:right w:val="none" w:sz="0" w:space="0" w:color="auto"/>
                  </w:divBdr>
                  <w:divsChild>
                    <w:div w:id="1292201861">
                      <w:marLeft w:val="0"/>
                      <w:marRight w:val="0"/>
                      <w:marTop w:val="0"/>
                      <w:marBottom w:val="0"/>
                      <w:divBdr>
                        <w:top w:val="none" w:sz="0" w:space="0" w:color="auto"/>
                        <w:left w:val="none" w:sz="0" w:space="0" w:color="auto"/>
                        <w:bottom w:val="none" w:sz="0" w:space="0" w:color="auto"/>
                        <w:right w:val="none" w:sz="0" w:space="0" w:color="auto"/>
                      </w:divBdr>
                    </w:div>
                  </w:divsChild>
                </w:div>
                <w:div w:id="1723290342">
                  <w:marLeft w:val="0"/>
                  <w:marRight w:val="0"/>
                  <w:marTop w:val="0"/>
                  <w:marBottom w:val="0"/>
                  <w:divBdr>
                    <w:top w:val="none" w:sz="0" w:space="0" w:color="auto"/>
                    <w:left w:val="none" w:sz="0" w:space="0" w:color="auto"/>
                    <w:bottom w:val="none" w:sz="0" w:space="0" w:color="auto"/>
                    <w:right w:val="none" w:sz="0" w:space="0" w:color="auto"/>
                  </w:divBdr>
                  <w:divsChild>
                    <w:div w:id="1279722208">
                      <w:marLeft w:val="0"/>
                      <w:marRight w:val="0"/>
                      <w:marTop w:val="0"/>
                      <w:marBottom w:val="0"/>
                      <w:divBdr>
                        <w:top w:val="none" w:sz="0" w:space="0" w:color="auto"/>
                        <w:left w:val="none" w:sz="0" w:space="0" w:color="auto"/>
                        <w:bottom w:val="none" w:sz="0" w:space="0" w:color="auto"/>
                        <w:right w:val="none" w:sz="0" w:space="0" w:color="auto"/>
                      </w:divBdr>
                    </w:div>
                  </w:divsChild>
                </w:div>
                <w:div w:id="1815021047">
                  <w:marLeft w:val="0"/>
                  <w:marRight w:val="0"/>
                  <w:marTop w:val="0"/>
                  <w:marBottom w:val="0"/>
                  <w:divBdr>
                    <w:top w:val="none" w:sz="0" w:space="0" w:color="auto"/>
                    <w:left w:val="none" w:sz="0" w:space="0" w:color="auto"/>
                    <w:bottom w:val="none" w:sz="0" w:space="0" w:color="auto"/>
                    <w:right w:val="none" w:sz="0" w:space="0" w:color="auto"/>
                  </w:divBdr>
                  <w:divsChild>
                    <w:div w:id="1777288019">
                      <w:marLeft w:val="0"/>
                      <w:marRight w:val="0"/>
                      <w:marTop w:val="0"/>
                      <w:marBottom w:val="0"/>
                      <w:divBdr>
                        <w:top w:val="none" w:sz="0" w:space="0" w:color="auto"/>
                        <w:left w:val="none" w:sz="0" w:space="0" w:color="auto"/>
                        <w:bottom w:val="none" w:sz="0" w:space="0" w:color="auto"/>
                        <w:right w:val="none" w:sz="0" w:space="0" w:color="auto"/>
                      </w:divBdr>
                    </w:div>
                  </w:divsChild>
                </w:div>
                <w:div w:id="1946577098">
                  <w:marLeft w:val="0"/>
                  <w:marRight w:val="0"/>
                  <w:marTop w:val="0"/>
                  <w:marBottom w:val="0"/>
                  <w:divBdr>
                    <w:top w:val="none" w:sz="0" w:space="0" w:color="auto"/>
                    <w:left w:val="none" w:sz="0" w:space="0" w:color="auto"/>
                    <w:bottom w:val="none" w:sz="0" w:space="0" w:color="auto"/>
                    <w:right w:val="none" w:sz="0" w:space="0" w:color="auto"/>
                  </w:divBdr>
                  <w:divsChild>
                    <w:div w:id="1394817538">
                      <w:marLeft w:val="0"/>
                      <w:marRight w:val="0"/>
                      <w:marTop w:val="0"/>
                      <w:marBottom w:val="0"/>
                      <w:divBdr>
                        <w:top w:val="none" w:sz="0" w:space="0" w:color="auto"/>
                        <w:left w:val="none" w:sz="0" w:space="0" w:color="auto"/>
                        <w:bottom w:val="none" w:sz="0" w:space="0" w:color="auto"/>
                        <w:right w:val="none" w:sz="0" w:space="0" w:color="auto"/>
                      </w:divBdr>
                    </w:div>
                  </w:divsChild>
                </w:div>
                <w:div w:id="1965916091">
                  <w:marLeft w:val="0"/>
                  <w:marRight w:val="0"/>
                  <w:marTop w:val="0"/>
                  <w:marBottom w:val="0"/>
                  <w:divBdr>
                    <w:top w:val="none" w:sz="0" w:space="0" w:color="auto"/>
                    <w:left w:val="none" w:sz="0" w:space="0" w:color="auto"/>
                    <w:bottom w:val="none" w:sz="0" w:space="0" w:color="auto"/>
                    <w:right w:val="none" w:sz="0" w:space="0" w:color="auto"/>
                  </w:divBdr>
                  <w:divsChild>
                    <w:div w:id="910969340">
                      <w:marLeft w:val="0"/>
                      <w:marRight w:val="0"/>
                      <w:marTop w:val="0"/>
                      <w:marBottom w:val="0"/>
                      <w:divBdr>
                        <w:top w:val="none" w:sz="0" w:space="0" w:color="auto"/>
                        <w:left w:val="none" w:sz="0" w:space="0" w:color="auto"/>
                        <w:bottom w:val="none" w:sz="0" w:space="0" w:color="auto"/>
                        <w:right w:val="none" w:sz="0" w:space="0" w:color="auto"/>
                      </w:divBdr>
                    </w:div>
                  </w:divsChild>
                </w:div>
                <w:div w:id="1971549571">
                  <w:marLeft w:val="0"/>
                  <w:marRight w:val="0"/>
                  <w:marTop w:val="0"/>
                  <w:marBottom w:val="0"/>
                  <w:divBdr>
                    <w:top w:val="none" w:sz="0" w:space="0" w:color="auto"/>
                    <w:left w:val="none" w:sz="0" w:space="0" w:color="auto"/>
                    <w:bottom w:val="none" w:sz="0" w:space="0" w:color="auto"/>
                    <w:right w:val="none" w:sz="0" w:space="0" w:color="auto"/>
                  </w:divBdr>
                  <w:divsChild>
                    <w:div w:id="1789622907">
                      <w:marLeft w:val="0"/>
                      <w:marRight w:val="0"/>
                      <w:marTop w:val="0"/>
                      <w:marBottom w:val="0"/>
                      <w:divBdr>
                        <w:top w:val="none" w:sz="0" w:space="0" w:color="auto"/>
                        <w:left w:val="none" w:sz="0" w:space="0" w:color="auto"/>
                        <w:bottom w:val="none" w:sz="0" w:space="0" w:color="auto"/>
                        <w:right w:val="none" w:sz="0" w:space="0" w:color="auto"/>
                      </w:divBdr>
                    </w:div>
                  </w:divsChild>
                </w:div>
                <w:div w:id="2016682499">
                  <w:marLeft w:val="0"/>
                  <w:marRight w:val="0"/>
                  <w:marTop w:val="0"/>
                  <w:marBottom w:val="0"/>
                  <w:divBdr>
                    <w:top w:val="none" w:sz="0" w:space="0" w:color="auto"/>
                    <w:left w:val="none" w:sz="0" w:space="0" w:color="auto"/>
                    <w:bottom w:val="none" w:sz="0" w:space="0" w:color="auto"/>
                    <w:right w:val="none" w:sz="0" w:space="0" w:color="auto"/>
                  </w:divBdr>
                  <w:divsChild>
                    <w:div w:id="1687050156">
                      <w:marLeft w:val="0"/>
                      <w:marRight w:val="0"/>
                      <w:marTop w:val="0"/>
                      <w:marBottom w:val="0"/>
                      <w:divBdr>
                        <w:top w:val="none" w:sz="0" w:space="0" w:color="auto"/>
                        <w:left w:val="none" w:sz="0" w:space="0" w:color="auto"/>
                        <w:bottom w:val="none" w:sz="0" w:space="0" w:color="auto"/>
                        <w:right w:val="none" w:sz="0" w:space="0" w:color="auto"/>
                      </w:divBdr>
                    </w:div>
                  </w:divsChild>
                </w:div>
                <w:div w:id="2021851587">
                  <w:marLeft w:val="0"/>
                  <w:marRight w:val="0"/>
                  <w:marTop w:val="0"/>
                  <w:marBottom w:val="0"/>
                  <w:divBdr>
                    <w:top w:val="none" w:sz="0" w:space="0" w:color="auto"/>
                    <w:left w:val="none" w:sz="0" w:space="0" w:color="auto"/>
                    <w:bottom w:val="none" w:sz="0" w:space="0" w:color="auto"/>
                    <w:right w:val="none" w:sz="0" w:space="0" w:color="auto"/>
                  </w:divBdr>
                  <w:divsChild>
                    <w:div w:id="152027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438029">
          <w:marLeft w:val="0"/>
          <w:marRight w:val="0"/>
          <w:marTop w:val="0"/>
          <w:marBottom w:val="0"/>
          <w:divBdr>
            <w:top w:val="none" w:sz="0" w:space="0" w:color="auto"/>
            <w:left w:val="none" w:sz="0" w:space="0" w:color="auto"/>
            <w:bottom w:val="none" w:sz="0" w:space="0" w:color="auto"/>
            <w:right w:val="none" w:sz="0" w:space="0" w:color="auto"/>
          </w:divBdr>
        </w:div>
        <w:div w:id="1990747325">
          <w:marLeft w:val="0"/>
          <w:marRight w:val="0"/>
          <w:marTop w:val="0"/>
          <w:marBottom w:val="0"/>
          <w:divBdr>
            <w:top w:val="none" w:sz="0" w:space="0" w:color="auto"/>
            <w:left w:val="none" w:sz="0" w:space="0" w:color="auto"/>
            <w:bottom w:val="none" w:sz="0" w:space="0" w:color="auto"/>
            <w:right w:val="none" w:sz="0" w:space="0" w:color="auto"/>
          </w:divBdr>
        </w:div>
      </w:divsChild>
    </w:div>
    <w:div w:id="1030691675">
      <w:bodyDiv w:val="1"/>
      <w:marLeft w:val="0"/>
      <w:marRight w:val="0"/>
      <w:marTop w:val="0"/>
      <w:marBottom w:val="0"/>
      <w:divBdr>
        <w:top w:val="none" w:sz="0" w:space="0" w:color="auto"/>
        <w:left w:val="none" w:sz="0" w:space="0" w:color="auto"/>
        <w:bottom w:val="none" w:sz="0" w:space="0" w:color="auto"/>
        <w:right w:val="none" w:sz="0" w:space="0" w:color="auto"/>
      </w:divBdr>
      <w:divsChild>
        <w:div w:id="584650684">
          <w:marLeft w:val="0"/>
          <w:marRight w:val="0"/>
          <w:marTop w:val="0"/>
          <w:marBottom w:val="0"/>
          <w:divBdr>
            <w:top w:val="none" w:sz="0" w:space="0" w:color="auto"/>
            <w:left w:val="none" w:sz="0" w:space="0" w:color="auto"/>
            <w:bottom w:val="none" w:sz="0" w:space="0" w:color="auto"/>
            <w:right w:val="none" w:sz="0" w:space="0" w:color="auto"/>
          </w:divBdr>
          <w:divsChild>
            <w:div w:id="2081368892">
              <w:marLeft w:val="0"/>
              <w:marRight w:val="0"/>
              <w:marTop w:val="0"/>
              <w:marBottom w:val="0"/>
              <w:divBdr>
                <w:top w:val="none" w:sz="0" w:space="0" w:color="auto"/>
                <w:left w:val="none" w:sz="0" w:space="0" w:color="auto"/>
                <w:bottom w:val="none" w:sz="0" w:space="0" w:color="auto"/>
                <w:right w:val="none" w:sz="0" w:space="0" w:color="auto"/>
              </w:divBdr>
              <w:divsChild>
                <w:div w:id="2080592972">
                  <w:marLeft w:val="0"/>
                  <w:marRight w:val="0"/>
                  <w:marTop w:val="0"/>
                  <w:marBottom w:val="0"/>
                  <w:divBdr>
                    <w:top w:val="none" w:sz="0" w:space="0" w:color="auto"/>
                    <w:left w:val="none" w:sz="0" w:space="0" w:color="auto"/>
                    <w:bottom w:val="none" w:sz="0" w:space="0" w:color="auto"/>
                    <w:right w:val="none" w:sz="0" w:space="0" w:color="auto"/>
                  </w:divBdr>
                  <w:divsChild>
                    <w:div w:id="1407458696">
                      <w:marLeft w:val="0"/>
                      <w:marRight w:val="0"/>
                      <w:marTop w:val="0"/>
                      <w:marBottom w:val="0"/>
                      <w:divBdr>
                        <w:top w:val="none" w:sz="0" w:space="0" w:color="auto"/>
                        <w:left w:val="none" w:sz="0" w:space="0" w:color="auto"/>
                        <w:bottom w:val="none" w:sz="0" w:space="0" w:color="auto"/>
                        <w:right w:val="none" w:sz="0" w:space="0" w:color="auto"/>
                      </w:divBdr>
                      <w:divsChild>
                        <w:div w:id="2050914598">
                          <w:marLeft w:val="0"/>
                          <w:marRight w:val="0"/>
                          <w:marTop w:val="0"/>
                          <w:marBottom w:val="0"/>
                          <w:divBdr>
                            <w:top w:val="none" w:sz="0" w:space="0" w:color="auto"/>
                            <w:left w:val="none" w:sz="0" w:space="0" w:color="auto"/>
                            <w:bottom w:val="none" w:sz="0" w:space="0" w:color="auto"/>
                            <w:right w:val="none" w:sz="0" w:space="0" w:color="auto"/>
                          </w:divBdr>
                          <w:divsChild>
                            <w:div w:id="983924615">
                              <w:marLeft w:val="0"/>
                              <w:marRight w:val="0"/>
                              <w:marTop w:val="0"/>
                              <w:marBottom w:val="0"/>
                              <w:divBdr>
                                <w:top w:val="none" w:sz="0" w:space="0" w:color="auto"/>
                                <w:left w:val="none" w:sz="0" w:space="0" w:color="auto"/>
                                <w:bottom w:val="none" w:sz="0" w:space="0" w:color="auto"/>
                                <w:right w:val="none" w:sz="0" w:space="0" w:color="auto"/>
                              </w:divBdr>
                              <w:divsChild>
                                <w:div w:id="1914002900">
                                  <w:marLeft w:val="0"/>
                                  <w:marRight w:val="0"/>
                                  <w:marTop w:val="0"/>
                                  <w:marBottom w:val="0"/>
                                  <w:divBdr>
                                    <w:top w:val="none" w:sz="0" w:space="0" w:color="auto"/>
                                    <w:left w:val="none" w:sz="0" w:space="0" w:color="auto"/>
                                    <w:bottom w:val="none" w:sz="0" w:space="0" w:color="auto"/>
                                    <w:right w:val="none" w:sz="0" w:space="0" w:color="auto"/>
                                  </w:divBdr>
                                  <w:divsChild>
                                    <w:div w:id="656765706">
                                      <w:marLeft w:val="0"/>
                                      <w:marRight w:val="0"/>
                                      <w:marTop w:val="0"/>
                                      <w:marBottom w:val="0"/>
                                      <w:divBdr>
                                        <w:top w:val="none" w:sz="0" w:space="0" w:color="auto"/>
                                        <w:left w:val="none" w:sz="0" w:space="0" w:color="auto"/>
                                        <w:bottom w:val="none" w:sz="0" w:space="0" w:color="auto"/>
                                        <w:right w:val="none" w:sz="0" w:space="0" w:color="auto"/>
                                      </w:divBdr>
                                      <w:divsChild>
                                        <w:div w:id="643235914">
                                          <w:marLeft w:val="0"/>
                                          <w:marRight w:val="0"/>
                                          <w:marTop w:val="0"/>
                                          <w:marBottom w:val="0"/>
                                          <w:divBdr>
                                            <w:top w:val="none" w:sz="0" w:space="0" w:color="auto"/>
                                            <w:left w:val="none" w:sz="0" w:space="0" w:color="auto"/>
                                            <w:bottom w:val="none" w:sz="0" w:space="0" w:color="auto"/>
                                            <w:right w:val="none" w:sz="0" w:space="0" w:color="auto"/>
                                          </w:divBdr>
                                          <w:divsChild>
                                            <w:div w:id="1843232528">
                                              <w:marLeft w:val="0"/>
                                              <w:marRight w:val="0"/>
                                              <w:marTop w:val="0"/>
                                              <w:marBottom w:val="0"/>
                                              <w:divBdr>
                                                <w:top w:val="none" w:sz="0" w:space="0" w:color="auto"/>
                                                <w:left w:val="none" w:sz="0" w:space="0" w:color="auto"/>
                                                <w:bottom w:val="none" w:sz="0" w:space="0" w:color="auto"/>
                                                <w:right w:val="none" w:sz="0" w:space="0" w:color="auto"/>
                                              </w:divBdr>
                                              <w:divsChild>
                                                <w:div w:id="1673681719">
                                                  <w:marLeft w:val="0"/>
                                                  <w:marRight w:val="0"/>
                                                  <w:marTop w:val="0"/>
                                                  <w:marBottom w:val="0"/>
                                                  <w:divBdr>
                                                    <w:top w:val="none" w:sz="0" w:space="0" w:color="auto"/>
                                                    <w:left w:val="none" w:sz="0" w:space="0" w:color="auto"/>
                                                    <w:bottom w:val="none" w:sz="0" w:space="0" w:color="auto"/>
                                                    <w:right w:val="none" w:sz="0" w:space="0" w:color="auto"/>
                                                  </w:divBdr>
                                                  <w:divsChild>
                                                    <w:div w:id="954865468">
                                                      <w:marLeft w:val="0"/>
                                                      <w:marRight w:val="0"/>
                                                      <w:marTop w:val="0"/>
                                                      <w:marBottom w:val="0"/>
                                                      <w:divBdr>
                                                        <w:top w:val="none" w:sz="0" w:space="0" w:color="auto"/>
                                                        <w:left w:val="none" w:sz="0" w:space="0" w:color="auto"/>
                                                        <w:bottom w:val="none" w:sz="0" w:space="0" w:color="auto"/>
                                                        <w:right w:val="none" w:sz="0" w:space="0" w:color="auto"/>
                                                      </w:divBdr>
                                                      <w:divsChild>
                                                        <w:div w:id="92441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8648327">
      <w:bodyDiv w:val="1"/>
      <w:marLeft w:val="0"/>
      <w:marRight w:val="0"/>
      <w:marTop w:val="0"/>
      <w:marBottom w:val="0"/>
      <w:divBdr>
        <w:top w:val="none" w:sz="0" w:space="0" w:color="auto"/>
        <w:left w:val="none" w:sz="0" w:space="0" w:color="auto"/>
        <w:bottom w:val="none" w:sz="0" w:space="0" w:color="auto"/>
        <w:right w:val="none" w:sz="0" w:space="0" w:color="auto"/>
      </w:divBdr>
    </w:div>
    <w:div w:id="1147669888">
      <w:bodyDiv w:val="1"/>
      <w:marLeft w:val="0"/>
      <w:marRight w:val="0"/>
      <w:marTop w:val="0"/>
      <w:marBottom w:val="0"/>
      <w:divBdr>
        <w:top w:val="none" w:sz="0" w:space="0" w:color="auto"/>
        <w:left w:val="none" w:sz="0" w:space="0" w:color="auto"/>
        <w:bottom w:val="none" w:sz="0" w:space="0" w:color="auto"/>
        <w:right w:val="none" w:sz="0" w:space="0" w:color="auto"/>
      </w:divBdr>
      <w:divsChild>
        <w:div w:id="562716815">
          <w:marLeft w:val="0"/>
          <w:marRight w:val="0"/>
          <w:marTop w:val="0"/>
          <w:marBottom w:val="0"/>
          <w:divBdr>
            <w:top w:val="none" w:sz="0" w:space="0" w:color="auto"/>
            <w:left w:val="none" w:sz="0" w:space="0" w:color="auto"/>
            <w:bottom w:val="none" w:sz="0" w:space="0" w:color="auto"/>
            <w:right w:val="none" w:sz="0" w:space="0" w:color="auto"/>
          </w:divBdr>
        </w:div>
        <w:div w:id="1977030372">
          <w:marLeft w:val="0"/>
          <w:marRight w:val="0"/>
          <w:marTop w:val="0"/>
          <w:marBottom w:val="0"/>
          <w:divBdr>
            <w:top w:val="none" w:sz="0" w:space="0" w:color="auto"/>
            <w:left w:val="none" w:sz="0" w:space="0" w:color="auto"/>
            <w:bottom w:val="none" w:sz="0" w:space="0" w:color="auto"/>
            <w:right w:val="none" w:sz="0" w:space="0" w:color="auto"/>
          </w:divBdr>
        </w:div>
        <w:div w:id="2015448733">
          <w:marLeft w:val="0"/>
          <w:marRight w:val="0"/>
          <w:marTop w:val="0"/>
          <w:marBottom w:val="0"/>
          <w:divBdr>
            <w:top w:val="none" w:sz="0" w:space="0" w:color="auto"/>
            <w:left w:val="none" w:sz="0" w:space="0" w:color="auto"/>
            <w:bottom w:val="none" w:sz="0" w:space="0" w:color="auto"/>
            <w:right w:val="none" w:sz="0" w:space="0" w:color="auto"/>
          </w:divBdr>
        </w:div>
        <w:div w:id="2125613332">
          <w:marLeft w:val="0"/>
          <w:marRight w:val="0"/>
          <w:marTop w:val="0"/>
          <w:marBottom w:val="0"/>
          <w:divBdr>
            <w:top w:val="none" w:sz="0" w:space="0" w:color="auto"/>
            <w:left w:val="none" w:sz="0" w:space="0" w:color="auto"/>
            <w:bottom w:val="none" w:sz="0" w:space="0" w:color="auto"/>
            <w:right w:val="none" w:sz="0" w:space="0" w:color="auto"/>
          </w:divBdr>
        </w:div>
      </w:divsChild>
    </w:div>
    <w:div w:id="1159035305">
      <w:bodyDiv w:val="1"/>
      <w:marLeft w:val="0"/>
      <w:marRight w:val="0"/>
      <w:marTop w:val="0"/>
      <w:marBottom w:val="0"/>
      <w:divBdr>
        <w:top w:val="none" w:sz="0" w:space="0" w:color="auto"/>
        <w:left w:val="none" w:sz="0" w:space="0" w:color="auto"/>
        <w:bottom w:val="none" w:sz="0" w:space="0" w:color="auto"/>
        <w:right w:val="none" w:sz="0" w:space="0" w:color="auto"/>
      </w:divBdr>
    </w:div>
    <w:div w:id="1251499547">
      <w:bodyDiv w:val="1"/>
      <w:marLeft w:val="0"/>
      <w:marRight w:val="0"/>
      <w:marTop w:val="0"/>
      <w:marBottom w:val="0"/>
      <w:divBdr>
        <w:top w:val="none" w:sz="0" w:space="0" w:color="auto"/>
        <w:left w:val="none" w:sz="0" w:space="0" w:color="auto"/>
        <w:bottom w:val="none" w:sz="0" w:space="0" w:color="auto"/>
        <w:right w:val="none" w:sz="0" w:space="0" w:color="auto"/>
      </w:divBdr>
    </w:div>
    <w:div w:id="1254784762">
      <w:bodyDiv w:val="1"/>
      <w:marLeft w:val="0"/>
      <w:marRight w:val="0"/>
      <w:marTop w:val="0"/>
      <w:marBottom w:val="0"/>
      <w:divBdr>
        <w:top w:val="none" w:sz="0" w:space="0" w:color="auto"/>
        <w:left w:val="none" w:sz="0" w:space="0" w:color="auto"/>
        <w:bottom w:val="none" w:sz="0" w:space="0" w:color="auto"/>
        <w:right w:val="none" w:sz="0" w:space="0" w:color="auto"/>
      </w:divBdr>
    </w:div>
    <w:div w:id="1409771268">
      <w:bodyDiv w:val="1"/>
      <w:marLeft w:val="0"/>
      <w:marRight w:val="0"/>
      <w:marTop w:val="0"/>
      <w:marBottom w:val="0"/>
      <w:divBdr>
        <w:top w:val="none" w:sz="0" w:space="0" w:color="auto"/>
        <w:left w:val="none" w:sz="0" w:space="0" w:color="auto"/>
        <w:bottom w:val="none" w:sz="0" w:space="0" w:color="auto"/>
        <w:right w:val="none" w:sz="0" w:space="0" w:color="auto"/>
      </w:divBdr>
    </w:div>
    <w:div w:id="1465076081">
      <w:bodyDiv w:val="1"/>
      <w:marLeft w:val="0"/>
      <w:marRight w:val="0"/>
      <w:marTop w:val="0"/>
      <w:marBottom w:val="0"/>
      <w:divBdr>
        <w:top w:val="none" w:sz="0" w:space="0" w:color="auto"/>
        <w:left w:val="none" w:sz="0" w:space="0" w:color="auto"/>
        <w:bottom w:val="none" w:sz="0" w:space="0" w:color="auto"/>
        <w:right w:val="none" w:sz="0" w:space="0" w:color="auto"/>
      </w:divBdr>
    </w:div>
    <w:div w:id="1498307666">
      <w:bodyDiv w:val="1"/>
      <w:marLeft w:val="0"/>
      <w:marRight w:val="0"/>
      <w:marTop w:val="0"/>
      <w:marBottom w:val="0"/>
      <w:divBdr>
        <w:top w:val="none" w:sz="0" w:space="0" w:color="auto"/>
        <w:left w:val="none" w:sz="0" w:space="0" w:color="auto"/>
        <w:bottom w:val="none" w:sz="0" w:space="0" w:color="auto"/>
        <w:right w:val="none" w:sz="0" w:space="0" w:color="auto"/>
      </w:divBdr>
    </w:div>
    <w:div w:id="1507473072">
      <w:bodyDiv w:val="1"/>
      <w:marLeft w:val="0"/>
      <w:marRight w:val="0"/>
      <w:marTop w:val="0"/>
      <w:marBottom w:val="0"/>
      <w:divBdr>
        <w:top w:val="none" w:sz="0" w:space="0" w:color="auto"/>
        <w:left w:val="none" w:sz="0" w:space="0" w:color="auto"/>
        <w:bottom w:val="none" w:sz="0" w:space="0" w:color="auto"/>
        <w:right w:val="none" w:sz="0" w:space="0" w:color="auto"/>
      </w:divBdr>
    </w:div>
    <w:div w:id="1527324704">
      <w:bodyDiv w:val="1"/>
      <w:marLeft w:val="0"/>
      <w:marRight w:val="0"/>
      <w:marTop w:val="0"/>
      <w:marBottom w:val="0"/>
      <w:divBdr>
        <w:top w:val="none" w:sz="0" w:space="0" w:color="auto"/>
        <w:left w:val="none" w:sz="0" w:space="0" w:color="auto"/>
        <w:bottom w:val="none" w:sz="0" w:space="0" w:color="auto"/>
        <w:right w:val="none" w:sz="0" w:space="0" w:color="auto"/>
      </w:divBdr>
    </w:div>
    <w:div w:id="1566910818">
      <w:bodyDiv w:val="1"/>
      <w:marLeft w:val="0"/>
      <w:marRight w:val="0"/>
      <w:marTop w:val="0"/>
      <w:marBottom w:val="0"/>
      <w:divBdr>
        <w:top w:val="none" w:sz="0" w:space="0" w:color="auto"/>
        <w:left w:val="none" w:sz="0" w:space="0" w:color="auto"/>
        <w:bottom w:val="none" w:sz="0" w:space="0" w:color="auto"/>
        <w:right w:val="none" w:sz="0" w:space="0" w:color="auto"/>
      </w:divBdr>
    </w:div>
    <w:div w:id="1713771449">
      <w:bodyDiv w:val="1"/>
      <w:marLeft w:val="0"/>
      <w:marRight w:val="0"/>
      <w:marTop w:val="0"/>
      <w:marBottom w:val="0"/>
      <w:divBdr>
        <w:top w:val="none" w:sz="0" w:space="0" w:color="auto"/>
        <w:left w:val="none" w:sz="0" w:space="0" w:color="auto"/>
        <w:bottom w:val="none" w:sz="0" w:space="0" w:color="auto"/>
        <w:right w:val="none" w:sz="0" w:space="0" w:color="auto"/>
      </w:divBdr>
    </w:div>
    <w:div w:id="1801536820">
      <w:bodyDiv w:val="1"/>
      <w:marLeft w:val="0"/>
      <w:marRight w:val="0"/>
      <w:marTop w:val="0"/>
      <w:marBottom w:val="0"/>
      <w:divBdr>
        <w:top w:val="none" w:sz="0" w:space="0" w:color="auto"/>
        <w:left w:val="none" w:sz="0" w:space="0" w:color="auto"/>
        <w:bottom w:val="none" w:sz="0" w:space="0" w:color="auto"/>
        <w:right w:val="none" w:sz="0" w:space="0" w:color="auto"/>
      </w:divBdr>
    </w:div>
    <w:div w:id="1877740167">
      <w:bodyDiv w:val="1"/>
      <w:marLeft w:val="0"/>
      <w:marRight w:val="0"/>
      <w:marTop w:val="0"/>
      <w:marBottom w:val="0"/>
      <w:divBdr>
        <w:top w:val="none" w:sz="0" w:space="0" w:color="auto"/>
        <w:left w:val="none" w:sz="0" w:space="0" w:color="auto"/>
        <w:bottom w:val="none" w:sz="0" w:space="0" w:color="auto"/>
        <w:right w:val="none" w:sz="0" w:space="0" w:color="auto"/>
      </w:divBdr>
    </w:div>
    <w:div w:id="1912619918">
      <w:bodyDiv w:val="1"/>
      <w:marLeft w:val="0"/>
      <w:marRight w:val="0"/>
      <w:marTop w:val="0"/>
      <w:marBottom w:val="0"/>
      <w:divBdr>
        <w:top w:val="none" w:sz="0" w:space="0" w:color="auto"/>
        <w:left w:val="none" w:sz="0" w:space="0" w:color="auto"/>
        <w:bottom w:val="none" w:sz="0" w:space="0" w:color="auto"/>
        <w:right w:val="none" w:sz="0" w:space="0" w:color="auto"/>
      </w:divBdr>
    </w:div>
    <w:div w:id="1925912315">
      <w:bodyDiv w:val="1"/>
      <w:marLeft w:val="0"/>
      <w:marRight w:val="0"/>
      <w:marTop w:val="0"/>
      <w:marBottom w:val="0"/>
      <w:divBdr>
        <w:top w:val="none" w:sz="0" w:space="0" w:color="auto"/>
        <w:left w:val="none" w:sz="0" w:space="0" w:color="auto"/>
        <w:bottom w:val="none" w:sz="0" w:space="0" w:color="auto"/>
        <w:right w:val="none" w:sz="0" w:space="0" w:color="auto"/>
      </w:divBdr>
    </w:div>
    <w:div w:id="1928535363">
      <w:bodyDiv w:val="1"/>
      <w:marLeft w:val="0"/>
      <w:marRight w:val="0"/>
      <w:marTop w:val="0"/>
      <w:marBottom w:val="0"/>
      <w:divBdr>
        <w:top w:val="none" w:sz="0" w:space="0" w:color="auto"/>
        <w:left w:val="none" w:sz="0" w:space="0" w:color="auto"/>
        <w:bottom w:val="none" w:sz="0" w:space="0" w:color="auto"/>
        <w:right w:val="none" w:sz="0" w:space="0" w:color="auto"/>
      </w:divBdr>
      <w:divsChild>
        <w:div w:id="334921563">
          <w:marLeft w:val="0"/>
          <w:marRight w:val="0"/>
          <w:marTop w:val="0"/>
          <w:marBottom w:val="0"/>
          <w:divBdr>
            <w:top w:val="none" w:sz="0" w:space="0" w:color="auto"/>
            <w:left w:val="none" w:sz="0" w:space="0" w:color="auto"/>
            <w:bottom w:val="none" w:sz="0" w:space="0" w:color="auto"/>
            <w:right w:val="none" w:sz="0" w:space="0" w:color="auto"/>
          </w:divBdr>
          <w:divsChild>
            <w:div w:id="614213662">
              <w:marLeft w:val="0"/>
              <w:marRight w:val="0"/>
              <w:marTop w:val="0"/>
              <w:marBottom w:val="0"/>
              <w:divBdr>
                <w:top w:val="none" w:sz="0" w:space="0" w:color="auto"/>
                <w:left w:val="none" w:sz="0" w:space="0" w:color="auto"/>
                <w:bottom w:val="none" w:sz="0" w:space="0" w:color="auto"/>
                <w:right w:val="none" w:sz="0" w:space="0" w:color="auto"/>
              </w:divBdr>
              <w:divsChild>
                <w:div w:id="195625034">
                  <w:marLeft w:val="0"/>
                  <w:marRight w:val="0"/>
                  <w:marTop w:val="0"/>
                  <w:marBottom w:val="0"/>
                  <w:divBdr>
                    <w:top w:val="none" w:sz="0" w:space="0" w:color="auto"/>
                    <w:left w:val="none" w:sz="0" w:space="0" w:color="auto"/>
                    <w:bottom w:val="none" w:sz="0" w:space="0" w:color="auto"/>
                    <w:right w:val="none" w:sz="0" w:space="0" w:color="auto"/>
                  </w:divBdr>
                  <w:divsChild>
                    <w:div w:id="684482280">
                      <w:marLeft w:val="0"/>
                      <w:marRight w:val="0"/>
                      <w:marTop w:val="0"/>
                      <w:marBottom w:val="0"/>
                      <w:divBdr>
                        <w:top w:val="none" w:sz="0" w:space="0" w:color="auto"/>
                        <w:left w:val="none" w:sz="0" w:space="0" w:color="auto"/>
                        <w:bottom w:val="none" w:sz="0" w:space="0" w:color="auto"/>
                        <w:right w:val="none" w:sz="0" w:space="0" w:color="auto"/>
                      </w:divBdr>
                      <w:divsChild>
                        <w:div w:id="421685887">
                          <w:marLeft w:val="0"/>
                          <w:marRight w:val="0"/>
                          <w:marTop w:val="0"/>
                          <w:marBottom w:val="0"/>
                          <w:divBdr>
                            <w:top w:val="none" w:sz="0" w:space="0" w:color="auto"/>
                            <w:left w:val="none" w:sz="0" w:space="0" w:color="auto"/>
                            <w:bottom w:val="none" w:sz="0" w:space="0" w:color="auto"/>
                            <w:right w:val="none" w:sz="0" w:space="0" w:color="auto"/>
                          </w:divBdr>
                          <w:divsChild>
                            <w:div w:id="1929381345">
                              <w:marLeft w:val="0"/>
                              <w:marRight w:val="0"/>
                              <w:marTop w:val="0"/>
                              <w:marBottom w:val="0"/>
                              <w:divBdr>
                                <w:top w:val="none" w:sz="0" w:space="0" w:color="auto"/>
                                <w:left w:val="none" w:sz="0" w:space="0" w:color="auto"/>
                                <w:bottom w:val="none" w:sz="0" w:space="0" w:color="auto"/>
                                <w:right w:val="none" w:sz="0" w:space="0" w:color="auto"/>
                              </w:divBdr>
                              <w:divsChild>
                                <w:div w:id="680544874">
                                  <w:marLeft w:val="0"/>
                                  <w:marRight w:val="0"/>
                                  <w:marTop w:val="0"/>
                                  <w:marBottom w:val="0"/>
                                  <w:divBdr>
                                    <w:top w:val="none" w:sz="0" w:space="0" w:color="auto"/>
                                    <w:left w:val="none" w:sz="0" w:space="0" w:color="auto"/>
                                    <w:bottom w:val="none" w:sz="0" w:space="0" w:color="auto"/>
                                    <w:right w:val="none" w:sz="0" w:space="0" w:color="auto"/>
                                  </w:divBdr>
                                  <w:divsChild>
                                    <w:div w:id="379596250">
                                      <w:marLeft w:val="0"/>
                                      <w:marRight w:val="0"/>
                                      <w:marTop w:val="0"/>
                                      <w:marBottom w:val="0"/>
                                      <w:divBdr>
                                        <w:top w:val="none" w:sz="0" w:space="0" w:color="auto"/>
                                        <w:left w:val="none" w:sz="0" w:space="0" w:color="auto"/>
                                        <w:bottom w:val="none" w:sz="0" w:space="0" w:color="auto"/>
                                        <w:right w:val="none" w:sz="0" w:space="0" w:color="auto"/>
                                      </w:divBdr>
                                      <w:divsChild>
                                        <w:div w:id="727728753">
                                          <w:marLeft w:val="0"/>
                                          <w:marRight w:val="0"/>
                                          <w:marTop w:val="0"/>
                                          <w:marBottom w:val="0"/>
                                          <w:divBdr>
                                            <w:top w:val="none" w:sz="0" w:space="0" w:color="auto"/>
                                            <w:left w:val="none" w:sz="0" w:space="0" w:color="auto"/>
                                            <w:bottom w:val="none" w:sz="0" w:space="0" w:color="auto"/>
                                            <w:right w:val="none" w:sz="0" w:space="0" w:color="auto"/>
                                          </w:divBdr>
                                          <w:divsChild>
                                            <w:div w:id="1144658500">
                                              <w:marLeft w:val="0"/>
                                              <w:marRight w:val="0"/>
                                              <w:marTop w:val="0"/>
                                              <w:marBottom w:val="0"/>
                                              <w:divBdr>
                                                <w:top w:val="none" w:sz="0" w:space="0" w:color="auto"/>
                                                <w:left w:val="none" w:sz="0" w:space="0" w:color="auto"/>
                                                <w:bottom w:val="none" w:sz="0" w:space="0" w:color="auto"/>
                                                <w:right w:val="none" w:sz="0" w:space="0" w:color="auto"/>
                                              </w:divBdr>
                                              <w:divsChild>
                                                <w:div w:id="1961642671">
                                                  <w:marLeft w:val="0"/>
                                                  <w:marRight w:val="0"/>
                                                  <w:marTop w:val="0"/>
                                                  <w:marBottom w:val="0"/>
                                                  <w:divBdr>
                                                    <w:top w:val="none" w:sz="0" w:space="0" w:color="auto"/>
                                                    <w:left w:val="none" w:sz="0" w:space="0" w:color="auto"/>
                                                    <w:bottom w:val="none" w:sz="0" w:space="0" w:color="auto"/>
                                                    <w:right w:val="none" w:sz="0" w:space="0" w:color="auto"/>
                                                  </w:divBdr>
                                                  <w:divsChild>
                                                    <w:div w:id="1454055442">
                                                      <w:marLeft w:val="0"/>
                                                      <w:marRight w:val="0"/>
                                                      <w:marTop w:val="0"/>
                                                      <w:marBottom w:val="0"/>
                                                      <w:divBdr>
                                                        <w:top w:val="none" w:sz="0" w:space="0" w:color="auto"/>
                                                        <w:left w:val="none" w:sz="0" w:space="0" w:color="auto"/>
                                                        <w:bottom w:val="none" w:sz="0" w:space="0" w:color="auto"/>
                                                        <w:right w:val="none" w:sz="0" w:space="0" w:color="auto"/>
                                                      </w:divBdr>
                                                      <w:divsChild>
                                                        <w:div w:id="48818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1571664">
      <w:bodyDiv w:val="1"/>
      <w:marLeft w:val="0"/>
      <w:marRight w:val="0"/>
      <w:marTop w:val="0"/>
      <w:marBottom w:val="0"/>
      <w:divBdr>
        <w:top w:val="none" w:sz="0" w:space="0" w:color="auto"/>
        <w:left w:val="none" w:sz="0" w:space="0" w:color="auto"/>
        <w:bottom w:val="none" w:sz="0" w:space="0" w:color="auto"/>
        <w:right w:val="none" w:sz="0" w:space="0" w:color="auto"/>
      </w:divBdr>
    </w:div>
    <w:div w:id="204794883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acma.gov.au/consultations/2019-08/optimising-3400-3575-mhz-band-consultation-122019" TargetMode="External"/><Relationship Id="rId21" Type="http://schemas.openxmlformats.org/officeDocument/2006/relationships/footer" Target="footer4.xml"/><Relationship Id="rId34" Type="http://schemas.openxmlformats.org/officeDocument/2006/relationships/hyperlink" Target="https://www.legislation.gov.au/Series/F2015L00178" TargetMode="External"/><Relationship Id="rId42" Type="http://schemas.openxmlformats.org/officeDocument/2006/relationships/image" Target="media/image5.png"/><Relationship Id="rId47" Type="http://schemas.openxmlformats.org/officeDocument/2006/relationships/hyperlink" Target="https://www.acma.gov.au/policy-apparatus-licence-renewals" TargetMode="External"/><Relationship Id="rId50" Type="http://schemas.openxmlformats.org/officeDocument/2006/relationships/hyperlink" Target="https://www.acma.gov.au/sites/default/files/2023-02/Consultation%20paper_Draft%20allocation%20and%20technical%20instruments%20for%203.4-3.7%20GHz%20bands%20auction_0.docx" TargetMode="External"/><Relationship Id="rId55" Type="http://schemas.openxmlformats.org/officeDocument/2006/relationships/hyperlink" Target="https://www.legislation.gov.au/Details/F2022L01245" TargetMode="External"/><Relationship Id="rId63"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minister.infrastructure.gov.au/rowland/speech/address-radcomms-2022-conference" TargetMode="External"/><Relationship Id="rId11" Type="http://schemas.openxmlformats.org/officeDocument/2006/relationships/hyperlink" Target="http://i.creativecommons.org/l/by/3.0/88x31.png" TargetMode="External"/><Relationship Id="rId24" Type="http://schemas.openxmlformats.org/officeDocument/2006/relationships/hyperlink" Target="https://www.acma.gov.au/publications/2020-02/guide/area-wide-licensing-acma-approach-introducing-area-wide-licences" TargetMode="External"/><Relationship Id="rId32" Type="http://schemas.openxmlformats.org/officeDocument/2006/relationships/hyperlink" Target="https://www.legislation.gov.au/Series/F2015L00728" TargetMode="External"/><Relationship Id="rId37" Type="http://schemas.openxmlformats.org/officeDocument/2006/relationships/image" Target="media/image4.png"/><Relationship Id="rId40" Type="http://schemas.openxmlformats.org/officeDocument/2006/relationships/hyperlink" Target="https://www.acma.gov.au/consultations/2022-03/proposed-spectrum-re-allocation-declaration-34-ghz-and-37-ghz-bands-ifc-102022" TargetMode="External"/><Relationship Id="rId45" Type="http://schemas.openxmlformats.org/officeDocument/2006/relationships/hyperlink" Target="https://www.legislation.gov.au/Series/F2015L00728" TargetMode="External"/><Relationship Id="rId53" Type="http://schemas.openxmlformats.org/officeDocument/2006/relationships/hyperlink" Target="https://www.legislation.gov.au/Series/F2015L00322" TargetMode="External"/><Relationship Id="rId58" Type="http://schemas.openxmlformats.org/officeDocument/2006/relationships/hyperlink" Target="https://www.acma.gov.au/publication-submissions" TargetMode="External"/><Relationship Id="rId5" Type="http://schemas.openxmlformats.org/officeDocument/2006/relationships/webSettings" Target="webSettings.xml"/><Relationship Id="rId61" Type="http://schemas.openxmlformats.org/officeDocument/2006/relationships/header" Target="header8.xml"/><Relationship Id="rId19" Type="http://schemas.openxmlformats.org/officeDocument/2006/relationships/header" Target="header5.xml"/><Relationship Id="rId14" Type="http://schemas.openxmlformats.org/officeDocument/2006/relationships/hyperlink" Target="mailto:info@acma.gov.au" TargetMode="External"/><Relationship Id="rId22" Type="http://schemas.openxmlformats.org/officeDocument/2006/relationships/footer" Target="footer5.xml"/><Relationship Id="rId27" Type="http://schemas.openxmlformats.org/officeDocument/2006/relationships/hyperlink" Target="https://www.legislation.gov.au/Series/F2022N00015" TargetMode="External"/><Relationship Id="rId30" Type="http://schemas.openxmlformats.org/officeDocument/2006/relationships/hyperlink" Target="https://minister.infrastructure.gov.au/rowland/media-release/albanese-government-sets-expectations-two-key-communications-regulators" TargetMode="External"/><Relationship Id="rId35" Type="http://schemas.openxmlformats.org/officeDocument/2006/relationships/hyperlink" Target="https://www.acma.gov.au/spectrum-licence-technical-liaison-groups" TargetMode="External"/><Relationship Id="rId43" Type="http://schemas.openxmlformats.org/officeDocument/2006/relationships/image" Target="cid:image002.png@01D971D2.403C8840" TargetMode="External"/><Relationship Id="rId48" Type="http://schemas.openxmlformats.org/officeDocument/2006/relationships/hyperlink" Target="https://www.acma.gov.au/sites/default/files/2023-02/Consultation%20paper_Draft%20allocation%20and%20technical%20instruments%20for%203.4-3.7%20GHz%20bands%20auction_0.docx" TargetMode="External"/><Relationship Id="rId56" Type="http://schemas.openxmlformats.org/officeDocument/2006/relationships/hyperlink" Target="https://www.acma.gov.au/have-your-say" TargetMode="Externa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www.acma.gov.au/sites/default/files/2023-02/Consultation%20paper_Draft%20allocation%20and%20technical%20instruments%20for%203.4-3.7%20GHz%20bands%20auction_0.docx"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yperlink" Target="https://www.acma.gov.au/sites/default/files/2021-01/Replanning%20the%203700-4200%20MHz%20band_Outcomes%20paper.docx" TargetMode="External"/><Relationship Id="rId33" Type="http://schemas.openxmlformats.org/officeDocument/2006/relationships/hyperlink" Target="https://www.acma.gov.au/consultations/2023-02/draft-allocation-and-technical-instruments-3437-ghz-bands-auction" TargetMode="External"/><Relationship Id="rId38" Type="http://schemas.openxmlformats.org/officeDocument/2006/relationships/hyperlink" Target="https://www.acma.gov.au/publications/2019-09/instruction/rali-fx3-microwave-fixed-services" TargetMode="External"/><Relationship Id="rId46" Type="http://schemas.openxmlformats.org/officeDocument/2006/relationships/hyperlink" Target="https://www.acma.gov.au/publications/2021-03/rules/our-approach-radcomms-licensing-and-allocation" TargetMode="External"/><Relationship Id="rId59" Type="http://schemas.openxmlformats.org/officeDocument/2006/relationships/hyperlink" Target="https://www.acma.gov.au/privacy-policy" TargetMode="External"/><Relationship Id="rId20" Type="http://schemas.openxmlformats.org/officeDocument/2006/relationships/header" Target="header6.xml"/><Relationship Id="rId41" Type="http://schemas.openxmlformats.org/officeDocument/2006/relationships/hyperlink" Target="https://www.legislation.gov.au/Details/F2022L00983" TargetMode="External"/><Relationship Id="rId54" Type="http://schemas.openxmlformats.org/officeDocument/2006/relationships/hyperlink" Target="https://www.legislation.gov.au/Details/F2022C00700" TargetMode="External"/><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yperlink" Target="https://minister.infrastructure.gov.au/rowland/media-release/albanese-government-better-connect-inform-and-empower-australians" TargetMode="External"/><Relationship Id="rId36" Type="http://schemas.openxmlformats.org/officeDocument/2006/relationships/hyperlink" Target="https://www.acma.gov.au/consultations/2023-02/draft-allocation-and-technical-instruments-3437-ghz-bands-auction" TargetMode="External"/><Relationship Id="rId49" Type="http://schemas.openxmlformats.org/officeDocument/2006/relationships/image" Target="media/image6.png"/><Relationship Id="rId57" Type="http://schemas.openxmlformats.org/officeDocument/2006/relationships/hyperlink" Target="mailto:SpectrumAllocations@acma.gov.au" TargetMode="External"/><Relationship Id="rId10" Type="http://schemas.openxmlformats.org/officeDocument/2006/relationships/header" Target="header2.xml"/><Relationship Id="rId31" Type="http://schemas.openxmlformats.org/officeDocument/2006/relationships/hyperlink" Target="https://www.legislation.gov.au/Details/F2022L00983" TargetMode="External"/><Relationship Id="rId44" Type="http://schemas.openxmlformats.org/officeDocument/2006/relationships/hyperlink" Target="https://www.acma.gov.au/allocating-34-40-ghz-band" TargetMode="External"/><Relationship Id="rId52" Type="http://schemas.openxmlformats.org/officeDocument/2006/relationships/hyperlink" Target="https://www.acma.gov.au/convert-hcis-area-description-placemark" TargetMode="External"/><Relationship Id="rId60" Type="http://schemas.openxmlformats.org/officeDocument/2006/relationships/header" Target="header7.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creativecommons.org/licenses/by/4.0/" TargetMode="External"/><Relationship Id="rId18" Type="http://schemas.openxmlformats.org/officeDocument/2006/relationships/footer" Target="footer3.xml"/><Relationship Id="rId39" Type="http://schemas.openxmlformats.org/officeDocument/2006/relationships/hyperlink" Target="https://www.acma.gov.au/consultations/2023-02/draft-allocation-and-technical-instruments-3437-ghz-bands-auction"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acm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acma.gov.au/convert-hcis-area-description-placemark" TargetMode="External"/><Relationship Id="rId2" Type="http://schemas.openxmlformats.org/officeDocument/2006/relationships/hyperlink" Target="https://www.acma.gov.au/australian-spectrum-map-grid" TargetMode="External"/><Relationship Id="rId1" Type="http://schemas.openxmlformats.org/officeDocument/2006/relationships/hyperlink" Target="https://view.officeapps.live.com/op/view.aspx?src=https%3A%2F%2Fwww.acma.gov.au%2Fsites%2Fdefault%2Ffiles%2F2022-02%2Fapparatus_licences_in_the_3.4-4.0_ghz_band_in_remote_australia_consultation_paper.docx&amp;wdOrigin=BROWSELI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8D53A1-0CE7-4E49-868D-AD6974197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14165</Words>
  <Characters>77628</Characters>
  <Application>Microsoft Office Word</Application>
  <DocSecurity>0</DocSecurity>
  <Lines>1990</Lines>
  <Paragraphs>1192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90601</CharactersWithSpaces>
  <SharedDoc>false</SharedDoc>
  <HyperlinkBase/>
  <HLinks>
    <vt:vector size="354" baseType="variant">
      <vt:variant>
        <vt:i4>2097192</vt:i4>
      </vt:variant>
      <vt:variant>
        <vt:i4>219</vt:i4>
      </vt:variant>
      <vt:variant>
        <vt:i4>0</vt:i4>
      </vt:variant>
      <vt:variant>
        <vt:i4>5</vt:i4>
      </vt:variant>
      <vt:variant>
        <vt:lpwstr>https://www.acma.gov.au/privacy-policy</vt:lpwstr>
      </vt:variant>
      <vt:variant>
        <vt:lpwstr/>
      </vt:variant>
      <vt:variant>
        <vt:i4>3473455</vt:i4>
      </vt:variant>
      <vt:variant>
        <vt:i4>216</vt:i4>
      </vt:variant>
      <vt:variant>
        <vt:i4>0</vt:i4>
      </vt:variant>
      <vt:variant>
        <vt:i4>5</vt:i4>
      </vt:variant>
      <vt:variant>
        <vt:lpwstr>https://www.acma.gov.au/publication-submissions</vt:lpwstr>
      </vt:variant>
      <vt:variant>
        <vt:lpwstr/>
      </vt:variant>
      <vt:variant>
        <vt:i4>6619153</vt:i4>
      </vt:variant>
      <vt:variant>
        <vt:i4>213</vt:i4>
      </vt:variant>
      <vt:variant>
        <vt:i4>0</vt:i4>
      </vt:variant>
      <vt:variant>
        <vt:i4>5</vt:i4>
      </vt:variant>
      <vt:variant>
        <vt:lpwstr>mailto:SpectrumAllocations@acma.gov.au</vt:lpwstr>
      </vt:variant>
      <vt:variant>
        <vt:lpwstr/>
      </vt:variant>
      <vt:variant>
        <vt:i4>5308427</vt:i4>
      </vt:variant>
      <vt:variant>
        <vt:i4>210</vt:i4>
      </vt:variant>
      <vt:variant>
        <vt:i4>0</vt:i4>
      </vt:variant>
      <vt:variant>
        <vt:i4>5</vt:i4>
      </vt:variant>
      <vt:variant>
        <vt:lpwstr>https://www.acma.gov.au/have-your-say</vt:lpwstr>
      </vt:variant>
      <vt:variant>
        <vt:lpwstr/>
      </vt:variant>
      <vt:variant>
        <vt:i4>7340079</vt:i4>
      </vt:variant>
      <vt:variant>
        <vt:i4>207</vt:i4>
      </vt:variant>
      <vt:variant>
        <vt:i4>0</vt:i4>
      </vt:variant>
      <vt:variant>
        <vt:i4>5</vt:i4>
      </vt:variant>
      <vt:variant>
        <vt:lpwstr>https://www.legislation.gov.au/Details/F2022L01245</vt:lpwstr>
      </vt:variant>
      <vt:variant>
        <vt:lpwstr/>
      </vt:variant>
      <vt:variant>
        <vt:i4>7340069</vt:i4>
      </vt:variant>
      <vt:variant>
        <vt:i4>204</vt:i4>
      </vt:variant>
      <vt:variant>
        <vt:i4>0</vt:i4>
      </vt:variant>
      <vt:variant>
        <vt:i4>5</vt:i4>
      </vt:variant>
      <vt:variant>
        <vt:lpwstr>https://www.legislation.gov.au/Details/F2022C00700</vt:lpwstr>
      </vt:variant>
      <vt:variant>
        <vt:lpwstr/>
      </vt:variant>
      <vt:variant>
        <vt:i4>983070</vt:i4>
      </vt:variant>
      <vt:variant>
        <vt:i4>201</vt:i4>
      </vt:variant>
      <vt:variant>
        <vt:i4>0</vt:i4>
      </vt:variant>
      <vt:variant>
        <vt:i4>5</vt:i4>
      </vt:variant>
      <vt:variant>
        <vt:lpwstr>https://www.legislation.gov.au/Series/F2015L00322</vt:lpwstr>
      </vt:variant>
      <vt:variant>
        <vt:lpwstr/>
      </vt:variant>
      <vt:variant>
        <vt:i4>2293874</vt:i4>
      </vt:variant>
      <vt:variant>
        <vt:i4>198</vt:i4>
      </vt:variant>
      <vt:variant>
        <vt:i4>0</vt:i4>
      </vt:variant>
      <vt:variant>
        <vt:i4>5</vt:i4>
      </vt:variant>
      <vt:variant>
        <vt:lpwstr>https://www.acma.gov.au/convert-hcis-area-description-placemark</vt:lpwstr>
      </vt:variant>
      <vt:variant>
        <vt:lpwstr/>
      </vt:variant>
      <vt:variant>
        <vt:i4>1835094</vt:i4>
      </vt:variant>
      <vt:variant>
        <vt:i4>195</vt:i4>
      </vt:variant>
      <vt:variant>
        <vt:i4>0</vt:i4>
      </vt:variant>
      <vt:variant>
        <vt:i4>5</vt:i4>
      </vt:variant>
      <vt:variant>
        <vt:lpwstr>https://www.acma.gov.au/sites/default/files/2023-02/Consultation paper_Draft allocation and technical instruments for 3.4-3.7 GHz bands auction_0.docx</vt:lpwstr>
      </vt:variant>
      <vt:variant>
        <vt:lpwstr/>
      </vt:variant>
      <vt:variant>
        <vt:i4>1835094</vt:i4>
      </vt:variant>
      <vt:variant>
        <vt:i4>192</vt:i4>
      </vt:variant>
      <vt:variant>
        <vt:i4>0</vt:i4>
      </vt:variant>
      <vt:variant>
        <vt:i4>5</vt:i4>
      </vt:variant>
      <vt:variant>
        <vt:lpwstr>https://www.acma.gov.au/sites/default/files/2023-02/Consultation paper_Draft allocation and technical instruments for 3.4-3.7 GHz bands auction_0.docx</vt:lpwstr>
      </vt:variant>
      <vt:variant>
        <vt:lpwstr/>
      </vt:variant>
      <vt:variant>
        <vt:i4>1835094</vt:i4>
      </vt:variant>
      <vt:variant>
        <vt:i4>189</vt:i4>
      </vt:variant>
      <vt:variant>
        <vt:i4>0</vt:i4>
      </vt:variant>
      <vt:variant>
        <vt:i4>5</vt:i4>
      </vt:variant>
      <vt:variant>
        <vt:lpwstr>https://www.acma.gov.au/sites/default/files/2023-02/Consultation paper_Draft allocation and technical instruments for 3.4-3.7 GHz bands auction_0.docx</vt:lpwstr>
      </vt:variant>
      <vt:variant>
        <vt:lpwstr/>
      </vt:variant>
      <vt:variant>
        <vt:i4>786480</vt:i4>
      </vt:variant>
      <vt:variant>
        <vt:i4>186</vt:i4>
      </vt:variant>
      <vt:variant>
        <vt:i4>0</vt:i4>
      </vt:variant>
      <vt:variant>
        <vt:i4>5</vt:i4>
      </vt:variant>
      <vt:variant>
        <vt:lpwstr/>
      </vt:variant>
      <vt:variant>
        <vt:lpwstr>_Legislative_context_and</vt:lpwstr>
      </vt:variant>
      <vt:variant>
        <vt:i4>851983</vt:i4>
      </vt:variant>
      <vt:variant>
        <vt:i4>183</vt:i4>
      </vt:variant>
      <vt:variant>
        <vt:i4>0</vt:i4>
      </vt:variant>
      <vt:variant>
        <vt:i4>5</vt:i4>
      </vt:variant>
      <vt:variant>
        <vt:lpwstr>https://www.acma.gov.au/policy-apparatus-licence-renewals</vt:lpwstr>
      </vt:variant>
      <vt:variant>
        <vt:lpwstr/>
      </vt:variant>
      <vt:variant>
        <vt:i4>5898331</vt:i4>
      </vt:variant>
      <vt:variant>
        <vt:i4>180</vt:i4>
      </vt:variant>
      <vt:variant>
        <vt:i4>0</vt:i4>
      </vt:variant>
      <vt:variant>
        <vt:i4>5</vt:i4>
      </vt:variant>
      <vt:variant>
        <vt:lpwstr>https://www.acma.gov.au/publications/2021-03/rules/our-approach-radcomms-licensing-and-allocation</vt:lpwstr>
      </vt:variant>
      <vt:variant>
        <vt:lpwstr/>
      </vt:variant>
      <vt:variant>
        <vt:i4>983066</vt:i4>
      </vt:variant>
      <vt:variant>
        <vt:i4>177</vt:i4>
      </vt:variant>
      <vt:variant>
        <vt:i4>0</vt:i4>
      </vt:variant>
      <vt:variant>
        <vt:i4>5</vt:i4>
      </vt:variant>
      <vt:variant>
        <vt:lpwstr>https://www.legislation.gov.au/Series/F2015L00728</vt:lpwstr>
      </vt:variant>
      <vt:variant>
        <vt:lpwstr/>
      </vt:variant>
      <vt:variant>
        <vt:i4>4587526</vt:i4>
      </vt:variant>
      <vt:variant>
        <vt:i4>174</vt:i4>
      </vt:variant>
      <vt:variant>
        <vt:i4>0</vt:i4>
      </vt:variant>
      <vt:variant>
        <vt:i4>5</vt:i4>
      </vt:variant>
      <vt:variant>
        <vt:lpwstr>https://www.acma.gov.au/allocating-34-40-ghz-band</vt:lpwstr>
      </vt:variant>
      <vt:variant>
        <vt:lpwstr/>
      </vt:variant>
      <vt:variant>
        <vt:i4>8192034</vt:i4>
      </vt:variant>
      <vt:variant>
        <vt:i4>168</vt:i4>
      </vt:variant>
      <vt:variant>
        <vt:i4>0</vt:i4>
      </vt:variant>
      <vt:variant>
        <vt:i4>5</vt:i4>
      </vt:variant>
      <vt:variant>
        <vt:lpwstr>https://www.legislation.gov.au/Details/F2022L00983</vt:lpwstr>
      </vt:variant>
      <vt:variant>
        <vt:lpwstr/>
      </vt:variant>
      <vt:variant>
        <vt:i4>4718676</vt:i4>
      </vt:variant>
      <vt:variant>
        <vt:i4>162</vt:i4>
      </vt:variant>
      <vt:variant>
        <vt:i4>0</vt:i4>
      </vt:variant>
      <vt:variant>
        <vt:i4>5</vt:i4>
      </vt:variant>
      <vt:variant>
        <vt:lpwstr>https://www.acma.gov.au/consultations/2022-03/proposed-spectrum-re-allocation-declaration-34-ghz-and-37-ghz-bands-ifc-102022</vt:lpwstr>
      </vt:variant>
      <vt:variant>
        <vt:lpwstr/>
      </vt:variant>
      <vt:variant>
        <vt:i4>2687030</vt:i4>
      </vt:variant>
      <vt:variant>
        <vt:i4>156</vt:i4>
      </vt:variant>
      <vt:variant>
        <vt:i4>0</vt:i4>
      </vt:variant>
      <vt:variant>
        <vt:i4>5</vt:i4>
      </vt:variant>
      <vt:variant>
        <vt:lpwstr>https://www.acma.gov.au/consultations/2023-02/draft-allocation-and-technical-instruments-3437-ghz-bands-auction</vt:lpwstr>
      </vt:variant>
      <vt:variant>
        <vt:lpwstr/>
      </vt:variant>
      <vt:variant>
        <vt:i4>7274598</vt:i4>
      </vt:variant>
      <vt:variant>
        <vt:i4>153</vt:i4>
      </vt:variant>
      <vt:variant>
        <vt:i4>0</vt:i4>
      </vt:variant>
      <vt:variant>
        <vt:i4>5</vt:i4>
      </vt:variant>
      <vt:variant>
        <vt:lpwstr>https://www.acma.gov.au/publications/2019-09/instruction/rali-fx3-microwave-fixed-services</vt:lpwstr>
      </vt:variant>
      <vt:variant>
        <vt:lpwstr/>
      </vt:variant>
      <vt:variant>
        <vt:i4>2687030</vt:i4>
      </vt:variant>
      <vt:variant>
        <vt:i4>150</vt:i4>
      </vt:variant>
      <vt:variant>
        <vt:i4>0</vt:i4>
      </vt:variant>
      <vt:variant>
        <vt:i4>5</vt:i4>
      </vt:variant>
      <vt:variant>
        <vt:lpwstr>https://www.acma.gov.au/consultations/2023-02/draft-allocation-and-technical-instruments-3437-ghz-bands-auction</vt:lpwstr>
      </vt:variant>
      <vt:variant>
        <vt:lpwstr/>
      </vt:variant>
      <vt:variant>
        <vt:i4>196675</vt:i4>
      </vt:variant>
      <vt:variant>
        <vt:i4>147</vt:i4>
      </vt:variant>
      <vt:variant>
        <vt:i4>0</vt:i4>
      </vt:variant>
      <vt:variant>
        <vt:i4>5</vt:i4>
      </vt:variant>
      <vt:variant>
        <vt:lpwstr>https://www.acma.gov.au/spectrum-licence-technical-liaison-groups</vt:lpwstr>
      </vt:variant>
      <vt:variant>
        <vt:lpwstr/>
      </vt:variant>
      <vt:variant>
        <vt:i4>655388</vt:i4>
      </vt:variant>
      <vt:variant>
        <vt:i4>144</vt:i4>
      </vt:variant>
      <vt:variant>
        <vt:i4>0</vt:i4>
      </vt:variant>
      <vt:variant>
        <vt:i4>5</vt:i4>
      </vt:variant>
      <vt:variant>
        <vt:lpwstr>https://www.legislation.gov.au/Series/F2015L00178</vt:lpwstr>
      </vt:variant>
      <vt:variant>
        <vt:lpwstr/>
      </vt:variant>
      <vt:variant>
        <vt:i4>2687030</vt:i4>
      </vt:variant>
      <vt:variant>
        <vt:i4>141</vt:i4>
      </vt:variant>
      <vt:variant>
        <vt:i4>0</vt:i4>
      </vt:variant>
      <vt:variant>
        <vt:i4>5</vt:i4>
      </vt:variant>
      <vt:variant>
        <vt:lpwstr>https://www.acma.gov.au/consultations/2023-02/draft-allocation-and-technical-instruments-3437-ghz-bands-auction</vt:lpwstr>
      </vt:variant>
      <vt:variant>
        <vt:lpwstr/>
      </vt:variant>
      <vt:variant>
        <vt:i4>983066</vt:i4>
      </vt:variant>
      <vt:variant>
        <vt:i4>138</vt:i4>
      </vt:variant>
      <vt:variant>
        <vt:i4>0</vt:i4>
      </vt:variant>
      <vt:variant>
        <vt:i4>5</vt:i4>
      </vt:variant>
      <vt:variant>
        <vt:lpwstr>https://www.legislation.gov.au/Series/F2015L00728</vt:lpwstr>
      </vt:variant>
      <vt:variant>
        <vt:lpwstr/>
      </vt:variant>
      <vt:variant>
        <vt:i4>8192034</vt:i4>
      </vt:variant>
      <vt:variant>
        <vt:i4>135</vt:i4>
      </vt:variant>
      <vt:variant>
        <vt:i4>0</vt:i4>
      </vt:variant>
      <vt:variant>
        <vt:i4>5</vt:i4>
      </vt:variant>
      <vt:variant>
        <vt:lpwstr>https://www.legislation.gov.au/Details/F2022L00983</vt:lpwstr>
      </vt:variant>
      <vt:variant>
        <vt:lpwstr/>
      </vt:variant>
      <vt:variant>
        <vt:i4>4587540</vt:i4>
      </vt:variant>
      <vt:variant>
        <vt:i4>132</vt:i4>
      </vt:variant>
      <vt:variant>
        <vt:i4>0</vt:i4>
      </vt:variant>
      <vt:variant>
        <vt:i4>5</vt:i4>
      </vt:variant>
      <vt:variant>
        <vt:lpwstr>https://minister.infrastructure.gov.au/rowland/media-release/albanese-government-sets-expectations-two-key-communications-regulators</vt:lpwstr>
      </vt:variant>
      <vt:variant>
        <vt:lpwstr/>
      </vt:variant>
      <vt:variant>
        <vt:i4>3604531</vt:i4>
      </vt:variant>
      <vt:variant>
        <vt:i4>129</vt:i4>
      </vt:variant>
      <vt:variant>
        <vt:i4>0</vt:i4>
      </vt:variant>
      <vt:variant>
        <vt:i4>5</vt:i4>
      </vt:variant>
      <vt:variant>
        <vt:lpwstr>https://minister.infrastructure.gov.au/rowland/speech/address-radcomms-2022-conference</vt:lpwstr>
      </vt:variant>
      <vt:variant>
        <vt:lpwstr/>
      </vt:variant>
      <vt:variant>
        <vt:i4>2490484</vt:i4>
      </vt:variant>
      <vt:variant>
        <vt:i4>126</vt:i4>
      </vt:variant>
      <vt:variant>
        <vt:i4>0</vt:i4>
      </vt:variant>
      <vt:variant>
        <vt:i4>5</vt:i4>
      </vt:variant>
      <vt:variant>
        <vt:lpwstr>https://minister.infrastructure.gov.au/rowland/media-release/albanese-government-better-connect-inform-and-empower-australians</vt:lpwstr>
      </vt:variant>
      <vt:variant>
        <vt:lpwstr/>
      </vt:variant>
      <vt:variant>
        <vt:i4>851994</vt:i4>
      </vt:variant>
      <vt:variant>
        <vt:i4>123</vt:i4>
      </vt:variant>
      <vt:variant>
        <vt:i4>0</vt:i4>
      </vt:variant>
      <vt:variant>
        <vt:i4>5</vt:i4>
      </vt:variant>
      <vt:variant>
        <vt:lpwstr>https://www.legislation.gov.au/Series/F2022N00015</vt:lpwstr>
      </vt:variant>
      <vt:variant>
        <vt:lpwstr/>
      </vt:variant>
      <vt:variant>
        <vt:i4>7864375</vt:i4>
      </vt:variant>
      <vt:variant>
        <vt:i4>120</vt:i4>
      </vt:variant>
      <vt:variant>
        <vt:i4>0</vt:i4>
      </vt:variant>
      <vt:variant>
        <vt:i4>5</vt:i4>
      </vt:variant>
      <vt:variant>
        <vt:lpwstr>https://www.acma.gov.au/consultations/2019-08/optimising-3400-3575-mhz-band-consultation-122019</vt:lpwstr>
      </vt:variant>
      <vt:variant>
        <vt:lpwstr/>
      </vt:variant>
      <vt:variant>
        <vt:i4>2162773</vt:i4>
      </vt:variant>
      <vt:variant>
        <vt:i4>117</vt:i4>
      </vt:variant>
      <vt:variant>
        <vt:i4>0</vt:i4>
      </vt:variant>
      <vt:variant>
        <vt:i4>5</vt:i4>
      </vt:variant>
      <vt:variant>
        <vt:lpwstr>https://www.acma.gov.au/sites/default/files/2021-01/Replanning the 3700-4200 MHz band_Outcomes paper.docx</vt:lpwstr>
      </vt:variant>
      <vt:variant>
        <vt:lpwstr/>
      </vt:variant>
      <vt:variant>
        <vt:i4>1507360</vt:i4>
      </vt:variant>
      <vt:variant>
        <vt:i4>114</vt:i4>
      </vt:variant>
      <vt:variant>
        <vt:i4>0</vt:i4>
      </vt:variant>
      <vt:variant>
        <vt:i4>5</vt:i4>
      </vt:variant>
      <vt:variant>
        <vt:lpwstr/>
      </vt:variant>
      <vt:variant>
        <vt:lpwstr>_Pricing</vt:lpwstr>
      </vt:variant>
      <vt:variant>
        <vt:i4>6094971</vt:i4>
      </vt:variant>
      <vt:variant>
        <vt:i4>111</vt:i4>
      </vt:variant>
      <vt:variant>
        <vt:i4>0</vt:i4>
      </vt:variant>
      <vt:variant>
        <vt:i4>5</vt:i4>
      </vt:variant>
      <vt:variant>
        <vt:lpwstr/>
      </vt:variant>
      <vt:variant>
        <vt:lpwstr>_Licence_tenure_and</vt:lpwstr>
      </vt:variant>
      <vt:variant>
        <vt:i4>4718656</vt:i4>
      </vt:variant>
      <vt:variant>
        <vt:i4>108</vt:i4>
      </vt:variant>
      <vt:variant>
        <vt:i4>0</vt:i4>
      </vt:variant>
      <vt:variant>
        <vt:i4>5</vt:i4>
      </vt:variant>
      <vt:variant>
        <vt:lpwstr/>
      </vt:variant>
      <vt:variant>
        <vt:lpwstr>_Allocation_process</vt:lpwstr>
      </vt:variant>
      <vt:variant>
        <vt:i4>1048607</vt:i4>
      </vt:variant>
      <vt:variant>
        <vt:i4>105</vt:i4>
      </vt:variant>
      <vt:variant>
        <vt:i4>0</vt:i4>
      </vt:variant>
      <vt:variant>
        <vt:i4>5</vt:i4>
      </vt:variant>
      <vt:variant>
        <vt:lpwstr/>
      </vt:variant>
      <vt:variant>
        <vt:lpwstr>_Technical_Framework</vt:lpwstr>
      </vt:variant>
      <vt:variant>
        <vt:i4>7798799</vt:i4>
      </vt:variant>
      <vt:variant>
        <vt:i4>102</vt:i4>
      </vt:variant>
      <vt:variant>
        <vt:i4>0</vt:i4>
      </vt:variant>
      <vt:variant>
        <vt:i4>5</vt:i4>
      </vt:variant>
      <vt:variant>
        <vt:lpwstr>https://www.google.com.au/url?sa=t&amp;rct=j&amp;q=&amp;esrc=s&amp;source=web&amp;cd=&amp;cad=rja&amp;uact=8&amp;ved=2ahUKEwiSlojh8NX-AhWE-TgGHWT8C2oQFnoECBAQAQ&amp;url=https%3A%2F%2Fwww.acma.gov.au%2Farea-wide-licences-awl&amp;usg=AOvVaw0Yo5L3vuWK-HsulXr_Shj0</vt:lpwstr>
      </vt:variant>
      <vt:variant>
        <vt:lpwstr/>
      </vt:variant>
      <vt:variant>
        <vt:i4>6225960</vt:i4>
      </vt:variant>
      <vt:variant>
        <vt:i4>3</vt:i4>
      </vt:variant>
      <vt:variant>
        <vt:i4>0</vt:i4>
      </vt:variant>
      <vt:variant>
        <vt:i4>5</vt:i4>
      </vt:variant>
      <vt:variant>
        <vt:lpwstr>mailto:info@acma.gov.au</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2293874</vt:i4>
      </vt:variant>
      <vt:variant>
        <vt:i4>6</vt:i4>
      </vt:variant>
      <vt:variant>
        <vt:i4>0</vt:i4>
      </vt:variant>
      <vt:variant>
        <vt:i4>5</vt:i4>
      </vt:variant>
      <vt:variant>
        <vt:lpwstr>https://www.acma.gov.au/convert-hcis-area-description-placemark</vt:lpwstr>
      </vt:variant>
      <vt:variant>
        <vt:lpwstr/>
      </vt:variant>
      <vt:variant>
        <vt:i4>1179657</vt:i4>
      </vt:variant>
      <vt:variant>
        <vt:i4>3</vt:i4>
      </vt:variant>
      <vt:variant>
        <vt:i4>0</vt:i4>
      </vt:variant>
      <vt:variant>
        <vt:i4>5</vt:i4>
      </vt:variant>
      <vt:variant>
        <vt:lpwstr>https://www.acma.gov.au/australian-spectrum-map-grid</vt:lpwstr>
      </vt:variant>
      <vt:variant>
        <vt:lpwstr/>
      </vt:variant>
      <vt:variant>
        <vt:i4>6619145</vt:i4>
      </vt:variant>
      <vt:variant>
        <vt:i4>0</vt:i4>
      </vt:variant>
      <vt:variant>
        <vt:i4>0</vt:i4>
      </vt:variant>
      <vt:variant>
        <vt:i4>5</vt:i4>
      </vt:variant>
      <vt:variant>
        <vt:lpwstr>https://view.officeapps.live.com/op/view.aspx?src=https%3A%2F%2Fwww.acma.gov.au%2Fsites%2Fdefault%2Ffiles%2F2022-02%2Fapparatus_licences_in_the_3.4-4.0_ghz_band_in_remote_australia_consultation_paper.docx&amp;wdOrigin=BROWSELINK</vt:lpwstr>
      </vt:variant>
      <vt:variant>
        <vt:lpwstr/>
      </vt:variant>
      <vt:variant>
        <vt:i4>3604481</vt:i4>
      </vt:variant>
      <vt:variant>
        <vt:i4>48</vt:i4>
      </vt:variant>
      <vt:variant>
        <vt:i4>0</vt:i4>
      </vt:variant>
      <vt:variant>
        <vt:i4>5</vt:i4>
      </vt:variant>
      <vt:variant>
        <vt:lpwstr>mailto:John.Seddon@acma.gov.au</vt:lpwstr>
      </vt:variant>
      <vt:variant>
        <vt:lpwstr/>
      </vt:variant>
      <vt:variant>
        <vt:i4>5374065</vt:i4>
      </vt:variant>
      <vt:variant>
        <vt:i4>45</vt:i4>
      </vt:variant>
      <vt:variant>
        <vt:i4>0</vt:i4>
      </vt:variant>
      <vt:variant>
        <vt:i4>5</vt:i4>
      </vt:variant>
      <vt:variant>
        <vt:lpwstr>mailto:Douglas.Iles@acma.gov.au</vt:lpwstr>
      </vt:variant>
      <vt:variant>
        <vt:lpwstr/>
      </vt:variant>
      <vt:variant>
        <vt:i4>3604481</vt:i4>
      </vt:variant>
      <vt:variant>
        <vt:i4>42</vt:i4>
      </vt:variant>
      <vt:variant>
        <vt:i4>0</vt:i4>
      </vt:variant>
      <vt:variant>
        <vt:i4>5</vt:i4>
      </vt:variant>
      <vt:variant>
        <vt:lpwstr>mailto:John.Seddon@acma.gov.au</vt:lpwstr>
      </vt:variant>
      <vt:variant>
        <vt:lpwstr/>
      </vt:variant>
      <vt:variant>
        <vt:i4>5374065</vt:i4>
      </vt:variant>
      <vt:variant>
        <vt:i4>39</vt:i4>
      </vt:variant>
      <vt:variant>
        <vt:i4>0</vt:i4>
      </vt:variant>
      <vt:variant>
        <vt:i4>5</vt:i4>
      </vt:variant>
      <vt:variant>
        <vt:lpwstr>mailto:Douglas.Iles@acma.gov.au</vt:lpwstr>
      </vt:variant>
      <vt:variant>
        <vt:lpwstr/>
      </vt:variant>
      <vt:variant>
        <vt:i4>5177449</vt:i4>
      </vt:variant>
      <vt:variant>
        <vt:i4>36</vt:i4>
      </vt:variant>
      <vt:variant>
        <vt:i4>0</vt:i4>
      </vt:variant>
      <vt:variant>
        <vt:i4>5</vt:i4>
      </vt:variant>
      <vt:variant>
        <vt:lpwstr>mailto:David.Goggin@acma.gov.au</vt:lpwstr>
      </vt:variant>
      <vt:variant>
        <vt:lpwstr/>
      </vt:variant>
      <vt:variant>
        <vt:i4>7012419</vt:i4>
      </vt:variant>
      <vt:variant>
        <vt:i4>33</vt:i4>
      </vt:variant>
      <vt:variant>
        <vt:i4>0</vt:i4>
      </vt:variant>
      <vt:variant>
        <vt:i4>5</vt:i4>
      </vt:variant>
      <vt:variant>
        <vt:lpwstr>mailto:Nicholas.Brody@acma.gov.au</vt:lpwstr>
      </vt:variant>
      <vt:variant>
        <vt:lpwstr/>
      </vt:variant>
      <vt:variant>
        <vt:i4>5374065</vt:i4>
      </vt:variant>
      <vt:variant>
        <vt:i4>30</vt:i4>
      </vt:variant>
      <vt:variant>
        <vt:i4>0</vt:i4>
      </vt:variant>
      <vt:variant>
        <vt:i4>5</vt:i4>
      </vt:variant>
      <vt:variant>
        <vt:lpwstr>mailto:Douglas.Iles@acma.gov.au</vt:lpwstr>
      </vt:variant>
      <vt:variant>
        <vt:lpwstr/>
      </vt:variant>
      <vt:variant>
        <vt:i4>5177449</vt:i4>
      </vt:variant>
      <vt:variant>
        <vt:i4>27</vt:i4>
      </vt:variant>
      <vt:variant>
        <vt:i4>0</vt:i4>
      </vt:variant>
      <vt:variant>
        <vt:i4>5</vt:i4>
      </vt:variant>
      <vt:variant>
        <vt:lpwstr>mailto:David.Goggin@acma.gov.au</vt:lpwstr>
      </vt:variant>
      <vt:variant>
        <vt:lpwstr/>
      </vt:variant>
      <vt:variant>
        <vt:i4>3604481</vt:i4>
      </vt:variant>
      <vt:variant>
        <vt:i4>24</vt:i4>
      </vt:variant>
      <vt:variant>
        <vt:i4>0</vt:i4>
      </vt:variant>
      <vt:variant>
        <vt:i4>5</vt:i4>
      </vt:variant>
      <vt:variant>
        <vt:lpwstr>mailto:John.Seddon@acma.gov.au</vt:lpwstr>
      </vt:variant>
      <vt:variant>
        <vt:lpwstr/>
      </vt:variant>
      <vt:variant>
        <vt:i4>5177449</vt:i4>
      </vt:variant>
      <vt:variant>
        <vt:i4>21</vt:i4>
      </vt:variant>
      <vt:variant>
        <vt:i4>0</vt:i4>
      </vt:variant>
      <vt:variant>
        <vt:i4>5</vt:i4>
      </vt:variant>
      <vt:variant>
        <vt:lpwstr>mailto:David.Goggin@acma.gov.au</vt:lpwstr>
      </vt:variant>
      <vt:variant>
        <vt:lpwstr/>
      </vt:variant>
      <vt:variant>
        <vt:i4>5374065</vt:i4>
      </vt:variant>
      <vt:variant>
        <vt:i4>18</vt:i4>
      </vt:variant>
      <vt:variant>
        <vt:i4>0</vt:i4>
      </vt:variant>
      <vt:variant>
        <vt:i4>5</vt:i4>
      </vt:variant>
      <vt:variant>
        <vt:lpwstr>mailto:Douglas.Iles@acma.gov.au</vt:lpwstr>
      </vt:variant>
      <vt:variant>
        <vt:lpwstr/>
      </vt:variant>
      <vt:variant>
        <vt:i4>3604481</vt:i4>
      </vt:variant>
      <vt:variant>
        <vt:i4>15</vt:i4>
      </vt:variant>
      <vt:variant>
        <vt:i4>0</vt:i4>
      </vt:variant>
      <vt:variant>
        <vt:i4>5</vt:i4>
      </vt:variant>
      <vt:variant>
        <vt:lpwstr>mailto:John.Seddon@acma.gov.au</vt:lpwstr>
      </vt:variant>
      <vt:variant>
        <vt:lpwstr/>
      </vt:variant>
      <vt:variant>
        <vt:i4>5374065</vt:i4>
      </vt:variant>
      <vt:variant>
        <vt:i4>12</vt:i4>
      </vt:variant>
      <vt:variant>
        <vt:i4>0</vt:i4>
      </vt:variant>
      <vt:variant>
        <vt:i4>5</vt:i4>
      </vt:variant>
      <vt:variant>
        <vt:lpwstr>mailto:Douglas.Iles@acma.gov.au</vt:lpwstr>
      </vt:variant>
      <vt:variant>
        <vt:lpwstr/>
      </vt:variant>
      <vt:variant>
        <vt:i4>5177449</vt:i4>
      </vt:variant>
      <vt:variant>
        <vt:i4>9</vt:i4>
      </vt:variant>
      <vt:variant>
        <vt:i4>0</vt:i4>
      </vt:variant>
      <vt:variant>
        <vt:i4>5</vt:i4>
      </vt:variant>
      <vt:variant>
        <vt:lpwstr>mailto:David.Goggin@acma.gov.au</vt:lpwstr>
      </vt:variant>
      <vt:variant>
        <vt:lpwstr/>
      </vt:variant>
      <vt:variant>
        <vt:i4>3604481</vt:i4>
      </vt:variant>
      <vt:variant>
        <vt:i4>6</vt:i4>
      </vt:variant>
      <vt:variant>
        <vt:i4>0</vt:i4>
      </vt:variant>
      <vt:variant>
        <vt:i4>5</vt:i4>
      </vt:variant>
      <vt:variant>
        <vt:lpwstr>mailto:John.Seddon@acma.gov.au</vt:lpwstr>
      </vt:variant>
      <vt:variant>
        <vt:lpwstr/>
      </vt:variant>
      <vt:variant>
        <vt:i4>3604481</vt:i4>
      </vt:variant>
      <vt:variant>
        <vt:i4>3</vt:i4>
      </vt:variant>
      <vt:variant>
        <vt:i4>0</vt:i4>
      </vt:variant>
      <vt:variant>
        <vt:i4>5</vt:i4>
      </vt:variant>
      <vt:variant>
        <vt:lpwstr>mailto:John.Seddon@acma.gov.au</vt:lpwstr>
      </vt:variant>
      <vt:variant>
        <vt:lpwstr/>
      </vt:variant>
      <vt:variant>
        <vt:i4>3866748</vt:i4>
      </vt:variant>
      <vt:variant>
        <vt:i4>0</vt:i4>
      </vt:variant>
      <vt:variant>
        <vt:i4>0</vt:i4>
      </vt:variant>
      <vt:variant>
        <vt:i4>5</vt:i4>
      </vt:variant>
      <vt:variant>
        <vt:lpwstr>https://www.acma.gov.au/publications/2020-02/guide/area-wide-licensing-acma-approach-introducing-area-wide-licences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2023-06-18T21:02:00Z</dcterms:created>
  <dcterms:modified xsi:type="dcterms:W3CDTF">2023-06-19T05:28:00Z</dcterms:modified>
  <cp:category/>
</cp:coreProperties>
</file>