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5D18" w14:textId="57A23A68" w:rsidR="00BE459D" w:rsidRDefault="00B30A6C" w:rsidP="00195ECD">
      <w:pPr>
        <w:pStyle w:val="ACMAHeading1"/>
        <w:spacing w:before="240" w:after="0"/>
        <w:rPr>
          <w:iCs/>
        </w:rPr>
      </w:pPr>
      <w:r w:rsidRPr="002B0831">
        <w:t>Investigation</w:t>
      </w:r>
      <w:r>
        <w:t xml:space="preserve"> </w:t>
      </w:r>
      <w:r w:rsidR="0079419E">
        <w:t>r</w:t>
      </w:r>
      <w:r>
        <w:t xml:space="preserve">eport </w:t>
      </w:r>
      <w:r w:rsidR="0079419E">
        <w:t>n</w:t>
      </w:r>
      <w:r>
        <w:t xml:space="preserve">o. </w:t>
      </w:r>
      <w:r w:rsidR="00EF41B0" w:rsidRPr="007233FD">
        <w:rPr>
          <w:iCs/>
        </w:rPr>
        <w:t>BI-</w:t>
      </w:r>
      <w:r w:rsidR="007233FD" w:rsidRPr="007233FD">
        <w:rPr>
          <w:iCs/>
        </w:rPr>
        <w:t>649</w:t>
      </w:r>
    </w:p>
    <w:p w14:paraId="05A7904F" w14:textId="77777777" w:rsidR="0031189B" w:rsidRPr="0031189B" w:rsidRDefault="0031189B" w:rsidP="0031189B">
      <w:pPr>
        <w:pStyle w:val="ACMABodyText"/>
      </w:pP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4EE96D85"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2C6C0948" w14:textId="77777777" w:rsidR="005E47E5" w:rsidRPr="0033104B" w:rsidRDefault="003E08A5" w:rsidP="0033104B">
            <w:pPr>
              <w:pStyle w:val="ACMATableHeading"/>
            </w:pPr>
            <w:bookmarkStart w:id="0" w:name="ColumnTitle"/>
            <w:r w:rsidRPr="0033104B">
              <w:t>Summary</w:t>
            </w:r>
          </w:p>
        </w:tc>
        <w:tc>
          <w:tcPr>
            <w:tcW w:w="5724" w:type="dxa"/>
          </w:tcPr>
          <w:p w14:paraId="47ACE567" w14:textId="77777777" w:rsidR="005E47E5" w:rsidRPr="00B261EE" w:rsidRDefault="005E47E5" w:rsidP="00CC369B">
            <w:pPr>
              <w:pStyle w:val="ACMATableHeading"/>
            </w:pPr>
          </w:p>
        </w:tc>
      </w:tr>
      <w:bookmarkEnd w:id="0"/>
      <w:tr w:rsidR="005E47E5" w14:paraId="73F8EC7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C1B5DA2" w14:textId="7431FBE5" w:rsidR="005E47E5" w:rsidRPr="00812638" w:rsidRDefault="00B30A6C" w:rsidP="0033104B">
            <w:pPr>
              <w:pStyle w:val="ACMATableBody"/>
              <w:rPr>
                <w:b/>
              </w:rPr>
            </w:pPr>
            <w:r w:rsidRPr="00812638">
              <w:rPr>
                <w:b/>
              </w:rPr>
              <w:t>Licensee</w:t>
            </w:r>
            <w:r w:rsidR="009B2896">
              <w:rPr>
                <w:b/>
              </w:rPr>
              <w:t xml:space="preserve"> [service]</w:t>
            </w:r>
          </w:p>
        </w:tc>
        <w:tc>
          <w:tcPr>
            <w:tcW w:w="5724" w:type="dxa"/>
            <w:tcBorders>
              <w:top w:val="single" w:sz="4" w:space="0" w:color="auto"/>
              <w:left w:val="single" w:sz="4" w:space="0" w:color="auto"/>
              <w:bottom w:val="single" w:sz="4" w:space="0" w:color="auto"/>
            </w:tcBorders>
            <w:shd w:val="clear" w:color="auto" w:fill="auto"/>
          </w:tcPr>
          <w:p w14:paraId="70E3F347" w14:textId="2ABE9B05" w:rsidR="005E47E5" w:rsidRPr="00812638" w:rsidRDefault="00812638" w:rsidP="0033104B">
            <w:pPr>
              <w:pStyle w:val="ACMATableBody"/>
            </w:pPr>
            <w:r w:rsidRPr="00812638">
              <w:t>TCN Channel Nine Pty Ltd</w:t>
            </w:r>
            <w:r w:rsidR="009B2896">
              <w:t xml:space="preserve"> [Nine]</w:t>
            </w:r>
          </w:p>
        </w:tc>
      </w:tr>
      <w:tr w:rsidR="004E0B99" w14:paraId="329C4F5B"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F9587CC" w14:textId="16B64BCA" w:rsidR="004E0B99" w:rsidRPr="0033104B" w:rsidRDefault="00302953" w:rsidP="000E3534">
            <w:pPr>
              <w:pStyle w:val="ACMATableBody"/>
              <w:rPr>
                <w:b/>
              </w:rPr>
            </w:pPr>
            <w:r>
              <w:rPr>
                <w:b/>
              </w:rPr>
              <w:t>F</w:t>
            </w:r>
            <w:r w:rsidR="004E0B99" w:rsidRPr="00DC01C2">
              <w:rPr>
                <w:b/>
              </w:rPr>
              <w:t>inding</w:t>
            </w:r>
          </w:p>
        </w:tc>
        <w:tc>
          <w:tcPr>
            <w:tcW w:w="5724" w:type="dxa"/>
            <w:tcBorders>
              <w:top w:val="single" w:sz="4" w:space="0" w:color="auto"/>
              <w:left w:val="single" w:sz="4" w:space="0" w:color="auto"/>
              <w:bottom w:val="single" w:sz="4" w:space="0" w:color="auto"/>
            </w:tcBorders>
            <w:shd w:val="clear" w:color="auto" w:fill="auto"/>
          </w:tcPr>
          <w:p w14:paraId="660D9865" w14:textId="525F4D8D" w:rsidR="004E0B99" w:rsidRPr="0088427E" w:rsidRDefault="005B1509" w:rsidP="000E3534">
            <w:pPr>
              <w:pStyle w:val="ACMATableBody"/>
              <w:rPr>
                <w:rFonts w:cs="Arial"/>
                <w:highlight w:val="yellow"/>
              </w:rPr>
            </w:pPr>
            <w:r>
              <w:t>Breach of clause 3.5.1 [privacy]</w:t>
            </w:r>
            <w:r w:rsidR="004E0B99" w:rsidRPr="00C22B6B">
              <w:t xml:space="preserve"> </w:t>
            </w:r>
          </w:p>
        </w:tc>
      </w:tr>
      <w:tr w:rsidR="004E0B99" w14:paraId="2514AAD9"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19D28C8" w14:textId="302CB5B0" w:rsidR="004E0B99" w:rsidRPr="0033104B" w:rsidRDefault="004E0B99" w:rsidP="000E3534">
            <w:pPr>
              <w:pStyle w:val="ACMATableBody"/>
              <w:rPr>
                <w:b/>
              </w:rPr>
            </w:pPr>
            <w:r w:rsidRPr="0033104B">
              <w:rPr>
                <w:b/>
              </w:rPr>
              <w:t xml:space="preserve">Relevant </w:t>
            </w:r>
            <w:r w:rsidR="005B1509">
              <w:rPr>
                <w:b/>
              </w:rPr>
              <w:t>Code</w:t>
            </w:r>
          </w:p>
        </w:tc>
        <w:tc>
          <w:tcPr>
            <w:tcW w:w="5724" w:type="dxa"/>
            <w:tcBorders>
              <w:top w:val="single" w:sz="4" w:space="0" w:color="auto"/>
              <w:left w:val="single" w:sz="4" w:space="0" w:color="auto"/>
              <w:bottom w:val="single" w:sz="4" w:space="0" w:color="auto"/>
            </w:tcBorders>
            <w:shd w:val="clear" w:color="auto" w:fill="auto"/>
          </w:tcPr>
          <w:p w14:paraId="75324882" w14:textId="3F0C07A8" w:rsidR="004E0B99" w:rsidRDefault="00F67886" w:rsidP="000E3534">
            <w:pPr>
              <w:pStyle w:val="ACMATableBody"/>
            </w:pPr>
            <w:r w:rsidRPr="008E6246">
              <w:rPr>
                <w:lang w:eastAsia="en-AU"/>
              </w:rPr>
              <w:t>Commercial Television Industry Code of Practice 2015 (revised in 2018)</w:t>
            </w:r>
            <w:r>
              <w:rPr>
                <w:lang w:eastAsia="en-AU"/>
              </w:rPr>
              <w:t xml:space="preserve"> (the </w:t>
            </w:r>
            <w:r w:rsidRPr="0021410D">
              <w:rPr>
                <w:b/>
                <w:bCs/>
                <w:lang w:eastAsia="en-AU"/>
              </w:rPr>
              <w:t>Code</w:t>
            </w:r>
            <w:r>
              <w:rPr>
                <w:lang w:eastAsia="en-AU"/>
              </w:rPr>
              <w:t>)</w:t>
            </w:r>
          </w:p>
        </w:tc>
      </w:tr>
      <w:tr w:rsidR="004E0B99" w14:paraId="2DFC349B"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4EB17FB" w14:textId="160B4339" w:rsidR="004E0B99" w:rsidRPr="0033104B" w:rsidRDefault="004E0B99" w:rsidP="000E3534">
            <w:pPr>
              <w:pStyle w:val="ACMATableBody"/>
              <w:rPr>
                <w:b/>
              </w:rPr>
            </w:pPr>
            <w:r>
              <w:rPr>
                <w:b/>
              </w:rPr>
              <w:t>P</w:t>
            </w:r>
            <w:r w:rsidRPr="0033104B">
              <w:rPr>
                <w:b/>
              </w:rPr>
              <w:t>rogram</w:t>
            </w:r>
            <w:r>
              <w:rPr>
                <w:b/>
              </w:rPr>
              <w:t xml:space="preserve"> [type]</w:t>
            </w:r>
          </w:p>
        </w:tc>
        <w:tc>
          <w:tcPr>
            <w:tcW w:w="5724" w:type="dxa"/>
            <w:tcBorders>
              <w:top w:val="single" w:sz="4" w:space="0" w:color="auto"/>
              <w:left w:val="single" w:sz="4" w:space="0" w:color="auto"/>
              <w:bottom w:val="single" w:sz="4" w:space="0" w:color="auto"/>
            </w:tcBorders>
            <w:shd w:val="clear" w:color="auto" w:fill="auto"/>
          </w:tcPr>
          <w:p w14:paraId="6A03C728" w14:textId="3DD0F0DC" w:rsidR="004E0B99" w:rsidRPr="004E0B99" w:rsidRDefault="00F01D98" w:rsidP="000E3534">
            <w:pPr>
              <w:pStyle w:val="ACMATableBody"/>
              <w:rPr>
                <w:iCs/>
                <w:highlight w:val="yellow"/>
              </w:rPr>
            </w:pPr>
            <w:r>
              <w:rPr>
                <w:i/>
                <w:lang w:eastAsia="en-AU"/>
              </w:rPr>
              <w:t xml:space="preserve">A Current Affair </w:t>
            </w:r>
            <w:r>
              <w:rPr>
                <w:iCs/>
                <w:lang w:eastAsia="en-AU"/>
              </w:rPr>
              <w:t>[current affairs]</w:t>
            </w:r>
          </w:p>
        </w:tc>
      </w:tr>
      <w:tr w:rsidR="004E0B99" w14:paraId="49993317"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F7AE770" w14:textId="0DF33947" w:rsidR="004E0B99" w:rsidRPr="0033104B" w:rsidRDefault="004E0B99" w:rsidP="000E3534">
            <w:pPr>
              <w:pStyle w:val="ACMATableBody"/>
              <w:rPr>
                <w:b/>
              </w:rPr>
            </w:pPr>
            <w:r w:rsidRPr="00747CC0">
              <w:rPr>
                <w:b/>
              </w:rPr>
              <w:t xml:space="preserve">Date </w:t>
            </w:r>
            <w:r w:rsidRPr="0033104B">
              <w:rPr>
                <w:b/>
              </w:rPr>
              <w:t>of broadcast</w:t>
            </w:r>
          </w:p>
        </w:tc>
        <w:tc>
          <w:tcPr>
            <w:tcW w:w="5724" w:type="dxa"/>
            <w:tcBorders>
              <w:top w:val="single" w:sz="4" w:space="0" w:color="auto"/>
              <w:left w:val="single" w:sz="4" w:space="0" w:color="auto"/>
              <w:bottom w:val="single" w:sz="4" w:space="0" w:color="auto"/>
            </w:tcBorders>
            <w:shd w:val="clear" w:color="auto" w:fill="auto"/>
          </w:tcPr>
          <w:p w14:paraId="690D9850" w14:textId="058F79F7" w:rsidR="004E0B99" w:rsidRDefault="00183698" w:rsidP="000E3534">
            <w:pPr>
              <w:pStyle w:val="ACMATableBody"/>
            </w:pPr>
            <w:r>
              <w:t>21 March 2022</w:t>
            </w:r>
          </w:p>
        </w:tc>
      </w:tr>
      <w:tr w:rsidR="00637EE2" w14:paraId="66A80359" w14:textId="77777777" w:rsidTr="00637EE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FFFFFF" w:themeFill="background1"/>
          </w:tcPr>
          <w:p w14:paraId="7BBAE52F" w14:textId="78F1E364" w:rsidR="00637EE2" w:rsidRPr="00747CC0" w:rsidRDefault="00637EE2" w:rsidP="000E3534">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FFFFFF" w:themeFill="background1"/>
          </w:tcPr>
          <w:p w14:paraId="4BF73B3A" w14:textId="7A2D17F6" w:rsidR="00637EE2" w:rsidRDefault="00637EE2" w:rsidP="000E3534">
            <w:pPr>
              <w:pStyle w:val="ACMATableBody"/>
            </w:pPr>
            <w:r>
              <w:t>31 March 2023</w:t>
            </w:r>
          </w:p>
        </w:tc>
      </w:tr>
      <w:tr w:rsidR="005E47E5" w14:paraId="2F2F500D"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549E721" w14:textId="77777777" w:rsidR="005E47E5" w:rsidRPr="0033104B" w:rsidRDefault="00A04A54" w:rsidP="0033104B">
            <w:pPr>
              <w:pStyle w:val="ACMATableBody"/>
              <w:rPr>
                <w:b/>
              </w:rPr>
            </w:pPr>
            <w:r w:rsidRPr="0033104B">
              <w:rPr>
                <w:b/>
              </w:rPr>
              <w:t>Type of s</w:t>
            </w:r>
            <w:r w:rsidR="005E47E5" w:rsidRPr="0033104B">
              <w:rPr>
                <w:b/>
              </w:rPr>
              <w:t>ervice</w:t>
            </w:r>
          </w:p>
        </w:tc>
        <w:tc>
          <w:tcPr>
            <w:tcW w:w="5724" w:type="dxa"/>
            <w:tcBorders>
              <w:top w:val="single" w:sz="4" w:space="0" w:color="auto"/>
              <w:left w:val="single" w:sz="4" w:space="0" w:color="auto"/>
              <w:bottom w:val="single" w:sz="4" w:space="0" w:color="auto"/>
            </w:tcBorders>
            <w:shd w:val="clear" w:color="auto" w:fill="auto"/>
          </w:tcPr>
          <w:p w14:paraId="4F34946F" w14:textId="459EB736" w:rsidR="005E47E5" w:rsidRPr="00747CC0" w:rsidRDefault="002B3552" w:rsidP="000F12E8">
            <w:pPr>
              <w:pStyle w:val="ACMATableBody"/>
              <w:rPr>
                <w:highlight w:val="yellow"/>
              </w:rPr>
            </w:pPr>
            <w:r w:rsidRPr="008E6246">
              <w:rPr>
                <w:lang w:eastAsia="en-AU"/>
              </w:rPr>
              <w:t>Commercial—Television</w:t>
            </w:r>
            <w:r w:rsidR="007C710D" w:rsidRPr="00747CC0">
              <w:rPr>
                <w:highlight w:val="yellow"/>
              </w:rPr>
              <w:t xml:space="preserve"> </w:t>
            </w:r>
          </w:p>
        </w:tc>
      </w:tr>
      <w:tr w:rsidR="005E47E5" w14:paraId="7A749C0D"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51EC183" w14:textId="77777777" w:rsidR="005E47E5" w:rsidRPr="0033104B" w:rsidRDefault="004E0B99" w:rsidP="0033104B">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47F2A0AC" w14:textId="77777777" w:rsidR="004E0B99" w:rsidRPr="00F61594" w:rsidRDefault="004E0B99" w:rsidP="004E0B99">
            <w:pPr>
              <w:pStyle w:val="ACMABodyText"/>
              <w:spacing w:before="40" w:after="120" w:line="280" w:lineRule="atLeast"/>
            </w:pPr>
            <w:r w:rsidRPr="00F61594">
              <w:rPr>
                <w:b/>
                <w:bCs/>
              </w:rPr>
              <w:t>A</w:t>
            </w:r>
            <w:r w:rsidRPr="00F61594">
              <w:t xml:space="preserve"> </w:t>
            </w:r>
            <w:r>
              <w:t>–</w:t>
            </w:r>
            <w:r w:rsidRPr="00F61594">
              <w:t xml:space="preserve"> extracts f</w:t>
            </w:r>
            <w:r>
              <w:t>rom</w:t>
            </w:r>
            <w:r w:rsidRPr="00F61594">
              <w:t xml:space="preserve"> the complaint to </w:t>
            </w:r>
            <w:r>
              <w:t xml:space="preserve">the </w:t>
            </w:r>
            <w:r w:rsidRPr="00F61594">
              <w:t>ACMA</w:t>
            </w:r>
          </w:p>
          <w:p w14:paraId="420AB768" w14:textId="77777777" w:rsidR="004E0B99" w:rsidRPr="00F61594" w:rsidRDefault="004E0B99" w:rsidP="004E0B99">
            <w:pPr>
              <w:pStyle w:val="ACMABodyText"/>
              <w:spacing w:before="40" w:after="120" w:line="280" w:lineRule="atLeast"/>
              <w:rPr>
                <w:b/>
                <w:bCs/>
              </w:rPr>
            </w:pPr>
            <w:r w:rsidRPr="00F61594">
              <w:rPr>
                <w:b/>
                <w:bCs/>
              </w:rPr>
              <w:t>B</w:t>
            </w:r>
            <w:r w:rsidRPr="00F61594">
              <w:t xml:space="preserve"> </w:t>
            </w:r>
            <w:r>
              <w:t>–</w:t>
            </w:r>
            <w:r w:rsidRPr="00F61594">
              <w:t xml:space="preserve"> extracts f</w:t>
            </w:r>
            <w:r>
              <w:t>rom</w:t>
            </w:r>
            <w:r w:rsidRPr="00F61594">
              <w:t xml:space="preserve"> the </w:t>
            </w:r>
            <w:r>
              <w:t>Licensee’s</w:t>
            </w:r>
            <w:r w:rsidRPr="00F61594">
              <w:t xml:space="preserve"> submissions to the ACMA</w:t>
            </w:r>
            <w:r w:rsidRPr="00F61594">
              <w:rPr>
                <w:b/>
                <w:bCs/>
              </w:rPr>
              <w:t xml:space="preserve"> </w:t>
            </w:r>
          </w:p>
          <w:p w14:paraId="302AF137" w14:textId="77777777" w:rsidR="005E47E5" w:rsidRPr="00213AFF" w:rsidRDefault="004E0B99" w:rsidP="004E0B99">
            <w:pPr>
              <w:pStyle w:val="ACMATableBody"/>
              <w:rPr>
                <w:i/>
                <w:highlight w:val="yellow"/>
              </w:rPr>
            </w:pPr>
            <w:r w:rsidRPr="00F61594">
              <w:rPr>
                <w:b/>
              </w:rPr>
              <w:t xml:space="preserve">C </w:t>
            </w:r>
            <w:r>
              <w:rPr>
                <w:b/>
              </w:rPr>
              <w:t>–</w:t>
            </w:r>
            <w:r w:rsidRPr="00F61594">
              <w:rPr>
                <w:bCs/>
              </w:rPr>
              <w:t xml:space="preserve"> </w:t>
            </w:r>
            <w:r>
              <w:rPr>
                <w:bCs/>
              </w:rPr>
              <w:t>relevant provisions and the ACMA’s approach to     assessing content</w:t>
            </w:r>
          </w:p>
        </w:tc>
      </w:tr>
    </w:tbl>
    <w:p w14:paraId="66938D17" w14:textId="77777777" w:rsidR="001C6546" w:rsidRPr="00972DB3" w:rsidRDefault="00D668E3" w:rsidP="00972DB3">
      <w:pPr>
        <w:pStyle w:val="ACMABodyText"/>
        <w:rPr>
          <w:rFonts w:eastAsiaTheme="minorHAnsi"/>
          <w:i/>
        </w:rPr>
      </w:pPr>
      <w:r>
        <w:br w:type="page"/>
      </w:r>
    </w:p>
    <w:p w14:paraId="45989AA0" w14:textId="77777777" w:rsidR="001C6546" w:rsidRPr="007A7C97" w:rsidRDefault="007B047A" w:rsidP="001C6546">
      <w:pPr>
        <w:pStyle w:val="ACMAHeading2"/>
      </w:pPr>
      <w:r>
        <w:lastRenderedPageBreak/>
        <w:t>Background</w:t>
      </w:r>
    </w:p>
    <w:p w14:paraId="0A70BBDA" w14:textId="6E41F14F" w:rsidR="00281F78" w:rsidRPr="00F94423" w:rsidRDefault="001C6546" w:rsidP="001C6546">
      <w:pPr>
        <w:pStyle w:val="ACMABodyText"/>
        <w:rPr>
          <w:b/>
          <w:bCs/>
          <w:highlight w:val="yellow"/>
        </w:rPr>
      </w:pPr>
      <w:r>
        <w:t xml:space="preserve">In </w:t>
      </w:r>
      <w:r w:rsidR="008D7F83">
        <w:t>July 2022</w:t>
      </w:r>
      <w:r>
        <w:t xml:space="preserve">, the Australian Communications and Media Authority (the </w:t>
      </w:r>
      <w:r w:rsidRPr="00D97925">
        <w:rPr>
          <w:b/>
          <w:bCs/>
        </w:rPr>
        <w:t>ACMA</w:t>
      </w:r>
      <w:r>
        <w:t xml:space="preserve">) commenced an investigation </w:t>
      </w:r>
      <w:r w:rsidR="00205CDE">
        <w:t>under</w:t>
      </w:r>
      <w:r w:rsidR="00CD2711">
        <w:t xml:space="preserve"> </w:t>
      </w:r>
      <w:r w:rsidR="00205CDE" w:rsidRPr="00CD2711">
        <w:t xml:space="preserve">the </w:t>
      </w:r>
      <w:r w:rsidR="00205CDE" w:rsidRPr="00CD2711">
        <w:rPr>
          <w:i/>
        </w:rPr>
        <w:t>Broadcasting Services Act 1992</w:t>
      </w:r>
      <w:r w:rsidR="00205CDE">
        <w:rPr>
          <w:i/>
        </w:rPr>
        <w:t xml:space="preserve"> </w:t>
      </w:r>
      <w:r w:rsidR="00205CDE" w:rsidRPr="00F42D92">
        <w:t xml:space="preserve">(the </w:t>
      </w:r>
      <w:r w:rsidR="00205CDE" w:rsidRPr="00D97925">
        <w:rPr>
          <w:b/>
          <w:bCs/>
        </w:rPr>
        <w:t>BSA</w:t>
      </w:r>
      <w:r w:rsidR="00205CDE" w:rsidRPr="00F42D92">
        <w:t xml:space="preserve">) </w:t>
      </w:r>
      <w:r w:rsidR="00550001">
        <w:t>into</w:t>
      </w:r>
      <w:r w:rsidR="00213AFF">
        <w:t xml:space="preserve"> </w:t>
      </w:r>
      <w:r w:rsidR="00642867">
        <w:t xml:space="preserve">an episode of </w:t>
      </w:r>
      <w:r w:rsidR="00AB523C">
        <w:rPr>
          <w:i/>
          <w:iCs/>
        </w:rPr>
        <w:t>A Current Affair</w:t>
      </w:r>
      <w:r w:rsidR="008B1ED2">
        <w:rPr>
          <w:i/>
          <w:iCs/>
        </w:rPr>
        <w:t>.</w:t>
      </w:r>
    </w:p>
    <w:p w14:paraId="21E357DD" w14:textId="1E240EB0" w:rsidR="001C6546" w:rsidRPr="00EC69D9" w:rsidRDefault="00281F78" w:rsidP="001C6546">
      <w:pPr>
        <w:pStyle w:val="ACMABodyText"/>
      </w:pPr>
      <w:r w:rsidRPr="00CB39B3">
        <w:t>Th</w:t>
      </w:r>
      <w:r w:rsidR="00F94423">
        <w:t xml:space="preserve">e </w:t>
      </w:r>
      <w:r w:rsidR="00642867">
        <w:t xml:space="preserve">episode </w:t>
      </w:r>
      <w:r w:rsidRPr="00CB39B3">
        <w:t>was</w:t>
      </w:r>
      <w:r w:rsidR="001C6546" w:rsidRPr="00CB39B3">
        <w:t xml:space="preserve"> </w:t>
      </w:r>
      <w:r w:rsidR="001C6546">
        <w:t xml:space="preserve">broadcast on </w:t>
      </w:r>
      <w:r w:rsidR="00AB4EA9">
        <w:t>Nine</w:t>
      </w:r>
      <w:r w:rsidR="001C6546">
        <w:t xml:space="preserve"> by </w:t>
      </w:r>
      <w:r w:rsidR="00AB4EA9" w:rsidRPr="00812638">
        <w:t>TCN Channel Nine Pty L</w:t>
      </w:r>
      <w:r w:rsidR="00AB4EA9" w:rsidRPr="00AF17CD">
        <w:t>td</w:t>
      </w:r>
      <w:r w:rsidR="00505A8E">
        <w:t xml:space="preserve"> </w:t>
      </w:r>
      <w:r w:rsidR="007073A4">
        <w:t xml:space="preserve">(the </w:t>
      </w:r>
      <w:r w:rsidR="007073A4">
        <w:rPr>
          <w:b/>
          <w:bCs/>
        </w:rPr>
        <w:t>Licensee)</w:t>
      </w:r>
      <w:r w:rsidR="00AB4EA9" w:rsidRPr="00AF17CD">
        <w:t xml:space="preserve"> </w:t>
      </w:r>
      <w:r w:rsidR="004779A6" w:rsidRPr="00AF17CD">
        <w:t xml:space="preserve">at 7 </w:t>
      </w:r>
      <w:r w:rsidR="004779A6" w:rsidRPr="00EC69D9">
        <w:t>pm</w:t>
      </w:r>
      <w:r w:rsidR="004779A6" w:rsidRPr="00AF17CD">
        <w:t xml:space="preserve"> </w:t>
      </w:r>
      <w:r w:rsidR="009B2896">
        <w:t xml:space="preserve">on </w:t>
      </w:r>
      <w:r w:rsidR="00572EF7" w:rsidRPr="00AF17CD">
        <w:t>21 March 2022</w:t>
      </w:r>
      <w:r w:rsidR="00213AFF" w:rsidRPr="00AF17CD">
        <w:t xml:space="preserve"> </w:t>
      </w:r>
      <w:r w:rsidR="00227CCB" w:rsidRPr="00EC69D9">
        <w:t xml:space="preserve">and </w:t>
      </w:r>
      <w:r w:rsidR="00642867">
        <w:t xml:space="preserve">included </w:t>
      </w:r>
      <w:r w:rsidR="00B45381" w:rsidRPr="00EC69D9">
        <w:t>a</w:t>
      </w:r>
      <w:r w:rsidR="00642867">
        <w:t xml:space="preserve"> </w:t>
      </w:r>
      <w:r w:rsidR="007102B5">
        <w:t>report</w:t>
      </w:r>
      <w:r w:rsidR="00642867">
        <w:t xml:space="preserve"> about a</w:t>
      </w:r>
      <w:r w:rsidR="00B45381" w:rsidRPr="00EC69D9">
        <w:t xml:space="preserve"> </w:t>
      </w:r>
      <w:r w:rsidR="009D184C">
        <w:t xml:space="preserve">viral online video </w:t>
      </w:r>
      <w:r w:rsidR="00EE21F2">
        <w:t xml:space="preserve">regarding </w:t>
      </w:r>
      <w:r w:rsidR="009D184C">
        <w:t xml:space="preserve">a </w:t>
      </w:r>
      <w:r w:rsidR="00286CA7" w:rsidRPr="00EC69D9">
        <w:t xml:space="preserve">dispute between </w:t>
      </w:r>
      <w:r w:rsidR="001C5A5E">
        <w:t xml:space="preserve">a man and his </w:t>
      </w:r>
      <w:r w:rsidR="00E8673B" w:rsidRPr="00EC69D9">
        <w:t>neighbour</w:t>
      </w:r>
      <w:r w:rsidR="009D184C">
        <w:t xml:space="preserve"> in regional New South Wales</w:t>
      </w:r>
      <w:r w:rsidR="00642867">
        <w:t xml:space="preserve"> (the </w:t>
      </w:r>
      <w:r w:rsidR="007102B5">
        <w:rPr>
          <w:b/>
          <w:bCs/>
        </w:rPr>
        <w:t>Report</w:t>
      </w:r>
      <w:r w:rsidR="00642867">
        <w:t>)</w:t>
      </w:r>
      <w:r w:rsidR="00AF17CD" w:rsidRPr="00EC69D9">
        <w:t>.</w:t>
      </w:r>
      <w:r w:rsidR="007E4C6E">
        <w:t xml:space="preserve"> </w:t>
      </w:r>
    </w:p>
    <w:p w14:paraId="29AE7F92" w14:textId="0E582C29" w:rsidR="006162E4" w:rsidRPr="00EC69D9" w:rsidRDefault="00205CDE" w:rsidP="00F03742">
      <w:pPr>
        <w:pStyle w:val="ACMABodyText"/>
        <w:rPr>
          <w:sz w:val="18"/>
          <w:szCs w:val="18"/>
        </w:rPr>
      </w:pPr>
      <w:bookmarkStart w:id="1" w:name="_Hlk129787864"/>
      <w:r w:rsidRPr="00EC69D9">
        <w:t xml:space="preserve">The </w:t>
      </w:r>
      <w:r w:rsidR="00213AFF" w:rsidRPr="00EC69D9">
        <w:t>ACMA received a complaint</w:t>
      </w:r>
      <w:r w:rsidR="001257CE">
        <w:t xml:space="preserve">, made by a representative of the </w:t>
      </w:r>
      <w:r w:rsidR="00B423C5">
        <w:t>neighbour</w:t>
      </w:r>
      <w:r w:rsidR="00195ECD">
        <w:t xml:space="preserve">, </w:t>
      </w:r>
      <w:r w:rsidR="00213AFF" w:rsidRPr="00EC69D9">
        <w:t>alleging</w:t>
      </w:r>
      <w:r w:rsidR="00F03742" w:rsidRPr="00EC69D9">
        <w:rPr>
          <w:sz w:val="18"/>
          <w:szCs w:val="18"/>
        </w:rPr>
        <w:t xml:space="preserve"> </w:t>
      </w:r>
      <w:r w:rsidR="00EB0C2E" w:rsidRPr="00EC69D9">
        <w:t xml:space="preserve">that </w:t>
      </w:r>
      <w:r w:rsidR="00395815" w:rsidRPr="00EC69D9">
        <w:t xml:space="preserve">the </w:t>
      </w:r>
      <w:r w:rsidR="009B2896">
        <w:t>Report</w:t>
      </w:r>
      <w:r w:rsidR="00642867">
        <w:t xml:space="preserve"> </w:t>
      </w:r>
      <w:r w:rsidR="004C7346" w:rsidRPr="00EC69D9">
        <w:t xml:space="preserve">breached the </w:t>
      </w:r>
      <w:r w:rsidR="00195ECD">
        <w:t xml:space="preserve">neighbour’s </w:t>
      </w:r>
      <w:r w:rsidR="004C7346" w:rsidRPr="00EC69D9">
        <w:t>privacy</w:t>
      </w:r>
      <w:r w:rsidR="002B7C38">
        <w:t>.</w:t>
      </w:r>
    </w:p>
    <w:bookmarkEnd w:id="1"/>
    <w:p w14:paraId="2660C60E" w14:textId="5E562677" w:rsidR="009D3591" w:rsidRDefault="009D3591" w:rsidP="001C6546">
      <w:pPr>
        <w:pStyle w:val="ACMABodyText"/>
      </w:pPr>
      <w:r w:rsidRPr="008A11CB">
        <w:t>The ACMA has</w:t>
      </w:r>
      <w:r w:rsidR="00AF0D57" w:rsidRPr="008A11CB">
        <w:t xml:space="preserve"> </w:t>
      </w:r>
      <w:r w:rsidRPr="008A11CB">
        <w:t>investigate</w:t>
      </w:r>
      <w:r w:rsidR="00F03742" w:rsidRPr="008A11CB">
        <w:t>d</w:t>
      </w:r>
      <w:r w:rsidR="006526F9" w:rsidRPr="008A11CB">
        <w:t xml:space="preserve"> </w:t>
      </w:r>
      <w:r w:rsidRPr="008A11CB">
        <w:t xml:space="preserve">the </w:t>
      </w:r>
      <w:r w:rsidR="009B2896">
        <w:t>L</w:t>
      </w:r>
      <w:r w:rsidRPr="008A11CB">
        <w:t>icensee’s</w:t>
      </w:r>
      <w:r w:rsidR="00646CF0" w:rsidRPr="008A11CB">
        <w:t xml:space="preserve"> </w:t>
      </w:r>
      <w:r w:rsidRPr="008A11CB">
        <w:t xml:space="preserve">compliance </w:t>
      </w:r>
      <w:r w:rsidR="00013EAC" w:rsidRPr="008A11CB">
        <w:t xml:space="preserve">with </w:t>
      </w:r>
      <w:r w:rsidRPr="008A11CB">
        <w:t>clause</w:t>
      </w:r>
      <w:r w:rsidR="00646CF0" w:rsidRPr="008A11CB">
        <w:t xml:space="preserve"> </w:t>
      </w:r>
      <w:r w:rsidR="000029CD" w:rsidRPr="008A11CB">
        <w:t>3.5.1 [privacy</w:t>
      </w:r>
      <w:r w:rsidR="00CE3667" w:rsidRPr="008A11CB">
        <w:t xml:space="preserve">] </w:t>
      </w:r>
      <w:r w:rsidRPr="008A11CB">
        <w:t>of the Code</w:t>
      </w:r>
      <w:r w:rsidR="00CE3667" w:rsidRPr="008A11CB">
        <w:t>.</w:t>
      </w:r>
      <w:r w:rsidR="008A11CB">
        <w:t xml:space="preserve"> </w:t>
      </w:r>
    </w:p>
    <w:p w14:paraId="699ABB89" w14:textId="5434E6EB" w:rsidR="001C6546" w:rsidRDefault="001C6546" w:rsidP="0072120E">
      <w:pPr>
        <w:pStyle w:val="ACMAHeading2"/>
      </w:pPr>
      <w:r w:rsidRPr="004532BE">
        <w:t xml:space="preserve">Issue: </w:t>
      </w:r>
      <w:r w:rsidR="00C03F8D" w:rsidRPr="004532BE">
        <w:t>Privacy</w:t>
      </w:r>
    </w:p>
    <w:p w14:paraId="73357E36" w14:textId="374F926B" w:rsidR="001C6546" w:rsidRDefault="00D9593A" w:rsidP="0072120E">
      <w:pPr>
        <w:pStyle w:val="ACMAHeading2"/>
      </w:pPr>
      <w:r w:rsidRPr="00EA50D4">
        <w:t>Finding</w:t>
      </w:r>
    </w:p>
    <w:p w14:paraId="45152A76" w14:textId="073965C4" w:rsidR="004D386B" w:rsidRPr="004D386B" w:rsidRDefault="00E053B8" w:rsidP="004D386B">
      <w:pPr>
        <w:pStyle w:val="ACMABodyText"/>
      </w:pPr>
      <w:r w:rsidRPr="00B94314">
        <w:t xml:space="preserve">The </w:t>
      </w:r>
      <w:r w:rsidR="009B2896">
        <w:t xml:space="preserve">ACMA </w:t>
      </w:r>
      <w:r w:rsidR="00302953">
        <w:t>finds</w:t>
      </w:r>
      <w:r w:rsidR="009B2896">
        <w:t xml:space="preserve"> that the L</w:t>
      </w:r>
      <w:r w:rsidRPr="00B94314">
        <w:t xml:space="preserve">icensee </w:t>
      </w:r>
      <w:r>
        <w:t>breached</w:t>
      </w:r>
      <w:r w:rsidRPr="00B94314">
        <w:t xml:space="preserve"> clause 3.</w:t>
      </w:r>
      <w:r>
        <w:t>5</w:t>
      </w:r>
      <w:r w:rsidRPr="00B94314">
        <w:t xml:space="preserve">.1 of the Code.  </w:t>
      </w:r>
    </w:p>
    <w:p w14:paraId="094B2759" w14:textId="26874806" w:rsidR="001C6546" w:rsidRDefault="001C6546" w:rsidP="0072120E">
      <w:pPr>
        <w:pStyle w:val="ACMAHeading2"/>
      </w:pPr>
      <w:r>
        <w:t>Reasons</w:t>
      </w:r>
    </w:p>
    <w:p w14:paraId="3C0BBB3E" w14:textId="5321432D" w:rsidR="00227B87" w:rsidRPr="00D0083D" w:rsidRDefault="00227B87" w:rsidP="00227B87">
      <w:pPr>
        <w:pStyle w:val="ACMABodyText"/>
      </w:pPr>
      <w:r w:rsidRPr="00D0083D">
        <w:t xml:space="preserve">In assessing compliance with clause 3.5.1, the ACMA is assisted by its </w:t>
      </w:r>
      <w:r w:rsidRPr="00D16281">
        <w:t>Privacy Guidelines</w:t>
      </w:r>
      <w:r w:rsidR="005B0790">
        <w:t xml:space="preserve"> </w:t>
      </w:r>
      <w:r w:rsidRPr="00D16281">
        <w:t>for Broadcasters 2016</w:t>
      </w:r>
      <w:r w:rsidR="009B2896">
        <w:t xml:space="preserve"> (the </w:t>
      </w:r>
      <w:r w:rsidR="009B2896">
        <w:rPr>
          <w:b/>
          <w:bCs/>
        </w:rPr>
        <w:t>Guidelines)</w:t>
      </w:r>
      <w:r w:rsidRPr="00D16281">
        <w:t>.</w:t>
      </w:r>
      <w:r w:rsidRPr="00D97925">
        <w:rPr>
          <w:vertAlign w:val="superscript"/>
        </w:rPr>
        <w:footnoteReference w:id="2"/>
      </w:r>
    </w:p>
    <w:p w14:paraId="291B1E9A" w14:textId="77777777" w:rsidR="00227B87" w:rsidRPr="00D16281" w:rsidRDefault="00227B87" w:rsidP="00227B87">
      <w:pPr>
        <w:autoSpaceDE w:val="0"/>
        <w:autoSpaceDN w:val="0"/>
        <w:adjustRightInd w:val="0"/>
        <w:spacing w:before="0" w:after="120" w:line="240" w:lineRule="atLeast"/>
        <w:rPr>
          <w:i w:val="0"/>
          <w:snapToGrid w:val="0"/>
          <w:szCs w:val="20"/>
        </w:rPr>
      </w:pPr>
      <w:r w:rsidRPr="00D16281">
        <w:rPr>
          <w:i w:val="0"/>
          <w:snapToGrid w:val="0"/>
          <w:szCs w:val="20"/>
        </w:rPr>
        <w:t>The ACMA generally considers the following questions:</w:t>
      </w:r>
    </w:p>
    <w:p w14:paraId="1071D510" w14:textId="77777777" w:rsidR="00227B87" w:rsidRPr="005B0790" w:rsidRDefault="00227B87" w:rsidP="005B0790">
      <w:pPr>
        <w:pStyle w:val="ACMABodyText"/>
        <w:numPr>
          <w:ilvl w:val="0"/>
          <w:numId w:val="7"/>
        </w:numPr>
        <w:tabs>
          <w:tab w:val="clear" w:pos="720"/>
        </w:tabs>
        <w:spacing w:after="120"/>
        <w:ind w:left="363" w:hanging="360"/>
      </w:pPr>
      <w:r w:rsidRPr="00D16281">
        <w:t xml:space="preserve">Was a person identifiable from the broadcast material? </w:t>
      </w:r>
    </w:p>
    <w:p w14:paraId="7A07757D" w14:textId="77777777" w:rsidR="00227B87" w:rsidRPr="005B0790" w:rsidRDefault="00227B87" w:rsidP="005B0790">
      <w:pPr>
        <w:pStyle w:val="ACMABodyText"/>
        <w:numPr>
          <w:ilvl w:val="0"/>
          <w:numId w:val="7"/>
        </w:numPr>
        <w:tabs>
          <w:tab w:val="clear" w:pos="720"/>
        </w:tabs>
        <w:spacing w:after="120"/>
        <w:ind w:left="363" w:hanging="360"/>
      </w:pPr>
      <w:r w:rsidRPr="00D16281">
        <w:t xml:space="preserve">Did the broadcast material disclose personal information or intrude upon the person’s seclusion in more than a fleeting way? </w:t>
      </w:r>
    </w:p>
    <w:p w14:paraId="0B3342D6" w14:textId="77777777" w:rsidR="00227B87" w:rsidRPr="00D16281" w:rsidRDefault="00227B87" w:rsidP="00227B87">
      <w:pPr>
        <w:autoSpaceDE w:val="0"/>
        <w:autoSpaceDN w:val="0"/>
        <w:adjustRightInd w:val="0"/>
        <w:spacing w:before="0" w:line="240" w:lineRule="atLeast"/>
        <w:ind w:left="68"/>
        <w:rPr>
          <w:i w:val="0"/>
          <w:snapToGrid w:val="0"/>
          <w:szCs w:val="20"/>
        </w:rPr>
      </w:pPr>
      <w:r w:rsidRPr="00D16281">
        <w:rPr>
          <w:i w:val="0"/>
          <w:snapToGrid w:val="0"/>
          <w:szCs w:val="20"/>
        </w:rPr>
        <w:t xml:space="preserve">If the answer to both of these questions is yes, then there is a potential breach of the Code’s privacy provisions. </w:t>
      </w:r>
    </w:p>
    <w:p w14:paraId="4897BA1F" w14:textId="77777777" w:rsidR="00227B87" w:rsidRPr="00D16281" w:rsidRDefault="00227B87" w:rsidP="00227B87">
      <w:pPr>
        <w:autoSpaceDE w:val="0"/>
        <w:autoSpaceDN w:val="0"/>
        <w:adjustRightInd w:val="0"/>
        <w:spacing w:before="0" w:after="120" w:line="240" w:lineRule="atLeast"/>
        <w:rPr>
          <w:i w:val="0"/>
          <w:snapToGrid w:val="0"/>
          <w:szCs w:val="20"/>
        </w:rPr>
      </w:pPr>
      <w:r w:rsidRPr="00D16281">
        <w:rPr>
          <w:i w:val="0"/>
          <w:snapToGrid w:val="0"/>
          <w:szCs w:val="20"/>
        </w:rPr>
        <w:t>The ACMA will then consider:</w:t>
      </w:r>
    </w:p>
    <w:p w14:paraId="7FCC21CE" w14:textId="77777777" w:rsidR="00227B87" w:rsidRPr="00D16281" w:rsidRDefault="00227B87" w:rsidP="00227B87">
      <w:pPr>
        <w:pStyle w:val="ListParagraph"/>
        <w:numPr>
          <w:ilvl w:val="0"/>
          <w:numId w:val="8"/>
        </w:numPr>
        <w:autoSpaceDE w:val="0"/>
        <w:autoSpaceDN w:val="0"/>
        <w:adjustRightInd w:val="0"/>
        <w:spacing w:before="0" w:after="120" w:line="240" w:lineRule="atLeast"/>
        <w:ind w:left="425" w:hanging="357"/>
        <w:contextualSpacing w:val="0"/>
        <w:rPr>
          <w:i w:val="0"/>
          <w:snapToGrid w:val="0"/>
          <w:szCs w:val="20"/>
        </w:rPr>
      </w:pPr>
      <w:r w:rsidRPr="00D16281">
        <w:rPr>
          <w:i w:val="0"/>
          <w:snapToGrid w:val="0"/>
          <w:szCs w:val="20"/>
        </w:rPr>
        <w:t>Was the person's consent obtained—or that of a parent or guardian?</w:t>
      </w:r>
    </w:p>
    <w:p w14:paraId="0984816D" w14:textId="77777777" w:rsidR="005B0790" w:rsidRDefault="00227B87" w:rsidP="005B0790">
      <w:pPr>
        <w:pStyle w:val="ListParagraph"/>
        <w:numPr>
          <w:ilvl w:val="0"/>
          <w:numId w:val="8"/>
        </w:numPr>
        <w:autoSpaceDE w:val="0"/>
        <w:autoSpaceDN w:val="0"/>
        <w:adjustRightInd w:val="0"/>
        <w:spacing w:before="0" w:after="120" w:line="240" w:lineRule="atLeast"/>
        <w:ind w:left="425" w:hanging="357"/>
        <w:contextualSpacing w:val="0"/>
        <w:rPr>
          <w:i w:val="0"/>
          <w:snapToGrid w:val="0"/>
          <w:szCs w:val="20"/>
        </w:rPr>
      </w:pPr>
      <w:r w:rsidRPr="00D16281">
        <w:rPr>
          <w:i w:val="0"/>
          <w:snapToGrid w:val="0"/>
          <w:szCs w:val="20"/>
        </w:rPr>
        <w:t>Was the broadcast material available in the public domain?</w:t>
      </w:r>
    </w:p>
    <w:p w14:paraId="296A69FB" w14:textId="1E7F0236" w:rsidR="00227B87" w:rsidRPr="005B0790" w:rsidRDefault="00227B87" w:rsidP="005B0790">
      <w:pPr>
        <w:pStyle w:val="ListParagraph"/>
        <w:numPr>
          <w:ilvl w:val="0"/>
          <w:numId w:val="8"/>
        </w:numPr>
        <w:autoSpaceDE w:val="0"/>
        <w:autoSpaceDN w:val="0"/>
        <w:adjustRightInd w:val="0"/>
        <w:spacing w:before="0" w:after="120" w:line="240" w:lineRule="atLeast"/>
        <w:ind w:left="425" w:hanging="357"/>
        <w:contextualSpacing w:val="0"/>
        <w:rPr>
          <w:i w:val="0"/>
          <w:snapToGrid w:val="0"/>
          <w:szCs w:val="20"/>
        </w:rPr>
      </w:pPr>
      <w:r w:rsidRPr="005B0790">
        <w:rPr>
          <w:i w:val="0"/>
          <w:snapToGrid w:val="0"/>
          <w:szCs w:val="20"/>
        </w:rPr>
        <w:t>Was the invasion of privacy in, and proportionate to, the public interest?</w:t>
      </w:r>
    </w:p>
    <w:p w14:paraId="72709E31" w14:textId="6C4BAE84" w:rsidR="00227B87" w:rsidRDefault="00227B87" w:rsidP="00227B87">
      <w:pPr>
        <w:spacing w:before="0" w:line="240" w:lineRule="atLeast"/>
        <w:rPr>
          <w:i w:val="0"/>
          <w:snapToGrid w:val="0"/>
          <w:szCs w:val="20"/>
        </w:rPr>
      </w:pPr>
      <w:r w:rsidRPr="00D16281">
        <w:rPr>
          <w:i w:val="0"/>
          <w:snapToGrid w:val="0"/>
          <w:szCs w:val="20"/>
        </w:rPr>
        <w:t xml:space="preserve">If the answer to any of these three questions is yes, then there may be no breach. </w:t>
      </w:r>
    </w:p>
    <w:p w14:paraId="2E72F551" w14:textId="4C179835" w:rsidR="001438F4" w:rsidRDefault="001438F4" w:rsidP="00FE6362">
      <w:pPr>
        <w:pStyle w:val="ACMAHeading2"/>
      </w:pPr>
      <w:r>
        <w:t xml:space="preserve">The Report </w:t>
      </w:r>
    </w:p>
    <w:p w14:paraId="13ECFD82" w14:textId="1391A64D" w:rsidR="00B56A23" w:rsidRDefault="009D184C" w:rsidP="009D184C">
      <w:pPr>
        <w:pStyle w:val="ACMABodyText"/>
      </w:pPr>
      <w:r>
        <w:t>The Report concerns the circumstances surrounding an online video</w:t>
      </w:r>
      <w:r w:rsidR="00F304C8">
        <w:t xml:space="preserve"> (the </w:t>
      </w:r>
      <w:r w:rsidR="00F304C8" w:rsidRPr="00B56A23">
        <w:rPr>
          <w:b/>
          <w:bCs/>
        </w:rPr>
        <w:t>Online Video</w:t>
      </w:r>
      <w:r w:rsidR="00F304C8">
        <w:t xml:space="preserve">) </w:t>
      </w:r>
      <w:r w:rsidR="00F304C8">
        <w:rPr>
          <w:rStyle w:val="FootnoteReference"/>
        </w:rPr>
        <w:footnoteReference w:id="3"/>
      </w:r>
      <w:r w:rsidR="00F304C8">
        <w:t xml:space="preserve"> </w:t>
      </w:r>
      <w:r>
        <w:t xml:space="preserve"> going viral after it was posted by a 19-year-old man (the </w:t>
      </w:r>
      <w:r w:rsidRPr="006B7BE8">
        <w:rPr>
          <w:b/>
          <w:bCs/>
        </w:rPr>
        <w:t>Man</w:t>
      </w:r>
      <w:r>
        <w:t xml:space="preserve">) living in a small community in regional New South Wales. </w:t>
      </w:r>
    </w:p>
    <w:p w14:paraId="014A15FC" w14:textId="1D375A33" w:rsidR="00AF62B2" w:rsidRDefault="00B56A23" w:rsidP="00E84456">
      <w:pPr>
        <w:pStyle w:val="ACMABodyText"/>
      </w:pPr>
      <w:r>
        <w:lastRenderedPageBreak/>
        <w:t>The Report include</w:t>
      </w:r>
      <w:r w:rsidR="00732B0A">
        <w:t>d</w:t>
      </w:r>
      <w:r w:rsidR="00B73CF5">
        <w:t xml:space="preserve"> an </w:t>
      </w:r>
      <w:r w:rsidR="000023B8">
        <w:t xml:space="preserve">on-camera interview with the Man interspersed with </w:t>
      </w:r>
      <w:r w:rsidR="00AF62B2">
        <w:t xml:space="preserve">video footage of an altercation between the Man and his neighbour (the </w:t>
      </w:r>
      <w:r w:rsidR="00AF62B2" w:rsidRPr="003A0F3A">
        <w:rPr>
          <w:b/>
          <w:bCs/>
        </w:rPr>
        <w:t>Neighbour</w:t>
      </w:r>
      <w:r w:rsidR="00AF62B2">
        <w:t>) that appeared to have been recorded in the early evening on a mobile phone by a friend of the Man.</w:t>
      </w:r>
    </w:p>
    <w:p w14:paraId="1999F5B8" w14:textId="0EBDA581" w:rsidR="002163EC" w:rsidRPr="00727103" w:rsidRDefault="00AF62B2" w:rsidP="003A0F3A">
      <w:pPr>
        <w:pStyle w:val="ACMABodyText"/>
        <w:rPr>
          <w:bCs/>
          <w:lang w:eastAsia="en-AU"/>
        </w:rPr>
      </w:pPr>
      <w:r w:rsidRPr="003076F8">
        <w:rPr>
          <w:bCs/>
          <w:lang w:eastAsia="en-AU"/>
        </w:rPr>
        <w:t>The</w:t>
      </w:r>
      <w:r w:rsidRPr="003076F8">
        <w:rPr>
          <w:bCs/>
          <w:i/>
          <w:lang w:eastAsia="en-AU"/>
        </w:rPr>
        <w:t xml:space="preserve"> </w:t>
      </w:r>
      <w:r>
        <w:rPr>
          <w:bCs/>
          <w:iCs/>
          <w:lang w:eastAsia="en-AU"/>
        </w:rPr>
        <w:t>video footage</w:t>
      </w:r>
      <w:r w:rsidRPr="003076F8">
        <w:rPr>
          <w:bCs/>
          <w:iCs/>
          <w:lang w:eastAsia="en-AU"/>
        </w:rPr>
        <w:t xml:space="preserve"> </w:t>
      </w:r>
      <w:r w:rsidRPr="00DF2E9B">
        <w:rPr>
          <w:bCs/>
          <w:lang w:eastAsia="en-AU"/>
        </w:rPr>
        <w:t>show</w:t>
      </w:r>
      <w:r>
        <w:rPr>
          <w:bCs/>
          <w:lang w:eastAsia="en-AU"/>
        </w:rPr>
        <w:t>s</w:t>
      </w:r>
      <w:r>
        <w:t xml:space="preserve"> the Neighbour entering the Man’s backyard, by climbing over a fence, </w:t>
      </w:r>
      <w:r w:rsidR="00F630FA">
        <w:t xml:space="preserve">apparently </w:t>
      </w:r>
      <w:r>
        <w:t xml:space="preserve">to complain about the placement of a floodlight </w:t>
      </w:r>
      <w:r w:rsidR="00B423C5">
        <w:t xml:space="preserve">at </w:t>
      </w:r>
      <w:r>
        <w:t xml:space="preserve">the back of the Man’s home. </w:t>
      </w:r>
      <w:r w:rsidR="00C32E4D">
        <w:rPr>
          <w:bCs/>
          <w:lang w:eastAsia="en-AU"/>
        </w:rPr>
        <w:t xml:space="preserve">The </w:t>
      </w:r>
      <w:r>
        <w:rPr>
          <w:bCs/>
          <w:lang w:eastAsia="en-AU"/>
        </w:rPr>
        <w:t>M</w:t>
      </w:r>
      <w:r w:rsidR="00C32E4D">
        <w:rPr>
          <w:bCs/>
          <w:lang w:eastAsia="en-AU"/>
        </w:rPr>
        <w:t xml:space="preserve">an responds to the complaint </w:t>
      </w:r>
      <w:r w:rsidR="00B73CF5" w:rsidRPr="005F731D">
        <w:rPr>
          <w:bCs/>
          <w:lang w:eastAsia="en-AU"/>
        </w:rPr>
        <w:t>and the</w:t>
      </w:r>
      <w:r w:rsidR="00C32E4D">
        <w:rPr>
          <w:bCs/>
          <w:lang w:eastAsia="en-AU"/>
        </w:rPr>
        <w:t>n</w:t>
      </w:r>
      <w:r w:rsidR="00B73CF5" w:rsidRPr="005F731D">
        <w:rPr>
          <w:bCs/>
          <w:lang w:eastAsia="en-AU"/>
        </w:rPr>
        <w:t xml:space="preserve"> repeatedly ask</w:t>
      </w:r>
      <w:r w:rsidR="00C32E4D">
        <w:rPr>
          <w:bCs/>
          <w:lang w:eastAsia="en-AU"/>
        </w:rPr>
        <w:t>s</w:t>
      </w:r>
      <w:r w:rsidR="00B73CF5" w:rsidRPr="005F731D">
        <w:rPr>
          <w:bCs/>
          <w:lang w:eastAsia="en-AU"/>
        </w:rPr>
        <w:t xml:space="preserve"> the Neighbour to leave his property. The Man’s friend informs the Neighbour that he is being recorded and the Neighbour then approaches the Man’s friend in an intimidating manner. The Man intervenes and following a brief scuffle</w:t>
      </w:r>
      <w:r w:rsidR="007C5B8C">
        <w:rPr>
          <w:bCs/>
          <w:lang w:eastAsia="en-AU"/>
        </w:rPr>
        <w:t>,</w:t>
      </w:r>
      <w:r w:rsidR="00B73CF5" w:rsidRPr="00727103">
        <w:rPr>
          <w:bCs/>
          <w:lang w:eastAsia="en-AU"/>
        </w:rPr>
        <w:t xml:space="preserve"> strikes the Neighbour who falls backwards onto the ground where he remains motionless.</w:t>
      </w:r>
      <w:r w:rsidR="00B73CF5" w:rsidRPr="00DA3924">
        <w:rPr>
          <w:bCs/>
          <w:lang w:eastAsia="en-AU"/>
        </w:rPr>
        <w:t xml:space="preserve"> </w:t>
      </w:r>
      <w:r w:rsidR="002D3BFE">
        <w:rPr>
          <w:bCs/>
          <w:lang w:eastAsia="en-AU"/>
        </w:rPr>
        <w:t xml:space="preserve">Subsequent footage shows </w:t>
      </w:r>
      <w:r w:rsidR="002163EC" w:rsidRPr="00EF3540">
        <w:rPr>
          <w:bCs/>
          <w:lang w:eastAsia="en-AU"/>
        </w:rPr>
        <w:t>the Neighbour lying prost</w:t>
      </w:r>
      <w:r w:rsidR="00AE63DD">
        <w:rPr>
          <w:bCs/>
          <w:lang w:eastAsia="en-AU"/>
        </w:rPr>
        <w:t>r</w:t>
      </w:r>
      <w:r w:rsidR="002163EC" w:rsidRPr="00EF3540">
        <w:rPr>
          <w:bCs/>
          <w:lang w:eastAsia="en-AU"/>
        </w:rPr>
        <w:t>ate on his back apparently unconscious.</w:t>
      </w:r>
      <w:r w:rsidR="00BA3B55">
        <w:rPr>
          <w:bCs/>
          <w:lang w:eastAsia="en-AU"/>
        </w:rPr>
        <w:t xml:space="preserve"> Further footage </w:t>
      </w:r>
      <w:r w:rsidR="002B7C38">
        <w:rPr>
          <w:bCs/>
          <w:lang w:eastAsia="en-AU"/>
        </w:rPr>
        <w:t>showed a</w:t>
      </w:r>
      <w:r w:rsidR="002163EC" w:rsidRPr="00EF3540">
        <w:rPr>
          <w:bCs/>
          <w:lang w:eastAsia="en-AU"/>
        </w:rPr>
        <w:t xml:space="preserve"> brief close-up of the Neighbour leaning over a gate </w:t>
      </w:r>
      <w:r w:rsidR="005820B7">
        <w:rPr>
          <w:bCs/>
          <w:lang w:eastAsia="en-AU"/>
        </w:rPr>
        <w:t xml:space="preserve">which </w:t>
      </w:r>
      <w:r w:rsidR="002163EC" w:rsidRPr="00EF3540">
        <w:rPr>
          <w:bCs/>
          <w:lang w:eastAsia="en-AU"/>
        </w:rPr>
        <w:t>shows that he has a cut to his nose and blood on his face and on the back of his hand. The Neighbour appears to object to being filmed and lashes out at the camera at which point the footage ends.</w:t>
      </w:r>
    </w:p>
    <w:p w14:paraId="26AFC0AE" w14:textId="7F3D3B28" w:rsidR="00227B87" w:rsidRDefault="00227B87" w:rsidP="00227B87">
      <w:pPr>
        <w:pStyle w:val="ACMAQuoteindented"/>
        <w:autoSpaceDE w:val="0"/>
        <w:autoSpaceDN w:val="0"/>
        <w:adjustRightInd w:val="0"/>
        <w:ind w:left="0"/>
        <w:rPr>
          <w:b/>
          <w:sz w:val="20"/>
          <w:lang w:eastAsia="en-AU"/>
        </w:rPr>
      </w:pPr>
      <w:r w:rsidRPr="00A04AA0">
        <w:rPr>
          <w:b/>
          <w:sz w:val="20"/>
          <w:lang w:eastAsia="en-AU"/>
        </w:rPr>
        <w:t xml:space="preserve">Was a person identifiable from the broadcast material? </w:t>
      </w:r>
    </w:p>
    <w:p w14:paraId="7CE77772" w14:textId="77777777" w:rsidR="004D34D2" w:rsidRDefault="004D34D2" w:rsidP="004D34D2">
      <w:pPr>
        <w:pStyle w:val="ACMAQuoteindented"/>
        <w:ind w:left="0"/>
        <w:rPr>
          <w:sz w:val="20"/>
        </w:rPr>
      </w:pPr>
      <w:r w:rsidRPr="007727B7">
        <w:rPr>
          <w:sz w:val="20"/>
        </w:rPr>
        <w:t xml:space="preserve">For the </w:t>
      </w:r>
      <w:r>
        <w:rPr>
          <w:sz w:val="20"/>
        </w:rPr>
        <w:t xml:space="preserve">ACMA to make a finding that clause 3.5.1 of the Code has been </w:t>
      </w:r>
      <w:r w:rsidRPr="007727B7">
        <w:rPr>
          <w:sz w:val="20"/>
        </w:rPr>
        <w:t xml:space="preserve">breached, a particular person must be identifiable from the broadcast. </w:t>
      </w:r>
    </w:p>
    <w:p w14:paraId="56DE575C" w14:textId="4940A117" w:rsidR="004D34D2" w:rsidRDefault="004D34D2" w:rsidP="004D34D2">
      <w:pPr>
        <w:pStyle w:val="ACMAQuoteindented"/>
        <w:ind w:left="0"/>
        <w:rPr>
          <w:sz w:val="20"/>
        </w:rPr>
      </w:pPr>
      <w:r w:rsidRPr="00254025">
        <w:rPr>
          <w:sz w:val="20"/>
        </w:rPr>
        <w:t xml:space="preserve">A person will be identifiable if, from the broadcast, their identity </w:t>
      </w:r>
      <w:r w:rsidR="00936692">
        <w:rPr>
          <w:sz w:val="20"/>
        </w:rPr>
        <w:t>wa</w:t>
      </w:r>
      <w:r w:rsidRPr="00254025">
        <w:rPr>
          <w:sz w:val="20"/>
        </w:rPr>
        <w:t>s apparent or c</w:t>
      </w:r>
      <w:r w:rsidR="00936692">
        <w:rPr>
          <w:sz w:val="20"/>
        </w:rPr>
        <w:t>ould</w:t>
      </w:r>
      <w:r w:rsidRPr="00254025">
        <w:rPr>
          <w:sz w:val="20"/>
        </w:rPr>
        <w:t xml:space="preserve"> be</w:t>
      </w:r>
      <w:r>
        <w:rPr>
          <w:sz w:val="20"/>
        </w:rPr>
        <w:t xml:space="preserve"> </w:t>
      </w:r>
      <w:r w:rsidRPr="00254025">
        <w:rPr>
          <w:sz w:val="20"/>
        </w:rPr>
        <w:t>reasonably ascertained.</w:t>
      </w:r>
      <w:r w:rsidRPr="00FE1714">
        <w:rPr>
          <w:sz w:val="20"/>
        </w:rPr>
        <w:t xml:space="preserve"> The question of whether a person </w:t>
      </w:r>
      <w:r w:rsidR="00936692">
        <w:rPr>
          <w:sz w:val="20"/>
        </w:rPr>
        <w:t>wa</w:t>
      </w:r>
      <w:r w:rsidRPr="00FE1714">
        <w:rPr>
          <w:sz w:val="20"/>
        </w:rPr>
        <w:t>s 'identifiable' is considered on a</w:t>
      </w:r>
      <w:r>
        <w:rPr>
          <w:sz w:val="20"/>
        </w:rPr>
        <w:t xml:space="preserve"> </w:t>
      </w:r>
      <w:r w:rsidRPr="00FE1714">
        <w:rPr>
          <w:sz w:val="20"/>
        </w:rPr>
        <w:t>case-by-case basis, having regard to the context and content of the particular broadcast.</w:t>
      </w:r>
      <w:r w:rsidRPr="009D6143">
        <w:rPr>
          <w:sz w:val="20"/>
        </w:rPr>
        <w:t xml:space="preserve"> </w:t>
      </w:r>
    </w:p>
    <w:p w14:paraId="5A140266" w14:textId="67E2F5FF" w:rsidR="0009589B" w:rsidRDefault="00CC6DAB" w:rsidP="00227B87">
      <w:pPr>
        <w:pStyle w:val="ACMAQuoteindented"/>
        <w:autoSpaceDE w:val="0"/>
        <w:autoSpaceDN w:val="0"/>
        <w:adjustRightInd w:val="0"/>
        <w:ind w:left="0"/>
        <w:rPr>
          <w:bCs/>
          <w:sz w:val="20"/>
          <w:lang w:eastAsia="en-AU"/>
        </w:rPr>
      </w:pPr>
      <w:r>
        <w:rPr>
          <w:bCs/>
          <w:sz w:val="20"/>
          <w:lang w:eastAsia="en-AU"/>
        </w:rPr>
        <w:t xml:space="preserve">The ACMA considers that </w:t>
      </w:r>
      <w:r w:rsidR="009F5E0B">
        <w:rPr>
          <w:bCs/>
          <w:sz w:val="20"/>
          <w:lang w:eastAsia="en-AU"/>
        </w:rPr>
        <w:t xml:space="preserve">the </w:t>
      </w:r>
      <w:r w:rsidR="00A539AE">
        <w:rPr>
          <w:bCs/>
          <w:sz w:val="20"/>
          <w:lang w:eastAsia="en-AU"/>
        </w:rPr>
        <w:t>N</w:t>
      </w:r>
      <w:r w:rsidR="009F5E0B">
        <w:rPr>
          <w:bCs/>
          <w:sz w:val="20"/>
          <w:lang w:eastAsia="en-AU"/>
        </w:rPr>
        <w:t xml:space="preserve">eighbour was identifiable by the </w:t>
      </w:r>
      <w:r w:rsidR="00B62B80">
        <w:rPr>
          <w:bCs/>
          <w:sz w:val="20"/>
          <w:lang w:eastAsia="en-AU"/>
        </w:rPr>
        <w:t xml:space="preserve">following </w:t>
      </w:r>
      <w:r w:rsidR="009F5E0B">
        <w:rPr>
          <w:bCs/>
          <w:sz w:val="20"/>
          <w:lang w:eastAsia="en-AU"/>
        </w:rPr>
        <w:t>material presented during the</w:t>
      </w:r>
      <w:r w:rsidR="007102B5">
        <w:rPr>
          <w:bCs/>
          <w:sz w:val="20"/>
          <w:lang w:eastAsia="en-AU"/>
        </w:rPr>
        <w:t xml:space="preserve"> Report</w:t>
      </w:r>
      <w:r w:rsidR="0009589B">
        <w:rPr>
          <w:bCs/>
          <w:sz w:val="20"/>
          <w:lang w:eastAsia="en-AU"/>
        </w:rPr>
        <w:t>:</w:t>
      </w:r>
    </w:p>
    <w:p w14:paraId="4A44D07E" w14:textId="3F429628" w:rsidR="0009589B" w:rsidRDefault="009F73D0" w:rsidP="00967B58">
      <w:pPr>
        <w:pStyle w:val="ACMAQuoteindented"/>
        <w:numPr>
          <w:ilvl w:val="0"/>
          <w:numId w:val="2"/>
        </w:numPr>
        <w:autoSpaceDE w:val="0"/>
        <w:autoSpaceDN w:val="0"/>
        <w:adjustRightInd w:val="0"/>
        <w:rPr>
          <w:bCs/>
          <w:sz w:val="20"/>
          <w:lang w:eastAsia="en-AU"/>
        </w:rPr>
      </w:pPr>
      <w:r>
        <w:rPr>
          <w:bCs/>
          <w:sz w:val="20"/>
          <w:lang w:eastAsia="en-AU"/>
        </w:rPr>
        <w:t>T</w:t>
      </w:r>
      <w:r w:rsidR="009F5E0B">
        <w:rPr>
          <w:bCs/>
          <w:sz w:val="20"/>
          <w:lang w:eastAsia="en-AU"/>
        </w:rPr>
        <w:t>he</w:t>
      </w:r>
      <w:r>
        <w:rPr>
          <w:bCs/>
          <w:sz w:val="20"/>
          <w:lang w:eastAsia="en-AU"/>
        </w:rPr>
        <w:t xml:space="preserve"> presenter of the Report (the </w:t>
      </w:r>
      <w:r>
        <w:rPr>
          <w:b/>
          <w:sz w:val="20"/>
          <w:lang w:eastAsia="en-AU"/>
        </w:rPr>
        <w:t>Presenter</w:t>
      </w:r>
      <w:r>
        <w:rPr>
          <w:bCs/>
          <w:sz w:val="20"/>
          <w:lang w:eastAsia="en-AU"/>
        </w:rPr>
        <w:t>)</w:t>
      </w:r>
      <w:r w:rsidR="002B7C38" w:rsidRPr="002B7C38">
        <w:rPr>
          <w:bCs/>
          <w:sz w:val="20"/>
          <w:lang w:eastAsia="en-AU"/>
        </w:rPr>
        <w:t xml:space="preserve"> r</w:t>
      </w:r>
      <w:r w:rsidR="00936692">
        <w:rPr>
          <w:bCs/>
          <w:sz w:val="20"/>
          <w:lang w:eastAsia="en-AU"/>
        </w:rPr>
        <w:t xml:space="preserve">eferred to </w:t>
      </w:r>
      <w:r w:rsidR="009F5E0B">
        <w:rPr>
          <w:bCs/>
          <w:sz w:val="20"/>
          <w:lang w:eastAsia="en-AU"/>
        </w:rPr>
        <w:t xml:space="preserve">the </w:t>
      </w:r>
      <w:r w:rsidR="00A539AE">
        <w:rPr>
          <w:bCs/>
          <w:sz w:val="20"/>
          <w:lang w:eastAsia="en-AU"/>
        </w:rPr>
        <w:t>N</w:t>
      </w:r>
      <w:r w:rsidR="009F5E0B">
        <w:rPr>
          <w:bCs/>
          <w:sz w:val="20"/>
          <w:lang w:eastAsia="en-AU"/>
        </w:rPr>
        <w:t xml:space="preserve">eighbour by </w:t>
      </w:r>
      <w:r w:rsidR="00A420FF">
        <w:rPr>
          <w:bCs/>
          <w:sz w:val="20"/>
          <w:lang w:eastAsia="en-AU"/>
        </w:rPr>
        <w:t xml:space="preserve">his full </w:t>
      </w:r>
      <w:r w:rsidR="009F5E0B">
        <w:rPr>
          <w:bCs/>
          <w:sz w:val="20"/>
          <w:lang w:eastAsia="en-AU"/>
        </w:rPr>
        <w:t>name</w:t>
      </w:r>
      <w:r w:rsidR="00C65EBE">
        <w:rPr>
          <w:bCs/>
          <w:sz w:val="20"/>
          <w:lang w:eastAsia="en-AU"/>
        </w:rPr>
        <w:t xml:space="preserve"> </w:t>
      </w:r>
      <w:r w:rsidR="00A420FF">
        <w:rPr>
          <w:bCs/>
          <w:sz w:val="20"/>
          <w:lang w:eastAsia="en-AU"/>
        </w:rPr>
        <w:t xml:space="preserve">and subsequently referred to him by his given name </w:t>
      </w:r>
      <w:r w:rsidR="00C65EBE">
        <w:rPr>
          <w:bCs/>
          <w:sz w:val="20"/>
          <w:lang w:eastAsia="en-AU"/>
        </w:rPr>
        <w:t xml:space="preserve">on </w:t>
      </w:r>
      <w:r w:rsidR="00A420FF">
        <w:rPr>
          <w:bCs/>
          <w:sz w:val="20"/>
          <w:lang w:eastAsia="en-AU"/>
        </w:rPr>
        <w:t xml:space="preserve">two </w:t>
      </w:r>
      <w:r w:rsidR="00C65EBE">
        <w:rPr>
          <w:bCs/>
          <w:sz w:val="20"/>
          <w:lang w:eastAsia="en-AU"/>
        </w:rPr>
        <w:t>occasions</w:t>
      </w:r>
      <w:r w:rsidR="00A539AE">
        <w:rPr>
          <w:bCs/>
          <w:sz w:val="20"/>
          <w:lang w:eastAsia="en-AU"/>
        </w:rPr>
        <w:t>.</w:t>
      </w:r>
      <w:r w:rsidR="00C65EBE">
        <w:rPr>
          <w:bCs/>
          <w:sz w:val="20"/>
          <w:lang w:eastAsia="en-AU"/>
        </w:rPr>
        <w:t xml:space="preserve"> </w:t>
      </w:r>
    </w:p>
    <w:p w14:paraId="389713B7" w14:textId="2579ACDE" w:rsidR="004D34D2" w:rsidRDefault="00EF7E30" w:rsidP="00967B58">
      <w:pPr>
        <w:pStyle w:val="ACMAQuoteindented"/>
        <w:numPr>
          <w:ilvl w:val="0"/>
          <w:numId w:val="2"/>
        </w:numPr>
        <w:autoSpaceDE w:val="0"/>
        <w:autoSpaceDN w:val="0"/>
        <w:adjustRightInd w:val="0"/>
        <w:rPr>
          <w:bCs/>
          <w:sz w:val="20"/>
          <w:lang w:eastAsia="en-AU"/>
        </w:rPr>
      </w:pPr>
      <w:r>
        <w:rPr>
          <w:bCs/>
          <w:sz w:val="20"/>
          <w:lang w:eastAsia="en-AU"/>
        </w:rPr>
        <w:t xml:space="preserve">The </w:t>
      </w:r>
      <w:r w:rsidR="00F630FA">
        <w:rPr>
          <w:bCs/>
          <w:sz w:val="20"/>
          <w:lang w:eastAsia="en-AU"/>
        </w:rPr>
        <w:t>v</w:t>
      </w:r>
      <w:r w:rsidR="00B62B80">
        <w:rPr>
          <w:bCs/>
          <w:sz w:val="20"/>
          <w:lang w:eastAsia="en-AU"/>
        </w:rPr>
        <w:t>ideo</w:t>
      </w:r>
      <w:r w:rsidR="00F630FA">
        <w:rPr>
          <w:bCs/>
          <w:sz w:val="20"/>
          <w:lang w:eastAsia="en-AU"/>
        </w:rPr>
        <w:t xml:space="preserve"> f</w:t>
      </w:r>
      <w:r w:rsidR="007570E9">
        <w:rPr>
          <w:bCs/>
          <w:sz w:val="20"/>
          <w:lang w:eastAsia="en-AU"/>
        </w:rPr>
        <w:t xml:space="preserve">ootage </w:t>
      </w:r>
      <w:r w:rsidR="00200F38">
        <w:rPr>
          <w:bCs/>
          <w:sz w:val="20"/>
          <w:lang w:eastAsia="en-AU"/>
        </w:rPr>
        <w:t>showing</w:t>
      </w:r>
      <w:r w:rsidR="00936692">
        <w:rPr>
          <w:bCs/>
          <w:sz w:val="20"/>
          <w:lang w:eastAsia="en-AU"/>
        </w:rPr>
        <w:t xml:space="preserve"> facial detail of the </w:t>
      </w:r>
      <w:r w:rsidR="00A539AE">
        <w:rPr>
          <w:bCs/>
          <w:sz w:val="20"/>
          <w:lang w:eastAsia="en-AU"/>
        </w:rPr>
        <w:t>N</w:t>
      </w:r>
      <w:r w:rsidR="00936692">
        <w:rPr>
          <w:bCs/>
          <w:sz w:val="20"/>
          <w:lang w:eastAsia="en-AU"/>
        </w:rPr>
        <w:t>eighbour</w:t>
      </w:r>
      <w:r w:rsidR="008319D6">
        <w:rPr>
          <w:bCs/>
          <w:sz w:val="20"/>
          <w:lang w:eastAsia="en-AU"/>
        </w:rPr>
        <w:t>:</w:t>
      </w:r>
    </w:p>
    <w:p w14:paraId="2A383E68" w14:textId="6995EECD" w:rsidR="004D34D2" w:rsidRDefault="00200F38" w:rsidP="00E574E8">
      <w:pPr>
        <w:pStyle w:val="ACMAQuoteindented"/>
        <w:numPr>
          <w:ilvl w:val="1"/>
          <w:numId w:val="2"/>
        </w:numPr>
        <w:autoSpaceDE w:val="0"/>
        <w:autoSpaceDN w:val="0"/>
        <w:adjustRightInd w:val="0"/>
        <w:rPr>
          <w:bCs/>
          <w:sz w:val="20"/>
          <w:lang w:eastAsia="en-AU"/>
        </w:rPr>
      </w:pPr>
      <w:r>
        <w:rPr>
          <w:bCs/>
          <w:sz w:val="20"/>
          <w:lang w:eastAsia="en-AU"/>
        </w:rPr>
        <w:t xml:space="preserve">the </w:t>
      </w:r>
      <w:r w:rsidR="00A539AE">
        <w:rPr>
          <w:bCs/>
          <w:sz w:val="20"/>
          <w:lang w:eastAsia="en-AU"/>
        </w:rPr>
        <w:t>N</w:t>
      </w:r>
      <w:r>
        <w:rPr>
          <w:bCs/>
          <w:sz w:val="20"/>
          <w:lang w:eastAsia="en-AU"/>
        </w:rPr>
        <w:t xml:space="preserve">eighbour </w:t>
      </w:r>
      <w:r w:rsidR="00936692">
        <w:rPr>
          <w:bCs/>
          <w:sz w:val="20"/>
          <w:lang w:eastAsia="en-AU"/>
        </w:rPr>
        <w:t xml:space="preserve">and </w:t>
      </w:r>
      <w:r w:rsidR="00354C14">
        <w:rPr>
          <w:bCs/>
          <w:sz w:val="20"/>
          <w:lang w:eastAsia="en-AU"/>
        </w:rPr>
        <w:t xml:space="preserve">the </w:t>
      </w:r>
      <w:r w:rsidR="00A539AE">
        <w:rPr>
          <w:bCs/>
          <w:sz w:val="20"/>
          <w:lang w:eastAsia="en-AU"/>
        </w:rPr>
        <w:t>M</w:t>
      </w:r>
      <w:r w:rsidR="00354C14">
        <w:rPr>
          <w:bCs/>
          <w:sz w:val="20"/>
          <w:lang w:eastAsia="en-AU"/>
        </w:rPr>
        <w:t xml:space="preserve">an </w:t>
      </w:r>
      <w:r w:rsidR="004D34D2">
        <w:rPr>
          <w:bCs/>
          <w:sz w:val="20"/>
          <w:lang w:eastAsia="en-AU"/>
        </w:rPr>
        <w:t>standing on a driveway</w:t>
      </w:r>
      <w:r>
        <w:rPr>
          <w:bCs/>
          <w:sz w:val="20"/>
          <w:lang w:eastAsia="en-AU"/>
        </w:rPr>
        <w:t xml:space="preserve"> having a conversation</w:t>
      </w:r>
    </w:p>
    <w:p w14:paraId="70576FC2" w14:textId="40ECDC08" w:rsidR="00200F38" w:rsidRPr="00200F38" w:rsidRDefault="00C65EBE" w:rsidP="00E574E8">
      <w:pPr>
        <w:pStyle w:val="ACMAQuoteindented"/>
        <w:numPr>
          <w:ilvl w:val="1"/>
          <w:numId w:val="2"/>
        </w:numPr>
        <w:autoSpaceDE w:val="0"/>
        <w:autoSpaceDN w:val="0"/>
        <w:adjustRightInd w:val="0"/>
        <w:rPr>
          <w:bCs/>
          <w:sz w:val="20"/>
          <w:lang w:eastAsia="en-AU"/>
        </w:rPr>
      </w:pPr>
      <w:r>
        <w:rPr>
          <w:bCs/>
          <w:sz w:val="20"/>
          <w:lang w:eastAsia="en-AU"/>
        </w:rPr>
        <w:t>a brief</w:t>
      </w:r>
      <w:r w:rsidR="00A539AE">
        <w:rPr>
          <w:bCs/>
          <w:sz w:val="20"/>
          <w:lang w:eastAsia="en-AU"/>
        </w:rPr>
        <w:t>,</w:t>
      </w:r>
      <w:r>
        <w:rPr>
          <w:bCs/>
          <w:sz w:val="20"/>
          <w:lang w:eastAsia="en-AU"/>
        </w:rPr>
        <w:t xml:space="preserve"> close-up of the </w:t>
      </w:r>
      <w:r w:rsidR="00A539AE">
        <w:rPr>
          <w:bCs/>
          <w:sz w:val="20"/>
          <w:lang w:eastAsia="en-AU"/>
        </w:rPr>
        <w:t>N</w:t>
      </w:r>
      <w:r>
        <w:rPr>
          <w:bCs/>
          <w:sz w:val="20"/>
          <w:lang w:eastAsia="en-AU"/>
        </w:rPr>
        <w:t>eighbour leaning over a dividing fence</w:t>
      </w:r>
    </w:p>
    <w:p w14:paraId="3556E619" w14:textId="5F2A5BD4" w:rsidR="00200F38" w:rsidRDefault="004D34D2" w:rsidP="00E574E8">
      <w:pPr>
        <w:pStyle w:val="ACMAQuoteindented"/>
        <w:numPr>
          <w:ilvl w:val="1"/>
          <w:numId w:val="2"/>
        </w:numPr>
        <w:autoSpaceDE w:val="0"/>
        <w:autoSpaceDN w:val="0"/>
        <w:adjustRightInd w:val="0"/>
        <w:rPr>
          <w:bCs/>
          <w:sz w:val="20"/>
          <w:lang w:eastAsia="en-AU"/>
        </w:rPr>
      </w:pPr>
      <w:r>
        <w:rPr>
          <w:bCs/>
          <w:sz w:val="20"/>
          <w:lang w:eastAsia="en-AU"/>
        </w:rPr>
        <w:t>a sequence</w:t>
      </w:r>
      <w:r w:rsidR="00200F38">
        <w:rPr>
          <w:bCs/>
          <w:sz w:val="20"/>
          <w:lang w:eastAsia="en-AU"/>
        </w:rPr>
        <w:t xml:space="preserve">, </w:t>
      </w:r>
      <w:r>
        <w:rPr>
          <w:bCs/>
          <w:sz w:val="20"/>
          <w:lang w:eastAsia="en-AU"/>
        </w:rPr>
        <w:t xml:space="preserve">leading up to </w:t>
      </w:r>
      <w:r w:rsidR="00200F38">
        <w:rPr>
          <w:bCs/>
          <w:sz w:val="20"/>
          <w:lang w:eastAsia="en-AU"/>
        </w:rPr>
        <w:t xml:space="preserve">the </w:t>
      </w:r>
      <w:r>
        <w:rPr>
          <w:bCs/>
          <w:sz w:val="20"/>
          <w:lang w:eastAsia="en-AU"/>
        </w:rPr>
        <w:t>physical altercation</w:t>
      </w:r>
      <w:r w:rsidR="00A539AE">
        <w:rPr>
          <w:bCs/>
          <w:sz w:val="20"/>
          <w:lang w:eastAsia="en-AU"/>
        </w:rPr>
        <w:t xml:space="preserve"> and</w:t>
      </w:r>
      <w:r w:rsidR="00A539AE" w:rsidRPr="00A539AE">
        <w:rPr>
          <w:bCs/>
          <w:sz w:val="20"/>
          <w:lang w:eastAsia="en-AU"/>
        </w:rPr>
        <w:t xml:space="preserve"> </w:t>
      </w:r>
      <w:r w:rsidR="00A539AE">
        <w:rPr>
          <w:bCs/>
          <w:sz w:val="20"/>
          <w:lang w:eastAsia="en-AU"/>
        </w:rPr>
        <w:t xml:space="preserve">shown on multiple occasions, </w:t>
      </w:r>
      <w:r>
        <w:rPr>
          <w:bCs/>
          <w:sz w:val="20"/>
          <w:lang w:eastAsia="en-AU"/>
        </w:rPr>
        <w:t xml:space="preserve">that included a </w:t>
      </w:r>
      <w:r w:rsidR="0009589B">
        <w:rPr>
          <w:bCs/>
          <w:sz w:val="20"/>
          <w:lang w:eastAsia="en-AU"/>
        </w:rPr>
        <w:t xml:space="preserve">close-up of the </w:t>
      </w:r>
      <w:r w:rsidR="00A539AE">
        <w:rPr>
          <w:bCs/>
          <w:sz w:val="20"/>
          <w:lang w:eastAsia="en-AU"/>
        </w:rPr>
        <w:t>N</w:t>
      </w:r>
      <w:r w:rsidR="0009589B">
        <w:rPr>
          <w:bCs/>
          <w:sz w:val="20"/>
          <w:lang w:eastAsia="en-AU"/>
        </w:rPr>
        <w:t>eighbour’s face</w:t>
      </w:r>
      <w:r w:rsidR="00200F38">
        <w:rPr>
          <w:bCs/>
          <w:sz w:val="20"/>
          <w:lang w:eastAsia="en-AU"/>
        </w:rPr>
        <w:t xml:space="preserve"> </w:t>
      </w:r>
    </w:p>
    <w:p w14:paraId="1EA3F340" w14:textId="781D72D5" w:rsidR="00E574E8" w:rsidRDefault="00E574E8" w:rsidP="00E574E8">
      <w:pPr>
        <w:pStyle w:val="ACMAQuoteindented"/>
        <w:numPr>
          <w:ilvl w:val="1"/>
          <w:numId w:val="2"/>
        </w:numPr>
        <w:autoSpaceDE w:val="0"/>
        <w:autoSpaceDN w:val="0"/>
        <w:adjustRightInd w:val="0"/>
        <w:rPr>
          <w:bCs/>
          <w:sz w:val="20"/>
          <w:lang w:eastAsia="en-AU"/>
        </w:rPr>
      </w:pPr>
      <w:r>
        <w:rPr>
          <w:bCs/>
          <w:sz w:val="20"/>
          <w:lang w:eastAsia="en-AU"/>
        </w:rPr>
        <w:t xml:space="preserve">the </w:t>
      </w:r>
      <w:r w:rsidR="00A539AE">
        <w:rPr>
          <w:bCs/>
          <w:sz w:val="20"/>
          <w:lang w:eastAsia="en-AU"/>
        </w:rPr>
        <w:t>N</w:t>
      </w:r>
      <w:r>
        <w:rPr>
          <w:bCs/>
          <w:sz w:val="20"/>
          <w:lang w:eastAsia="en-AU"/>
        </w:rPr>
        <w:t xml:space="preserve">eighbour falling to the ground </w:t>
      </w:r>
      <w:r w:rsidR="00D90D3D">
        <w:rPr>
          <w:bCs/>
          <w:sz w:val="20"/>
          <w:lang w:eastAsia="en-AU"/>
        </w:rPr>
        <w:t xml:space="preserve">while </w:t>
      </w:r>
      <w:r>
        <w:rPr>
          <w:bCs/>
          <w:sz w:val="20"/>
          <w:lang w:eastAsia="en-AU"/>
        </w:rPr>
        <w:t xml:space="preserve">attempting to climb over a fence when entering the </w:t>
      </w:r>
      <w:r w:rsidR="000473C6">
        <w:rPr>
          <w:bCs/>
          <w:sz w:val="20"/>
          <w:lang w:eastAsia="en-AU"/>
        </w:rPr>
        <w:t>Man’s</w:t>
      </w:r>
      <w:r>
        <w:rPr>
          <w:bCs/>
          <w:sz w:val="20"/>
          <w:lang w:eastAsia="en-AU"/>
        </w:rPr>
        <w:t xml:space="preserve"> property.</w:t>
      </w:r>
    </w:p>
    <w:p w14:paraId="330D87D9" w14:textId="5646F907" w:rsidR="00997A9F" w:rsidRPr="00C622B3" w:rsidRDefault="00997A9F" w:rsidP="00792555">
      <w:pPr>
        <w:pStyle w:val="ACMAQuoteindented"/>
        <w:keepNext/>
        <w:autoSpaceDE w:val="0"/>
        <w:autoSpaceDN w:val="0"/>
        <w:adjustRightInd w:val="0"/>
        <w:ind w:left="0"/>
        <w:rPr>
          <w:b/>
          <w:sz w:val="20"/>
          <w:lang w:eastAsia="en-AU"/>
        </w:rPr>
      </w:pPr>
      <w:r w:rsidRPr="00C622B3">
        <w:rPr>
          <w:b/>
          <w:sz w:val="20"/>
          <w:lang w:eastAsia="en-AU"/>
        </w:rPr>
        <w:t xml:space="preserve">Did the broadcast material disclose personal information or intrude upon the person’s seclusion in more than a fleeting way? </w:t>
      </w:r>
    </w:p>
    <w:p w14:paraId="5D916850" w14:textId="77777777" w:rsidR="005F731D" w:rsidRPr="005F731D" w:rsidRDefault="00F56D18" w:rsidP="00792555">
      <w:pPr>
        <w:pStyle w:val="ACMAQuoteindented"/>
        <w:keepNext/>
        <w:autoSpaceDE w:val="0"/>
        <w:autoSpaceDN w:val="0"/>
        <w:adjustRightInd w:val="0"/>
        <w:ind w:left="0"/>
        <w:rPr>
          <w:sz w:val="20"/>
        </w:rPr>
      </w:pPr>
      <w:r w:rsidRPr="005F731D">
        <w:rPr>
          <w:sz w:val="20"/>
        </w:rPr>
        <w:t xml:space="preserve">The </w:t>
      </w:r>
      <w:r w:rsidR="004E4297" w:rsidRPr="005F731D">
        <w:rPr>
          <w:sz w:val="20"/>
        </w:rPr>
        <w:t>Guidelines ad</w:t>
      </w:r>
      <w:r w:rsidR="005714DD" w:rsidRPr="005F731D">
        <w:rPr>
          <w:sz w:val="20"/>
        </w:rPr>
        <w:t>opt a broad interpretation of</w:t>
      </w:r>
      <w:r w:rsidRPr="005F731D">
        <w:rPr>
          <w:sz w:val="20"/>
        </w:rPr>
        <w:t xml:space="preserve"> ‘personal information’ </w:t>
      </w:r>
      <w:r w:rsidR="005714DD" w:rsidRPr="005F731D">
        <w:rPr>
          <w:sz w:val="20"/>
        </w:rPr>
        <w:t xml:space="preserve">that </w:t>
      </w:r>
      <w:r w:rsidRPr="005F731D">
        <w:rPr>
          <w:sz w:val="20"/>
        </w:rPr>
        <w:t>include</w:t>
      </w:r>
      <w:r w:rsidR="005714DD" w:rsidRPr="005F731D">
        <w:rPr>
          <w:sz w:val="20"/>
        </w:rPr>
        <w:t>s</w:t>
      </w:r>
      <w:r w:rsidRPr="005F731D">
        <w:rPr>
          <w:sz w:val="20"/>
        </w:rPr>
        <w:t xml:space="preserve"> </w:t>
      </w:r>
      <w:r w:rsidR="004E4297" w:rsidRPr="005F731D">
        <w:rPr>
          <w:sz w:val="20"/>
        </w:rPr>
        <w:t>information of a sensitive and personal</w:t>
      </w:r>
      <w:r w:rsidR="00F84C65" w:rsidRPr="005F731D">
        <w:rPr>
          <w:sz w:val="20"/>
        </w:rPr>
        <w:t xml:space="preserve"> nature </w:t>
      </w:r>
      <w:r w:rsidR="005714DD" w:rsidRPr="005F731D">
        <w:rPr>
          <w:sz w:val="20"/>
        </w:rPr>
        <w:t xml:space="preserve">that </w:t>
      </w:r>
      <w:r w:rsidR="004E4297" w:rsidRPr="005F731D">
        <w:rPr>
          <w:sz w:val="20"/>
        </w:rPr>
        <w:t xml:space="preserve">is usually factual in nature but need not be secret or confidential. </w:t>
      </w:r>
      <w:r w:rsidR="00AF5820" w:rsidRPr="005F731D">
        <w:rPr>
          <w:sz w:val="20"/>
        </w:rPr>
        <w:t xml:space="preserve">Personal information </w:t>
      </w:r>
      <w:r w:rsidR="00727103" w:rsidRPr="005F731D">
        <w:rPr>
          <w:sz w:val="20"/>
        </w:rPr>
        <w:t xml:space="preserve">includes an individual’s name and address. It </w:t>
      </w:r>
      <w:r w:rsidR="00AF5820" w:rsidRPr="005F731D">
        <w:rPr>
          <w:sz w:val="20"/>
        </w:rPr>
        <w:t xml:space="preserve">can also include </w:t>
      </w:r>
      <w:r w:rsidR="004E4297" w:rsidRPr="005F731D">
        <w:rPr>
          <w:sz w:val="20"/>
        </w:rPr>
        <w:t>information about personal relationships and domestic or family life</w:t>
      </w:r>
      <w:r w:rsidR="00AF5820" w:rsidRPr="005F731D">
        <w:rPr>
          <w:sz w:val="20"/>
        </w:rPr>
        <w:t>.</w:t>
      </w:r>
    </w:p>
    <w:p w14:paraId="29F51131" w14:textId="4D4AD857" w:rsidR="003306B4" w:rsidRDefault="00727D22" w:rsidP="00635495">
      <w:pPr>
        <w:pStyle w:val="ACMABodyText"/>
      </w:pPr>
      <w:r>
        <w:t>T</w:t>
      </w:r>
      <w:r w:rsidR="006A4F59">
        <w:t>he</w:t>
      </w:r>
      <w:r w:rsidR="00546E15">
        <w:t xml:space="preserve"> </w:t>
      </w:r>
      <w:r w:rsidR="00336588">
        <w:t>altercation</w:t>
      </w:r>
      <w:r w:rsidR="00B26346">
        <w:t xml:space="preserve"> that was</w:t>
      </w:r>
      <w:r w:rsidR="0031515E">
        <w:t xml:space="preserve"> </w:t>
      </w:r>
      <w:r w:rsidR="00790918">
        <w:t xml:space="preserve">the subject of the Report </w:t>
      </w:r>
      <w:r w:rsidR="00734222">
        <w:t xml:space="preserve">stemmed from </w:t>
      </w:r>
      <w:r w:rsidR="0031515E">
        <w:t>an ongoing</w:t>
      </w:r>
      <w:r w:rsidR="00F43236">
        <w:t xml:space="preserve"> </w:t>
      </w:r>
      <w:r>
        <w:t xml:space="preserve">neighbour </w:t>
      </w:r>
      <w:r w:rsidR="00F43236">
        <w:t xml:space="preserve">dispute </w:t>
      </w:r>
      <w:r w:rsidR="00AA22D7">
        <w:t xml:space="preserve">(the </w:t>
      </w:r>
      <w:r w:rsidR="00AA22D7" w:rsidRPr="00AA22D7">
        <w:rPr>
          <w:b/>
          <w:bCs/>
        </w:rPr>
        <w:t>Dispute</w:t>
      </w:r>
      <w:r w:rsidR="00AA22D7">
        <w:t>)</w:t>
      </w:r>
      <w:r w:rsidR="00694DA2">
        <w:t xml:space="preserve">. The ACMA considers </w:t>
      </w:r>
      <w:r w:rsidR="00D56F18">
        <w:t>the Dispute</w:t>
      </w:r>
      <w:r w:rsidR="00546E15">
        <w:t xml:space="preserve"> </w:t>
      </w:r>
      <w:r w:rsidR="000473C6">
        <w:t xml:space="preserve">was </w:t>
      </w:r>
      <w:r w:rsidR="00546E15">
        <w:t xml:space="preserve">a personal </w:t>
      </w:r>
      <w:r w:rsidR="003E456C">
        <w:t xml:space="preserve">affair </w:t>
      </w:r>
      <w:r w:rsidR="005B5DCB">
        <w:t xml:space="preserve">between the </w:t>
      </w:r>
      <w:r w:rsidR="00F43236">
        <w:t>Man and his Neighbour</w:t>
      </w:r>
      <w:r w:rsidR="00734222">
        <w:t xml:space="preserve"> and that c</w:t>
      </w:r>
      <w:r w:rsidR="005B5DCB">
        <w:t xml:space="preserve">ommunicating information </w:t>
      </w:r>
      <w:r w:rsidR="00A202EA">
        <w:t>about the</w:t>
      </w:r>
      <w:r w:rsidR="00541840">
        <w:t xml:space="preserve"> fact of the Neighbour being involved in the</w:t>
      </w:r>
      <w:r w:rsidR="00A202EA">
        <w:t xml:space="preserve"> </w:t>
      </w:r>
      <w:r w:rsidR="007D0347">
        <w:t>D</w:t>
      </w:r>
      <w:r w:rsidR="005B5DCB">
        <w:t>ispute communicate</w:t>
      </w:r>
      <w:r w:rsidR="007B76DE">
        <w:t>d</w:t>
      </w:r>
      <w:r w:rsidR="005B5DCB">
        <w:t xml:space="preserve"> personal information about </w:t>
      </w:r>
      <w:r w:rsidR="007B76DE">
        <w:t>the Neighbour.</w:t>
      </w:r>
      <w:r w:rsidR="00635495">
        <w:t xml:space="preserve"> </w:t>
      </w:r>
    </w:p>
    <w:p w14:paraId="0395E700" w14:textId="57863821" w:rsidR="007B76DE" w:rsidRDefault="0021780F" w:rsidP="003534FD">
      <w:pPr>
        <w:pStyle w:val="ACMAQuoteindented"/>
        <w:autoSpaceDE w:val="0"/>
        <w:autoSpaceDN w:val="0"/>
        <w:adjustRightInd w:val="0"/>
        <w:ind w:left="0"/>
        <w:rPr>
          <w:sz w:val="20"/>
        </w:rPr>
      </w:pPr>
      <w:r>
        <w:rPr>
          <w:bCs/>
          <w:sz w:val="20"/>
          <w:lang w:eastAsia="en-AU"/>
        </w:rPr>
        <w:lastRenderedPageBreak/>
        <w:t xml:space="preserve">The </w:t>
      </w:r>
      <w:r w:rsidR="00EC0CF4">
        <w:rPr>
          <w:bCs/>
          <w:sz w:val="20"/>
          <w:lang w:eastAsia="en-AU"/>
        </w:rPr>
        <w:t xml:space="preserve">Report </w:t>
      </w:r>
      <w:r w:rsidR="00727D22" w:rsidRPr="00727103">
        <w:rPr>
          <w:sz w:val="20"/>
        </w:rPr>
        <w:t>disclosed</w:t>
      </w:r>
      <w:r w:rsidR="007B76DE">
        <w:rPr>
          <w:sz w:val="20"/>
        </w:rPr>
        <w:t xml:space="preserve"> </w:t>
      </w:r>
      <w:r w:rsidR="00727D22" w:rsidRPr="005F731D">
        <w:rPr>
          <w:sz w:val="20"/>
        </w:rPr>
        <w:t>f</w:t>
      </w:r>
      <w:r w:rsidR="00727D22" w:rsidRPr="00727103">
        <w:rPr>
          <w:sz w:val="20"/>
        </w:rPr>
        <w:t>acts about the Dispute that included personal information about the Neighbour</w:t>
      </w:r>
      <w:r w:rsidR="007B76DE">
        <w:rPr>
          <w:sz w:val="20"/>
        </w:rPr>
        <w:t>:</w:t>
      </w:r>
      <w:r w:rsidR="00734222" w:rsidRPr="005F731D">
        <w:rPr>
          <w:sz w:val="20"/>
        </w:rPr>
        <w:t xml:space="preserve"> </w:t>
      </w:r>
    </w:p>
    <w:p w14:paraId="29DDFEA1" w14:textId="16E272A8" w:rsidR="005473ED" w:rsidRPr="00727103" w:rsidRDefault="00734222" w:rsidP="00727103">
      <w:pPr>
        <w:pStyle w:val="ACMABodyText"/>
        <w:numPr>
          <w:ilvl w:val="0"/>
          <w:numId w:val="28"/>
        </w:numPr>
        <w:rPr>
          <w:bCs/>
          <w:lang w:eastAsia="en-AU"/>
        </w:rPr>
      </w:pPr>
      <w:r w:rsidRPr="00727103">
        <w:rPr>
          <w:iCs/>
        </w:rPr>
        <w:t xml:space="preserve">that the Neighbour had previously complained to </w:t>
      </w:r>
      <w:r w:rsidR="00541840">
        <w:rPr>
          <w:iCs/>
        </w:rPr>
        <w:t>the Man</w:t>
      </w:r>
      <w:r w:rsidR="00541840" w:rsidRPr="00727103">
        <w:rPr>
          <w:iCs/>
        </w:rPr>
        <w:t xml:space="preserve"> </w:t>
      </w:r>
      <w:r w:rsidRPr="00727103">
        <w:rPr>
          <w:iCs/>
        </w:rPr>
        <w:t>about the placement of the floodlight and about another matter relating to the placement of sandbags on an adjoining property</w:t>
      </w:r>
      <w:r w:rsidR="00F630FA" w:rsidRPr="00727103">
        <w:rPr>
          <w:rFonts w:cs="Arial"/>
          <w:bCs/>
          <w:lang w:eastAsia="en-AU"/>
        </w:rPr>
        <w:t xml:space="preserve"> </w:t>
      </w:r>
    </w:p>
    <w:p w14:paraId="4FFC7B8D" w14:textId="0B09215C" w:rsidR="007B76DE" w:rsidRPr="00727103" w:rsidRDefault="007C5B8C" w:rsidP="00727103">
      <w:pPr>
        <w:pStyle w:val="ACMABodyText"/>
        <w:numPr>
          <w:ilvl w:val="0"/>
          <w:numId w:val="28"/>
        </w:numPr>
      </w:pPr>
      <w:r w:rsidRPr="00727103">
        <w:rPr>
          <w:iCs/>
        </w:rPr>
        <w:t xml:space="preserve">that the Neighbour </w:t>
      </w:r>
      <w:r w:rsidR="009C5494" w:rsidRPr="00727103">
        <w:rPr>
          <w:iCs/>
        </w:rPr>
        <w:t>approached the Man’s friend in an intimidating manner and failed to leave the pro</w:t>
      </w:r>
      <w:r w:rsidR="009C5494" w:rsidRPr="00727103">
        <w:t>perty when requested to do so</w:t>
      </w:r>
    </w:p>
    <w:p w14:paraId="11758AE8" w14:textId="353B4E43" w:rsidR="007C5B8C" w:rsidRDefault="007C5B8C" w:rsidP="00727103">
      <w:pPr>
        <w:pStyle w:val="ACMABodyText"/>
        <w:numPr>
          <w:ilvl w:val="0"/>
          <w:numId w:val="28"/>
        </w:numPr>
      </w:pPr>
      <w:r w:rsidRPr="00727103">
        <w:rPr>
          <w:iCs/>
        </w:rPr>
        <w:t xml:space="preserve">that after a scuffle </w:t>
      </w:r>
      <w:r w:rsidR="009575A2">
        <w:rPr>
          <w:iCs/>
        </w:rPr>
        <w:t xml:space="preserve">the </w:t>
      </w:r>
      <w:r w:rsidR="00541840">
        <w:rPr>
          <w:iCs/>
        </w:rPr>
        <w:t xml:space="preserve">Neighbour </w:t>
      </w:r>
      <w:r w:rsidR="009C5494" w:rsidRPr="00727103">
        <w:rPr>
          <w:iCs/>
        </w:rPr>
        <w:t>was punched by the Man</w:t>
      </w:r>
      <w:r w:rsidR="007B76DE" w:rsidRPr="00727103">
        <w:rPr>
          <w:iCs/>
        </w:rPr>
        <w:t xml:space="preserve">, </w:t>
      </w:r>
      <w:r w:rsidR="00E66467" w:rsidRPr="00727103">
        <w:rPr>
          <w:iCs/>
        </w:rPr>
        <w:t xml:space="preserve">apparently </w:t>
      </w:r>
      <w:r w:rsidRPr="00727103">
        <w:rPr>
          <w:iCs/>
        </w:rPr>
        <w:t>knocked out and suffered a cut to his no</w:t>
      </w:r>
      <w:r w:rsidRPr="00727103">
        <w:t>se as a result of the altercation</w:t>
      </w:r>
    </w:p>
    <w:p w14:paraId="0B10DEE3" w14:textId="32121665" w:rsidR="00217601" w:rsidRDefault="00217601" w:rsidP="00727103">
      <w:pPr>
        <w:pStyle w:val="ACMABodyText"/>
        <w:numPr>
          <w:ilvl w:val="0"/>
          <w:numId w:val="28"/>
        </w:numPr>
      </w:pPr>
      <w:r>
        <w:t>th</w:t>
      </w:r>
      <w:r w:rsidR="00D5174B">
        <w:t xml:space="preserve">at the </w:t>
      </w:r>
      <w:r w:rsidR="00EE13CA">
        <w:t xml:space="preserve">Neighbour had expressed remorse </w:t>
      </w:r>
      <w:r w:rsidR="00ED1613">
        <w:t>about the altercat</w:t>
      </w:r>
      <w:r w:rsidR="00C23D13">
        <w:t>ion</w:t>
      </w:r>
      <w:r w:rsidR="00ED1613">
        <w:t xml:space="preserve"> and wanted to apologise to the Man</w:t>
      </w:r>
    </w:p>
    <w:p w14:paraId="2E9CBBCA" w14:textId="772C21C7" w:rsidR="00ED1613" w:rsidRPr="00727103" w:rsidRDefault="00B636AC" w:rsidP="00727103">
      <w:pPr>
        <w:pStyle w:val="ACMABodyText"/>
        <w:numPr>
          <w:ilvl w:val="0"/>
          <w:numId w:val="28"/>
        </w:numPr>
      </w:pPr>
      <w:r>
        <w:t>that Police spoke to both men but no formal complaint was made.</w:t>
      </w:r>
    </w:p>
    <w:p w14:paraId="4B45F95F" w14:textId="49ED6F19" w:rsidR="00D0103B" w:rsidRDefault="007E2821" w:rsidP="00F44966">
      <w:pPr>
        <w:pStyle w:val="ACMAQuoteindented"/>
        <w:autoSpaceDE w:val="0"/>
        <w:autoSpaceDN w:val="0"/>
        <w:adjustRightInd w:val="0"/>
        <w:ind w:left="0"/>
        <w:rPr>
          <w:bCs/>
          <w:sz w:val="20"/>
          <w:lang w:eastAsia="en-AU"/>
        </w:rPr>
      </w:pPr>
      <w:r>
        <w:rPr>
          <w:bCs/>
          <w:sz w:val="20"/>
          <w:lang w:eastAsia="en-AU"/>
        </w:rPr>
        <w:t>In addition, t</w:t>
      </w:r>
      <w:r w:rsidR="00D0103B">
        <w:rPr>
          <w:bCs/>
          <w:sz w:val="20"/>
          <w:lang w:eastAsia="en-AU"/>
        </w:rPr>
        <w:t>he Presenter disclosed personal information about the Neighbour including his full name on one occasion and his given name on two occasions, his age on two occasions, and partial details of his residential address by naming the town in which the Neighbour was living</w:t>
      </w:r>
      <w:r w:rsidR="00C455E0">
        <w:rPr>
          <w:bCs/>
          <w:sz w:val="20"/>
          <w:lang w:eastAsia="en-AU"/>
        </w:rPr>
        <w:t>.</w:t>
      </w:r>
    </w:p>
    <w:p w14:paraId="2CCF7E00" w14:textId="0C1AA0D5" w:rsidR="0097259A" w:rsidRDefault="0097259A" w:rsidP="0097259A">
      <w:pPr>
        <w:pStyle w:val="ACMAQuoteindented"/>
        <w:autoSpaceDE w:val="0"/>
        <w:autoSpaceDN w:val="0"/>
        <w:adjustRightInd w:val="0"/>
        <w:ind w:left="0"/>
        <w:rPr>
          <w:b/>
          <w:sz w:val="20"/>
          <w:lang w:eastAsia="en-AU"/>
        </w:rPr>
      </w:pPr>
      <w:r w:rsidRPr="0097259A">
        <w:rPr>
          <w:b/>
          <w:sz w:val="20"/>
          <w:lang w:eastAsia="en-AU"/>
        </w:rPr>
        <w:t>Was the person's consent obtained—or that of a parent or guardian?</w:t>
      </w:r>
    </w:p>
    <w:p w14:paraId="1DC96CB9" w14:textId="079A2051" w:rsidR="00510271" w:rsidRDefault="00510271" w:rsidP="0097259A">
      <w:pPr>
        <w:pStyle w:val="ACMAQuoteindented"/>
        <w:autoSpaceDE w:val="0"/>
        <w:autoSpaceDN w:val="0"/>
        <w:adjustRightInd w:val="0"/>
        <w:ind w:left="0"/>
        <w:rPr>
          <w:bCs/>
          <w:sz w:val="20"/>
          <w:lang w:eastAsia="en-AU"/>
        </w:rPr>
      </w:pPr>
      <w:r>
        <w:rPr>
          <w:bCs/>
          <w:sz w:val="20"/>
          <w:lang w:eastAsia="en-AU"/>
        </w:rPr>
        <w:t xml:space="preserve">The Code allows personal information to be broadcast if the person provides implicit or explicit consent to the </w:t>
      </w:r>
      <w:r w:rsidR="003F1C65">
        <w:rPr>
          <w:bCs/>
          <w:sz w:val="20"/>
          <w:lang w:eastAsia="en-AU"/>
        </w:rPr>
        <w:t xml:space="preserve">material being </w:t>
      </w:r>
      <w:r>
        <w:rPr>
          <w:bCs/>
          <w:sz w:val="20"/>
          <w:lang w:eastAsia="en-AU"/>
        </w:rPr>
        <w:t>broadcast.</w:t>
      </w:r>
    </w:p>
    <w:p w14:paraId="3ED67EB2" w14:textId="210DF763" w:rsidR="00357707" w:rsidRDefault="00357707" w:rsidP="0097259A">
      <w:pPr>
        <w:pStyle w:val="ACMAQuoteindented"/>
        <w:autoSpaceDE w:val="0"/>
        <w:autoSpaceDN w:val="0"/>
        <w:adjustRightInd w:val="0"/>
        <w:ind w:left="0"/>
        <w:rPr>
          <w:bCs/>
          <w:sz w:val="20"/>
          <w:lang w:eastAsia="en-AU"/>
        </w:rPr>
      </w:pPr>
      <w:r>
        <w:rPr>
          <w:bCs/>
          <w:sz w:val="20"/>
          <w:lang w:eastAsia="en-AU"/>
        </w:rPr>
        <w:t xml:space="preserve">The Guidelines provide that </w:t>
      </w:r>
      <w:r w:rsidR="001257CE">
        <w:rPr>
          <w:bCs/>
          <w:sz w:val="20"/>
          <w:lang w:eastAsia="en-AU"/>
        </w:rPr>
        <w:t>c</w:t>
      </w:r>
      <w:r w:rsidR="00F90181">
        <w:rPr>
          <w:bCs/>
          <w:sz w:val="20"/>
          <w:lang w:eastAsia="en-AU"/>
        </w:rPr>
        <w:t xml:space="preserve">onsent must be given voluntarily, be informed, and given by a person with legal capacity and an understanding of the use to which the material </w:t>
      </w:r>
      <w:r w:rsidR="00707C68">
        <w:rPr>
          <w:bCs/>
          <w:sz w:val="20"/>
          <w:lang w:eastAsia="en-AU"/>
        </w:rPr>
        <w:t xml:space="preserve">will </w:t>
      </w:r>
      <w:r w:rsidR="00F90181">
        <w:rPr>
          <w:bCs/>
          <w:sz w:val="20"/>
          <w:lang w:eastAsia="en-AU"/>
        </w:rPr>
        <w:t>be put.</w:t>
      </w:r>
      <w:r w:rsidR="00F90181">
        <w:rPr>
          <w:rStyle w:val="FootnoteReference"/>
          <w:bCs/>
          <w:sz w:val="20"/>
          <w:lang w:eastAsia="en-AU"/>
        </w:rPr>
        <w:footnoteReference w:id="4"/>
      </w:r>
    </w:p>
    <w:p w14:paraId="19F40649" w14:textId="7C3443A9" w:rsidR="00885B69" w:rsidRDefault="00885B69" w:rsidP="0097259A">
      <w:pPr>
        <w:pStyle w:val="ACMAQuoteindented"/>
        <w:autoSpaceDE w:val="0"/>
        <w:autoSpaceDN w:val="0"/>
        <w:adjustRightInd w:val="0"/>
        <w:ind w:left="0"/>
        <w:rPr>
          <w:bCs/>
          <w:sz w:val="20"/>
          <w:lang w:eastAsia="en-AU"/>
        </w:rPr>
      </w:pPr>
      <w:r>
        <w:rPr>
          <w:bCs/>
          <w:sz w:val="20"/>
          <w:lang w:eastAsia="en-AU"/>
        </w:rPr>
        <w:t xml:space="preserve">The complainant submitted that </w:t>
      </w:r>
      <w:r w:rsidR="00E00988">
        <w:rPr>
          <w:bCs/>
          <w:sz w:val="20"/>
          <w:lang w:eastAsia="en-AU"/>
        </w:rPr>
        <w:t xml:space="preserve">the </w:t>
      </w:r>
      <w:r w:rsidR="001257CE">
        <w:rPr>
          <w:bCs/>
          <w:sz w:val="20"/>
          <w:lang w:eastAsia="en-AU"/>
        </w:rPr>
        <w:t>N</w:t>
      </w:r>
      <w:r w:rsidR="00E00988">
        <w:rPr>
          <w:bCs/>
          <w:sz w:val="20"/>
          <w:lang w:eastAsia="en-AU"/>
        </w:rPr>
        <w:t xml:space="preserve">eighbour </w:t>
      </w:r>
      <w:r w:rsidR="00D60138">
        <w:rPr>
          <w:bCs/>
          <w:sz w:val="20"/>
          <w:lang w:eastAsia="en-AU"/>
        </w:rPr>
        <w:t xml:space="preserve">refused to make a statement </w:t>
      </w:r>
      <w:r w:rsidR="006E016B">
        <w:rPr>
          <w:bCs/>
          <w:sz w:val="20"/>
          <w:lang w:eastAsia="en-AU"/>
        </w:rPr>
        <w:t xml:space="preserve">to the Presenter </w:t>
      </w:r>
      <w:r w:rsidR="00510271">
        <w:rPr>
          <w:bCs/>
          <w:sz w:val="20"/>
          <w:lang w:eastAsia="en-AU"/>
        </w:rPr>
        <w:t xml:space="preserve">and </w:t>
      </w:r>
      <w:r w:rsidR="00E00988">
        <w:rPr>
          <w:bCs/>
          <w:sz w:val="20"/>
          <w:lang w:eastAsia="en-AU"/>
        </w:rPr>
        <w:t xml:space="preserve">did not provide </w:t>
      </w:r>
      <w:r>
        <w:rPr>
          <w:bCs/>
          <w:sz w:val="20"/>
          <w:lang w:eastAsia="en-AU"/>
        </w:rPr>
        <w:t xml:space="preserve">consent </w:t>
      </w:r>
      <w:r w:rsidR="00E00988">
        <w:rPr>
          <w:bCs/>
          <w:sz w:val="20"/>
          <w:lang w:eastAsia="en-AU"/>
        </w:rPr>
        <w:t xml:space="preserve">to </w:t>
      </w:r>
      <w:r w:rsidR="00D60138">
        <w:rPr>
          <w:bCs/>
          <w:sz w:val="20"/>
          <w:lang w:eastAsia="en-AU"/>
        </w:rPr>
        <w:t xml:space="preserve">the Licensee </w:t>
      </w:r>
      <w:r w:rsidR="00E00988">
        <w:rPr>
          <w:bCs/>
          <w:sz w:val="20"/>
          <w:lang w:eastAsia="en-AU"/>
        </w:rPr>
        <w:t xml:space="preserve">broadcasting </w:t>
      </w:r>
      <w:r w:rsidR="009A3065">
        <w:rPr>
          <w:bCs/>
          <w:sz w:val="20"/>
          <w:lang w:eastAsia="en-AU"/>
        </w:rPr>
        <w:t xml:space="preserve">material </w:t>
      </w:r>
      <w:r w:rsidR="00E00988">
        <w:rPr>
          <w:bCs/>
          <w:sz w:val="20"/>
          <w:lang w:eastAsia="en-AU"/>
        </w:rPr>
        <w:t>about him</w:t>
      </w:r>
      <w:r w:rsidR="009A3065">
        <w:rPr>
          <w:bCs/>
          <w:sz w:val="20"/>
          <w:lang w:eastAsia="en-AU"/>
        </w:rPr>
        <w:t>.</w:t>
      </w:r>
    </w:p>
    <w:p w14:paraId="2FA3F5C6" w14:textId="40075A46" w:rsidR="00103742" w:rsidRDefault="004D63D3" w:rsidP="0097259A">
      <w:pPr>
        <w:pStyle w:val="ACMAQuoteindented"/>
        <w:autoSpaceDE w:val="0"/>
        <w:autoSpaceDN w:val="0"/>
        <w:adjustRightInd w:val="0"/>
        <w:ind w:left="0"/>
        <w:rPr>
          <w:bCs/>
          <w:sz w:val="20"/>
          <w:lang w:eastAsia="en-AU"/>
        </w:rPr>
      </w:pPr>
      <w:r>
        <w:rPr>
          <w:bCs/>
          <w:sz w:val="20"/>
          <w:lang w:eastAsia="en-AU"/>
        </w:rPr>
        <w:t>The</w:t>
      </w:r>
      <w:r w:rsidR="00F90181">
        <w:rPr>
          <w:bCs/>
          <w:sz w:val="20"/>
          <w:lang w:eastAsia="en-AU"/>
        </w:rPr>
        <w:t xml:space="preserve"> Licensee submitted that the circumstances of the incident suggest that the Neighbour gave implied consent to being recorded on video </w:t>
      </w:r>
      <w:r w:rsidR="001443BB">
        <w:rPr>
          <w:bCs/>
          <w:sz w:val="20"/>
          <w:lang w:eastAsia="en-AU"/>
        </w:rPr>
        <w:t>and was made</w:t>
      </w:r>
      <w:r w:rsidR="00F90181">
        <w:rPr>
          <w:bCs/>
          <w:sz w:val="20"/>
          <w:lang w:eastAsia="en-AU"/>
        </w:rPr>
        <w:t xml:space="preserve"> aware </w:t>
      </w:r>
      <w:r w:rsidR="001443BB">
        <w:rPr>
          <w:bCs/>
          <w:sz w:val="20"/>
          <w:lang w:eastAsia="en-AU"/>
        </w:rPr>
        <w:t xml:space="preserve">on multiple occasions </w:t>
      </w:r>
      <w:r w:rsidR="00F90181">
        <w:rPr>
          <w:bCs/>
          <w:sz w:val="20"/>
          <w:lang w:eastAsia="en-AU"/>
        </w:rPr>
        <w:t xml:space="preserve">that he was being recorded and continued </w:t>
      </w:r>
      <w:r w:rsidR="00B52425">
        <w:rPr>
          <w:bCs/>
          <w:sz w:val="20"/>
          <w:lang w:eastAsia="en-AU"/>
        </w:rPr>
        <w:t xml:space="preserve">to behave </w:t>
      </w:r>
      <w:r w:rsidR="001257CE">
        <w:rPr>
          <w:bCs/>
          <w:sz w:val="20"/>
          <w:lang w:eastAsia="en-AU"/>
        </w:rPr>
        <w:t>‘</w:t>
      </w:r>
      <w:r w:rsidR="00B52425">
        <w:rPr>
          <w:bCs/>
          <w:sz w:val="20"/>
          <w:lang w:eastAsia="en-AU"/>
        </w:rPr>
        <w:t>inappropriately</w:t>
      </w:r>
      <w:r w:rsidR="001257CE">
        <w:rPr>
          <w:bCs/>
          <w:sz w:val="20"/>
          <w:lang w:eastAsia="en-AU"/>
        </w:rPr>
        <w:t>’</w:t>
      </w:r>
      <w:r w:rsidR="00B52425">
        <w:rPr>
          <w:bCs/>
          <w:sz w:val="20"/>
          <w:lang w:eastAsia="en-AU"/>
        </w:rPr>
        <w:t>.</w:t>
      </w:r>
      <w:r w:rsidR="00A341F5">
        <w:rPr>
          <w:bCs/>
          <w:sz w:val="20"/>
          <w:lang w:eastAsia="en-AU"/>
        </w:rPr>
        <w:t xml:space="preserve"> </w:t>
      </w:r>
      <w:r w:rsidR="00DE7D54">
        <w:rPr>
          <w:bCs/>
          <w:sz w:val="20"/>
          <w:lang w:eastAsia="en-AU"/>
        </w:rPr>
        <w:t xml:space="preserve">The Licensee further submitted that </w:t>
      </w:r>
      <w:r w:rsidR="00391255">
        <w:rPr>
          <w:bCs/>
          <w:sz w:val="20"/>
          <w:lang w:eastAsia="en-AU"/>
        </w:rPr>
        <w:t xml:space="preserve">if a person has given </w:t>
      </w:r>
      <w:r w:rsidR="00A341F5">
        <w:rPr>
          <w:bCs/>
          <w:sz w:val="20"/>
          <w:lang w:eastAsia="en-AU"/>
        </w:rPr>
        <w:t xml:space="preserve">implied consent </w:t>
      </w:r>
      <w:r w:rsidR="00B4126B">
        <w:rPr>
          <w:bCs/>
          <w:sz w:val="20"/>
          <w:lang w:eastAsia="en-AU"/>
        </w:rPr>
        <w:t xml:space="preserve">to being </w:t>
      </w:r>
      <w:r w:rsidR="00691131">
        <w:rPr>
          <w:bCs/>
          <w:sz w:val="20"/>
          <w:lang w:eastAsia="en-AU"/>
        </w:rPr>
        <w:t xml:space="preserve">recorded </w:t>
      </w:r>
      <w:r w:rsidR="009E13C1">
        <w:rPr>
          <w:bCs/>
          <w:sz w:val="20"/>
          <w:lang w:eastAsia="en-AU"/>
        </w:rPr>
        <w:t xml:space="preserve">then </w:t>
      </w:r>
      <w:r w:rsidR="00391255">
        <w:rPr>
          <w:bCs/>
          <w:sz w:val="20"/>
          <w:lang w:eastAsia="en-AU"/>
        </w:rPr>
        <w:t>it is reasonable</w:t>
      </w:r>
      <w:r w:rsidR="00B4126B">
        <w:rPr>
          <w:bCs/>
          <w:sz w:val="20"/>
          <w:lang w:eastAsia="en-AU"/>
        </w:rPr>
        <w:t xml:space="preserve"> </w:t>
      </w:r>
      <w:r w:rsidR="00A341F5">
        <w:rPr>
          <w:bCs/>
          <w:sz w:val="20"/>
          <w:lang w:eastAsia="en-AU"/>
        </w:rPr>
        <w:t xml:space="preserve">to </w:t>
      </w:r>
      <w:r w:rsidR="00391255">
        <w:rPr>
          <w:bCs/>
          <w:sz w:val="20"/>
          <w:lang w:eastAsia="en-AU"/>
        </w:rPr>
        <w:t xml:space="preserve">assert that the person has also consented to </w:t>
      </w:r>
      <w:r w:rsidR="00A341F5">
        <w:rPr>
          <w:bCs/>
          <w:sz w:val="20"/>
          <w:lang w:eastAsia="en-AU"/>
        </w:rPr>
        <w:t>any use of the footage</w:t>
      </w:r>
      <w:r w:rsidR="00391255">
        <w:rPr>
          <w:bCs/>
          <w:sz w:val="20"/>
          <w:lang w:eastAsia="en-AU"/>
        </w:rPr>
        <w:t xml:space="preserve">. </w:t>
      </w:r>
      <w:r w:rsidR="00B45129">
        <w:rPr>
          <w:bCs/>
          <w:sz w:val="20"/>
          <w:lang w:eastAsia="en-AU"/>
        </w:rPr>
        <w:t>E</w:t>
      </w:r>
      <w:r w:rsidR="00171B51">
        <w:rPr>
          <w:bCs/>
          <w:sz w:val="20"/>
          <w:lang w:eastAsia="en-AU"/>
        </w:rPr>
        <w:t xml:space="preserve">ven if the ACMA </w:t>
      </w:r>
      <w:r w:rsidR="007A07FE">
        <w:rPr>
          <w:bCs/>
          <w:sz w:val="20"/>
          <w:lang w:eastAsia="en-AU"/>
        </w:rPr>
        <w:t xml:space="preserve">were to </w:t>
      </w:r>
      <w:r w:rsidR="00171B51">
        <w:rPr>
          <w:bCs/>
          <w:sz w:val="20"/>
          <w:lang w:eastAsia="en-AU"/>
        </w:rPr>
        <w:t>accept that the Neighbour consented to being recorded on video</w:t>
      </w:r>
      <w:r w:rsidR="00B45129">
        <w:rPr>
          <w:bCs/>
          <w:sz w:val="20"/>
          <w:lang w:eastAsia="en-AU"/>
        </w:rPr>
        <w:t xml:space="preserve"> by the Man’s friend</w:t>
      </w:r>
      <w:r w:rsidR="00171B51">
        <w:rPr>
          <w:bCs/>
          <w:sz w:val="20"/>
          <w:lang w:eastAsia="en-AU"/>
        </w:rPr>
        <w:t xml:space="preserve"> </w:t>
      </w:r>
      <w:r w:rsidR="00026B34">
        <w:rPr>
          <w:bCs/>
          <w:sz w:val="20"/>
          <w:lang w:eastAsia="en-AU"/>
        </w:rPr>
        <w:t>(which it does not)</w:t>
      </w:r>
      <w:r w:rsidR="00BF3760">
        <w:rPr>
          <w:bCs/>
          <w:sz w:val="20"/>
          <w:lang w:eastAsia="en-AU"/>
        </w:rPr>
        <w:t>,</w:t>
      </w:r>
      <w:r w:rsidR="00E87AA0">
        <w:rPr>
          <w:bCs/>
          <w:sz w:val="20"/>
          <w:lang w:eastAsia="en-AU"/>
        </w:rPr>
        <w:t xml:space="preserve"> it does not follow that this consent extended to </w:t>
      </w:r>
      <w:r w:rsidR="00983557">
        <w:rPr>
          <w:bCs/>
          <w:sz w:val="20"/>
          <w:lang w:eastAsia="en-AU"/>
        </w:rPr>
        <w:t xml:space="preserve">the Man publishing the footage online or to </w:t>
      </w:r>
      <w:r w:rsidR="00E87AA0">
        <w:rPr>
          <w:bCs/>
          <w:sz w:val="20"/>
          <w:lang w:eastAsia="en-AU"/>
        </w:rPr>
        <w:t>allowing the Licensee to broadcast the material</w:t>
      </w:r>
      <w:r w:rsidR="009E13C1">
        <w:rPr>
          <w:bCs/>
          <w:sz w:val="20"/>
          <w:lang w:eastAsia="en-AU"/>
        </w:rPr>
        <w:t xml:space="preserve">. </w:t>
      </w:r>
      <w:r w:rsidR="00E87AA0">
        <w:rPr>
          <w:bCs/>
          <w:sz w:val="20"/>
          <w:lang w:eastAsia="en-AU"/>
        </w:rPr>
        <w:t>T</w:t>
      </w:r>
      <w:r w:rsidR="00171B51">
        <w:rPr>
          <w:bCs/>
          <w:sz w:val="20"/>
          <w:lang w:eastAsia="en-AU"/>
        </w:rPr>
        <w:t>here is no evidence to support a conclusion that the Neighbour consented to the broadcast of the video</w:t>
      </w:r>
      <w:r w:rsidR="00B45129">
        <w:rPr>
          <w:bCs/>
          <w:sz w:val="20"/>
          <w:lang w:eastAsia="en-AU"/>
        </w:rPr>
        <w:t xml:space="preserve"> by the Licensee</w:t>
      </w:r>
      <w:r w:rsidR="00171B51">
        <w:rPr>
          <w:bCs/>
          <w:sz w:val="20"/>
          <w:lang w:eastAsia="en-AU"/>
        </w:rPr>
        <w:t>.</w:t>
      </w:r>
      <w:r w:rsidR="00D4263C">
        <w:rPr>
          <w:bCs/>
          <w:sz w:val="20"/>
          <w:lang w:eastAsia="en-AU"/>
        </w:rPr>
        <w:t xml:space="preserve"> In these circumstances, the ACMA accepts the submission by the complainant that consent was not given to broadcast the personal information outlined above</w:t>
      </w:r>
      <w:r w:rsidR="006057AC">
        <w:rPr>
          <w:bCs/>
          <w:sz w:val="20"/>
          <w:lang w:eastAsia="en-AU"/>
        </w:rPr>
        <w:t>.</w:t>
      </w:r>
    </w:p>
    <w:p w14:paraId="03C7C4EC" w14:textId="0D86E68E" w:rsidR="008479E7" w:rsidRDefault="00A341F5" w:rsidP="00E23853">
      <w:pPr>
        <w:pStyle w:val="ACMAQuoteindented"/>
        <w:autoSpaceDE w:val="0"/>
        <w:autoSpaceDN w:val="0"/>
        <w:adjustRightInd w:val="0"/>
        <w:ind w:left="0"/>
        <w:rPr>
          <w:bCs/>
          <w:sz w:val="20"/>
          <w:lang w:eastAsia="en-AU"/>
        </w:rPr>
      </w:pPr>
      <w:r>
        <w:rPr>
          <w:bCs/>
          <w:sz w:val="20"/>
          <w:lang w:eastAsia="en-AU"/>
        </w:rPr>
        <w:t xml:space="preserve">The Licensee further submitted that it was lawful for the Man to record the incident and to post the footage online. </w:t>
      </w:r>
      <w:r w:rsidR="009C22BA">
        <w:rPr>
          <w:bCs/>
          <w:sz w:val="20"/>
          <w:lang w:eastAsia="en-AU"/>
        </w:rPr>
        <w:t xml:space="preserve">The ACMA </w:t>
      </w:r>
      <w:r w:rsidR="0044246F">
        <w:rPr>
          <w:bCs/>
          <w:sz w:val="20"/>
          <w:lang w:eastAsia="en-AU"/>
        </w:rPr>
        <w:t xml:space="preserve">makes no comment about </w:t>
      </w:r>
      <w:r w:rsidR="009C22BA">
        <w:rPr>
          <w:bCs/>
          <w:sz w:val="20"/>
          <w:lang w:eastAsia="en-AU"/>
        </w:rPr>
        <w:t xml:space="preserve">the actions of the Man in relation to </w:t>
      </w:r>
      <w:r w:rsidR="0044246F">
        <w:rPr>
          <w:bCs/>
          <w:sz w:val="20"/>
          <w:lang w:eastAsia="en-AU"/>
        </w:rPr>
        <w:t xml:space="preserve">posting </w:t>
      </w:r>
      <w:r w:rsidR="009C22BA">
        <w:rPr>
          <w:bCs/>
          <w:sz w:val="20"/>
          <w:lang w:eastAsia="en-AU"/>
        </w:rPr>
        <w:t xml:space="preserve">the video footage </w:t>
      </w:r>
      <w:r w:rsidR="0044246F">
        <w:rPr>
          <w:bCs/>
          <w:sz w:val="20"/>
          <w:lang w:eastAsia="en-AU"/>
        </w:rPr>
        <w:t>on</w:t>
      </w:r>
      <w:r w:rsidR="00500666">
        <w:rPr>
          <w:bCs/>
          <w:sz w:val="20"/>
          <w:lang w:eastAsia="en-AU"/>
        </w:rPr>
        <w:t>line</w:t>
      </w:r>
      <w:r w:rsidR="00437DFC">
        <w:rPr>
          <w:bCs/>
          <w:sz w:val="20"/>
          <w:lang w:eastAsia="en-AU"/>
        </w:rPr>
        <w:t xml:space="preserve"> </w:t>
      </w:r>
      <w:r w:rsidR="009C22BA">
        <w:rPr>
          <w:bCs/>
          <w:sz w:val="20"/>
          <w:lang w:eastAsia="en-AU"/>
        </w:rPr>
        <w:t xml:space="preserve">because </w:t>
      </w:r>
      <w:r w:rsidR="0044246F">
        <w:rPr>
          <w:bCs/>
          <w:sz w:val="20"/>
          <w:lang w:eastAsia="en-AU"/>
        </w:rPr>
        <w:t>it i</w:t>
      </w:r>
      <w:r w:rsidR="009C22BA">
        <w:rPr>
          <w:bCs/>
          <w:sz w:val="20"/>
          <w:lang w:eastAsia="en-AU"/>
        </w:rPr>
        <w:t>s not relevant to assessing whether the Licensee obtained the consent of the Neighbour to broadcast the footage.</w:t>
      </w:r>
    </w:p>
    <w:p w14:paraId="2F217FB2" w14:textId="3308381C" w:rsidR="0097259A" w:rsidRDefault="0097259A" w:rsidP="0097259A">
      <w:pPr>
        <w:pStyle w:val="ACMAQuoteindented"/>
        <w:autoSpaceDE w:val="0"/>
        <w:autoSpaceDN w:val="0"/>
        <w:adjustRightInd w:val="0"/>
        <w:ind w:left="0"/>
        <w:rPr>
          <w:b/>
          <w:sz w:val="20"/>
          <w:lang w:eastAsia="en-AU"/>
        </w:rPr>
      </w:pPr>
      <w:r w:rsidRPr="0097259A">
        <w:rPr>
          <w:b/>
          <w:sz w:val="20"/>
          <w:lang w:eastAsia="en-AU"/>
        </w:rPr>
        <w:lastRenderedPageBreak/>
        <w:t>Was the broadcast material available in the public domain?</w:t>
      </w:r>
    </w:p>
    <w:p w14:paraId="14AFC29A" w14:textId="751EF64F" w:rsidR="00AE401B" w:rsidRDefault="006F4CCD" w:rsidP="006F4CCD">
      <w:pPr>
        <w:pStyle w:val="ACMAQuoteindented"/>
        <w:autoSpaceDE w:val="0"/>
        <w:autoSpaceDN w:val="0"/>
        <w:adjustRightInd w:val="0"/>
        <w:ind w:left="0"/>
        <w:rPr>
          <w:bCs/>
          <w:sz w:val="20"/>
          <w:lang w:eastAsia="en-AU"/>
        </w:rPr>
      </w:pPr>
      <w:r>
        <w:rPr>
          <w:bCs/>
          <w:sz w:val="20"/>
          <w:lang w:eastAsia="en-AU"/>
        </w:rPr>
        <w:t xml:space="preserve">The Licensee submitted that the broadcast material </w:t>
      </w:r>
      <w:r w:rsidR="00AE401B">
        <w:rPr>
          <w:bCs/>
          <w:sz w:val="20"/>
          <w:lang w:eastAsia="en-AU"/>
        </w:rPr>
        <w:t xml:space="preserve">should not be regarded as </w:t>
      </w:r>
      <w:r>
        <w:rPr>
          <w:bCs/>
          <w:sz w:val="20"/>
          <w:lang w:eastAsia="en-AU"/>
        </w:rPr>
        <w:t>relating to the Neighbour</w:t>
      </w:r>
      <w:r w:rsidR="00AE401B">
        <w:rPr>
          <w:bCs/>
          <w:sz w:val="20"/>
          <w:lang w:eastAsia="en-AU"/>
        </w:rPr>
        <w:t>’s personal or private affairs because it</w:t>
      </w:r>
      <w:r>
        <w:rPr>
          <w:bCs/>
          <w:sz w:val="20"/>
          <w:lang w:eastAsia="en-AU"/>
        </w:rPr>
        <w:t xml:space="preserve"> was available in the public domain as the Man had published the footage of the incident online and had attracted a large global audience</w:t>
      </w:r>
      <w:r w:rsidR="009E13C1">
        <w:rPr>
          <w:bCs/>
          <w:sz w:val="20"/>
          <w:lang w:eastAsia="en-AU"/>
        </w:rPr>
        <w:t>:</w:t>
      </w:r>
      <w:r>
        <w:rPr>
          <w:bCs/>
          <w:sz w:val="20"/>
          <w:lang w:eastAsia="en-AU"/>
        </w:rPr>
        <w:t xml:space="preserve"> </w:t>
      </w:r>
    </w:p>
    <w:p w14:paraId="48B865F5" w14:textId="77777777" w:rsidR="006720FF" w:rsidRPr="00F822D1" w:rsidRDefault="006720FF" w:rsidP="006720FF">
      <w:pPr>
        <w:pStyle w:val="ACMABodyText"/>
        <w:ind w:left="720"/>
        <w:rPr>
          <w:bCs/>
          <w:iCs/>
          <w:sz w:val="18"/>
          <w:szCs w:val="18"/>
        </w:rPr>
      </w:pPr>
      <w:r w:rsidRPr="00F822D1">
        <w:rPr>
          <w:bCs/>
          <w:iCs/>
          <w:sz w:val="18"/>
          <w:szCs w:val="18"/>
        </w:rPr>
        <w:t>Both [the Man] and [the Neighbour] are clearly identifiable in the Viral Video. On that basis, Nine maintains the material included in the Report is clearly not private, in that it is not material relating to either [the Man’s] or [the Neighbour’s] personal or private affairs nor an invasion of [either of their] privacy.</w:t>
      </w:r>
    </w:p>
    <w:p w14:paraId="652C3687" w14:textId="2144D01A" w:rsidR="006720FF" w:rsidRDefault="006720FF" w:rsidP="006720FF">
      <w:pPr>
        <w:pStyle w:val="ACMAQuoteindented"/>
        <w:autoSpaceDE w:val="0"/>
        <w:autoSpaceDN w:val="0"/>
        <w:adjustRightInd w:val="0"/>
        <w:ind w:left="0"/>
        <w:rPr>
          <w:sz w:val="20"/>
          <w:lang w:eastAsia="en-AU"/>
        </w:rPr>
      </w:pPr>
      <w:r w:rsidRPr="00AE401B">
        <w:rPr>
          <w:sz w:val="20"/>
          <w:lang w:eastAsia="en-AU"/>
        </w:rPr>
        <w:t xml:space="preserve">The ACMA accepts that the Online </w:t>
      </w:r>
      <w:r w:rsidRPr="00AE401B">
        <w:rPr>
          <w:bCs/>
          <w:sz w:val="20"/>
          <w:lang w:eastAsia="en-AU"/>
        </w:rPr>
        <w:t>Video</w:t>
      </w:r>
      <w:r w:rsidRPr="00AE401B">
        <w:rPr>
          <w:sz w:val="20"/>
          <w:lang w:eastAsia="en-AU"/>
        </w:rPr>
        <w:t xml:space="preserve"> published by the Man was material that was available in the public domain</w:t>
      </w:r>
      <w:r w:rsidR="001329E3">
        <w:rPr>
          <w:sz w:val="20"/>
          <w:lang w:eastAsia="en-AU"/>
        </w:rPr>
        <w:t xml:space="preserve"> at the time of the broadcast.</w:t>
      </w:r>
    </w:p>
    <w:p w14:paraId="6C34C0AB" w14:textId="77777777" w:rsidR="006720FF" w:rsidRDefault="006720FF" w:rsidP="006720FF">
      <w:pPr>
        <w:pStyle w:val="ACMAQuoteindented"/>
        <w:autoSpaceDE w:val="0"/>
        <w:autoSpaceDN w:val="0"/>
        <w:adjustRightInd w:val="0"/>
        <w:ind w:left="0"/>
        <w:rPr>
          <w:bCs/>
          <w:sz w:val="20"/>
          <w:lang w:eastAsia="en-AU"/>
        </w:rPr>
      </w:pPr>
      <w:r>
        <w:rPr>
          <w:bCs/>
          <w:sz w:val="20"/>
          <w:lang w:eastAsia="en-AU"/>
        </w:rPr>
        <w:t>The Code includes the following Note:</w:t>
      </w:r>
    </w:p>
    <w:p w14:paraId="3ED041FA" w14:textId="77777777" w:rsidR="006720FF" w:rsidRPr="00510A07" w:rsidRDefault="006720FF" w:rsidP="006720FF">
      <w:pPr>
        <w:pStyle w:val="ACMAQuoteindented"/>
        <w:autoSpaceDE w:val="0"/>
        <w:autoSpaceDN w:val="0"/>
        <w:adjustRightInd w:val="0"/>
        <w:ind w:left="720"/>
        <w:rPr>
          <w:bCs/>
          <w:iCs/>
          <w:sz w:val="20"/>
          <w:lang w:eastAsia="en-AU"/>
        </w:rPr>
      </w:pPr>
      <w:r w:rsidRPr="00510A07">
        <w:rPr>
          <w:iCs/>
        </w:rPr>
        <w:t>The broadcast of material that is publicly available or recorded in a public place will generally not be material relating to a person’s personal or private affairs or an invasion of privacy.</w:t>
      </w:r>
    </w:p>
    <w:p w14:paraId="567FF65A" w14:textId="3FDC2E75" w:rsidR="006720FF" w:rsidDel="007B76DE" w:rsidRDefault="006720FF" w:rsidP="006720FF">
      <w:pPr>
        <w:pStyle w:val="ACMAQuoteindented"/>
        <w:autoSpaceDE w:val="0"/>
        <w:autoSpaceDN w:val="0"/>
        <w:adjustRightInd w:val="0"/>
        <w:ind w:left="0"/>
        <w:rPr>
          <w:bCs/>
          <w:sz w:val="20"/>
          <w:lang w:eastAsia="en-AU"/>
        </w:rPr>
      </w:pPr>
      <w:r w:rsidRPr="00295F51">
        <w:rPr>
          <w:bCs/>
          <w:iCs/>
          <w:sz w:val="20"/>
          <w:lang w:eastAsia="en-AU"/>
        </w:rPr>
        <w:t>The</w:t>
      </w:r>
      <w:r w:rsidRPr="00295F51">
        <w:rPr>
          <w:bCs/>
          <w:sz w:val="20"/>
          <w:lang w:eastAsia="en-AU"/>
        </w:rPr>
        <w:t xml:space="preserve"> Guidelines </w:t>
      </w:r>
      <w:r w:rsidRPr="00295F51">
        <w:rPr>
          <w:bCs/>
          <w:iCs/>
          <w:sz w:val="20"/>
          <w:lang w:eastAsia="en-AU"/>
        </w:rPr>
        <w:t>acknowledge that broadcasting material obtained from online or social media sites, where there are no access restrictions, may not be an invasion of privacy,</w:t>
      </w:r>
      <w:r>
        <w:rPr>
          <w:bCs/>
          <w:iCs/>
          <w:sz w:val="20"/>
          <w:lang w:eastAsia="en-AU"/>
        </w:rPr>
        <w:t xml:space="preserve"> </w:t>
      </w:r>
      <w:r w:rsidR="0087653A">
        <w:rPr>
          <w:bCs/>
          <w:sz w:val="20"/>
          <w:lang w:eastAsia="en-AU"/>
        </w:rPr>
        <w:t>h</w:t>
      </w:r>
      <w:r>
        <w:rPr>
          <w:bCs/>
          <w:sz w:val="20"/>
          <w:lang w:eastAsia="en-AU"/>
        </w:rPr>
        <w:t xml:space="preserve">owever, the </w:t>
      </w:r>
      <w:r w:rsidR="002B1724">
        <w:rPr>
          <w:bCs/>
          <w:sz w:val="20"/>
          <w:lang w:eastAsia="en-AU"/>
        </w:rPr>
        <w:t xml:space="preserve">Note </w:t>
      </w:r>
      <w:r>
        <w:rPr>
          <w:bCs/>
          <w:sz w:val="20"/>
          <w:lang w:eastAsia="en-AU"/>
        </w:rPr>
        <w:t xml:space="preserve">does not </w:t>
      </w:r>
      <w:r w:rsidRPr="006F4AB6">
        <w:rPr>
          <w:bCs/>
          <w:sz w:val="20"/>
          <w:lang w:eastAsia="en-AU"/>
        </w:rPr>
        <w:t xml:space="preserve">provide a blanket exemption to the privacy obligations under the Code or allow material to be broadcast merely because it is already in the public </w:t>
      </w:r>
      <w:r>
        <w:rPr>
          <w:bCs/>
          <w:sz w:val="20"/>
          <w:lang w:eastAsia="en-AU"/>
        </w:rPr>
        <w:t xml:space="preserve">domain. The ACMA </w:t>
      </w:r>
      <w:r w:rsidDel="007B76DE">
        <w:rPr>
          <w:bCs/>
          <w:sz w:val="20"/>
          <w:lang w:eastAsia="en-AU"/>
        </w:rPr>
        <w:t xml:space="preserve">considers the </w:t>
      </w:r>
      <w:r>
        <w:rPr>
          <w:bCs/>
          <w:sz w:val="20"/>
          <w:lang w:eastAsia="en-AU"/>
        </w:rPr>
        <w:t>nature</w:t>
      </w:r>
      <w:r w:rsidDel="007B76DE">
        <w:rPr>
          <w:bCs/>
          <w:sz w:val="20"/>
          <w:lang w:eastAsia="en-AU"/>
        </w:rPr>
        <w:t xml:space="preserve"> of the material and the context in which it became publicly available in determining whether broadcast material should be regarded as relating to a person’s personal or private affairs.</w:t>
      </w:r>
      <w:r w:rsidDel="007B76DE">
        <w:rPr>
          <w:rStyle w:val="FootnoteReference"/>
          <w:bCs/>
          <w:sz w:val="20"/>
          <w:lang w:eastAsia="en-AU"/>
        </w:rPr>
        <w:footnoteReference w:id="5"/>
      </w:r>
    </w:p>
    <w:p w14:paraId="061AAF12" w14:textId="33C5ACB1" w:rsidR="006720FF" w:rsidRPr="002D5C6F" w:rsidRDefault="006720FF" w:rsidP="006720FF">
      <w:pPr>
        <w:autoSpaceDE w:val="0"/>
        <w:autoSpaceDN w:val="0"/>
        <w:adjustRightInd w:val="0"/>
        <w:spacing w:after="0" w:line="240" w:lineRule="auto"/>
        <w:rPr>
          <w:rFonts w:cs="Arial"/>
          <w:bCs/>
          <w:szCs w:val="20"/>
          <w:lang w:eastAsia="en-AU"/>
        </w:rPr>
      </w:pPr>
      <w:r>
        <w:rPr>
          <w:rFonts w:cs="Arial"/>
          <w:bCs/>
          <w:i w:val="0"/>
          <w:iCs/>
          <w:snapToGrid w:val="0"/>
          <w:szCs w:val="20"/>
          <w:lang w:eastAsia="en-AU"/>
        </w:rPr>
        <w:t>Relevantly, the</w:t>
      </w:r>
      <w:r>
        <w:rPr>
          <w:rFonts w:cs="Arial"/>
          <w:bCs/>
          <w:i w:val="0"/>
          <w:snapToGrid w:val="0"/>
          <w:szCs w:val="20"/>
          <w:lang w:eastAsia="en-AU"/>
        </w:rPr>
        <w:t xml:space="preserve"> Guidelines </w:t>
      </w:r>
      <w:r>
        <w:rPr>
          <w:rFonts w:cs="Arial"/>
          <w:bCs/>
          <w:i w:val="0"/>
          <w:iCs/>
          <w:snapToGrid w:val="0"/>
          <w:szCs w:val="20"/>
          <w:lang w:eastAsia="en-AU"/>
        </w:rPr>
        <w:t xml:space="preserve">acknowledge that </w:t>
      </w:r>
      <w:r>
        <w:rPr>
          <w:bCs/>
          <w:i w:val="0"/>
          <w:iCs/>
          <w:lang w:eastAsia="en-AU"/>
        </w:rPr>
        <w:t>b</w:t>
      </w:r>
      <w:r w:rsidRPr="002D5C6F">
        <w:rPr>
          <w:bCs/>
          <w:i w:val="0"/>
          <w:iCs/>
          <w:lang w:eastAsia="en-AU"/>
        </w:rPr>
        <w:t>roadcasting material obtained from online or social media sites</w:t>
      </w:r>
      <w:r>
        <w:rPr>
          <w:bCs/>
          <w:i w:val="0"/>
          <w:iCs/>
          <w:lang w:eastAsia="en-AU"/>
        </w:rPr>
        <w:t>,</w:t>
      </w:r>
      <w:r w:rsidRPr="002D5C6F">
        <w:rPr>
          <w:bCs/>
          <w:i w:val="0"/>
          <w:iCs/>
          <w:lang w:eastAsia="en-AU"/>
        </w:rPr>
        <w:t xml:space="preserve"> where there are no access restrictions</w:t>
      </w:r>
      <w:r>
        <w:rPr>
          <w:bCs/>
          <w:i w:val="0"/>
          <w:iCs/>
          <w:lang w:eastAsia="en-AU"/>
        </w:rPr>
        <w:t>,</w:t>
      </w:r>
      <w:r w:rsidRPr="002D5C6F">
        <w:rPr>
          <w:bCs/>
          <w:i w:val="0"/>
          <w:iCs/>
          <w:lang w:eastAsia="en-AU"/>
        </w:rPr>
        <w:t xml:space="preserve"> may not be an invasion of privacy</w:t>
      </w:r>
      <w:r>
        <w:rPr>
          <w:bCs/>
          <w:i w:val="0"/>
          <w:iCs/>
          <w:lang w:eastAsia="en-AU"/>
        </w:rPr>
        <w:t xml:space="preserve">, although </w:t>
      </w:r>
      <w:r w:rsidRPr="002D5C6F">
        <w:rPr>
          <w:bCs/>
          <w:i w:val="0"/>
          <w:iCs/>
          <w:lang w:eastAsia="en-AU"/>
        </w:rPr>
        <w:t xml:space="preserve">the following </w:t>
      </w:r>
      <w:r w:rsidR="00DE5646">
        <w:rPr>
          <w:bCs/>
          <w:i w:val="0"/>
          <w:iCs/>
          <w:lang w:eastAsia="en-AU"/>
        </w:rPr>
        <w:t>s</w:t>
      </w:r>
      <w:r w:rsidR="00926AB1">
        <w:rPr>
          <w:bCs/>
          <w:i w:val="0"/>
          <w:iCs/>
          <w:lang w:eastAsia="en-AU"/>
        </w:rPr>
        <w:t>ho</w:t>
      </w:r>
      <w:r w:rsidR="00DE5646">
        <w:rPr>
          <w:bCs/>
          <w:i w:val="0"/>
          <w:iCs/>
          <w:lang w:eastAsia="en-AU"/>
        </w:rPr>
        <w:t>uld be considered</w:t>
      </w:r>
      <w:r w:rsidRPr="002D5C6F">
        <w:rPr>
          <w:bCs/>
          <w:i w:val="0"/>
          <w:iCs/>
          <w:lang w:eastAsia="en-AU"/>
        </w:rPr>
        <w:t xml:space="preserve">: </w:t>
      </w:r>
    </w:p>
    <w:p w14:paraId="48BAE6E2" w14:textId="77777777" w:rsidR="006720FF" w:rsidRDefault="006720FF" w:rsidP="006720FF">
      <w:pPr>
        <w:pStyle w:val="Default"/>
        <w:spacing w:after="240"/>
        <w:ind w:left="720"/>
        <w:rPr>
          <w:color w:val="212121"/>
          <w:sz w:val="18"/>
          <w:szCs w:val="18"/>
        </w:rPr>
      </w:pPr>
    </w:p>
    <w:p w14:paraId="45383F6C" w14:textId="77777777" w:rsidR="006720FF" w:rsidRDefault="006720FF" w:rsidP="006720FF">
      <w:pPr>
        <w:pStyle w:val="Default"/>
        <w:spacing w:after="240"/>
        <w:ind w:left="720"/>
        <w:rPr>
          <w:bCs/>
          <w:sz w:val="20"/>
        </w:rPr>
      </w:pPr>
      <w:r w:rsidRPr="00D36F90">
        <w:rPr>
          <w:color w:val="212121"/>
          <w:sz w:val="18"/>
          <w:szCs w:val="18"/>
        </w:rPr>
        <w:t>The relevant content may be of a nature that indicates it has been put in the public domain without the affected person’s knowledge or consent—for example, material that is inherently offensive and appears to have been uploaded by someone other than the affected person.</w:t>
      </w:r>
      <w:r w:rsidRPr="00D36F90" w:rsidDel="007B76DE">
        <w:rPr>
          <w:rStyle w:val="FootnoteReference"/>
          <w:bCs/>
          <w:sz w:val="20"/>
        </w:rPr>
        <w:t xml:space="preserve"> </w:t>
      </w:r>
      <w:r w:rsidDel="007B76DE">
        <w:rPr>
          <w:rStyle w:val="FootnoteReference"/>
          <w:bCs/>
          <w:sz w:val="20"/>
        </w:rPr>
        <w:footnoteReference w:id="6"/>
      </w:r>
    </w:p>
    <w:p w14:paraId="2C3FF1D5" w14:textId="0EA511E2" w:rsidR="001C5744" w:rsidRDefault="001C5744" w:rsidP="001C5744">
      <w:pPr>
        <w:pStyle w:val="ACMAQuoteindented"/>
        <w:autoSpaceDE w:val="0"/>
        <w:autoSpaceDN w:val="0"/>
        <w:adjustRightInd w:val="0"/>
        <w:ind w:left="0"/>
        <w:rPr>
          <w:bCs/>
          <w:sz w:val="20"/>
          <w:lang w:eastAsia="en-AU"/>
        </w:rPr>
      </w:pPr>
      <w:r>
        <w:rPr>
          <w:bCs/>
          <w:sz w:val="20"/>
          <w:lang w:eastAsia="en-AU"/>
        </w:rPr>
        <w:t>The Licensee made a further submission that the Note should take precedence over the information in the Guidelines because the Guidelines expressly state that they are purely for assistance and do not alter the Code. The ACMA agrees that the Guidelines are purely for assistance, but considers that notes in the Code are also</w:t>
      </w:r>
      <w:r w:rsidR="00ED021F">
        <w:rPr>
          <w:bCs/>
          <w:sz w:val="20"/>
          <w:lang w:eastAsia="en-AU"/>
        </w:rPr>
        <w:t xml:space="preserve"> </w:t>
      </w:r>
      <w:r w:rsidR="00862217">
        <w:rPr>
          <w:bCs/>
          <w:sz w:val="20"/>
          <w:lang w:eastAsia="en-AU"/>
        </w:rPr>
        <w:t>only</w:t>
      </w:r>
      <w:r>
        <w:rPr>
          <w:bCs/>
          <w:sz w:val="20"/>
          <w:lang w:eastAsia="en-AU"/>
        </w:rPr>
        <w:t xml:space="preserve"> intended to provide guidance in interpreting a relevant clause.</w:t>
      </w:r>
    </w:p>
    <w:p w14:paraId="293EB269" w14:textId="6171E742" w:rsidR="00B10664" w:rsidRDefault="007A0304" w:rsidP="006F4CCD">
      <w:pPr>
        <w:pStyle w:val="ACMAQuoteindented"/>
        <w:autoSpaceDE w:val="0"/>
        <w:autoSpaceDN w:val="0"/>
        <w:adjustRightInd w:val="0"/>
        <w:ind w:left="0"/>
        <w:rPr>
          <w:bCs/>
          <w:sz w:val="20"/>
          <w:lang w:eastAsia="en-AU"/>
        </w:rPr>
      </w:pPr>
      <w:r>
        <w:rPr>
          <w:bCs/>
          <w:sz w:val="20"/>
          <w:lang w:eastAsia="en-AU"/>
        </w:rPr>
        <w:t>There appears to be no indication in the Online Video</w:t>
      </w:r>
      <w:r w:rsidR="00BF3760">
        <w:rPr>
          <w:bCs/>
          <w:sz w:val="20"/>
          <w:lang w:eastAsia="en-AU"/>
        </w:rPr>
        <w:t>,</w:t>
      </w:r>
      <w:r>
        <w:rPr>
          <w:bCs/>
          <w:sz w:val="20"/>
          <w:lang w:eastAsia="en-AU"/>
        </w:rPr>
        <w:t xml:space="preserve"> and the Licensee has made no submission, that the Neighbour gave his</w:t>
      </w:r>
      <w:r w:rsidR="006B4691">
        <w:rPr>
          <w:bCs/>
          <w:sz w:val="20"/>
          <w:lang w:eastAsia="en-AU"/>
        </w:rPr>
        <w:t xml:space="preserve"> </w:t>
      </w:r>
      <w:r w:rsidR="006057AC">
        <w:rPr>
          <w:bCs/>
          <w:sz w:val="20"/>
          <w:lang w:eastAsia="en-AU"/>
        </w:rPr>
        <w:t xml:space="preserve">express </w:t>
      </w:r>
      <w:r>
        <w:rPr>
          <w:bCs/>
          <w:sz w:val="20"/>
          <w:lang w:eastAsia="en-AU"/>
        </w:rPr>
        <w:t xml:space="preserve">permission for the Online Video to be uploaded by the Man. As outlined above, the ACMA does not accept the Licensee’s submission that the Neighbour gave implied consent to the publication of the </w:t>
      </w:r>
      <w:r w:rsidR="00BF3760">
        <w:rPr>
          <w:bCs/>
          <w:sz w:val="20"/>
          <w:lang w:eastAsia="en-AU"/>
        </w:rPr>
        <w:t>Online Video</w:t>
      </w:r>
      <w:r>
        <w:rPr>
          <w:bCs/>
          <w:sz w:val="20"/>
          <w:lang w:eastAsia="en-AU"/>
        </w:rPr>
        <w:t>.</w:t>
      </w:r>
    </w:p>
    <w:p w14:paraId="6FFF5CDA" w14:textId="7CEF1EC9" w:rsidR="005B1C02" w:rsidRDefault="006F4CCD" w:rsidP="006F4CCD">
      <w:pPr>
        <w:pStyle w:val="ACMAQuoteindented"/>
        <w:autoSpaceDE w:val="0"/>
        <w:autoSpaceDN w:val="0"/>
        <w:adjustRightInd w:val="0"/>
        <w:ind w:left="0"/>
        <w:rPr>
          <w:bCs/>
          <w:sz w:val="20"/>
          <w:lang w:eastAsia="en-AU"/>
        </w:rPr>
      </w:pPr>
      <w:r>
        <w:rPr>
          <w:bCs/>
          <w:sz w:val="20"/>
          <w:lang w:eastAsia="en-AU"/>
        </w:rPr>
        <w:lastRenderedPageBreak/>
        <w:t>The Licensee further submitted</w:t>
      </w:r>
      <w:r w:rsidR="002336D9">
        <w:rPr>
          <w:bCs/>
          <w:sz w:val="20"/>
          <w:lang w:eastAsia="en-AU"/>
        </w:rPr>
        <w:t xml:space="preserve"> that </w:t>
      </w:r>
      <w:r w:rsidR="009F234B">
        <w:rPr>
          <w:bCs/>
          <w:sz w:val="20"/>
          <w:lang w:eastAsia="en-AU"/>
        </w:rPr>
        <w:t>the</w:t>
      </w:r>
      <w:r w:rsidR="009B6D63">
        <w:rPr>
          <w:bCs/>
          <w:sz w:val="20"/>
          <w:lang w:eastAsia="en-AU"/>
        </w:rPr>
        <w:t xml:space="preserve"> </w:t>
      </w:r>
      <w:r w:rsidR="00037A6A">
        <w:rPr>
          <w:bCs/>
          <w:sz w:val="20"/>
          <w:lang w:eastAsia="en-AU"/>
        </w:rPr>
        <w:t>context</w:t>
      </w:r>
      <w:r w:rsidR="009B6D63">
        <w:rPr>
          <w:bCs/>
          <w:sz w:val="20"/>
          <w:lang w:eastAsia="en-AU"/>
        </w:rPr>
        <w:t xml:space="preserve"> of the incident involving </w:t>
      </w:r>
      <w:r w:rsidR="009F234B">
        <w:rPr>
          <w:bCs/>
          <w:sz w:val="20"/>
          <w:lang w:eastAsia="en-AU"/>
        </w:rPr>
        <w:t>the Neighbour</w:t>
      </w:r>
      <w:r w:rsidR="009B6D63">
        <w:rPr>
          <w:bCs/>
          <w:sz w:val="20"/>
          <w:lang w:eastAsia="en-AU"/>
        </w:rPr>
        <w:t xml:space="preserve"> and the Man made it</w:t>
      </w:r>
      <w:r w:rsidR="005B1C02">
        <w:rPr>
          <w:bCs/>
          <w:sz w:val="20"/>
          <w:lang w:eastAsia="en-AU"/>
        </w:rPr>
        <w:t xml:space="preserve"> lawful for the Man to record the incident and to post the footage online without the consent of the Neighbour</w:t>
      </w:r>
      <w:r w:rsidR="002B1724">
        <w:rPr>
          <w:bCs/>
          <w:sz w:val="20"/>
          <w:lang w:eastAsia="en-AU"/>
        </w:rPr>
        <w:t>:</w:t>
      </w:r>
    </w:p>
    <w:p w14:paraId="14686A32" w14:textId="75F5B54B" w:rsidR="005B1C02" w:rsidRDefault="005B1C02" w:rsidP="005B1C02">
      <w:pPr>
        <w:pStyle w:val="ACMAQuoteindented"/>
        <w:autoSpaceDE w:val="0"/>
        <w:autoSpaceDN w:val="0"/>
        <w:adjustRightInd w:val="0"/>
        <w:ind w:left="720"/>
      </w:pPr>
      <w:r>
        <w:t>[The Man]</w:t>
      </w:r>
      <w:r w:rsidRPr="00E2338E">
        <w:t xml:space="preserve"> did not require </w:t>
      </w:r>
      <w:r>
        <w:t>[the Neighbour’s]</w:t>
      </w:r>
      <w:r w:rsidRPr="00E2338E">
        <w:t xml:space="preserve"> consent to publish the footage online – there is no law nor regulation that requires it. By virtue of </w:t>
      </w:r>
      <w:r>
        <w:t>[the Man’s]</w:t>
      </w:r>
      <w:r w:rsidRPr="00E2338E">
        <w:t xml:space="preserve"> actions, the footage became (very) public.</w:t>
      </w:r>
    </w:p>
    <w:p w14:paraId="6E38E2CC" w14:textId="03BC175D" w:rsidR="005B1C02" w:rsidRDefault="005B1C02" w:rsidP="005B1C02">
      <w:pPr>
        <w:pStyle w:val="ACMAQuoteindented"/>
        <w:autoSpaceDE w:val="0"/>
        <w:autoSpaceDN w:val="0"/>
        <w:adjustRightInd w:val="0"/>
        <w:ind w:left="720"/>
      </w:pPr>
      <w:r>
        <w:t>[…]</w:t>
      </w:r>
    </w:p>
    <w:p w14:paraId="6BB15C46" w14:textId="0FE841F1" w:rsidR="006F4CCD" w:rsidRDefault="00B058B3" w:rsidP="005B1C02">
      <w:pPr>
        <w:pStyle w:val="ACMAQuoteindented"/>
        <w:autoSpaceDE w:val="0"/>
        <w:autoSpaceDN w:val="0"/>
        <w:adjustRightInd w:val="0"/>
        <w:ind w:left="720"/>
        <w:rPr>
          <w:bCs/>
          <w:sz w:val="20"/>
          <w:lang w:eastAsia="en-AU"/>
        </w:rPr>
      </w:pPr>
      <w:r>
        <w:rPr>
          <w:iCs/>
        </w:rPr>
        <w:t xml:space="preserve">In these circumstances </w:t>
      </w:r>
      <w:r w:rsidR="006F4CCD" w:rsidRPr="00E2338E">
        <w:rPr>
          <w:iCs/>
        </w:rPr>
        <w:t>the footage</w:t>
      </w:r>
      <w:r w:rsidR="006F4CCD" w:rsidRPr="00E2338E">
        <w:rPr>
          <w:iCs/>
          <w:spacing w:val="-4"/>
        </w:rPr>
        <w:t xml:space="preserve"> </w:t>
      </w:r>
      <w:r w:rsidR="006F4CCD" w:rsidRPr="00E2338E">
        <w:rPr>
          <w:iCs/>
        </w:rPr>
        <w:t>itself</w:t>
      </w:r>
      <w:r w:rsidR="006F4CCD" w:rsidRPr="00E2338E">
        <w:rPr>
          <w:iCs/>
          <w:spacing w:val="-3"/>
        </w:rPr>
        <w:t xml:space="preserve"> </w:t>
      </w:r>
      <w:r w:rsidR="006F4CCD" w:rsidRPr="00E2338E">
        <w:rPr>
          <w:iCs/>
        </w:rPr>
        <w:t>as</w:t>
      </w:r>
      <w:r w:rsidR="006F4CCD" w:rsidRPr="00E2338E">
        <w:rPr>
          <w:iCs/>
          <w:spacing w:val="-1"/>
        </w:rPr>
        <w:t xml:space="preserve"> </w:t>
      </w:r>
      <w:r w:rsidR="006F4CCD" w:rsidRPr="00E2338E">
        <w:rPr>
          <w:iCs/>
        </w:rPr>
        <w:t>well</w:t>
      </w:r>
      <w:r w:rsidR="006F4CCD" w:rsidRPr="00E2338E">
        <w:rPr>
          <w:iCs/>
          <w:spacing w:val="-2"/>
        </w:rPr>
        <w:t xml:space="preserve"> </w:t>
      </w:r>
      <w:r w:rsidR="006F4CCD" w:rsidRPr="00E2338E">
        <w:rPr>
          <w:iCs/>
        </w:rPr>
        <w:t>as</w:t>
      </w:r>
      <w:r w:rsidR="006F4CCD" w:rsidRPr="00E2338E">
        <w:rPr>
          <w:iCs/>
          <w:spacing w:val="-2"/>
        </w:rPr>
        <w:t xml:space="preserve"> </w:t>
      </w:r>
      <w:r w:rsidR="006F4CCD" w:rsidRPr="00E2338E">
        <w:rPr>
          <w:iCs/>
        </w:rPr>
        <w:t>the</w:t>
      </w:r>
      <w:r w:rsidR="006F4CCD" w:rsidRPr="00E2338E">
        <w:rPr>
          <w:iCs/>
          <w:spacing w:val="-3"/>
        </w:rPr>
        <w:t xml:space="preserve"> </w:t>
      </w:r>
      <w:r w:rsidR="006F4CCD" w:rsidRPr="00E2338E">
        <w:rPr>
          <w:iCs/>
        </w:rPr>
        <w:t>fact of</w:t>
      </w:r>
      <w:r w:rsidR="006F4CCD" w:rsidRPr="00E2338E">
        <w:rPr>
          <w:iCs/>
          <w:spacing w:val="-4"/>
        </w:rPr>
        <w:t xml:space="preserve"> </w:t>
      </w:r>
      <w:r w:rsidR="006F4CCD" w:rsidRPr="00E2338E">
        <w:rPr>
          <w:iCs/>
        </w:rPr>
        <w:t>the</w:t>
      </w:r>
      <w:r w:rsidR="006F4CCD" w:rsidRPr="00E2338E">
        <w:rPr>
          <w:iCs/>
          <w:spacing w:val="-3"/>
        </w:rPr>
        <w:t xml:space="preserve"> </w:t>
      </w:r>
      <w:r w:rsidR="006F4CCD" w:rsidRPr="00E2338E">
        <w:rPr>
          <w:iCs/>
        </w:rPr>
        <w:t>dispute</w:t>
      </w:r>
      <w:r w:rsidR="006F4CCD" w:rsidRPr="00E2338E">
        <w:rPr>
          <w:iCs/>
          <w:spacing w:val="-3"/>
        </w:rPr>
        <w:t xml:space="preserve"> </w:t>
      </w:r>
      <w:r w:rsidR="006F4CCD" w:rsidRPr="00E2338E">
        <w:rPr>
          <w:iCs/>
        </w:rPr>
        <w:t>it</w:t>
      </w:r>
      <w:r w:rsidR="006F4CCD" w:rsidRPr="00E2338E">
        <w:rPr>
          <w:iCs/>
          <w:spacing w:val="-2"/>
        </w:rPr>
        <w:t xml:space="preserve"> </w:t>
      </w:r>
      <w:r w:rsidR="006F4CCD" w:rsidRPr="00E2338E">
        <w:rPr>
          <w:iCs/>
        </w:rPr>
        <w:t>depicts,</w:t>
      </w:r>
      <w:r w:rsidR="006F4CCD" w:rsidRPr="00E2338E">
        <w:rPr>
          <w:iCs/>
          <w:spacing w:val="-2"/>
        </w:rPr>
        <w:t xml:space="preserve"> </w:t>
      </w:r>
      <w:r w:rsidR="006F4CCD" w:rsidRPr="00E2338E">
        <w:rPr>
          <w:iCs/>
        </w:rPr>
        <w:t>and</w:t>
      </w:r>
      <w:r w:rsidR="006F4CCD" w:rsidRPr="00E2338E">
        <w:rPr>
          <w:iCs/>
          <w:spacing w:val="-4"/>
        </w:rPr>
        <w:t xml:space="preserve"> </w:t>
      </w:r>
      <w:r w:rsidR="006F4CCD" w:rsidRPr="00E2338E">
        <w:rPr>
          <w:iCs/>
        </w:rPr>
        <w:t>the</w:t>
      </w:r>
      <w:r w:rsidR="006F4CCD" w:rsidRPr="00E2338E">
        <w:rPr>
          <w:iCs/>
          <w:spacing w:val="-3"/>
        </w:rPr>
        <w:t xml:space="preserve"> </w:t>
      </w:r>
      <w:r w:rsidR="006F4CCD" w:rsidRPr="00E2338E">
        <w:rPr>
          <w:iCs/>
        </w:rPr>
        <w:t>identity</w:t>
      </w:r>
      <w:r w:rsidR="006F4CCD" w:rsidRPr="00E2338E">
        <w:rPr>
          <w:iCs/>
          <w:spacing w:val="-1"/>
        </w:rPr>
        <w:t xml:space="preserve"> </w:t>
      </w:r>
      <w:r w:rsidR="006F4CCD" w:rsidRPr="00E2338E">
        <w:rPr>
          <w:iCs/>
        </w:rPr>
        <w:t xml:space="preserve">of </w:t>
      </w:r>
      <w:r w:rsidR="006F4CCD">
        <w:rPr>
          <w:iCs/>
        </w:rPr>
        <w:t>[the Neighbour]</w:t>
      </w:r>
      <w:r w:rsidR="006F4CCD" w:rsidRPr="00E2338E">
        <w:rPr>
          <w:iCs/>
        </w:rPr>
        <w:t xml:space="preserve"> and the role he played, are publicly available and can no longer be considered private or personal matters.</w:t>
      </w:r>
    </w:p>
    <w:p w14:paraId="530577FE" w14:textId="047BC4D4" w:rsidR="007826C2" w:rsidRDefault="007826C2" w:rsidP="00265AB1">
      <w:pPr>
        <w:pStyle w:val="ACMAQuoteindented"/>
        <w:autoSpaceDE w:val="0"/>
        <w:autoSpaceDN w:val="0"/>
        <w:adjustRightInd w:val="0"/>
        <w:ind w:left="0"/>
        <w:rPr>
          <w:bCs/>
          <w:sz w:val="20"/>
          <w:lang w:eastAsia="en-AU"/>
        </w:rPr>
      </w:pPr>
      <w:r>
        <w:rPr>
          <w:bCs/>
          <w:sz w:val="20"/>
          <w:lang w:eastAsia="en-AU"/>
        </w:rPr>
        <w:t xml:space="preserve">As outlined above, </w:t>
      </w:r>
      <w:r w:rsidR="00331DC9">
        <w:rPr>
          <w:bCs/>
          <w:sz w:val="20"/>
          <w:lang w:eastAsia="en-AU"/>
        </w:rPr>
        <w:t xml:space="preserve">the </w:t>
      </w:r>
      <w:r>
        <w:rPr>
          <w:bCs/>
          <w:sz w:val="20"/>
          <w:lang w:eastAsia="en-AU"/>
        </w:rPr>
        <w:t>ACMA makes no comment about the actions of the Man in relation to posting the video footage online.</w:t>
      </w:r>
      <w:r w:rsidR="00C1095F">
        <w:rPr>
          <w:bCs/>
          <w:sz w:val="20"/>
          <w:lang w:eastAsia="en-AU"/>
        </w:rPr>
        <w:t xml:space="preserve"> </w:t>
      </w:r>
      <w:r w:rsidR="00155B32">
        <w:rPr>
          <w:bCs/>
          <w:sz w:val="20"/>
          <w:lang w:eastAsia="en-AU"/>
        </w:rPr>
        <w:t xml:space="preserve">Whether or not </w:t>
      </w:r>
      <w:r>
        <w:rPr>
          <w:bCs/>
          <w:sz w:val="20"/>
          <w:lang w:eastAsia="en-AU"/>
        </w:rPr>
        <w:t>the Man</w:t>
      </w:r>
      <w:r w:rsidR="00155B32">
        <w:rPr>
          <w:bCs/>
          <w:sz w:val="20"/>
          <w:lang w:eastAsia="en-AU"/>
        </w:rPr>
        <w:t xml:space="preserve"> was legally entitled to post </w:t>
      </w:r>
      <w:r w:rsidR="00C1095F">
        <w:rPr>
          <w:bCs/>
          <w:sz w:val="20"/>
          <w:lang w:eastAsia="en-AU"/>
        </w:rPr>
        <w:t>the O</w:t>
      </w:r>
      <w:r>
        <w:rPr>
          <w:bCs/>
          <w:sz w:val="20"/>
          <w:lang w:eastAsia="en-AU"/>
        </w:rPr>
        <w:t>nline Video</w:t>
      </w:r>
      <w:r w:rsidR="00C1095F">
        <w:rPr>
          <w:bCs/>
          <w:sz w:val="20"/>
          <w:lang w:eastAsia="en-AU"/>
        </w:rPr>
        <w:t xml:space="preserve"> </w:t>
      </w:r>
      <w:r w:rsidR="00155B32">
        <w:rPr>
          <w:bCs/>
          <w:sz w:val="20"/>
          <w:lang w:eastAsia="en-AU"/>
        </w:rPr>
        <w:t xml:space="preserve">is separate to the issue </w:t>
      </w:r>
      <w:r w:rsidR="00331DC9">
        <w:rPr>
          <w:bCs/>
          <w:sz w:val="20"/>
          <w:lang w:eastAsia="en-AU"/>
        </w:rPr>
        <w:t xml:space="preserve">of whether the Licensee was permitted under the Code to broadcast the footage without the </w:t>
      </w:r>
      <w:r w:rsidR="007B1953">
        <w:rPr>
          <w:bCs/>
          <w:sz w:val="20"/>
          <w:lang w:eastAsia="en-AU"/>
        </w:rPr>
        <w:t>Neighbour</w:t>
      </w:r>
      <w:r w:rsidR="00331DC9">
        <w:rPr>
          <w:bCs/>
          <w:sz w:val="20"/>
          <w:lang w:eastAsia="en-AU"/>
        </w:rPr>
        <w:t>’s</w:t>
      </w:r>
      <w:r w:rsidR="007B1953">
        <w:rPr>
          <w:bCs/>
          <w:sz w:val="20"/>
          <w:lang w:eastAsia="en-AU"/>
        </w:rPr>
        <w:t xml:space="preserve"> consent</w:t>
      </w:r>
      <w:r w:rsidR="00A1664A">
        <w:rPr>
          <w:bCs/>
          <w:sz w:val="20"/>
          <w:lang w:eastAsia="en-AU"/>
        </w:rPr>
        <w:t>.</w:t>
      </w:r>
      <w:r w:rsidR="00155B32" w:rsidRPr="006057AC">
        <w:rPr>
          <w:bCs/>
          <w:strike/>
          <w:sz w:val="20"/>
          <w:lang w:eastAsia="en-AU"/>
        </w:rPr>
        <w:t xml:space="preserve"> </w:t>
      </w:r>
    </w:p>
    <w:p w14:paraId="2AD292F5" w14:textId="075D9730" w:rsidR="00037A6A" w:rsidRPr="006B2B44" w:rsidRDefault="00037A6A" w:rsidP="00037A6A">
      <w:pPr>
        <w:pStyle w:val="ACMAQuoteindented"/>
        <w:autoSpaceDE w:val="0"/>
        <w:autoSpaceDN w:val="0"/>
        <w:adjustRightInd w:val="0"/>
        <w:ind w:left="0"/>
        <w:rPr>
          <w:bCs/>
          <w:sz w:val="20"/>
          <w:lang w:eastAsia="en-AU"/>
        </w:rPr>
      </w:pPr>
      <w:r>
        <w:rPr>
          <w:bCs/>
          <w:sz w:val="20"/>
          <w:lang w:eastAsia="en-AU"/>
        </w:rPr>
        <w:t xml:space="preserve">The Licensee made </w:t>
      </w:r>
      <w:r w:rsidR="00331DC9">
        <w:rPr>
          <w:bCs/>
          <w:sz w:val="20"/>
          <w:lang w:eastAsia="en-AU"/>
        </w:rPr>
        <w:t>a</w:t>
      </w:r>
      <w:r>
        <w:rPr>
          <w:bCs/>
          <w:sz w:val="20"/>
          <w:lang w:eastAsia="en-AU"/>
        </w:rPr>
        <w:t xml:space="preserve"> further submission that the Code was not breached because the nature of the material in the Online Video was not ‘inherently offensive’ to the Neighbour. The privacy protections </w:t>
      </w:r>
      <w:r w:rsidR="00CF404D">
        <w:rPr>
          <w:bCs/>
          <w:sz w:val="20"/>
          <w:lang w:eastAsia="en-AU"/>
        </w:rPr>
        <w:t>under</w:t>
      </w:r>
      <w:r>
        <w:rPr>
          <w:bCs/>
          <w:sz w:val="20"/>
          <w:lang w:eastAsia="en-AU"/>
        </w:rPr>
        <w:t xml:space="preserve"> the Code are not limited to restricting the broadcast of ‘inherently offensive</w:t>
      </w:r>
      <w:r w:rsidR="00331DC9">
        <w:rPr>
          <w:bCs/>
          <w:sz w:val="20"/>
          <w:lang w:eastAsia="en-AU"/>
        </w:rPr>
        <w:t>’</w:t>
      </w:r>
      <w:r>
        <w:rPr>
          <w:bCs/>
          <w:sz w:val="20"/>
          <w:lang w:eastAsia="en-AU"/>
        </w:rPr>
        <w:t xml:space="preserve"> material. As outlined above, the Guidelines refer to the broadcast of ‘inherently offensive’ material as an example </w:t>
      </w:r>
      <w:r w:rsidR="00CF404D">
        <w:rPr>
          <w:bCs/>
          <w:sz w:val="20"/>
          <w:lang w:eastAsia="en-AU"/>
        </w:rPr>
        <w:t>where the broadcasting of material already in the public doma</w:t>
      </w:r>
      <w:r w:rsidR="00C736AA">
        <w:rPr>
          <w:bCs/>
          <w:sz w:val="20"/>
          <w:lang w:eastAsia="en-AU"/>
        </w:rPr>
        <w:t>i</w:t>
      </w:r>
      <w:r w:rsidR="00CF404D">
        <w:rPr>
          <w:bCs/>
          <w:sz w:val="20"/>
          <w:lang w:eastAsia="en-AU"/>
        </w:rPr>
        <w:t xml:space="preserve">n may result in a breach of the Code. The example </w:t>
      </w:r>
      <w:r>
        <w:rPr>
          <w:bCs/>
          <w:sz w:val="20"/>
          <w:lang w:eastAsia="en-AU"/>
        </w:rPr>
        <w:t xml:space="preserve">is not intended </w:t>
      </w:r>
      <w:r w:rsidR="00331DC9">
        <w:rPr>
          <w:bCs/>
          <w:sz w:val="20"/>
          <w:lang w:eastAsia="en-AU"/>
        </w:rPr>
        <w:t>to be</w:t>
      </w:r>
      <w:r>
        <w:rPr>
          <w:bCs/>
          <w:sz w:val="20"/>
          <w:lang w:eastAsia="en-AU"/>
        </w:rPr>
        <w:t xml:space="preserve"> exhaustive</w:t>
      </w:r>
      <w:r w:rsidR="00CF404D">
        <w:rPr>
          <w:bCs/>
          <w:sz w:val="20"/>
          <w:lang w:eastAsia="en-AU"/>
        </w:rPr>
        <w:t>.</w:t>
      </w:r>
    </w:p>
    <w:p w14:paraId="7EBF68AC" w14:textId="5D7EE449" w:rsidR="00AD721F" w:rsidRDefault="00037A6A" w:rsidP="00265AB1">
      <w:pPr>
        <w:pStyle w:val="ACMAQuoteindented"/>
        <w:autoSpaceDE w:val="0"/>
        <w:autoSpaceDN w:val="0"/>
        <w:adjustRightInd w:val="0"/>
        <w:ind w:left="0"/>
        <w:rPr>
          <w:bCs/>
          <w:sz w:val="20"/>
          <w:lang w:eastAsia="en-AU"/>
        </w:rPr>
      </w:pPr>
      <w:r>
        <w:rPr>
          <w:bCs/>
          <w:sz w:val="20"/>
          <w:lang w:eastAsia="en-AU"/>
        </w:rPr>
        <w:t xml:space="preserve">The </w:t>
      </w:r>
      <w:r w:rsidR="00CF404D">
        <w:rPr>
          <w:bCs/>
          <w:sz w:val="20"/>
          <w:lang w:eastAsia="en-AU"/>
        </w:rPr>
        <w:t xml:space="preserve">ACMA </w:t>
      </w:r>
      <w:r w:rsidR="00996D30">
        <w:rPr>
          <w:bCs/>
          <w:sz w:val="20"/>
          <w:lang w:eastAsia="en-AU"/>
        </w:rPr>
        <w:t xml:space="preserve">considers </w:t>
      </w:r>
      <w:r w:rsidR="00CF404D">
        <w:rPr>
          <w:bCs/>
          <w:sz w:val="20"/>
          <w:lang w:eastAsia="en-AU"/>
        </w:rPr>
        <w:t xml:space="preserve">that the </w:t>
      </w:r>
      <w:r w:rsidR="00F94CDB">
        <w:rPr>
          <w:bCs/>
          <w:sz w:val="20"/>
          <w:lang w:eastAsia="en-AU"/>
        </w:rPr>
        <w:t xml:space="preserve">use of the </w:t>
      </w:r>
      <w:r>
        <w:rPr>
          <w:bCs/>
          <w:sz w:val="20"/>
          <w:lang w:eastAsia="en-AU"/>
        </w:rPr>
        <w:t xml:space="preserve">Online Video </w:t>
      </w:r>
      <w:r w:rsidR="00F94CDB">
        <w:rPr>
          <w:bCs/>
          <w:sz w:val="20"/>
          <w:lang w:eastAsia="en-AU"/>
        </w:rPr>
        <w:t>in the broadcast</w:t>
      </w:r>
      <w:r>
        <w:rPr>
          <w:bCs/>
          <w:sz w:val="20"/>
          <w:lang w:eastAsia="en-AU"/>
        </w:rPr>
        <w:t xml:space="preserve"> by the Licensee </w:t>
      </w:r>
      <w:r w:rsidR="00F94CDB">
        <w:rPr>
          <w:bCs/>
          <w:sz w:val="20"/>
          <w:lang w:eastAsia="en-AU"/>
        </w:rPr>
        <w:t>breached</w:t>
      </w:r>
      <w:r>
        <w:rPr>
          <w:bCs/>
          <w:sz w:val="20"/>
          <w:lang w:eastAsia="en-AU"/>
        </w:rPr>
        <w:t xml:space="preserve"> the</w:t>
      </w:r>
      <w:r w:rsidR="00F94CDB">
        <w:rPr>
          <w:bCs/>
          <w:sz w:val="20"/>
          <w:lang w:eastAsia="en-AU"/>
        </w:rPr>
        <w:t xml:space="preserve"> privacy of the</w:t>
      </w:r>
      <w:r>
        <w:rPr>
          <w:bCs/>
          <w:sz w:val="20"/>
          <w:lang w:eastAsia="en-AU"/>
        </w:rPr>
        <w:t xml:space="preserve"> Neighbour</w:t>
      </w:r>
      <w:r w:rsidR="00996D30">
        <w:rPr>
          <w:bCs/>
          <w:sz w:val="20"/>
          <w:lang w:eastAsia="en-AU"/>
        </w:rPr>
        <w:t>,</w:t>
      </w:r>
      <w:r>
        <w:rPr>
          <w:bCs/>
          <w:sz w:val="20"/>
          <w:lang w:eastAsia="en-AU"/>
        </w:rPr>
        <w:t xml:space="preserve"> notwithstanding that the material was in the public </w:t>
      </w:r>
      <w:r w:rsidR="00996D30">
        <w:rPr>
          <w:bCs/>
          <w:sz w:val="20"/>
          <w:lang w:eastAsia="en-AU"/>
        </w:rPr>
        <w:t xml:space="preserve">domain, because the material </w:t>
      </w:r>
      <w:r w:rsidR="00BB2A87">
        <w:rPr>
          <w:bCs/>
          <w:sz w:val="20"/>
          <w:lang w:eastAsia="en-AU"/>
        </w:rPr>
        <w:t xml:space="preserve">included personal information that </w:t>
      </w:r>
      <w:r w:rsidR="00996D30">
        <w:rPr>
          <w:bCs/>
          <w:sz w:val="20"/>
          <w:lang w:eastAsia="en-AU"/>
        </w:rPr>
        <w:t>was published online without</w:t>
      </w:r>
      <w:r w:rsidR="007B1953">
        <w:rPr>
          <w:bCs/>
          <w:sz w:val="20"/>
          <w:lang w:eastAsia="en-AU"/>
        </w:rPr>
        <w:t xml:space="preserve"> evidence that </w:t>
      </w:r>
      <w:r w:rsidR="00996D30" w:rsidRPr="002C6DE0">
        <w:rPr>
          <w:bCs/>
          <w:sz w:val="20"/>
          <w:lang w:eastAsia="en-AU"/>
        </w:rPr>
        <w:t>the</w:t>
      </w:r>
      <w:r w:rsidR="007B1953">
        <w:rPr>
          <w:bCs/>
          <w:sz w:val="20"/>
          <w:lang w:eastAsia="en-AU"/>
        </w:rPr>
        <w:t xml:space="preserve"> Neighbour</w:t>
      </w:r>
      <w:r w:rsidR="00996D30" w:rsidRPr="002C6DE0">
        <w:rPr>
          <w:bCs/>
          <w:sz w:val="20"/>
          <w:lang w:eastAsia="en-AU"/>
        </w:rPr>
        <w:t xml:space="preserve"> consent</w:t>
      </w:r>
      <w:r w:rsidR="007B1953">
        <w:rPr>
          <w:bCs/>
          <w:sz w:val="20"/>
          <w:lang w:eastAsia="en-AU"/>
        </w:rPr>
        <w:t>ed to this publication</w:t>
      </w:r>
      <w:r w:rsidR="00996D30" w:rsidRPr="002C6DE0">
        <w:rPr>
          <w:bCs/>
          <w:sz w:val="20"/>
          <w:lang w:eastAsia="en-AU"/>
        </w:rPr>
        <w:t>.</w:t>
      </w:r>
      <w:r w:rsidR="00862217" w:rsidRPr="00862217">
        <w:rPr>
          <w:bCs/>
          <w:sz w:val="20"/>
          <w:lang w:eastAsia="en-AU"/>
        </w:rPr>
        <w:t xml:space="preserve"> </w:t>
      </w:r>
      <w:r w:rsidR="00862217">
        <w:rPr>
          <w:bCs/>
          <w:sz w:val="20"/>
          <w:lang w:eastAsia="en-AU"/>
        </w:rPr>
        <w:t xml:space="preserve">Accordingly, the Licensee was required, under the Code, to consider whether it was in the public interest to disclose this personal information on national television. That is considered below. </w:t>
      </w:r>
      <w:r w:rsidR="003E2685">
        <w:rPr>
          <w:bCs/>
          <w:sz w:val="20"/>
          <w:lang w:eastAsia="en-AU"/>
        </w:rPr>
        <w:t xml:space="preserve"> </w:t>
      </w:r>
    </w:p>
    <w:p w14:paraId="3E6F31B6" w14:textId="77777777" w:rsidR="006B4691" w:rsidRDefault="006F4CCD" w:rsidP="00696876">
      <w:pPr>
        <w:pStyle w:val="ACMAQuoteindented"/>
        <w:autoSpaceDE w:val="0"/>
        <w:autoSpaceDN w:val="0"/>
        <w:adjustRightInd w:val="0"/>
        <w:ind w:left="0"/>
        <w:rPr>
          <w:bCs/>
          <w:sz w:val="20"/>
          <w:lang w:eastAsia="en-AU"/>
        </w:rPr>
      </w:pPr>
      <w:r>
        <w:rPr>
          <w:bCs/>
          <w:sz w:val="20"/>
          <w:lang w:eastAsia="en-AU"/>
        </w:rPr>
        <w:t xml:space="preserve">The ACMA’s review </w:t>
      </w:r>
      <w:r w:rsidR="00DE5646">
        <w:rPr>
          <w:bCs/>
          <w:sz w:val="20"/>
          <w:lang w:eastAsia="en-AU"/>
        </w:rPr>
        <w:t>also</w:t>
      </w:r>
      <w:r w:rsidR="003E2685">
        <w:rPr>
          <w:bCs/>
          <w:sz w:val="20"/>
          <w:lang w:eastAsia="en-AU"/>
        </w:rPr>
        <w:t xml:space="preserve"> </w:t>
      </w:r>
      <w:r>
        <w:rPr>
          <w:bCs/>
          <w:sz w:val="20"/>
          <w:lang w:eastAsia="en-AU"/>
        </w:rPr>
        <w:t xml:space="preserve">identified that the Report included additional video footage of the altercation that was not published as part of the Online Video. The additional footage was therefore not available in the public domain. </w:t>
      </w:r>
      <w:bookmarkStart w:id="2" w:name="_Hlk111557612"/>
    </w:p>
    <w:p w14:paraId="54FEB7FE" w14:textId="079F4370" w:rsidR="00510A07" w:rsidRDefault="00331DC9" w:rsidP="00696876">
      <w:pPr>
        <w:pStyle w:val="ACMAQuoteindented"/>
        <w:autoSpaceDE w:val="0"/>
        <w:autoSpaceDN w:val="0"/>
        <w:adjustRightInd w:val="0"/>
        <w:ind w:left="0"/>
        <w:rPr>
          <w:bCs/>
          <w:sz w:val="20"/>
          <w:lang w:eastAsia="en-AU"/>
        </w:rPr>
      </w:pPr>
      <w:r>
        <w:rPr>
          <w:bCs/>
          <w:sz w:val="20"/>
          <w:lang w:eastAsia="en-AU"/>
        </w:rPr>
        <w:t>Furthermore</w:t>
      </w:r>
      <w:r w:rsidR="006B4691">
        <w:rPr>
          <w:bCs/>
          <w:sz w:val="20"/>
          <w:lang w:eastAsia="en-AU"/>
        </w:rPr>
        <w:t>, the broadcast included</w:t>
      </w:r>
      <w:r w:rsidR="007B1953">
        <w:rPr>
          <w:bCs/>
          <w:sz w:val="20"/>
          <w:lang w:eastAsia="en-AU"/>
        </w:rPr>
        <w:t xml:space="preserve"> </w:t>
      </w:r>
      <w:r>
        <w:rPr>
          <w:bCs/>
          <w:sz w:val="20"/>
          <w:lang w:eastAsia="en-AU"/>
        </w:rPr>
        <w:t xml:space="preserve">other </w:t>
      </w:r>
      <w:r w:rsidR="00365BFF">
        <w:rPr>
          <w:bCs/>
          <w:sz w:val="20"/>
          <w:lang w:eastAsia="en-AU"/>
        </w:rPr>
        <w:t xml:space="preserve">personal information </w:t>
      </w:r>
      <w:r w:rsidR="007F644F">
        <w:rPr>
          <w:bCs/>
          <w:sz w:val="20"/>
          <w:lang w:eastAsia="en-AU"/>
        </w:rPr>
        <w:t>about the Neighbour</w:t>
      </w:r>
      <w:r w:rsidR="007B1953">
        <w:rPr>
          <w:bCs/>
          <w:sz w:val="20"/>
          <w:lang w:eastAsia="en-AU"/>
        </w:rPr>
        <w:t>,</w:t>
      </w:r>
      <w:r w:rsidR="006B4691">
        <w:rPr>
          <w:bCs/>
          <w:sz w:val="20"/>
          <w:lang w:eastAsia="en-AU"/>
        </w:rPr>
        <w:t xml:space="preserve"> </w:t>
      </w:r>
      <w:r w:rsidR="007B1953">
        <w:rPr>
          <w:bCs/>
          <w:sz w:val="20"/>
          <w:lang w:eastAsia="en-AU"/>
        </w:rPr>
        <w:t>not in the Online Video,</w:t>
      </w:r>
      <w:r w:rsidR="007F644F">
        <w:rPr>
          <w:bCs/>
          <w:sz w:val="20"/>
          <w:lang w:eastAsia="en-AU"/>
        </w:rPr>
        <w:t xml:space="preserve"> </w:t>
      </w:r>
      <w:r w:rsidR="00B93FA4">
        <w:rPr>
          <w:bCs/>
          <w:sz w:val="20"/>
          <w:lang w:eastAsia="en-AU"/>
        </w:rPr>
        <w:t>including</w:t>
      </w:r>
      <w:r w:rsidR="00404F06">
        <w:rPr>
          <w:bCs/>
          <w:sz w:val="20"/>
          <w:lang w:eastAsia="en-AU"/>
        </w:rPr>
        <w:t xml:space="preserve"> the Neighbour’s name, age</w:t>
      </w:r>
      <w:r w:rsidR="00C736AA">
        <w:rPr>
          <w:bCs/>
          <w:sz w:val="20"/>
          <w:lang w:eastAsia="en-AU"/>
        </w:rPr>
        <w:t>,</w:t>
      </w:r>
      <w:r w:rsidR="00404F06">
        <w:rPr>
          <w:bCs/>
          <w:sz w:val="20"/>
          <w:lang w:eastAsia="en-AU"/>
        </w:rPr>
        <w:t xml:space="preserve"> and part</w:t>
      </w:r>
      <w:r w:rsidR="00C9760F">
        <w:rPr>
          <w:bCs/>
          <w:sz w:val="20"/>
          <w:lang w:eastAsia="en-AU"/>
        </w:rPr>
        <w:t xml:space="preserve"> of his </w:t>
      </w:r>
      <w:r w:rsidR="00404F06">
        <w:rPr>
          <w:bCs/>
          <w:sz w:val="20"/>
          <w:lang w:eastAsia="en-AU"/>
        </w:rPr>
        <w:t>residential</w:t>
      </w:r>
      <w:r w:rsidR="00C9760F">
        <w:rPr>
          <w:bCs/>
          <w:sz w:val="20"/>
          <w:lang w:eastAsia="en-AU"/>
        </w:rPr>
        <w:t xml:space="preserve"> address</w:t>
      </w:r>
      <w:r w:rsidR="007F644F">
        <w:rPr>
          <w:bCs/>
          <w:sz w:val="20"/>
          <w:lang w:eastAsia="en-AU"/>
        </w:rPr>
        <w:t>,</w:t>
      </w:r>
      <w:r w:rsidR="007F644F" w:rsidRPr="000B22F0">
        <w:rPr>
          <w:sz w:val="20"/>
          <w:lang w:eastAsia="en-AU"/>
        </w:rPr>
        <w:t xml:space="preserve"> </w:t>
      </w:r>
      <w:r w:rsidR="00B93FA4">
        <w:rPr>
          <w:sz w:val="20"/>
          <w:lang w:eastAsia="en-AU"/>
        </w:rPr>
        <w:t xml:space="preserve">and it is not evident that this information </w:t>
      </w:r>
      <w:r w:rsidR="007F644F">
        <w:rPr>
          <w:bCs/>
          <w:sz w:val="20"/>
          <w:lang w:eastAsia="en-AU"/>
        </w:rPr>
        <w:t xml:space="preserve">was in the public domain. </w:t>
      </w:r>
    </w:p>
    <w:p w14:paraId="332CA442" w14:textId="70A89A9E" w:rsidR="0097259A" w:rsidRPr="0097259A" w:rsidRDefault="0097259A" w:rsidP="0097259A">
      <w:pPr>
        <w:pStyle w:val="ACMAQuoteindented"/>
        <w:autoSpaceDE w:val="0"/>
        <w:autoSpaceDN w:val="0"/>
        <w:adjustRightInd w:val="0"/>
        <w:ind w:left="0"/>
        <w:rPr>
          <w:b/>
          <w:sz w:val="20"/>
          <w:lang w:eastAsia="en-AU"/>
        </w:rPr>
      </w:pPr>
      <w:r w:rsidRPr="0097259A">
        <w:rPr>
          <w:b/>
          <w:sz w:val="20"/>
          <w:lang w:eastAsia="en-AU"/>
        </w:rPr>
        <w:t>Was the invasion of privacy in, and proportionate to, the public interest?</w:t>
      </w:r>
    </w:p>
    <w:p w14:paraId="6135A070" w14:textId="7B8D2A88" w:rsidR="008108D4" w:rsidRPr="00026B34" w:rsidRDefault="008108D4" w:rsidP="00026B34">
      <w:pPr>
        <w:pStyle w:val="ACMABodyText"/>
        <w:rPr>
          <w:lang w:eastAsia="en-AU"/>
        </w:rPr>
      </w:pPr>
      <w:r w:rsidRPr="00026B34">
        <w:rPr>
          <w:lang w:eastAsia="en-AU"/>
        </w:rPr>
        <w:t xml:space="preserve">The Code provides </w:t>
      </w:r>
      <w:r w:rsidR="00B27B6D" w:rsidRPr="00026B34">
        <w:rPr>
          <w:lang w:eastAsia="en-AU"/>
        </w:rPr>
        <w:t>that a Licensee may broadcast material relating to a person’s private or personal</w:t>
      </w:r>
      <w:r w:rsidR="00C9760F">
        <w:rPr>
          <w:lang w:eastAsia="en-AU"/>
        </w:rPr>
        <w:t xml:space="preserve"> affairs</w:t>
      </w:r>
      <w:r w:rsidR="00B27B6D" w:rsidRPr="00026B34">
        <w:rPr>
          <w:lang w:eastAsia="en-AU"/>
        </w:rPr>
        <w:t xml:space="preserve"> if it is in the public interest to do so.</w:t>
      </w:r>
    </w:p>
    <w:p w14:paraId="072052E6" w14:textId="73B353BA" w:rsidR="007E4C6E" w:rsidRDefault="00B27B6D" w:rsidP="00696876">
      <w:pPr>
        <w:pStyle w:val="ACMABodyText"/>
      </w:pPr>
      <w:r>
        <w:rPr>
          <w:lang w:eastAsia="en-AU"/>
        </w:rPr>
        <w:t>The Guidelines advise</w:t>
      </w:r>
      <w:r w:rsidR="009625E9">
        <w:rPr>
          <w:lang w:eastAsia="en-AU"/>
        </w:rPr>
        <w:t xml:space="preserve"> that t</w:t>
      </w:r>
      <w:r>
        <w:rPr>
          <w:lang w:eastAsia="en-AU"/>
        </w:rPr>
        <w:t xml:space="preserve">he question of whether something is </w:t>
      </w:r>
      <w:r w:rsidRPr="00387E66">
        <w:t>in the public interest will depend on all the circumstanc</w:t>
      </w:r>
      <w:r>
        <w:t>e</w:t>
      </w:r>
      <w:r w:rsidRPr="00387E66">
        <w:t>s, including whether a matter is capable of affecting the community at large so that the audience might be legitimately interested in or concerned about what is going on.</w:t>
      </w:r>
    </w:p>
    <w:p w14:paraId="7879107E" w14:textId="77777777" w:rsidR="00ED5925" w:rsidRPr="00FA796B" w:rsidRDefault="00ED5925" w:rsidP="00792555">
      <w:pPr>
        <w:pStyle w:val="ACMABodyText"/>
        <w:keepNext/>
        <w:rPr>
          <w:lang w:eastAsia="en-AU"/>
        </w:rPr>
      </w:pPr>
      <w:r>
        <w:rPr>
          <w:lang w:eastAsia="en-AU"/>
        </w:rPr>
        <w:t xml:space="preserve">The </w:t>
      </w:r>
      <w:r w:rsidRPr="00FA796B">
        <w:rPr>
          <w:lang w:eastAsia="en-AU"/>
        </w:rPr>
        <w:t>Licensee submitted:</w:t>
      </w:r>
    </w:p>
    <w:p w14:paraId="341FF789" w14:textId="7C7CEE84" w:rsidR="00ED5925" w:rsidRPr="00FA796B" w:rsidRDefault="00ED5925" w:rsidP="00792555">
      <w:pPr>
        <w:pStyle w:val="Default"/>
        <w:keepNext/>
        <w:spacing w:after="240"/>
        <w:ind w:left="720"/>
        <w:rPr>
          <w:color w:val="212121"/>
          <w:sz w:val="18"/>
          <w:szCs w:val="18"/>
        </w:rPr>
      </w:pPr>
      <w:r w:rsidRPr="00FA796B">
        <w:rPr>
          <w:sz w:val="18"/>
          <w:szCs w:val="18"/>
        </w:rPr>
        <w:t>[</w:t>
      </w:r>
      <w:r w:rsidR="007124A7">
        <w:rPr>
          <w:sz w:val="18"/>
          <w:szCs w:val="18"/>
        </w:rPr>
        <w:t>T</w:t>
      </w:r>
      <w:r w:rsidRPr="00FA796B">
        <w:rPr>
          <w:sz w:val="18"/>
          <w:szCs w:val="18"/>
        </w:rPr>
        <w:t xml:space="preserve">here is a] public interest in reporting certain occasions of anti-social and aggressive behaviour within the community, such as that depicted in the Viral Video. </w:t>
      </w:r>
      <w:r w:rsidRPr="00FA796B">
        <w:rPr>
          <w:color w:val="212121"/>
          <w:sz w:val="18"/>
          <w:szCs w:val="18"/>
        </w:rPr>
        <w:t xml:space="preserve">The prospect of one’s </w:t>
      </w:r>
      <w:r w:rsidRPr="00FA796B">
        <w:rPr>
          <w:color w:val="212121"/>
          <w:sz w:val="18"/>
          <w:szCs w:val="18"/>
        </w:rPr>
        <w:lastRenderedPageBreak/>
        <w:t>inappropriate conduct becoming widely known in the community acts to dissuade others from engaging in such conduct</w:t>
      </w:r>
      <w:r w:rsidR="00D22D4A" w:rsidRPr="00FA796B">
        <w:rPr>
          <w:color w:val="212121"/>
          <w:sz w:val="18"/>
          <w:szCs w:val="18"/>
        </w:rPr>
        <w:t>.</w:t>
      </w:r>
    </w:p>
    <w:p w14:paraId="76D17AA8" w14:textId="71A3A022" w:rsidR="00D22D4A" w:rsidRPr="00FA796B" w:rsidRDefault="00D22D4A" w:rsidP="003B2BFB">
      <w:pPr>
        <w:pStyle w:val="Default"/>
        <w:spacing w:after="240"/>
        <w:ind w:left="720"/>
        <w:rPr>
          <w:color w:val="212121"/>
          <w:sz w:val="18"/>
          <w:szCs w:val="18"/>
        </w:rPr>
      </w:pPr>
      <w:r w:rsidRPr="00FA796B">
        <w:rPr>
          <w:color w:val="212121"/>
          <w:sz w:val="18"/>
          <w:szCs w:val="18"/>
        </w:rPr>
        <w:t>[,,,]</w:t>
      </w:r>
    </w:p>
    <w:p w14:paraId="4CADB072" w14:textId="1A40766F" w:rsidR="00D22D4A" w:rsidRPr="00FA796B" w:rsidRDefault="00D22D4A" w:rsidP="003B2BFB">
      <w:pPr>
        <w:pStyle w:val="Default"/>
        <w:spacing w:after="240"/>
        <w:ind w:left="720"/>
        <w:rPr>
          <w:sz w:val="18"/>
          <w:szCs w:val="18"/>
        </w:rPr>
      </w:pPr>
      <w:r w:rsidRPr="00FA796B">
        <w:rPr>
          <w:color w:val="212121"/>
          <w:sz w:val="18"/>
          <w:szCs w:val="18"/>
        </w:rPr>
        <w:t xml:space="preserve">There is no legal basis nor basis under the Code pursuant to which </w:t>
      </w:r>
      <w:r w:rsidR="00BD49AC" w:rsidRPr="00FA796B">
        <w:rPr>
          <w:color w:val="212121"/>
          <w:sz w:val="18"/>
          <w:szCs w:val="18"/>
        </w:rPr>
        <w:t>[the Neighbour]</w:t>
      </w:r>
      <w:r w:rsidRPr="00FA796B">
        <w:rPr>
          <w:color w:val="212121"/>
          <w:sz w:val="18"/>
          <w:szCs w:val="18"/>
        </w:rPr>
        <w:t xml:space="preserve"> would be entitled to restrict the publication of his name or face in connection with a report of his conduct in these circumstances. </w:t>
      </w:r>
    </w:p>
    <w:p w14:paraId="157E2773" w14:textId="21647389" w:rsidR="006C1768" w:rsidRPr="00FA796B" w:rsidRDefault="00ED5925" w:rsidP="006C293D">
      <w:pPr>
        <w:pStyle w:val="ACMABodyText"/>
        <w:rPr>
          <w:lang w:eastAsia="en-AU"/>
        </w:rPr>
      </w:pPr>
      <w:r w:rsidRPr="00FA796B">
        <w:rPr>
          <w:lang w:eastAsia="en-AU"/>
        </w:rPr>
        <w:t xml:space="preserve">The ACMA accepts that there </w:t>
      </w:r>
      <w:r w:rsidR="00CD7EE5" w:rsidRPr="00FA796B">
        <w:rPr>
          <w:lang w:eastAsia="en-AU"/>
        </w:rPr>
        <w:t>is</w:t>
      </w:r>
      <w:r w:rsidRPr="00FA796B">
        <w:rPr>
          <w:lang w:eastAsia="en-AU"/>
        </w:rPr>
        <w:t xml:space="preserve"> a public interest in reporting </w:t>
      </w:r>
      <w:r w:rsidR="00CD7EE5" w:rsidRPr="00FA796B">
        <w:rPr>
          <w:lang w:eastAsia="en-AU"/>
        </w:rPr>
        <w:t xml:space="preserve">certain cases of anti-social behaviour and that certain facts relating to </w:t>
      </w:r>
      <w:r w:rsidRPr="00FA796B">
        <w:rPr>
          <w:lang w:eastAsia="en-AU"/>
        </w:rPr>
        <w:t>th</w:t>
      </w:r>
      <w:r w:rsidR="00CD7EE5" w:rsidRPr="00FA796B">
        <w:rPr>
          <w:lang w:eastAsia="en-AU"/>
        </w:rPr>
        <w:t xml:space="preserve">is particular </w:t>
      </w:r>
      <w:r w:rsidRPr="00FA796B">
        <w:rPr>
          <w:lang w:eastAsia="en-AU"/>
        </w:rPr>
        <w:t>case</w:t>
      </w:r>
      <w:r w:rsidR="007B344F" w:rsidRPr="00FA796B">
        <w:rPr>
          <w:lang w:eastAsia="en-AU"/>
        </w:rPr>
        <w:t xml:space="preserve"> </w:t>
      </w:r>
      <w:r w:rsidR="00CD7EE5" w:rsidRPr="00FA796B">
        <w:rPr>
          <w:lang w:eastAsia="en-AU"/>
        </w:rPr>
        <w:t xml:space="preserve">made it suitable for </w:t>
      </w:r>
      <w:r w:rsidR="00C9760F" w:rsidRPr="00FA796B">
        <w:rPr>
          <w:lang w:eastAsia="en-AU"/>
        </w:rPr>
        <w:t>reporting</w:t>
      </w:r>
      <w:r w:rsidR="00CD7EE5" w:rsidRPr="00FA796B">
        <w:rPr>
          <w:lang w:eastAsia="en-AU"/>
        </w:rPr>
        <w:t xml:space="preserve">. </w:t>
      </w:r>
      <w:r w:rsidR="006C1768" w:rsidRPr="00FA796B">
        <w:rPr>
          <w:lang w:eastAsia="en-AU"/>
        </w:rPr>
        <w:t>The</w:t>
      </w:r>
      <w:r w:rsidR="00716B9F" w:rsidRPr="00FA796B">
        <w:rPr>
          <w:lang w:eastAsia="en-AU"/>
        </w:rPr>
        <w:t xml:space="preserve">re was </w:t>
      </w:r>
      <w:r w:rsidR="00EF755E" w:rsidRPr="00FA796B">
        <w:rPr>
          <w:lang w:eastAsia="en-AU"/>
        </w:rPr>
        <w:t xml:space="preserve">also </w:t>
      </w:r>
      <w:r w:rsidR="00716B9F" w:rsidRPr="00FA796B">
        <w:rPr>
          <w:lang w:eastAsia="en-AU"/>
        </w:rPr>
        <w:t>a separate public interest in providing information to the public about the</w:t>
      </w:r>
      <w:r w:rsidR="006C1768" w:rsidRPr="00FA796B">
        <w:rPr>
          <w:lang w:eastAsia="en-AU"/>
        </w:rPr>
        <w:t xml:space="preserve"> circumstances </w:t>
      </w:r>
      <w:r w:rsidR="00716B9F" w:rsidRPr="00FA796B">
        <w:rPr>
          <w:lang w:eastAsia="en-AU"/>
        </w:rPr>
        <w:t xml:space="preserve">and context in which </w:t>
      </w:r>
      <w:r w:rsidR="006C1768" w:rsidRPr="00FA796B">
        <w:rPr>
          <w:lang w:eastAsia="en-AU"/>
        </w:rPr>
        <w:t>the video bec</w:t>
      </w:r>
      <w:r w:rsidR="00716B9F" w:rsidRPr="00FA796B">
        <w:rPr>
          <w:lang w:eastAsia="en-AU"/>
        </w:rPr>
        <w:t>ame</w:t>
      </w:r>
      <w:r w:rsidR="006C1768" w:rsidRPr="00FA796B">
        <w:rPr>
          <w:lang w:eastAsia="en-AU"/>
        </w:rPr>
        <w:t xml:space="preserve"> viral</w:t>
      </w:r>
      <w:r w:rsidR="00716B9F" w:rsidRPr="00FA796B">
        <w:rPr>
          <w:lang w:eastAsia="en-AU"/>
        </w:rPr>
        <w:t>.</w:t>
      </w:r>
    </w:p>
    <w:p w14:paraId="6EC35B2C" w14:textId="1DB8F035" w:rsidR="008620E8" w:rsidRDefault="00D22D4A" w:rsidP="006C293D">
      <w:pPr>
        <w:pStyle w:val="ACMABodyText"/>
        <w:rPr>
          <w:lang w:eastAsia="en-AU"/>
        </w:rPr>
      </w:pPr>
      <w:r w:rsidRPr="00FA796B">
        <w:rPr>
          <w:lang w:eastAsia="en-AU"/>
        </w:rPr>
        <w:t xml:space="preserve">However, the </w:t>
      </w:r>
      <w:r w:rsidR="006C1768" w:rsidRPr="00FA796B">
        <w:rPr>
          <w:lang w:eastAsia="en-AU"/>
        </w:rPr>
        <w:t xml:space="preserve">ACMA does not agree that </w:t>
      </w:r>
      <w:r w:rsidR="008620E8" w:rsidRPr="00FA796B">
        <w:rPr>
          <w:lang w:eastAsia="en-AU"/>
        </w:rPr>
        <w:t>there is no basis under the</w:t>
      </w:r>
      <w:r w:rsidR="006C1768" w:rsidRPr="00FA796B">
        <w:rPr>
          <w:lang w:eastAsia="en-AU"/>
        </w:rPr>
        <w:t xml:space="preserve"> </w:t>
      </w:r>
      <w:r w:rsidRPr="00FA796B">
        <w:rPr>
          <w:lang w:eastAsia="en-AU"/>
        </w:rPr>
        <w:t xml:space="preserve">Code </w:t>
      </w:r>
      <w:r w:rsidR="008620E8" w:rsidRPr="00FA796B">
        <w:rPr>
          <w:lang w:eastAsia="en-AU"/>
        </w:rPr>
        <w:t xml:space="preserve">under which the Neighbour would be entitled to object to the publication of his name and face </w:t>
      </w:r>
      <w:r w:rsidRPr="00FA796B">
        <w:rPr>
          <w:lang w:eastAsia="en-AU"/>
        </w:rPr>
        <w:t xml:space="preserve">in connection with the Report. </w:t>
      </w:r>
      <w:r w:rsidR="00286CC2" w:rsidRPr="00FA796B">
        <w:rPr>
          <w:lang w:eastAsia="en-AU"/>
        </w:rPr>
        <w:t xml:space="preserve">The issue for consideration is whether the disclosure </w:t>
      </w:r>
      <w:r w:rsidR="00EC49A1" w:rsidRPr="00FA796B">
        <w:rPr>
          <w:lang w:eastAsia="en-AU"/>
        </w:rPr>
        <w:t xml:space="preserve">of </w:t>
      </w:r>
      <w:r w:rsidR="007B344F" w:rsidRPr="00FA796B">
        <w:rPr>
          <w:lang w:eastAsia="en-AU"/>
        </w:rPr>
        <w:t xml:space="preserve">the neighbour’s </w:t>
      </w:r>
      <w:r w:rsidR="00EC49A1" w:rsidRPr="00FA796B">
        <w:rPr>
          <w:lang w:eastAsia="en-AU"/>
        </w:rPr>
        <w:t xml:space="preserve">personal information </w:t>
      </w:r>
      <w:r w:rsidR="00286CC2" w:rsidRPr="00FA796B">
        <w:rPr>
          <w:lang w:eastAsia="en-AU"/>
        </w:rPr>
        <w:t>was proportionate</w:t>
      </w:r>
      <w:r w:rsidR="00EC49A1" w:rsidRPr="00FA796B">
        <w:rPr>
          <w:lang w:eastAsia="en-AU"/>
        </w:rPr>
        <w:t xml:space="preserve"> and in the public interest</w:t>
      </w:r>
      <w:r w:rsidR="00286CC2" w:rsidRPr="00FA796B">
        <w:rPr>
          <w:lang w:eastAsia="en-AU"/>
        </w:rPr>
        <w:t>.</w:t>
      </w:r>
    </w:p>
    <w:p w14:paraId="11E3E490" w14:textId="6D6E5FA5" w:rsidR="009625E9" w:rsidRPr="009625E9" w:rsidRDefault="006C293D" w:rsidP="006C293D">
      <w:pPr>
        <w:pStyle w:val="ACMABodyText"/>
        <w:rPr>
          <w:snapToGrid/>
        </w:rPr>
      </w:pPr>
      <w:r>
        <w:rPr>
          <w:snapToGrid/>
        </w:rPr>
        <w:t xml:space="preserve">The </w:t>
      </w:r>
      <w:r w:rsidR="000353D6">
        <w:rPr>
          <w:snapToGrid/>
        </w:rPr>
        <w:t xml:space="preserve">Guidelines outline that the </w:t>
      </w:r>
      <w:r>
        <w:rPr>
          <w:snapToGrid/>
        </w:rPr>
        <w:t>principle of p</w:t>
      </w:r>
      <w:r w:rsidR="00696876">
        <w:rPr>
          <w:snapToGrid/>
        </w:rPr>
        <w:t>roportionality require</w:t>
      </w:r>
      <w:r>
        <w:rPr>
          <w:snapToGrid/>
        </w:rPr>
        <w:t>s</w:t>
      </w:r>
      <w:r w:rsidR="00696876">
        <w:rPr>
          <w:snapToGrid/>
        </w:rPr>
        <w:t xml:space="preserve"> that</w:t>
      </w:r>
      <w:r w:rsidR="009625E9" w:rsidRPr="009625E9">
        <w:rPr>
          <w:snapToGrid/>
        </w:rPr>
        <w:t xml:space="preserve"> </w:t>
      </w:r>
      <w:r w:rsidR="00696876">
        <w:rPr>
          <w:snapToGrid/>
        </w:rPr>
        <w:t xml:space="preserve">any </w:t>
      </w:r>
      <w:r>
        <w:rPr>
          <w:snapToGrid/>
        </w:rPr>
        <w:t xml:space="preserve">disclosure of personal information </w:t>
      </w:r>
      <w:r w:rsidR="009625E9" w:rsidRPr="009625E9">
        <w:rPr>
          <w:snapToGrid/>
        </w:rPr>
        <w:t>in the public interest should directly or indirectly contribute to the public’s capacity to assess an issue of importance to the public, and its knowledge and understanding of the overall subject.</w:t>
      </w:r>
      <w:r w:rsidR="00ED08D7">
        <w:rPr>
          <w:rStyle w:val="FootnoteReference"/>
          <w:snapToGrid/>
        </w:rPr>
        <w:footnoteReference w:id="7"/>
      </w:r>
      <w:r w:rsidR="009625E9" w:rsidRPr="009625E9">
        <w:rPr>
          <w:snapToGrid/>
        </w:rPr>
        <w:t xml:space="preserve"> The information disclosed should be proportionate and relevant to those issues</w:t>
      </w:r>
      <w:r w:rsidR="001329E3">
        <w:rPr>
          <w:snapToGrid/>
        </w:rPr>
        <w:t>.</w:t>
      </w:r>
    </w:p>
    <w:p w14:paraId="2F1C8B77" w14:textId="030A0151" w:rsidR="008620E8" w:rsidRDefault="00717E89" w:rsidP="00B27B6D">
      <w:pPr>
        <w:pStyle w:val="ACMABodyText"/>
        <w:rPr>
          <w:lang w:eastAsia="en-AU"/>
        </w:rPr>
      </w:pPr>
      <w:r>
        <w:rPr>
          <w:lang w:eastAsia="en-AU"/>
        </w:rPr>
        <w:t xml:space="preserve">The </w:t>
      </w:r>
      <w:r w:rsidR="00EF3B7C">
        <w:rPr>
          <w:lang w:eastAsia="en-AU"/>
        </w:rPr>
        <w:t>Presenter</w:t>
      </w:r>
      <w:r>
        <w:rPr>
          <w:lang w:eastAsia="en-AU"/>
        </w:rPr>
        <w:t xml:space="preserve"> introduced the Report by describing the incident as </w:t>
      </w:r>
      <w:r w:rsidR="00F83A01">
        <w:rPr>
          <w:lang w:eastAsia="en-AU"/>
        </w:rPr>
        <w:t>‘</w:t>
      </w:r>
      <w:r>
        <w:rPr>
          <w:lang w:eastAsia="en-AU"/>
        </w:rPr>
        <w:t>a petty neighbourhood dispute in a small community in regional New South Wales that went global</w:t>
      </w:r>
      <w:r w:rsidR="00F83A01">
        <w:rPr>
          <w:lang w:eastAsia="en-AU"/>
        </w:rPr>
        <w:t>’</w:t>
      </w:r>
      <w:r>
        <w:rPr>
          <w:lang w:eastAsia="en-AU"/>
        </w:rPr>
        <w:t>.</w:t>
      </w:r>
      <w:r w:rsidR="007B344F">
        <w:rPr>
          <w:lang w:eastAsia="en-AU"/>
        </w:rPr>
        <w:t xml:space="preserve"> Against that background, </w:t>
      </w:r>
      <w:r w:rsidR="00A246B9">
        <w:rPr>
          <w:lang w:eastAsia="en-AU"/>
        </w:rPr>
        <w:t xml:space="preserve">and taking into account the level of sensitivity, </w:t>
      </w:r>
      <w:r w:rsidR="00D70EE1">
        <w:rPr>
          <w:lang w:eastAsia="en-AU"/>
        </w:rPr>
        <w:t xml:space="preserve">the </w:t>
      </w:r>
      <w:r w:rsidR="00EF755E">
        <w:rPr>
          <w:lang w:eastAsia="en-AU"/>
        </w:rPr>
        <w:t xml:space="preserve">ACMA considers that the </w:t>
      </w:r>
      <w:r w:rsidR="00D70EE1">
        <w:rPr>
          <w:lang w:eastAsia="en-AU"/>
        </w:rPr>
        <w:t xml:space="preserve">disclosure of </w:t>
      </w:r>
      <w:r w:rsidR="00331DC9">
        <w:rPr>
          <w:lang w:eastAsia="en-AU"/>
        </w:rPr>
        <w:t xml:space="preserve">some of </w:t>
      </w:r>
      <w:r w:rsidR="00D70EE1">
        <w:rPr>
          <w:lang w:eastAsia="en-AU"/>
        </w:rPr>
        <w:t xml:space="preserve">the </w:t>
      </w:r>
      <w:r w:rsidR="00A246B9">
        <w:rPr>
          <w:lang w:eastAsia="en-AU"/>
        </w:rPr>
        <w:t xml:space="preserve">personal information about the Neighbour </w:t>
      </w:r>
      <w:r w:rsidR="00A30120">
        <w:rPr>
          <w:lang w:eastAsia="en-AU"/>
        </w:rPr>
        <w:t>relating to the Di</w:t>
      </w:r>
      <w:r w:rsidR="00140C7F">
        <w:rPr>
          <w:lang w:eastAsia="en-AU"/>
        </w:rPr>
        <w:t xml:space="preserve">spute </w:t>
      </w:r>
      <w:r w:rsidR="00D70EE1">
        <w:rPr>
          <w:lang w:eastAsia="en-AU"/>
        </w:rPr>
        <w:t xml:space="preserve">was </w:t>
      </w:r>
      <w:r w:rsidR="00EF755E">
        <w:rPr>
          <w:lang w:eastAsia="en-AU"/>
        </w:rPr>
        <w:t>in</w:t>
      </w:r>
      <w:r w:rsidR="00FB7587">
        <w:rPr>
          <w:lang w:eastAsia="en-AU"/>
        </w:rPr>
        <w:t>,</w:t>
      </w:r>
      <w:r w:rsidR="00EF755E">
        <w:rPr>
          <w:lang w:eastAsia="en-AU"/>
        </w:rPr>
        <w:t xml:space="preserve"> and </w:t>
      </w:r>
      <w:r w:rsidR="00D70EE1">
        <w:rPr>
          <w:lang w:eastAsia="en-AU"/>
        </w:rPr>
        <w:t xml:space="preserve">proportionate </w:t>
      </w:r>
      <w:r w:rsidR="00EF755E">
        <w:rPr>
          <w:lang w:eastAsia="en-AU"/>
        </w:rPr>
        <w:t>to</w:t>
      </w:r>
      <w:r w:rsidR="00FB7587">
        <w:rPr>
          <w:lang w:eastAsia="en-AU"/>
        </w:rPr>
        <w:t>,</w:t>
      </w:r>
      <w:r w:rsidR="00EF755E">
        <w:rPr>
          <w:lang w:eastAsia="en-AU"/>
        </w:rPr>
        <w:t xml:space="preserve"> </w:t>
      </w:r>
      <w:r w:rsidR="007B344F">
        <w:rPr>
          <w:lang w:eastAsia="en-AU"/>
        </w:rPr>
        <w:t xml:space="preserve">the public interest </w:t>
      </w:r>
      <w:r w:rsidR="00D70EE1">
        <w:rPr>
          <w:lang w:eastAsia="en-AU"/>
        </w:rPr>
        <w:t xml:space="preserve">as it contributed to public knowledge and understanding of the </w:t>
      </w:r>
      <w:r w:rsidR="00065648">
        <w:rPr>
          <w:lang w:eastAsia="en-AU"/>
        </w:rPr>
        <w:t xml:space="preserve">origins and outcome of the </w:t>
      </w:r>
      <w:r w:rsidR="00A246B9">
        <w:rPr>
          <w:lang w:eastAsia="en-AU"/>
        </w:rPr>
        <w:t xml:space="preserve">altercation </w:t>
      </w:r>
      <w:r w:rsidR="00065648">
        <w:rPr>
          <w:lang w:eastAsia="en-AU"/>
        </w:rPr>
        <w:t xml:space="preserve">depicted in the </w:t>
      </w:r>
      <w:r w:rsidR="005B64CA">
        <w:rPr>
          <w:lang w:eastAsia="en-AU"/>
        </w:rPr>
        <w:t>Online V</w:t>
      </w:r>
      <w:r w:rsidR="00065648">
        <w:rPr>
          <w:lang w:eastAsia="en-AU"/>
        </w:rPr>
        <w:t>ideo</w:t>
      </w:r>
      <w:r w:rsidR="002867E2">
        <w:rPr>
          <w:lang w:eastAsia="en-AU"/>
        </w:rPr>
        <w:t>.</w:t>
      </w:r>
    </w:p>
    <w:p w14:paraId="591A86C5" w14:textId="3E9DEB0C" w:rsidR="009671D5" w:rsidRDefault="003534FD" w:rsidP="00B27B6D">
      <w:pPr>
        <w:pStyle w:val="ACMABodyText"/>
        <w:rPr>
          <w:lang w:eastAsia="en-AU"/>
        </w:rPr>
      </w:pPr>
      <w:r>
        <w:rPr>
          <w:lang w:eastAsia="en-AU"/>
        </w:rPr>
        <w:t>However, t</w:t>
      </w:r>
      <w:r w:rsidR="00065648">
        <w:rPr>
          <w:lang w:eastAsia="en-AU"/>
        </w:rPr>
        <w:t xml:space="preserve">he ACMA considers that </w:t>
      </w:r>
      <w:r w:rsidR="00875B6F">
        <w:rPr>
          <w:lang w:eastAsia="en-AU"/>
        </w:rPr>
        <w:t>in broadcasting information about the Dispute</w:t>
      </w:r>
      <w:r w:rsidR="00272E13">
        <w:rPr>
          <w:lang w:eastAsia="en-AU"/>
        </w:rPr>
        <w:t xml:space="preserve"> </w:t>
      </w:r>
      <w:r w:rsidR="00875B6F">
        <w:rPr>
          <w:lang w:eastAsia="en-AU"/>
        </w:rPr>
        <w:t>it was not in</w:t>
      </w:r>
      <w:r w:rsidR="00272E13">
        <w:rPr>
          <w:lang w:eastAsia="en-AU"/>
        </w:rPr>
        <w:t xml:space="preserve"> the public interest </w:t>
      </w:r>
      <w:r w:rsidR="00875B6F">
        <w:rPr>
          <w:lang w:eastAsia="en-AU"/>
        </w:rPr>
        <w:t>for</w:t>
      </w:r>
      <w:r w:rsidR="00272E13">
        <w:rPr>
          <w:lang w:eastAsia="en-AU"/>
        </w:rPr>
        <w:t xml:space="preserve"> the Neighbour</w:t>
      </w:r>
      <w:r w:rsidR="00875B6F">
        <w:rPr>
          <w:lang w:eastAsia="en-AU"/>
        </w:rPr>
        <w:t xml:space="preserve"> to be identified</w:t>
      </w:r>
      <w:r w:rsidR="00272E13">
        <w:rPr>
          <w:lang w:eastAsia="en-AU"/>
        </w:rPr>
        <w:t xml:space="preserve"> and </w:t>
      </w:r>
      <w:r w:rsidR="00875B6F">
        <w:rPr>
          <w:lang w:eastAsia="en-AU"/>
        </w:rPr>
        <w:t xml:space="preserve">therefore, </w:t>
      </w:r>
      <w:r w:rsidR="00065648">
        <w:rPr>
          <w:lang w:eastAsia="en-AU"/>
        </w:rPr>
        <w:t>the disclosure</w:t>
      </w:r>
      <w:r w:rsidR="00CE07CE">
        <w:rPr>
          <w:lang w:eastAsia="en-AU"/>
        </w:rPr>
        <w:t>s</w:t>
      </w:r>
      <w:r w:rsidR="00065648">
        <w:rPr>
          <w:lang w:eastAsia="en-AU"/>
        </w:rPr>
        <w:t xml:space="preserve"> </w:t>
      </w:r>
      <w:r w:rsidR="00331DC9">
        <w:rPr>
          <w:lang w:eastAsia="en-AU"/>
        </w:rPr>
        <w:t xml:space="preserve">in </w:t>
      </w:r>
      <w:r w:rsidR="00CE07CE">
        <w:rPr>
          <w:lang w:eastAsia="en-AU"/>
        </w:rPr>
        <w:t xml:space="preserve">the </w:t>
      </w:r>
      <w:r w:rsidR="00506BCE">
        <w:rPr>
          <w:lang w:eastAsia="en-AU"/>
        </w:rPr>
        <w:t>R</w:t>
      </w:r>
      <w:r w:rsidR="00CE07CE">
        <w:rPr>
          <w:lang w:eastAsia="en-AU"/>
        </w:rPr>
        <w:t xml:space="preserve">eport </w:t>
      </w:r>
      <w:r w:rsidR="00065648">
        <w:rPr>
          <w:lang w:eastAsia="en-AU"/>
        </w:rPr>
        <w:t>of the</w:t>
      </w:r>
      <w:r w:rsidR="00CE07CE">
        <w:rPr>
          <w:lang w:eastAsia="en-AU"/>
        </w:rPr>
        <w:t xml:space="preserve"> name of the </w:t>
      </w:r>
      <w:r w:rsidR="00CE6F07">
        <w:rPr>
          <w:lang w:eastAsia="en-AU"/>
        </w:rPr>
        <w:t>N</w:t>
      </w:r>
      <w:r w:rsidR="00CE07CE">
        <w:rPr>
          <w:lang w:eastAsia="en-AU"/>
        </w:rPr>
        <w:t xml:space="preserve">eighbour and the disclosure of </w:t>
      </w:r>
      <w:r w:rsidR="009671D5">
        <w:rPr>
          <w:lang w:eastAsia="en-AU"/>
        </w:rPr>
        <w:t xml:space="preserve">part of </w:t>
      </w:r>
      <w:r w:rsidR="00CE07CE">
        <w:rPr>
          <w:lang w:eastAsia="en-AU"/>
        </w:rPr>
        <w:t>his residential address was not proportionate to the public interest in this particular case</w:t>
      </w:r>
      <w:r w:rsidR="001B4291">
        <w:rPr>
          <w:lang w:eastAsia="en-AU"/>
        </w:rPr>
        <w:t xml:space="preserve">. </w:t>
      </w:r>
      <w:r w:rsidR="00B0106A">
        <w:rPr>
          <w:lang w:eastAsia="en-AU"/>
        </w:rPr>
        <w:t xml:space="preserve">This is because the disclosure of this personal information did not assist the public to assess or understand the overall issue of public interest. </w:t>
      </w:r>
    </w:p>
    <w:p w14:paraId="47C08883" w14:textId="0B1BDC98" w:rsidR="000E457E" w:rsidRDefault="000E457E" w:rsidP="00B27B6D">
      <w:pPr>
        <w:pStyle w:val="ACMABodyText"/>
        <w:rPr>
          <w:lang w:eastAsia="en-AU"/>
        </w:rPr>
      </w:pPr>
      <w:r>
        <w:rPr>
          <w:lang w:eastAsia="en-AU"/>
        </w:rPr>
        <w:t>The ACMA also notes that the lack of obscuration techniques, such as blurring or pixelation, with respect to the Neighbour’s face, meant that he was readily identifiable</w:t>
      </w:r>
      <w:r w:rsidR="000F7C71">
        <w:rPr>
          <w:lang w:eastAsia="en-AU"/>
        </w:rPr>
        <w:t xml:space="preserve"> from the video that was </w:t>
      </w:r>
      <w:r w:rsidR="00EC4739">
        <w:rPr>
          <w:lang w:eastAsia="en-AU"/>
        </w:rPr>
        <w:t>broadcast</w:t>
      </w:r>
      <w:r>
        <w:rPr>
          <w:lang w:eastAsia="en-AU"/>
        </w:rPr>
        <w:t xml:space="preserve">. The ACMA </w:t>
      </w:r>
      <w:r w:rsidR="000F7C71">
        <w:rPr>
          <w:lang w:eastAsia="en-AU"/>
        </w:rPr>
        <w:t xml:space="preserve">considers that while </w:t>
      </w:r>
      <w:r>
        <w:rPr>
          <w:lang w:eastAsia="en-AU"/>
        </w:rPr>
        <w:t xml:space="preserve">it was in the public interest </w:t>
      </w:r>
      <w:r w:rsidR="000F7C71">
        <w:rPr>
          <w:lang w:eastAsia="en-AU"/>
        </w:rPr>
        <w:t xml:space="preserve">to </w:t>
      </w:r>
      <w:r>
        <w:rPr>
          <w:lang w:eastAsia="en-AU"/>
        </w:rPr>
        <w:t>report on the altercation</w:t>
      </w:r>
      <w:r w:rsidR="000F7C71">
        <w:rPr>
          <w:lang w:eastAsia="en-AU"/>
        </w:rPr>
        <w:t xml:space="preserve">, </w:t>
      </w:r>
      <w:r w:rsidR="00C57771">
        <w:rPr>
          <w:lang w:eastAsia="en-AU"/>
        </w:rPr>
        <w:t xml:space="preserve">there was no public interest reason to broadcast </w:t>
      </w:r>
      <w:r w:rsidR="007674AA">
        <w:rPr>
          <w:lang w:eastAsia="en-AU"/>
        </w:rPr>
        <w:t xml:space="preserve">unobscured footage of the face </w:t>
      </w:r>
      <w:r w:rsidR="00C57771">
        <w:rPr>
          <w:lang w:eastAsia="en-AU"/>
        </w:rPr>
        <w:t>of</w:t>
      </w:r>
      <w:r>
        <w:rPr>
          <w:lang w:eastAsia="en-AU"/>
        </w:rPr>
        <w:t xml:space="preserve"> the </w:t>
      </w:r>
      <w:r w:rsidR="00331DC9">
        <w:rPr>
          <w:lang w:eastAsia="en-AU"/>
        </w:rPr>
        <w:t>Neighbour</w:t>
      </w:r>
      <w:r>
        <w:rPr>
          <w:lang w:eastAsia="en-AU"/>
        </w:rPr>
        <w:t xml:space="preserve">. </w:t>
      </w:r>
    </w:p>
    <w:p w14:paraId="0D96F5B4" w14:textId="1F945E1B" w:rsidR="003B610A" w:rsidRDefault="00B0106A" w:rsidP="00B27B6D">
      <w:pPr>
        <w:pStyle w:val="ACMABodyText"/>
        <w:rPr>
          <w:lang w:eastAsia="en-AU"/>
        </w:rPr>
      </w:pPr>
      <w:r>
        <w:rPr>
          <w:lang w:eastAsia="en-AU"/>
        </w:rPr>
        <w:t xml:space="preserve">The material presented in the Report indicated that the origin of the </w:t>
      </w:r>
      <w:r w:rsidR="002C61C6">
        <w:rPr>
          <w:lang w:eastAsia="en-AU"/>
        </w:rPr>
        <w:t xml:space="preserve">altercation </w:t>
      </w:r>
      <w:r>
        <w:rPr>
          <w:lang w:eastAsia="en-AU"/>
        </w:rPr>
        <w:t>was a neighbourhood dispute</w:t>
      </w:r>
      <w:r w:rsidR="00E37D18">
        <w:rPr>
          <w:lang w:eastAsia="en-AU"/>
        </w:rPr>
        <w:t xml:space="preserve">, the </w:t>
      </w:r>
      <w:r w:rsidR="00CE6F07">
        <w:rPr>
          <w:lang w:eastAsia="en-AU"/>
        </w:rPr>
        <w:t>N</w:t>
      </w:r>
      <w:r w:rsidR="00E37D18">
        <w:rPr>
          <w:lang w:eastAsia="en-AU"/>
        </w:rPr>
        <w:t xml:space="preserve">eighbour expressed remorse about his conduct, </w:t>
      </w:r>
      <w:r>
        <w:rPr>
          <w:lang w:eastAsia="en-AU"/>
        </w:rPr>
        <w:t xml:space="preserve">and </w:t>
      </w:r>
      <w:r w:rsidR="00E37D18">
        <w:rPr>
          <w:lang w:eastAsia="en-AU"/>
        </w:rPr>
        <w:t xml:space="preserve">no action was taken by police. </w:t>
      </w:r>
      <w:r w:rsidR="003B610A">
        <w:rPr>
          <w:lang w:eastAsia="en-AU"/>
        </w:rPr>
        <w:t>This was sufficient to provide the public with an understanding of the issues</w:t>
      </w:r>
      <w:r w:rsidR="00984279">
        <w:rPr>
          <w:lang w:eastAsia="en-AU"/>
        </w:rPr>
        <w:t xml:space="preserve"> </w:t>
      </w:r>
      <w:r w:rsidR="003B610A">
        <w:rPr>
          <w:lang w:eastAsia="en-AU"/>
        </w:rPr>
        <w:t xml:space="preserve">and to </w:t>
      </w:r>
      <w:r w:rsidR="009671D5">
        <w:rPr>
          <w:lang w:eastAsia="en-AU"/>
        </w:rPr>
        <w:t xml:space="preserve">promote the public interest in </w:t>
      </w:r>
      <w:r w:rsidR="003B610A">
        <w:rPr>
          <w:lang w:eastAsia="en-AU"/>
        </w:rPr>
        <w:t>dissuad</w:t>
      </w:r>
      <w:r w:rsidR="009671D5">
        <w:rPr>
          <w:lang w:eastAsia="en-AU"/>
        </w:rPr>
        <w:t>ing</w:t>
      </w:r>
      <w:r w:rsidR="003B610A">
        <w:rPr>
          <w:lang w:eastAsia="en-AU"/>
        </w:rPr>
        <w:t xml:space="preserve"> others from engaging in anti-social conduct. </w:t>
      </w:r>
      <w:r w:rsidR="009671D5">
        <w:rPr>
          <w:lang w:eastAsia="en-AU"/>
        </w:rPr>
        <w:t xml:space="preserve">Neither the </w:t>
      </w:r>
      <w:r w:rsidR="00FC6B52">
        <w:rPr>
          <w:lang w:eastAsia="en-AU"/>
        </w:rPr>
        <w:t xml:space="preserve">Report </w:t>
      </w:r>
      <w:r w:rsidR="009671D5">
        <w:rPr>
          <w:lang w:eastAsia="en-AU"/>
        </w:rPr>
        <w:t xml:space="preserve">nor the Licensee’s submissions provided </w:t>
      </w:r>
      <w:r w:rsidR="00984279">
        <w:rPr>
          <w:lang w:eastAsia="en-AU"/>
        </w:rPr>
        <w:t xml:space="preserve">evidence that the </w:t>
      </w:r>
      <w:r w:rsidR="00CE6F07">
        <w:rPr>
          <w:lang w:eastAsia="en-AU"/>
        </w:rPr>
        <w:t>N</w:t>
      </w:r>
      <w:r w:rsidR="00984279">
        <w:rPr>
          <w:lang w:eastAsia="en-AU"/>
        </w:rPr>
        <w:t>eighbour pose</w:t>
      </w:r>
      <w:r w:rsidR="009671D5">
        <w:rPr>
          <w:lang w:eastAsia="en-AU"/>
        </w:rPr>
        <w:t>d</w:t>
      </w:r>
      <w:r w:rsidR="00984279">
        <w:rPr>
          <w:lang w:eastAsia="en-AU"/>
        </w:rPr>
        <w:t xml:space="preserve"> an ongoing risk to public safety that might justify disclosing his name and </w:t>
      </w:r>
      <w:r w:rsidR="00984279">
        <w:rPr>
          <w:lang w:eastAsia="en-AU"/>
        </w:rPr>
        <w:lastRenderedPageBreak/>
        <w:t>details of his location in the public interest</w:t>
      </w:r>
      <w:r w:rsidR="003B610A">
        <w:rPr>
          <w:lang w:eastAsia="en-AU"/>
        </w:rPr>
        <w:t xml:space="preserve">. </w:t>
      </w:r>
      <w:r w:rsidR="00E37D18">
        <w:rPr>
          <w:lang w:eastAsia="en-AU"/>
        </w:rPr>
        <w:t>Consequently, there was no legitimate reason to</w:t>
      </w:r>
      <w:r w:rsidR="000D2B6A">
        <w:rPr>
          <w:lang w:eastAsia="en-AU"/>
        </w:rPr>
        <w:t xml:space="preserve"> </w:t>
      </w:r>
      <w:r w:rsidR="00E37D18">
        <w:rPr>
          <w:lang w:eastAsia="en-AU"/>
        </w:rPr>
        <w:t xml:space="preserve">identify the </w:t>
      </w:r>
      <w:r w:rsidR="00CE6F07">
        <w:rPr>
          <w:lang w:eastAsia="en-AU"/>
        </w:rPr>
        <w:t>N</w:t>
      </w:r>
      <w:r w:rsidR="00E37D18">
        <w:rPr>
          <w:lang w:eastAsia="en-AU"/>
        </w:rPr>
        <w:t xml:space="preserve">eighbour by name or </w:t>
      </w:r>
      <w:r w:rsidR="003B610A">
        <w:rPr>
          <w:lang w:eastAsia="en-AU"/>
        </w:rPr>
        <w:t xml:space="preserve">to </w:t>
      </w:r>
      <w:r w:rsidR="00E37D18">
        <w:rPr>
          <w:lang w:eastAsia="en-AU"/>
        </w:rPr>
        <w:t>disclose his</w:t>
      </w:r>
      <w:r w:rsidR="000D2B6A">
        <w:rPr>
          <w:lang w:eastAsia="en-AU"/>
        </w:rPr>
        <w:t xml:space="preserve"> residential</w:t>
      </w:r>
      <w:r w:rsidR="00E37D18">
        <w:rPr>
          <w:lang w:eastAsia="en-AU"/>
        </w:rPr>
        <w:t xml:space="preserve"> location</w:t>
      </w:r>
      <w:r w:rsidR="000D2B6A">
        <w:rPr>
          <w:lang w:eastAsia="en-AU"/>
        </w:rPr>
        <w:t xml:space="preserve"> to the public.</w:t>
      </w:r>
      <w:r w:rsidR="00E37D18">
        <w:rPr>
          <w:lang w:eastAsia="en-AU"/>
        </w:rPr>
        <w:t xml:space="preserve"> </w:t>
      </w:r>
    </w:p>
    <w:p w14:paraId="03E2DBD7" w14:textId="2BE93772" w:rsidR="00A84FB9" w:rsidRPr="00A84FB9" w:rsidRDefault="00A84FB9" w:rsidP="00A84FB9">
      <w:pPr>
        <w:pStyle w:val="ACMAQuoteindented"/>
        <w:autoSpaceDE w:val="0"/>
        <w:autoSpaceDN w:val="0"/>
        <w:adjustRightInd w:val="0"/>
        <w:ind w:left="0"/>
        <w:rPr>
          <w:b/>
          <w:sz w:val="20"/>
          <w:lang w:eastAsia="en-AU"/>
        </w:rPr>
      </w:pPr>
      <w:r w:rsidRPr="00A84FB9">
        <w:rPr>
          <w:b/>
          <w:sz w:val="20"/>
          <w:lang w:eastAsia="en-AU"/>
        </w:rPr>
        <w:t>Conclusion</w:t>
      </w:r>
    </w:p>
    <w:p w14:paraId="4630743E" w14:textId="70EB3F23" w:rsidR="001369F2" w:rsidRDefault="001369F2" w:rsidP="001369F2">
      <w:pPr>
        <w:pStyle w:val="ACMABodyText"/>
        <w:rPr>
          <w:lang w:eastAsia="en-AU"/>
        </w:rPr>
      </w:pPr>
      <w:r>
        <w:rPr>
          <w:lang w:eastAsia="en-AU"/>
        </w:rPr>
        <w:t>Accordingly,</w:t>
      </w:r>
      <w:r w:rsidR="00A84FB9">
        <w:rPr>
          <w:lang w:eastAsia="en-AU"/>
        </w:rPr>
        <w:t xml:space="preserve"> considering all the matters raised above,</w:t>
      </w:r>
      <w:r>
        <w:rPr>
          <w:lang w:eastAsia="en-AU"/>
        </w:rPr>
        <w:t xml:space="preserve"> the ACMA</w:t>
      </w:r>
      <w:r w:rsidR="00302953">
        <w:rPr>
          <w:lang w:eastAsia="en-AU"/>
        </w:rPr>
        <w:t xml:space="preserve"> finds</w:t>
      </w:r>
      <w:r>
        <w:rPr>
          <w:lang w:eastAsia="en-AU"/>
        </w:rPr>
        <w:t xml:space="preserve"> that </w:t>
      </w:r>
      <w:r w:rsidR="005F7A0E">
        <w:rPr>
          <w:lang w:eastAsia="en-AU"/>
        </w:rPr>
        <w:t xml:space="preserve">by broadcasting this information, </w:t>
      </w:r>
      <w:r>
        <w:rPr>
          <w:lang w:eastAsia="en-AU"/>
        </w:rPr>
        <w:t>the Licensee breached clause 3.5.1 of the Code.</w:t>
      </w:r>
    </w:p>
    <w:p w14:paraId="079876FE" w14:textId="0E86C414" w:rsidR="00857227" w:rsidRDefault="009C289F" w:rsidP="006E5357">
      <w:pPr>
        <w:pStyle w:val="ACMABodyText"/>
        <w:rPr>
          <w:lang w:eastAsia="en-AU"/>
        </w:rPr>
      </w:pPr>
      <w:r>
        <w:rPr>
          <w:lang w:eastAsia="en-AU"/>
        </w:rPr>
        <w:t xml:space="preserve"> </w:t>
      </w:r>
      <w:r w:rsidR="00857227">
        <w:rPr>
          <w:lang w:eastAsia="en-AU"/>
        </w:rPr>
        <w:br w:type="page"/>
      </w:r>
    </w:p>
    <w:bookmarkEnd w:id="2"/>
    <w:p w14:paraId="1C2930B6" w14:textId="77777777" w:rsidR="00934ECC" w:rsidRDefault="00934ECC" w:rsidP="00075F5D">
      <w:pPr>
        <w:pStyle w:val="ACMAHeading2"/>
        <w:pageBreakBefore/>
        <w:spacing w:after="240"/>
        <w:jc w:val="right"/>
      </w:pPr>
      <w:r w:rsidRPr="00934ECC">
        <w:lastRenderedPageBreak/>
        <w:t>Attachment</w:t>
      </w:r>
      <w:r>
        <w:t xml:space="preserve"> A</w:t>
      </w:r>
    </w:p>
    <w:p w14:paraId="733E8790" w14:textId="77777777" w:rsidR="001845B1" w:rsidRDefault="001845B1" w:rsidP="001845B1">
      <w:pPr>
        <w:pStyle w:val="ACMABodyTextBold"/>
      </w:pPr>
      <w:r>
        <w:t xml:space="preserve">Complaint </w:t>
      </w:r>
    </w:p>
    <w:p w14:paraId="40E38A29" w14:textId="35231048" w:rsidR="001845B1" w:rsidRDefault="001845B1" w:rsidP="001845B1">
      <w:pPr>
        <w:pStyle w:val="ACMABodyText"/>
        <w:rPr>
          <w:b/>
          <w:i/>
        </w:rPr>
      </w:pPr>
      <w:r w:rsidRPr="00160831">
        <w:rPr>
          <w:b/>
          <w:i/>
        </w:rPr>
        <w:t xml:space="preserve">Complaint to the </w:t>
      </w:r>
      <w:r w:rsidR="00655D0B">
        <w:rPr>
          <w:b/>
          <w:i/>
        </w:rPr>
        <w:t>L</w:t>
      </w:r>
      <w:r w:rsidR="00655D0B" w:rsidRPr="00160831">
        <w:rPr>
          <w:b/>
          <w:i/>
        </w:rPr>
        <w:t xml:space="preserve">icensee </w:t>
      </w:r>
      <w:r w:rsidRPr="00160831">
        <w:rPr>
          <w:b/>
          <w:i/>
        </w:rPr>
        <w:t xml:space="preserve">dated </w:t>
      </w:r>
      <w:r w:rsidR="006B0066">
        <w:rPr>
          <w:b/>
          <w:i/>
        </w:rPr>
        <w:t>22 March 2022</w:t>
      </w:r>
      <w:r w:rsidRPr="00160831">
        <w:rPr>
          <w:b/>
          <w:i/>
        </w:rPr>
        <w:t>:</w:t>
      </w:r>
    </w:p>
    <w:p w14:paraId="65D7C13D" w14:textId="7C64EE7C" w:rsidR="006B0066" w:rsidRDefault="006B0066" w:rsidP="006B0066">
      <w:pPr>
        <w:autoSpaceDE w:val="0"/>
        <w:autoSpaceDN w:val="0"/>
        <w:adjustRightInd w:val="0"/>
        <w:spacing w:before="0" w:after="0" w:line="240" w:lineRule="auto"/>
        <w:rPr>
          <w:i w:val="0"/>
          <w:snapToGrid w:val="0"/>
          <w:szCs w:val="20"/>
          <w:lang w:eastAsia="en-AU"/>
        </w:rPr>
      </w:pPr>
      <w:r w:rsidRPr="006B0066">
        <w:rPr>
          <w:i w:val="0"/>
          <w:snapToGrid w:val="0"/>
          <w:szCs w:val="20"/>
          <w:lang w:eastAsia="en-AU"/>
        </w:rPr>
        <w:t xml:space="preserve">They ran a story on a viral video and named </w:t>
      </w:r>
      <w:r w:rsidR="00F30D24">
        <w:rPr>
          <w:i w:val="0"/>
          <w:snapToGrid w:val="0"/>
          <w:szCs w:val="20"/>
          <w:lang w:eastAsia="en-AU"/>
        </w:rPr>
        <w:t>[...]</w:t>
      </w:r>
      <w:r w:rsidRPr="006B0066">
        <w:rPr>
          <w:i w:val="0"/>
          <w:snapToGrid w:val="0"/>
          <w:szCs w:val="20"/>
          <w:lang w:eastAsia="en-AU"/>
        </w:rPr>
        <w:t xml:space="preserve"> when he had</w:t>
      </w:r>
      <w:r>
        <w:rPr>
          <w:i w:val="0"/>
          <w:snapToGrid w:val="0"/>
          <w:szCs w:val="20"/>
          <w:lang w:eastAsia="en-AU"/>
        </w:rPr>
        <w:t xml:space="preserve"> </w:t>
      </w:r>
      <w:r w:rsidRPr="006B0066">
        <w:rPr>
          <w:i w:val="0"/>
          <w:snapToGrid w:val="0"/>
          <w:szCs w:val="20"/>
          <w:lang w:eastAsia="en-AU"/>
        </w:rPr>
        <w:t xml:space="preserve">refused to make a statement. They have not respected our privacy, </w:t>
      </w:r>
    </w:p>
    <w:p w14:paraId="1FC7E5FB" w14:textId="77777777" w:rsidR="006B0066" w:rsidRDefault="006B0066" w:rsidP="006B0066">
      <w:pPr>
        <w:autoSpaceDE w:val="0"/>
        <w:autoSpaceDN w:val="0"/>
        <w:adjustRightInd w:val="0"/>
        <w:spacing w:before="0" w:after="0" w:line="240" w:lineRule="auto"/>
        <w:rPr>
          <w:i w:val="0"/>
          <w:snapToGrid w:val="0"/>
          <w:szCs w:val="20"/>
          <w:lang w:eastAsia="en-AU"/>
        </w:rPr>
      </w:pPr>
    </w:p>
    <w:p w14:paraId="58CAB0D2" w14:textId="48925853" w:rsidR="006B0066" w:rsidRPr="006B0066" w:rsidRDefault="006B0066" w:rsidP="006B0066">
      <w:pPr>
        <w:autoSpaceDE w:val="0"/>
        <w:autoSpaceDN w:val="0"/>
        <w:adjustRightInd w:val="0"/>
        <w:spacing w:before="0" w:after="0" w:line="240" w:lineRule="auto"/>
        <w:rPr>
          <w:i w:val="0"/>
          <w:snapToGrid w:val="0"/>
          <w:szCs w:val="20"/>
          <w:lang w:eastAsia="en-AU"/>
        </w:rPr>
      </w:pPr>
      <w:r>
        <w:rPr>
          <w:i w:val="0"/>
          <w:snapToGrid w:val="0"/>
          <w:szCs w:val="20"/>
          <w:lang w:eastAsia="en-AU"/>
        </w:rPr>
        <w:t>[…]</w:t>
      </w:r>
    </w:p>
    <w:p w14:paraId="743821A1" w14:textId="77777777" w:rsidR="001845B1" w:rsidRDefault="001845B1" w:rsidP="001845B1">
      <w:pPr>
        <w:pStyle w:val="ACMABodyText"/>
      </w:pPr>
    </w:p>
    <w:p w14:paraId="286F1C6B" w14:textId="07E4E559" w:rsidR="001845B1" w:rsidRDefault="001845B1" w:rsidP="001845B1">
      <w:pPr>
        <w:pStyle w:val="ACMABodyText"/>
        <w:rPr>
          <w:b/>
          <w:i/>
        </w:rPr>
      </w:pPr>
      <w:r w:rsidRPr="00160831">
        <w:rPr>
          <w:b/>
          <w:i/>
        </w:rPr>
        <w:t xml:space="preserve">Complaint to the ACMA dated </w:t>
      </w:r>
      <w:r w:rsidR="008E7B7E">
        <w:rPr>
          <w:b/>
          <w:i/>
        </w:rPr>
        <w:t>6 May 2022</w:t>
      </w:r>
    </w:p>
    <w:p w14:paraId="54CB141C" w14:textId="471DF692" w:rsidR="008E7B7E" w:rsidRDefault="008E7B7E" w:rsidP="001845B1">
      <w:pPr>
        <w:pStyle w:val="ACMABodyText"/>
      </w:pPr>
      <w:r>
        <w:t xml:space="preserve">I lodged a complaint when they named </w:t>
      </w:r>
      <w:r w:rsidR="00F30D24">
        <w:t>[…]</w:t>
      </w:r>
      <w:r>
        <w:t xml:space="preserve"> (whom I am a representative of) in a story they ran, when he refused to talk to them or make a statement. </w:t>
      </w:r>
    </w:p>
    <w:p w14:paraId="19B5BB0E" w14:textId="77777777" w:rsidR="008E7B7E" w:rsidRDefault="008E7B7E" w:rsidP="001845B1">
      <w:pPr>
        <w:pStyle w:val="ACMABodyText"/>
      </w:pPr>
      <w:r>
        <w:t>[…]</w:t>
      </w:r>
    </w:p>
    <w:p w14:paraId="733F4DB0" w14:textId="740C5F6C" w:rsidR="008E7B7E" w:rsidRPr="008E7B7E" w:rsidRDefault="008E7B7E" w:rsidP="001845B1">
      <w:pPr>
        <w:pStyle w:val="ACMABodyText"/>
      </w:pPr>
      <w:r>
        <w:br/>
        <w:t>I am not satisfied with their response.</w:t>
      </w:r>
    </w:p>
    <w:p w14:paraId="49A20352" w14:textId="77777777" w:rsidR="006A02B1" w:rsidRPr="00153F9D" w:rsidRDefault="006A02B1" w:rsidP="00075F5D">
      <w:pPr>
        <w:pStyle w:val="ACMAHeading2"/>
        <w:pageBreakBefore/>
        <w:spacing w:after="240"/>
        <w:jc w:val="right"/>
      </w:pPr>
      <w:r w:rsidRPr="00153F9D">
        <w:lastRenderedPageBreak/>
        <w:t>Attachment B</w:t>
      </w:r>
    </w:p>
    <w:p w14:paraId="67664172" w14:textId="6EF98E0D" w:rsidR="001845B1" w:rsidRPr="00153F9D" w:rsidRDefault="001845B1" w:rsidP="00D22D4A">
      <w:pPr>
        <w:pStyle w:val="ACMABodyTextBold"/>
      </w:pPr>
      <w:r w:rsidRPr="00D22D4A">
        <w:t>Licensee’s</w:t>
      </w:r>
      <w:r>
        <w:t xml:space="preserve"> </w:t>
      </w:r>
      <w:r w:rsidRPr="00153F9D">
        <w:t>submission</w:t>
      </w:r>
      <w:r w:rsidR="00D22D4A">
        <w:t xml:space="preserve"> to the ACMA 28 July 2022</w:t>
      </w:r>
    </w:p>
    <w:p w14:paraId="43CDAB32" w14:textId="130CFF82" w:rsidR="001845B1" w:rsidRDefault="00D22D4A" w:rsidP="001845B1">
      <w:pPr>
        <w:pStyle w:val="ACMABodyText"/>
        <w:rPr>
          <w:bCs/>
          <w:iCs/>
        </w:rPr>
      </w:pPr>
      <w:r>
        <w:rPr>
          <w:bCs/>
          <w:iCs/>
        </w:rPr>
        <w:t>[…]</w:t>
      </w:r>
    </w:p>
    <w:p w14:paraId="74B2C869" w14:textId="514ED414" w:rsidR="00D22D4A" w:rsidRDefault="00D22D4A" w:rsidP="001845B1">
      <w:pPr>
        <w:pStyle w:val="ACMABodyText"/>
        <w:rPr>
          <w:b/>
          <w:iCs/>
        </w:rPr>
      </w:pPr>
      <w:r>
        <w:rPr>
          <w:b/>
          <w:iCs/>
        </w:rPr>
        <w:t>The Report</w:t>
      </w:r>
    </w:p>
    <w:p w14:paraId="582AD1CA" w14:textId="17226CD6" w:rsidR="00D22D4A" w:rsidRDefault="00D22D4A" w:rsidP="00D22D4A">
      <w:pPr>
        <w:pStyle w:val="ACMABodyText"/>
        <w:numPr>
          <w:ilvl w:val="0"/>
          <w:numId w:val="13"/>
        </w:numPr>
        <w:rPr>
          <w:bCs/>
          <w:iCs/>
        </w:rPr>
      </w:pPr>
      <w:r>
        <w:rPr>
          <w:bCs/>
          <w:iCs/>
        </w:rPr>
        <w:t xml:space="preserve">The Report concerned the fact that video footage of a dispute between two neighbours in regional New South Wales had ‘gone viral’ meaning that it had been posted on the internet where </w:t>
      </w:r>
      <w:r w:rsidR="00E40DA0">
        <w:rPr>
          <w:bCs/>
          <w:iCs/>
        </w:rPr>
        <w:t>a</w:t>
      </w:r>
      <w:r>
        <w:rPr>
          <w:bCs/>
          <w:iCs/>
        </w:rPr>
        <w:t xml:space="preserve">n unusually large number of people had viewed it (the </w:t>
      </w:r>
      <w:r w:rsidRPr="00181375">
        <w:rPr>
          <w:b/>
          <w:iCs/>
        </w:rPr>
        <w:t>Viral Video</w:t>
      </w:r>
      <w:r>
        <w:rPr>
          <w:bCs/>
          <w:iCs/>
        </w:rPr>
        <w:t>)</w:t>
      </w:r>
      <w:r w:rsidR="00181375">
        <w:rPr>
          <w:bCs/>
          <w:iCs/>
        </w:rPr>
        <w:t>. The Report included the Viral Video and also examined the circumstances in which it had bee</w:t>
      </w:r>
      <w:r w:rsidR="006B4691">
        <w:rPr>
          <w:bCs/>
          <w:iCs/>
        </w:rPr>
        <w:t>n</w:t>
      </w:r>
      <w:r w:rsidR="00181375">
        <w:rPr>
          <w:bCs/>
          <w:iCs/>
        </w:rPr>
        <w:t xml:space="preserve"> posted online, where it has attracted a large global audience.</w:t>
      </w:r>
    </w:p>
    <w:p w14:paraId="221C95B6" w14:textId="30D69BA2" w:rsidR="00181375" w:rsidRPr="00DC23DC" w:rsidRDefault="00181375" w:rsidP="00240F8E">
      <w:pPr>
        <w:pStyle w:val="ACMABodyText"/>
        <w:numPr>
          <w:ilvl w:val="0"/>
          <w:numId w:val="13"/>
        </w:numPr>
        <w:rPr>
          <w:bCs/>
          <w:iCs/>
        </w:rPr>
      </w:pPr>
      <w:r w:rsidRPr="00DC23DC">
        <w:rPr>
          <w:bCs/>
          <w:iCs/>
        </w:rPr>
        <w:t xml:space="preserve">The incident the subject of the Report involved an altercation between [the </w:t>
      </w:r>
      <w:r w:rsidR="00E735ED" w:rsidRPr="00DC23DC">
        <w:rPr>
          <w:bCs/>
          <w:iCs/>
        </w:rPr>
        <w:t>M</w:t>
      </w:r>
      <w:r w:rsidRPr="00DC23DC">
        <w:rPr>
          <w:bCs/>
          <w:iCs/>
        </w:rPr>
        <w:t xml:space="preserve">an] and [the </w:t>
      </w:r>
      <w:r w:rsidR="008620E8" w:rsidRPr="00DC23DC">
        <w:rPr>
          <w:bCs/>
          <w:iCs/>
        </w:rPr>
        <w:t>N</w:t>
      </w:r>
      <w:r w:rsidRPr="00DC23DC">
        <w:rPr>
          <w:bCs/>
          <w:iCs/>
        </w:rPr>
        <w:t>eighbour</w:t>
      </w:r>
      <w:r w:rsidR="004A2DC5" w:rsidRPr="00DC23DC">
        <w:rPr>
          <w:bCs/>
          <w:iCs/>
        </w:rPr>
        <w:t>]</w:t>
      </w:r>
      <w:r w:rsidRPr="00DC23DC">
        <w:rPr>
          <w:bCs/>
          <w:iCs/>
        </w:rPr>
        <w:t xml:space="preserve">. [the </w:t>
      </w:r>
      <w:r w:rsidR="008620E8" w:rsidRPr="00DC23DC">
        <w:rPr>
          <w:bCs/>
          <w:iCs/>
        </w:rPr>
        <w:t>N</w:t>
      </w:r>
      <w:r w:rsidRPr="00DC23DC">
        <w:rPr>
          <w:bCs/>
          <w:iCs/>
        </w:rPr>
        <w:t>eighbour] is physically much larger and much older than [the</w:t>
      </w:r>
      <w:r w:rsidR="009910F5" w:rsidRPr="00DC23DC">
        <w:rPr>
          <w:bCs/>
          <w:iCs/>
        </w:rPr>
        <w:t xml:space="preserve"> </w:t>
      </w:r>
      <w:r w:rsidR="00E735ED" w:rsidRPr="00DC23DC">
        <w:rPr>
          <w:bCs/>
          <w:iCs/>
        </w:rPr>
        <w:t>M</w:t>
      </w:r>
      <w:r w:rsidRPr="00DC23DC">
        <w:rPr>
          <w:bCs/>
          <w:iCs/>
        </w:rPr>
        <w:t xml:space="preserve">an]. [the </w:t>
      </w:r>
      <w:r w:rsidR="00E735ED" w:rsidRPr="00DC23DC">
        <w:rPr>
          <w:bCs/>
          <w:iCs/>
        </w:rPr>
        <w:t>M</w:t>
      </w:r>
      <w:r w:rsidRPr="00DC23DC">
        <w:rPr>
          <w:bCs/>
          <w:iCs/>
        </w:rPr>
        <w:t>an]</w:t>
      </w:r>
      <w:r w:rsidR="009920AA" w:rsidRPr="00DC23DC">
        <w:rPr>
          <w:bCs/>
          <w:iCs/>
        </w:rPr>
        <w:t xml:space="preserve"> […]</w:t>
      </w:r>
      <w:r w:rsidRPr="00DC23DC">
        <w:rPr>
          <w:bCs/>
          <w:iCs/>
        </w:rPr>
        <w:t xml:space="preserve"> As the Report explains, after an initial exchange, [the </w:t>
      </w:r>
      <w:r w:rsidR="00E735ED" w:rsidRPr="00DC23DC">
        <w:rPr>
          <w:bCs/>
          <w:iCs/>
        </w:rPr>
        <w:t>M</w:t>
      </w:r>
      <w:r w:rsidRPr="00DC23DC">
        <w:rPr>
          <w:bCs/>
          <w:iCs/>
        </w:rPr>
        <w:t xml:space="preserve">an] and his </w:t>
      </w:r>
      <w:r w:rsidR="0089369D" w:rsidRPr="00DC23DC">
        <w:rPr>
          <w:bCs/>
          <w:iCs/>
        </w:rPr>
        <w:t>[…]</w:t>
      </w:r>
      <w:r w:rsidRPr="00DC23DC">
        <w:rPr>
          <w:bCs/>
          <w:iCs/>
        </w:rPr>
        <w:t xml:space="preserve"> friend began filming the encounter. [the </w:t>
      </w:r>
      <w:r w:rsidR="008620E8" w:rsidRPr="00DC23DC">
        <w:rPr>
          <w:bCs/>
          <w:iCs/>
        </w:rPr>
        <w:t>N</w:t>
      </w:r>
      <w:r w:rsidRPr="00DC23DC">
        <w:rPr>
          <w:bCs/>
          <w:iCs/>
        </w:rPr>
        <w:t xml:space="preserve">eighbour] who is apparently on another neighbour’s property, climbs the fence and comes onto [the </w:t>
      </w:r>
      <w:r w:rsidR="009910F5" w:rsidRPr="00DC23DC">
        <w:rPr>
          <w:bCs/>
          <w:iCs/>
        </w:rPr>
        <w:t>M</w:t>
      </w:r>
      <w:r w:rsidRPr="00DC23DC">
        <w:rPr>
          <w:bCs/>
          <w:iCs/>
        </w:rPr>
        <w:t xml:space="preserve">an’s] property without permission. [the </w:t>
      </w:r>
      <w:r w:rsidR="00E735ED" w:rsidRPr="00DC23DC">
        <w:rPr>
          <w:bCs/>
          <w:iCs/>
        </w:rPr>
        <w:t>M</w:t>
      </w:r>
      <w:r w:rsidRPr="00DC23DC">
        <w:rPr>
          <w:bCs/>
          <w:iCs/>
        </w:rPr>
        <w:t xml:space="preserve">an] and the friend refer multiple times to the fact they are filming and repeatedly ask [the </w:t>
      </w:r>
      <w:r w:rsidR="008620E8" w:rsidRPr="00DC23DC">
        <w:rPr>
          <w:bCs/>
          <w:iCs/>
        </w:rPr>
        <w:t>N</w:t>
      </w:r>
      <w:r w:rsidRPr="00DC23DC">
        <w:rPr>
          <w:bCs/>
          <w:iCs/>
        </w:rPr>
        <w:t>eighbour] to</w:t>
      </w:r>
      <w:r w:rsidR="00704B35" w:rsidRPr="00DC23DC">
        <w:rPr>
          <w:bCs/>
          <w:iCs/>
        </w:rPr>
        <w:t xml:space="preserve"> leave, but he refuses to do so. When [the </w:t>
      </w:r>
      <w:r w:rsidR="009910F5" w:rsidRPr="00DC23DC">
        <w:rPr>
          <w:bCs/>
          <w:iCs/>
        </w:rPr>
        <w:t>N</w:t>
      </w:r>
      <w:r w:rsidR="00704B35" w:rsidRPr="00DC23DC">
        <w:rPr>
          <w:bCs/>
          <w:iCs/>
        </w:rPr>
        <w:t xml:space="preserve">eighbour] approaches the </w:t>
      </w:r>
      <w:r w:rsidR="000678BD" w:rsidRPr="00DC23DC">
        <w:rPr>
          <w:bCs/>
          <w:iCs/>
        </w:rPr>
        <w:t>[…]</w:t>
      </w:r>
      <w:r w:rsidR="00704B35" w:rsidRPr="00DC23DC">
        <w:rPr>
          <w:bCs/>
          <w:iCs/>
        </w:rPr>
        <w:t xml:space="preserve"> friend in an aggressive and</w:t>
      </w:r>
      <w:r w:rsidR="006057AC" w:rsidRPr="00DC23DC">
        <w:rPr>
          <w:bCs/>
          <w:iCs/>
        </w:rPr>
        <w:t xml:space="preserve"> </w:t>
      </w:r>
      <w:r w:rsidR="00704B35" w:rsidRPr="00DC23DC">
        <w:rPr>
          <w:bCs/>
          <w:iCs/>
        </w:rPr>
        <w:t xml:space="preserve">intimidating manner, [the </w:t>
      </w:r>
      <w:r w:rsidR="008620E8" w:rsidRPr="00DC23DC">
        <w:rPr>
          <w:bCs/>
          <w:iCs/>
        </w:rPr>
        <w:t>M</w:t>
      </w:r>
      <w:r w:rsidR="00704B35" w:rsidRPr="00DC23DC">
        <w:rPr>
          <w:bCs/>
          <w:iCs/>
        </w:rPr>
        <w:t xml:space="preserve">an] steps between them warning </w:t>
      </w:r>
      <w:r w:rsidR="004A2DC5" w:rsidRPr="00DC23DC">
        <w:rPr>
          <w:bCs/>
          <w:iCs/>
        </w:rPr>
        <w:t xml:space="preserve">[the </w:t>
      </w:r>
      <w:r w:rsidR="009910F5" w:rsidRPr="00DC23DC">
        <w:rPr>
          <w:bCs/>
          <w:iCs/>
        </w:rPr>
        <w:t>N</w:t>
      </w:r>
      <w:r w:rsidR="004A2DC5" w:rsidRPr="00DC23DC">
        <w:rPr>
          <w:bCs/>
          <w:iCs/>
        </w:rPr>
        <w:t xml:space="preserve">eighbour] </w:t>
      </w:r>
      <w:r w:rsidR="00704B35" w:rsidRPr="00DC23DC">
        <w:rPr>
          <w:bCs/>
          <w:iCs/>
        </w:rPr>
        <w:t xml:space="preserve">not to touch her, and to get off his property. [the </w:t>
      </w:r>
      <w:r w:rsidR="008620E8" w:rsidRPr="00DC23DC">
        <w:rPr>
          <w:bCs/>
          <w:iCs/>
        </w:rPr>
        <w:t>N</w:t>
      </w:r>
      <w:r w:rsidR="00704B35" w:rsidRPr="00DC23DC">
        <w:rPr>
          <w:bCs/>
          <w:iCs/>
        </w:rPr>
        <w:t xml:space="preserve">eighbour] continues to advance. The encounter culminates in a physical altercation, in which </w:t>
      </w:r>
      <w:r w:rsidR="004A2DC5" w:rsidRPr="00DC23DC">
        <w:rPr>
          <w:bCs/>
          <w:iCs/>
        </w:rPr>
        <w:t>[</w:t>
      </w:r>
      <w:r w:rsidR="00704B35" w:rsidRPr="00DC23DC">
        <w:rPr>
          <w:bCs/>
          <w:iCs/>
        </w:rPr>
        <w:t xml:space="preserve">the </w:t>
      </w:r>
      <w:r w:rsidR="007D4E18" w:rsidRPr="00DC23DC">
        <w:rPr>
          <w:bCs/>
          <w:iCs/>
        </w:rPr>
        <w:t>M</w:t>
      </w:r>
      <w:r w:rsidR="00704B35" w:rsidRPr="00DC23DC">
        <w:rPr>
          <w:bCs/>
          <w:iCs/>
        </w:rPr>
        <w:t xml:space="preserve">an] appears to swing a punch which knocks [the </w:t>
      </w:r>
      <w:r w:rsidR="007D4E18" w:rsidRPr="00DC23DC">
        <w:rPr>
          <w:bCs/>
          <w:iCs/>
        </w:rPr>
        <w:t>N</w:t>
      </w:r>
      <w:r w:rsidR="00704B35" w:rsidRPr="00DC23DC">
        <w:rPr>
          <w:bCs/>
          <w:iCs/>
        </w:rPr>
        <w:t>eighbour] to the ground.</w:t>
      </w:r>
    </w:p>
    <w:p w14:paraId="479DAC3A" w14:textId="6059169B" w:rsidR="00704B35" w:rsidRDefault="00704B35" w:rsidP="00D22D4A">
      <w:pPr>
        <w:pStyle w:val="ACMABodyText"/>
        <w:numPr>
          <w:ilvl w:val="0"/>
          <w:numId w:val="13"/>
        </w:numPr>
        <w:rPr>
          <w:bCs/>
          <w:iCs/>
        </w:rPr>
      </w:pPr>
      <w:r>
        <w:rPr>
          <w:bCs/>
          <w:iCs/>
        </w:rPr>
        <w:t xml:space="preserve">[the </w:t>
      </w:r>
      <w:r w:rsidR="007D4E18">
        <w:rPr>
          <w:bCs/>
          <w:iCs/>
        </w:rPr>
        <w:t>M</w:t>
      </w:r>
      <w:r>
        <w:rPr>
          <w:bCs/>
          <w:iCs/>
        </w:rPr>
        <w:t xml:space="preserve">an] uploaded the Viral Video to the internet, The Report includes an interview with [the </w:t>
      </w:r>
      <w:r w:rsidR="007D4E18">
        <w:rPr>
          <w:bCs/>
          <w:iCs/>
        </w:rPr>
        <w:t>M</w:t>
      </w:r>
      <w:r>
        <w:rPr>
          <w:bCs/>
          <w:iCs/>
        </w:rPr>
        <w:t>an] in which he discloses that the Viral Video had received more than 400,000 views at that time, including people around the world who had sent messages. He expresses his surprise at how many people had viewed the Viral Video and reacted to it.</w:t>
      </w:r>
    </w:p>
    <w:p w14:paraId="09954A4A" w14:textId="328DC04D" w:rsidR="00704B35" w:rsidRDefault="00704B35" w:rsidP="00D22D4A">
      <w:pPr>
        <w:pStyle w:val="ACMABodyText"/>
        <w:numPr>
          <w:ilvl w:val="0"/>
          <w:numId w:val="13"/>
        </w:numPr>
        <w:rPr>
          <w:bCs/>
          <w:iCs/>
        </w:rPr>
      </w:pPr>
      <w:r>
        <w:rPr>
          <w:bCs/>
          <w:iCs/>
        </w:rPr>
        <w:t>The faces of both</w:t>
      </w:r>
      <w:r w:rsidR="007E4C6E">
        <w:rPr>
          <w:bCs/>
          <w:iCs/>
        </w:rPr>
        <w:t xml:space="preserve"> [</w:t>
      </w:r>
      <w:r>
        <w:rPr>
          <w:bCs/>
          <w:iCs/>
        </w:rPr>
        <w:t>the</w:t>
      </w:r>
      <w:r w:rsidR="00E735ED">
        <w:rPr>
          <w:bCs/>
          <w:iCs/>
        </w:rPr>
        <w:t xml:space="preserve"> </w:t>
      </w:r>
      <w:r w:rsidR="007D4E18">
        <w:rPr>
          <w:bCs/>
          <w:iCs/>
        </w:rPr>
        <w:t>M</w:t>
      </w:r>
      <w:r>
        <w:rPr>
          <w:bCs/>
          <w:iCs/>
        </w:rPr>
        <w:t xml:space="preserve">an] and [the </w:t>
      </w:r>
      <w:r w:rsidR="007D4E18">
        <w:rPr>
          <w:bCs/>
          <w:iCs/>
        </w:rPr>
        <w:t>N</w:t>
      </w:r>
      <w:r>
        <w:rPr>
          <w:bCs/>
          <w:iCs/>
        </w:rPr>
        <w:t>eighbour] are visible in the Viral Video an</w:t>
      </w:r>
      <w:r w:rsidR="00984279">
        <w:rPr>
          <w:bCs/>
          <w:iCs/>
        </w:rPr>
        <w:t>d</w:t>
      </w:r>
      <w:r>
        <w:rPr>
          <w:bCs/>
          <w:iCs/>
        </w:rPr>
        <w:t xml:space="preserve"> in the excerpts of the Viral Video included in </w:t>
      </w:r>
      <w:r w:rsidR="004A2DC5">
        <w:rPr>
          <w:bCs/>
          <w:iCs/>
        </w:rPr>
        <w:t xml:space="preserve">the </w:t>
      </w:r>
      <w:r>
        <w:rPr>
          <w:bCs/>
          <w:iCs/>
        </w:rPr>
        <w:t xml:space="preserve">Report. The Report also includes </w:t>
      </w:r>
      <w:r w:rsidR="004A2DC5">
        <w:rPr>
          <w:bCs/>
          <w:iCs/>
        </w:rPr>
        <w:t xml:space="preserve">interviews with [the </w:t>
      </w:r>
      <w:r w:rsidR="007D4E18">
        <w:rPr>
          <w:bCs/>
          <w:iCs/>
        </w:rPr>
        <w:t>M</w:t>
      </w:r>
      <w:r w:rsidR="004A2DC5">
        <w:rPr>
          <w:bCs/>
          <w:iCs/>
        </w:rPr>
        <w:t>an] and the full names of [the</w:t>
      </w:r>
      <w:r w:rsidR="00E735ED">
        <w:rPr>
          <w:bCs/>
          <w:iCs/>
        </w:rPr>
        <w:t xml:space="preserve"> </w:t>
      </w:r>
      <w:r w:rsidR="007D4E18">
        <w:rPr>
          <w:bCs/>
          <w:iCs/>
        </w:rPr>
        <w:t>M</w:t>
      </w:r>
      <w:r w:rsidR="004A2DC5">
        <w:rPr>
          <w:bCs/>
          <w:iCs/>
        </w:rPr>
        <w:t xml:space="preserve">an] and [the </w:t>
      </w:r>
      <w:r w:rsidR="007D4E18">
        <w:rPr>
          <w:bCs/>
          <w:iCs/>
        </w:rPr>
        <w:t>N</w:t>
      </w:r>
      <w:r w:rsidR="004A2DC5">
        <w:rPr>
          <w:bCs/>
          <w:iCs/>
        </w:rPr>
        <w:t xml:space="preserve">eighbour]. The Report includes </w:t>
      </w:r>
      <w:r w:rsidR="00984279">
        <w:rPr>
          <w:bCs/>
          <w:iCs/>
        </w:rPr>
        <w:t xml:space="preserve">the Reporter explaining that [the </w:t>
      </w:r>
      <w:r w:rsidR="007D4E18">
        <w:rPr>
          <w:bCs/>
          <w:iCs/>
        </w:rPr>
        <w:t>N</w:t>
      </w:r>
      <w:r w:rsidR="00984279">
        <w:rPr>
          <w:bCs/>
          <w:iCs/>
        </w:rPr>
        <w:t>eighbour] had been offered an opportunity to respond and providing the substance of what he said to the Report</w:t>
      </w:r>
      <w:r w:rsidR="00E40DA0">
        <w:rPr>
          <w:bCs/>
          <w:iCs/>
        </w:rPr>
        <w:t>er</w:t>
      </w:r>
      <w:r w:rsidR="00984279">
        <w:rPr>
          <w:bCs/>
          <w:iCs/>
        </w:rPr>
        <w:t>.</w:t>
      </w:r>
    </w:p>
    <w:p w14:paraId="47F59E81" w14:textId="37A9CA10" w:rsidR="00984279" w:rsidRDefault="00C67BF9" w:rsidP="00C67BF9">
      <w:pPr>
        <w:pStyle w:val="ACMABodyText"/>
        <w:ind w:left="720"/>
        <w:rPr>
          <w:bCs/>
          <w:iCs/>
        </w:rPr>
      </w:pPr>
      <w:r>
        <w:rPr>
          <w:bCs/>
          <w:iCs/>
        </w:rPr>
        <w:t>[…]</w:t>
      </w:r>
    </w:p>
    <w:p w14:paraId="07B99B49" w14:textId="46C20108" w:rsidR="00C67BF9" w:rsidRDefault="00C67BF9" w:rsidP="00C67BF9">
      <w:pPr>
        <w:pStyle w:val="ACMABodyText"/>
        <w:rPr>
          <w:b/>
          <w:iCs/>
        </w:rPr>
      </w:pPr>
      <w:r w:rsidRPr="00C67BF9">
        <w:rPr>
          <w:b/>
          <w:iCs/>
        </w:rPr>
        <w:t>Privacy</w:t>
      </w:r>
    </w:p>
    <w:p w14:paraId="1BAE5CDC" w14:textId="02C5597A" w:rsidR="00C67BF9" w:rsidRDefault="00C67BF9" w:rsidP="00C67BF9">
      <w:pPr>
        <w:pStyle w:val="ACMABodyText"/>
        <w:rPr>
          <w:bCs/>
          <w:iCs/>
        </w:rPr>
      </w:pPr>
      <w:r>
        <w:rPr>
          <w:bCs/>
          <w:iCs/>
        </w:rPr>
        <w:t>[</w:t>
      </w:r>
      <w:r w:rsidR="007124A7">
        <w:rPr>
          <w:bCs/>
          <w:iCs/>
        </w:rPr>
        <w:t>…</w:t>
      </w:r>
      <w:r>
        <w:rPr>
          <w:bCs/>
          <w:iCs/>
        </w:rPr>
        <w:t>]</w:t>
      </w:r>
    </w:p>
    <w:p w14:paraId="660876CA" w14:textId="6C265408" w:rsidR="00C67BF9" w:rsidRDefault="00C67BF9" w:rsidP="00C67BF9">
      <w:pPr>
        <w:pStyle w:val="ACMABodyText"/>
        <w:numPr>
          <w:ilvl w:val="0"/>
          <w:numId w:val="15"/>
        </w:numPr>
        <w:rPr>
          <w:bCs/>
          <w:iCs/>
        </w:rPr>
      </w:pPr>
      <w:r>
        <w:rPr>
          <w:bCs/>
          <w:iCs/>
        </w:rPr>
        <w:t>In this case, the Viral Video was both publicly and widely accessed (being posted on the internet and having receiv</w:t>
      </w:r>
      <w:r w:rsidR="004A2DC5">
        <w:rPr>
          <w:bCs/>
          <w:iCs/>
        </w:rPr>
        <w:t>ing</w:t>
      </w:r>
      <w:r>
        <w:rPr>
          <w:bCs/>
          <w:iCs/>
        </w:rPr>
        <w:t xml:space="preserve"> in excess of 400,000 views prior to the broadcast of the Report). The Viral Video is still publicly available online and, as at today’s date, has been viewed 715,000 times and shared 41,900 times. Both [the </w:t>
      </w:r>
      <w:r w:rsidR="007D4E18">
        <w:rPr>
          <w:bCs/>
          <w:iCs/>
        </w:rPr>
        <w:t>M</w:t>
      </w:r>
      <w:r>
        <w:rPr>
          <w:bCs/>
          <w:iCs/>
        </w:rPr>
        <w:t xml:space="preserve">an] and [the </w:t>
      </w:r>
      <w:r w:rsidR="007D4E18">
        <w:rPr>
          <w:bCs/>
          <w:iCs/>
        </w:rPr>
        <w:t>N</w:t>
      </w:r>
      <w:r>
        <w:rPr>
          <w:bCs/>
          <w:iCs/>
        </w:rPr>
        <w:t>eighbour] are clearly identifiable in the Viral Video. On that basis, Nine maintains the material included in the Report is clearly not private</w:t>
      </w:r>
      <w:r w:rsidR="00766876">
        <w:rPr>
          <w:bCs/>
          <w:iCs/>
        </w:rPr>
        <w:t xml:space="preserve">, in that it is not material relating to either [the </w:t>
      </w:r>
      <w:r w:rsidR="007D4E18">
        <w:rPr>
          <w:bCs/>
          <w:iCs/>
        </w:rPr>
        <w:t>M</w:t>
      </w:r>
      <w:r w:rsidR="00766876">
        <w:rPr>
          <w:bCs/>
          <w:iCs/>
        </w:rPr>
        <w:t xml:space="preserve">an’s] or [the </w:t>
      </w:r>
      <w:r w:rsidR="007D4E18">
        <w:rPr>
          <w:bCs/>
          <w:iCs/>
        </w:rPr>
        <w:t>N</w:t>
      </w:r>
      <w:r w:rsidR="00766876">
        <w:rPr>
          <w:bCs/>
          <w:iCs/>
        </w:rPr>
        <w:t xml:space="preserve">eighbour’s] personal or private affairs nor an invasion of </w:t>
      </w:r>
      <w:r w:rsidR="00B2559F">
        <w:rPr>
          <w:bCs/>
          <w:iCs/>
        </w:rPr>
        <w:t>[</w:t>
      </w:r>
      <w:r w:rsidR="00766876">
        <w:rPr>
          <w:bCs/>
          <w:iCs/>
        </w:rPr>
        <w:t>either of their] privacy.</w:t>
      </w:r>
    </w:p>
    <w:p w14:paraId="4268D566" w14:textId="3F6F1A2B" w:rsidR="00766876" w:rsidRDefault="00766876" w:rsidP="00C67BF9">
      <w:pPr>
        <w:pStyle w:val="ACMABodyText"/>
        <w:numPr>
          <w:ilvl w:val="0"/>
          <w:numId w:val="15"/>
        </w:numPr>
        <w:rPr>
          <w:bCs/>
          <w:iCs/>
        </w:rPr>
      </w:pPr>
      <w:r>
        <w:rPr>
          <w:bCs/>
          <w:iCs/>
        </w:rPr>
        <w:lastRenderedPageBreak/>
        <w:t xml:space="preserve">Further, there cannot be said to be any reasonable expectation on the part of [the </w:t>
      </w:r>
      <w:r w:rsidR="001B754B">
        <w:rPr>
          <w:bCs/>
          <w:iCs/>
        </w:rPr>
        <w:t>N</w:t>
      </w:r>
      <w:r>
        <w:rPr>
          <w:bCs/>
          <w:iCs/>
        </w:rPr>
        <w:t xml:space="preserve">eighbour] in these circumstances. The Report relates to and includes depiction in which [the </w:t>
      </w:r>
      <w:r w:rsidR="00E735ED">
        <w:rPr>
          <w:bCs/>
          <w:iCs/>
        </w:rPr>
        <w:t>N</w:t>
      </w:r>
      <w:r>
        <w:rPr>
          <w:bCs/>
          <w:iCs/>
        </w:rPr>
        <w:t xml:space="preserve">eighbour] enters [the </w:t>
      </w:r>
      <w:r w:rsidR="00E735ED">
        <w:rPr>
          <w:bCs/>
          <w:iCs/>
        </w:rPr>
        <w:t>M</w:t>
      </w:r>
      <w:r>
        <w:rPr>
          <w:bCs/>
          <w:iCs/>
        </w:rPr>
        <w:t>an’s] property without permission, and without lawful excuse, and refuses to leave when asked. Although private property, it is a circumstance in which a trespasser is being filmed (and aware he is being filmed), with the consent of the property owner. He could easily leave, as he is being asked to do, or cease his inappropriate behaviour, but elects not to. The altercation takes place outdoors, where it could potentially be observed by anyone on neighbouring property</w:t>
      </w:r>
      <w:r w:rsidR="00B2559F">
        <w:rPr>
          <w:bCs/>
          <w:iCs/>
        </w:rPr>
        <w:t xml:space="preserve">. In addition, [the </w:t>
      </w:r>
      <w:r w:rsidR="00682A27">
        <w:rPr>
          <w:bCs/>
          <w:iCs/>
        </w:rPr>
        <w:t>N</w:t>
      </w:r>
      <w:r w:rsidR="00B2559F">
        <w:rPr>
          <w:bCs/>
          <w:iCs/>
        </w:rPr>
        <w:t xml:space="preserve">eighbour] elects to behave in an intimidating and unwelcome manner towards [the </w:t>
      </w:r>
      <w:r w:rsidR="009910F5">
        <w:rPr>
          <w:bCs/>
          <w:iCs/>
        </w:rPr>
        <w:t>M</w:t>
      </w:r>
      <w:r w:rsidR="00B2559F">
        <w:rPr>
          <w:bCs/>
          <w:iCs/>
        </w:rPr>
        <w:t xml:space="preserve">an] and his friend, while aware at all times that he is being filmed, with his conduct finally prompting [the </w:t>
      </w:r>
      <w:r w:rsidR="007D4E18">
        <w:rPr>
          <w:bCs/>
          <w:iCs/>
        </w:rPr>
        <w:t>M</w:t>
      </w:r>
      <w:r w:rsidR="00B2559F">
        <w:rPr>
          <w:bCs/>
          <w:iCs/>
        </w:rPr>
        <w:t xml:space="preserve">an] to strike him. </w:t>
      </w:r>
    </w:p>
    <w:p w14:paraId="486F8E1F" w14:textId="5496FAC1" w:rsidR="004A2DC5" w:rsidRDefault="004A2DC5" w:rsidP="003A0F3A">
      <w:pPr>
        <w:pStyle w:val="ACMABodyText"/>
        <w:numPr>
          <w:ilvl w:val="0"/>
          <w:numId w:val="15"/>
        </w:numPr>
        <w:rPr>
          <w:bCs/>
          <w:iCs/>
        </w:rPr>
      </w:pPr>
      <w:r w:rsidRPr="004A2DC5">
        <w:rPr>
          <w:bCs/>
          <w:iCs/>
        </w:rPr>
        <w:t xml:space="preserve">In these circumstances, Nine does not consider that any of </w:t>
      </w:r>
      <w:r w:rsidR="007D4E18">
        <w:rPr>
          <w:bCs/>
          <w:iCs/>
        </w:rPr>
        <w:t>[the Neighbour’s]</w:t>
      </w:r>
      <w:r w:rsidRPr="004A2DC5">
        <w:rPr>
          <w:bCs/>
          <w:iCs/>
        </w:rPr>
        <w:t xml:space="preserve"> unauthorised entry onto the premises, his identity nor his conduct, could reasonably be material relating to </w:t>
      </w:r>
      <w:r w:rsidR="007D4E18">
        <w:rPr>
          <w:bCs/>
          <w:iCs/>
        </w:rPr>
        <w:t>[the Neighbour’s]</w:t>
      </w:r>
      <w:r w:rsidRPr="004A2DC5">
        <w:rPr>
          <w:bCs/>
          <w:iCs/>
        </w:rPr>
        <w:t xml:space="preserve"> personal or private affairs or which invaded </w:t>
      </w:r>
      <w:r w:rsidR="007D4E18">
        <w:rPr>
          <w:bCs/>
          <w:iCs/>
        </w:rPr>
        <w:t>[the Neighbour’s]</w:t>
      </w:r>
      <w:r w:rsidRPr="004A2DC5">
        <w:rPr>
          <w:bCs/>
          <w:iCs/>
        </w:rPr>
        <w:t xml:space="preserve"> privacy. For these reasons, the Report does not contain any material the subject of the restrictions in clause 3.5.1 and there can be no basis for any allegation of non-compliance with that clause. </w:t>
      </w:r>
    </w:p>
    <w:p w14:paraId="034E1F95" w14:textId="77777777" w:rsidR="004A2DC5" w:rsidRDefault="004A2DC5" w:rsidP="003A0F3A">
      <w:pPr>
        <w:pStyle w:val="ACMABodyText"/>
        <w:numPr>
          <w:ilvl w:val="0"/>
          <w:numId w:val="15"/>
        </w:numPr>
        <w:rPr>
          <w:bCs/>
          <w:iCs/>
        </w:rPr>
      </w:pPr>
      <w:r w:rsidRPr="004A2DC5">
        <w:rPr>
          <w:bCs/>
          <w:iCs/>
        </w:rPr>
        <w:t xml:space="preserve"> Whilst Nine maintains the material was not private, even if it were, there is additionally a public interest in reporting certain occasions of anti-social and aggressive behaviour within the community, such as that depicted in the Viral Video. The prospect of one’s inappropriate conduct becoming widely known in the community acts to dissuade others from engaging in such conduct. Indeed, in this case, the enormous impact of the Viral Video on the internet, prior to the Report, suggests that it resonated with a very large number of people.</w:t>
      </w:r>
    </w:p>
    <w:p w14:paraId="13725310" w14:textId="252D0B64" w:rsidR="004A2DC5" w:rsidRDefault="007D4E18" w:rsidP="003A0F3A">
      <w:pPr>
        <w:pStyle w:val="ACMABodyText"/>
        <w:numPr>
          <w:ilvl w:val="0"/>
          <w:numId w:val="15"/>
        </w:numPr>
        <w:rPr>
          <w:bCs/>
          <w:iCs/>
        </w:rPr>
      </w:pPr>
      <w:r>
        <w:rPr>
          <w:bCs/>
          <w:iCs/>
        </w:rPr>
        <w:t>[The Man]</w:t>
      </w:r>
      <w:r w:rsidR="004A2DC5" w:rsidRPr="004A2DC5">
        <w:rPr>
          <w:bCs/>
          <w:iCs/>
        </w:rPr>
        <w:t xml:space="preserve"> is perfectly entitled to tell people what happened to him on his own property, and who did it, and the Viral Video itself is an objective record of what transpired, evidencing the accuracy of </w:t>
      </w:r>
      <w:r>
        <w:rPr>
          <w:bCs/>
          <w:iCs/>
        </w:rPr>
        <w:t>[</w:t>
      </w:r>
      <w:r w:rsidR="006D01DA">
        <w:rPr>
          <w:bCs/>
          <w:iCs/>
        </w:rPr>
        <w:t>t</w:t>
      </w:r>
      <w:r>
        <w:rPr>
          <w:bCs/>
          <w:iCs/>
        </w:rPr>
        <w:t>he Man’s]</w:t>
      </w:r>
      <w:r w:rsidR="004A2DC5" w:rsidRPr="004A2DC5">
        <w:rPr>
          <w:bCs/>
          <w:iCs/>
        </w:rPr>
        <w:t xml:space="preserve"> account of events.</w:t>
      </w:r>
      <w:r w:rsidR="000678BD">
        <w:rPr>
          <w:bCs/>
          <w:iCs/>
        </w:rPr>
        <w:t xml:space="preserve"> […]</w:t>
      </w:r>
      <w:r w:rsidR="004A2DC5" w:rsidRPr="006057AC">
        <w:rPr>
          <w:bCs/>
          <w:iCs/>
        </w:rPr>
        <w:t>.</w:t>
      </w:r>
      <w:r w:rsidR="004A2DC5" w:rsidRPr="004A2DC5">
        <w:rPr>
          <w:bCs/>
          <w:iCs/>
        </w:rPr>
        <w:t xml:space="preserve"> There is no legal basis nor basis under the Code pursuant to which </w:t>
      </w:r>
      <w:r>
        <w:rPr>
          <w:bCs/>
          <w:iCs/>
        </w:rPr>
        <w:t>[the Neighbour]</w:t>
      </w:r>
      <w:r w:rsidR="004A2DC5" w:rsidRPr="004A2DC5">
        <w:rPr>
          <w:bCs/>
          <w:iCs/>
        </w:rPr>
        <w:t xml:space="preserve"> would be entitled to restrict the publication of his name or face in connection with a report of his conduct in these circumstances. </w:t>
      </w:r>
    </w:p>
    <w:p w14:paraId="4D42F7AE" w14:textId="22D9B4CC" w:rsidR="00B2559F" w:rsidRDefault="004A2DC5" w:rsidP="003A0F3A">
      <w:pPr>
        <w:pStyle w:val="ACMABodyText"/>
        <w:numPr>
          <w:ilvl w:val="0"/>
          <w:numId w:val="15"/>
        </w:numPr>
        <w:rPr>
          <w:bCs/>
          <w:iCs/>
        </w:rPr>
      </w:pPr>
      <w:r w:rsidRPr="004A2DC5">
        <w:rPr>
          <w:bCs/>
          <w:iCs/>
        </w:rPr>
        <w:t xml:space="preserve">By continuing to engage and remain on the premises, despite knowing he is being filmed, </w:t>
      </w:r>
      <w:r w:rsidR="007D4E18">
        <w:rPr>
          <w:bCs/>
          <w:iCs/>
        </w:rPr>
        <w:t>[the Neighbour]</w:t>
      </w:r>
      <w:r w:rsidRPr="004A2DC5">
        <w:rPr>
          <w:bCs/>
          <w:iCs/>
        </w:rPr>
        <w:t xml:space="preserve"> impliedly consents to the filming of his conduct, and must reasonably know, or be recklessly indifferent to, the fact that the recording is being made for the purpose of showing it to third parties.</w:t>
      </w:r>
    </w:p>
    <w:p w14:paraId="6893E0EC" w14:textId="1790EC0E" w:rsidR="004A2DC5" w:rsidRDefault="004A2DC5" w:rsidP="004A2DC5">
      <w:pPr>
        <w:pStyle w:val="ACMABodyText"/>
        <w:ind w:left="360"/>
        <w:rPr>
          <w:bCs/>
          <w:iCs/>
        </w:rPr>
      </w:pPr>
      <w:r>
        <w:rPr>
          <w:bCs/>
          <w:iCs/>
        </w:rPr>
        <w:t>[…]</w:t>
      </w:r>
    </w:p>
    <w:p w14:paraId="2DBCA1E4" w14:textId="4D418419" w:rsidR="00D81422" w:rsidRPr="009318EC" w:rsidRDefault="00D81422" w:rsidP="004A2DC5">
      <w:pPr>
        <w:pStyle w:val="ACMABodyText"/>
        <w:ind w:left="360"/>
        <w:rPr>
          <w:b/>
          <w:bCs/>
        </w:rPr>
      </w:pPr>
      <w:r w:rsidRPr="009318EC">
        <w:rPr>
          <w:b/>
          <w:bCs/>
        </w:rPr>
        <w:t xml:space="preserve">Licensee’s submission to the ACMA </w:t>
      </w:r>
      <w:r w:rsidR="00506E42" w:rsidRPr="009318EC">
        <w:rPr>
          <w:b/>
          <w:bCs/>
        </w:rPr>
        <w:t>16 December 2022</w:t>
      </w:r>
    </w:p>
    <w:p w14:paraId="1DA082BB" w14:textId="0B7A9C00" w:rsidR="00506E42" w:rsidRDefault="00F92221" w:rsidP="004A2DC5">
      <w:pPr>
        <w:pStyle w:val="ACMABodyText"/>
        <w:ind w:left="360"/>
        <w:rPr>
          <w:bCs/>
          <w:iCs/>
        </w:rPr>
      </w:pPr>
      <w:r>
        <w:rPr>
          <w:bCs/>
          <w:iCs/>
        </w:rPr>
        <w:t>[…]</w:t>
      </w:r>
    </w:p>
    <w:p w14:paraId="1163A47A" w14:textId="6C78C057" w:rsidR="00F92221" w:rsidRPr="00F06575" w:rsidRDefault="00F92221" w:rsidP="00F822D1">
      <w:pPr>
        <w:widowControl w:val="0"/>
        <w:autoSpaceDE w:val="0"/>
        <w:autoSpaceDN w:val="0"/>
        <w:spacing w:before="118" w:after="0" w:line="240" w:lineRule="auto"/>
        <w:ind w:left="360" w:right="79"/>
        <w:outlineLvl w:val="0"/>
        <w:rPr>
          <w:rFonts w:eastAsia="Calibri" w:cs="Arial"/>
          <w:b/>
          <w:bCs/>
          <w:i w:val="0"/>
          <w:szCs w:val="20"/>
          <w:lang w:val="en-US"/>
        </w:rPr>
      </w:pPr>
      <w:r w:rsidRPr="00F06575">
        <w:rPr>
          <w:rFonts w:eastAsia="Calibri" w:cs="Arial"/>
          <w:b/>
          <w:bCs/>
          <w:i w:val="0"/>
          <w:szCs w:val="20"/>
          <w:lang w:val="en-US"/>
        </w:rPr>
        <w:t>Did</w:t>
      </w:r>
      <w:r w:rsidRPr="00F06575">
        <w:rPr>
          <w:rFonts w:eastAsia="Calibri" w:cs="Arial"/>
          <w:b/>
          <w:bCs/>
          <w:i w:val="0"/>
          <w:spacing w:val="-6"/>
          <w:szCs w:val="20"/>
          <w:lang w:val="en-US"/>
        </w:rPr>
        <w:t xml:space="preserve"> </w:t>
      </w:r>
      <w:r w:rsidRPr="00F06575">
        <w:rPr>
          <w:rFonts w:eastAsia="Calibri" w:cs="Arial"/>
          <w:b/>
          <w:bCs/>
          <w:i w:val="0"/>
          <w:szCs w:val="20"/>
          <w:lang w:val="en-US"/>
        </w:rPr>
        <w:t>the</w:t>
      </w:r>
      <w:r w:rsidRPr="00F06575">
        <w:rPr>
          <w:rFonts w:eastAsia="Calibri" w:cs="Arial"/>
          <w:b/>
          <w:bCs/>
          <w:i w:val="0"/>
          <w:spacing w:val="-7"/>
          <w:szCs w:val="20"/>
          <w:lang w:val="en-US"/>
        </w:rPr>
        <w:t xml:space="preserve"> </w:t>
      </w:r>
      <w:r w:rsidRPr="00F06575">
        <w:rPr>
          <w:rFonts w:eastAsia="Calibri" w:cs="Arial"/>
          <w:b/>
          <w:bCs/>
          <w:i w:val="0"/>
          <w:szCs w:val="20"/>
          <w:lang w:val="en-US"/>
        </w:rPr>
        <w:t>broadcast</w:t>
      </w:r>
      <w:r w:rsidRPr="00F06575">
        <w:rPr>
          <w:rFonts w:eastAsia="Calibri" w:cs="Arial"/>
          <w:b/>
          <w:bCs/>
          <w:i w:val="0"/>
          <w:spacing w:val="-6"/>
          <w:szCs w:val="20"/>
          <w:lang w:val="en-US"/>
        </w:rPr>
        <w:t xml:space="preserve"> </w:t>
      </w:r>
      <w:r w:rsidRPr="00F06575">
        <w:rPr>
          <w:rFonts w:eastAsia="Calibri" w:cs="Arial"/>
          <w:b/>
          <w:bCs/>
          <w:i w:val="0"/>
          <w:szCs w:val="20"/>
          <w:lang w:val="en-US"/>
        </w:rPr>
        <w:t>material</w:t>
      </w:r>
      <w:r w:rsidRPr="00F06575">
        <w:rPr>
          <w:rFonts w:eastAsia="Calibri" w:cs="Arial"/>
          <w:b/>
          <w:bCs/>
          <w:i w:val="0"/>
          <w:spacing w:val="-8"/>
          <w:szCs w:val="20"/>
          <w:lang w:val="en-US"/>
        </w:rPr>
        <w:t xml:space="preserve"> </w:t>
      </w:r>
      <w:r w:rsidRPr="00F06575">
        <w:rPr>
          <w:rFonts w:eastAsia="Calibri" w:cs="Arial"/>
          <w:b/>
          <w:bCs/>
          <w:i w:val="0"/>
          <w:szCs w:val="20"/>
          <w:lang w:val="en-US"/>
        </w:rPr>
        <w:t>disclose</w:t>
      </w:r>
      <w:r w:rsidRPr="00F06575">
        <w:rPr>
          <w:rFonts w:eastAsia="Calibri" w:cs="Arial"/>
          <w:b/>
          <w:bCs/>
          <w:i w:val="0"/>
          <w:spacing w:val="-6"/>
          <w:szCs w:val="20"/>
          <w:lang w:val="en-US"/>
        </w:rPr>
        <w:t xml:space="preserve"> </w:t>
      </w:r>
      <w:r w:rsidRPr="00F06575">
        <w:rPr>
          <w:rFonts w:eastAsia="Calibri" w:cs="Arial"/>
          <w:b/>
          <w:bCs/>
          <w:i w:val="0"/>
          <w:szCs w:val="20"/>
          <w:lang w:val="en-US"/>
        </w:rPr>
        <w:t>personal</w:t>
      </w:r>
      <w:r w:rsidRPr="00F06575">
        <w:rPr>
          <w:rFonts w:eastAsia="Calibri" w:cs="Arial"/>
          <w:b/>
          <w:bCs/>
          <w:i w:val="0"/>
          <w:spacing w:val="-8"/>
          <w:szCs w:val="20"/>
          <w:lang w:val="en-US"/>
        </w:rPr>
        <w:t xml:space="preserve"> </w:t>
      </w:r>
      <w:r w:rsidRPr="00F06575">
        <w:rPr>
          <w:rFonts w:eastAsia="Calibri" w:cs="Arial"/>
          <w:b/>
          <w:bCs/>
          <w:i w:val="0"/>
          <w:szCs w:val="20"/>
          <w:lang w:val="en-US"/>
        </w:rPr>
        <w:t>information</w:t>
      </w:r>
      <w:r w:rsidRPr="00F06575">
        <w:rPr>
          <w:rFonts w:eastAsia="Calibri" w:cs="Arial"/>
          <w:b/>
          <w:bCs/>
          <w:i w:val="0"/>
          <w:spacing w:val="-6"/>
          <w:szCs w:val="20"/>
          <w:lang w:val="en-US"/>
        </w:rPr>
        <w:t xml:space="preserve"> </w:t>
      </w:r>
      <w:r w:rsidRPr="00F06575">
        <w:rPr>
          <w:rFonts w:eastAsia="Calibri" w:cs="Arial"/>
          <w:b/>
          <w:bCs/>
          <w:i w:val="0"/>
          <w:szCs w:val="20"/>
          <w:lang w:val="en-US"/>
        </w:rPr>
        <w:t>or</w:t>
      </w:r>
      <w:r w:rsidRPr="00F06575">
        <w:rPr>
          <w:rFonts w:eastAsia="Calibri" w:cs="Arial"/>
          <w:b/>
          <w:bCs/>
          <w:i w:val="0"/>
          <w:spacing w:val="-6"/>
          <w:szCs w:val="20"/>
          <w:lang w:val="en-US"/>
        </w:rPr>
        <w:t xml:space="preserve"> </w:t>
      </w:r>
      <w:r w:rsidRPr="00F06575">
        <w:rPr>
          <w:rFonts w:eastAsia="Calibri" w:cs="Arial"/>
          <w:b/>
          <w:bCs/>
          <w:i w:val="0"/>
          <w:szCs w:val="20"/>
          <w:lang w:val="en-US"/>
        </w:rPr>
        <w:t>intrude</w:t>
      </w:r>
      <w:r w:rsidRPr="00F06575">
        <w:rPr>
          <w:rFonts w:eastAsia="Calibri" w:cs="Arial"/>
          <w:b/>
          <w:bCs/>
          <w:i w:val="0"/>
          <w:spacing w:val="-7"/>
          <w:szCs w:val="20"/>
          <w:lang w:val="en-US"/>
        </w:rPr>
        <w:t xml:space="preserve"> </w:t>
      </w:r>
      <w:r w:rsidRPr="00F06575">
        <w:rPr>
          <w:rFonts w:eastAsia="Calibri" w:cs="Arial"/>
          <w:b/>
          <w:bCs/>
          <w:i w:val="0"/>
          <w:szCs w:val="20"/>
          <w:lang w:val="en-US"/>
        </w:rPr>
        <w:t>upon</w:t>
      </w:r>
      <w:r w:rsidRPr="00F06575">
        <w:rPr>
          <w:rFonts w:eastAsia="Calibri" w:cs="Arial"/>
          <w:b/>
          <w:bCs/>
          <w:i w:val="0"/>
          <w:spacing w:val="-6"/>
          <w:szCs w:val="20"/>
          <w:lang w:val="en-US"/>
        </w:rPr>
        <w:t xml:space="preserve"> </w:t>
      </w:r>
      <w:r w:rsidRPr="00F06575">
        <w:rPr>
          <w:rFonts w:eastAsia="Calibri" w:cs="Arial"/>
          <w:b/>
          <w:bCs/>
          <w:i w:val="0"/>
          <w:szCs w:val="20"/>
          <w:lang w:val="en-US"/>
        </w:rPr>
        <w:t>the</w:t>
      </w:r>
      <w:r w:rsidRPr="00F06575">
        <w:rPr>
          <w:rFonts w:eastAsia="Calibri" w:cs="Arial"/>
          <w:b/>
          <w:bCs/>
          <w:i w:val="0"/>
          <w:spacing w:val="-7"/>
          <w:szCs w:val="20"/>
          <w:lang w:val="en-US"/>
        </w:rPr>
        <w:t xml:space="preserve"> </w:t>
      </w:r>
      <w:r w:rsidRPr="00F06575">
        <w:rPr>
          <w:rFonts w:eastAsia="Calibri" w:cs="Arial"/>
          <w:b/>
          <w:bCs/>
          <w:i w:val="0"/>
          <w:szCs w:val="20"/>
          <w:lang w:val="en-US"/>
        </w:rPr>
        <w:t>person’s</w:t>
      </w:r>
      <w:r w:rsidRPr="00F06575">
        <w:rPr>
          <w:rFonts w:eastAsia="Calibri" w:cs="Arial"/>
          <w:b/>
          <w:bCs/>
          <w:i w:val="0"/>
          <w:spacing w:val="-7"/>
          <w:szCs w:val="20"/>
          <w:lang w:val="en-US"/>
        </w:rPr>
        <w:t xml:space="preserve"> </w:t>
      </w:r>
      <w:r w:rsidRPr="00F06575">
        <w:rPr>
          <w:rFonts w:eastAsia="Calibri" w:cs="Arial"/>
          <w:b/>
          <w:bCs/>
          <w:i w:val="0"/>
          <w:szCs w:val="20"/>
          <w:lang w:val="en-US"/>
        </w:rPr>
        <w:t>seclusion</w:t>
      </w:r>
      <w:r w:rsidRPr="00F06575">
        <w:rPr>
          <w:rFonts w:eastAsia="Calibri" w:cs="Arial"/>
          <w:b/>
          <w:bCs/>
          <w:i w:val="0"/>
          <w:spacing w:val="-6"/>
          <w:szCs w:val="20"/>
          <w:lang w:val="en-US"/>
        </w:rPr>
        <w:t xml:space="preserve"> </w:t>
      </w:r>
      <w:r w:rsidRPr="00F06575">
        <w:rPr>
          <w:rFonts w:eastAsia="Calibri" w:cs="Arial"/>
          <w:b/>
          <w:bCs/>
          <w:i w:val="0"/>
          <w:szCs w:val="20"/>
          <w:lang w:val="en-US"/>
        </w:rPr>
        <w:t>in</w:t>
      </w:r>
      <w:r w:rsidRPr="00F06575">
        <w:rPr>
          <w:rFonts w:eastAsia="Calibri" w:cs="Arial"/>
          <w:b/>
          <w:bCs/>
          <w:i w:val="0"/>
          <w:spacing w:val="-6"/>
          <w:szCs w:val="20"/>
          <w:lang w:val="en-US"/>
        </w:rPr>
        <w:t xml:space="preserve"> </w:t>
      </w:r>
      <w:r w:rsidRPr="00F06575">
        <w:rPr>
          <w:rFonts w:eastAsia="Calibri" w:cs="Arial"/>
          <w:b/>
          <w:bCs/>
          <w:i w:val="0"/>
          <w:szCs w:val="20"/>
          <w:lang w:val="en-US"/>
        </w:rPr>
        <w:t>more</w:t>
      </w:r>
      <w:r w:rsidRPr="00F06575">
        <w:rPr>
          <w:rFonts w:eastAsia="Calibri" w:cs="Arial"/>
          <w:b/>
          <w:bCs/>
          <w:i w:val="0"/>
          <w:spacing w:val="-7"/>
          <w:szCs w:val="20"/>
          <w:lang w:val="en-US"/>
        </w:rPr>
        <w:t xml:space="preserve"> </w:t>
      </w:r>
      <w:r w:rsidRPr="00F06575">
        <w:rPr>
          <w:rFonts w:eastAsia="Calibri" w:cs="Arial"/>
          <w:b/>
          <w:bCs/>
          <w:i w:val="0"/>
          <w:szCs w:val="20"/>
          <w:lang w:val="en-US"/>
        </w:rPr>
        <w:t>than a fleeting way?</w:t>
      </w:r>
    </w:p>
    <w:p w14:paraId="6F77A8C3" w14:textId="77777777" w:rsidR="00F06575" w:rsidRPr="00F06575" w:rsidRDefault="00F06575" w:rsidP="00F06575">
      <w:pPr>
        <w:pStyle w:val="ACMABodyText"/>
        <w:rPr>
          <w:rFonts w:eastAsia="Calibri"/>
          <w:lang w:val="en-US"/>
        </w:rPr>
      </w:pPr>
    </w:p>
    <w:p w14:paraId="79BF5249" w14:textId="060E147F" w:rsidR="00F92221" w:rsidRDefault="00F06575" w:rsidP="004A2DC5">
      <w:pPr>
        <w:pStyle w:val="ACMABodyText"/>
        <w:ind w:left="360"/>
        <w:rPr>
          <w:bCs/>
          <w:iCs/>
        </w:rPr>
      </w:pPr>
      <w:r>
        <w:rPr>
          <w:bCs/>
          <w:iCs/>
        </w:rPr>
        <w:t>[…]</w:t>
      </w:r>
    </w:p>
    <w:p w14:paraId="38CDDB32" w14:textId="2FBE7563" w:rsidR="00F06575" w:rsidRPr="00155B06" w:rsidRDefault="00F06575" w:rsidP="00F06575">
      <w:pPr>
        <w:pStyle w:val="ACMABodyText"/>
        <w:numPr>
          <w:ilvl w:val="0"/>
          <w:numId w:val="30"/>
        </w:numPr>
      </w:pPr>
      <w:r w:rsidRPr="00155B06">
        <w:t>The</w:t>
      </w:r>
      <w:r w:rsidRPr="00155B06">
        <w:rPr>
          <w:spacing w:val="-3"/>
        </w:rPr>
        <w:t xml:space="preserve"> </w:t>
      </w:r>
      <w:r w:rsidRPr="00155B06">
        <w:t>Preliminary</w:t>
      </w:r>
      <w:r w:rsidRPr="00155B06">
        <w:rPr>
          <w:spacing w:val="-2"/>
        </w:rPr>
        <w:t xml:space="preserve"> </w:t>
      </w:r>
      <w:r w:rsidRPr="00155B06">
        <w:t>Report</w:t>
      </w:r>
      <w:r w:rsidRPr="00155B06">
        <w:rPr>
          <w:spacing w:val="-2"/>
        </w:rPr>
        <w:t xml:space="preserve"> </w:t>
      </w:r>
      <w:r w:rsidRPr="00155B06">
        <w:t>seems to</w:t>
      </w:r>
      <w:r w:rsidRPr="00155B06">
        <w:rPr>
          <w:spacing w:val="-2"/>
        </w:rPr>
        <w:t xml:space="preserve"> </w:t>
      </w:r>
      <w:r w:rsidRPr="00155B06">
        <w:t>suggest</w:t>
      </w:r>
      <w:r w:rsidRPr="00155B06">
        <w:rPr>
          <w:spacing w:val="-2"/>
        </w:rPr>
        <w:t xml:space="preserve"> </w:t>
      </w:r>
      <w:r w:rsidRPr="00155B06">
        <w:t>that</w:t>
      </w:r>
      <w:r w:rsidRPr="00155B06">
        <w:rPr>
          <w:spacing w:val="-4"/>
        </w:rPr>
        <w:t xml:space="preserve"> </w:t>
      </w:r>
      <w:r w:rsidRPr="00155B06">
        <w:t>the</w:t>
      </w:r>
      <w:r w:rsidRPr="00155B06">
        <w:rPr>
          <w:spacing w:val="-3"/>
        </w:rPr>
        <w:t xml:space="preserve"> </w:t>
      </w:r>
      <w:r w:rsidRPr="00155B06">
        <w:t>fact</w:t>
      </w:r>
      <w:r w:rsidRPr="00155B06">
        <w:rPr>
          <w:spacing w:val="-2"/>
        </w:rPr>
        <w:t xml:space="preserve"> </w:t>
      </w:r>
      <w:r w:rsidR="00E26550">
        <w:rPr>
          <w:spacing w:val="-2"/>
        </w:rPr>
        <w:t>[the Neighbour]</w:t>
      </w:r>
      <w:r w:rsidRPr="00155B06">
        <w:rPr>
          <w:spacing w:val="-2"/>
        </w:rPr>
        <w:t xml:space="preserve"> </w:t>
      </w:r>
      <w:r w:rsidRPr="00155B06">
        <w:t>was</w:t>
      </w:r>
      <w:r w:rsidRPr="00155B06">
        <w:rPr>
          <w:spacing w:val="-1"/>
        </w:rPr>
        <w:t xml:space="preserve"> </w:t>
      </w:r>
      <w:r w:rsidRPr="00155B06">
        <w:t>on</w:t>
      </w:r>
      <w:r w:rsidRPr="00155B06">
        <w:rPr>
          <w:spacing w:val="-2"/>
        </w:rPr>
        <w:t xml:space="preserve"> </w:t>
      </w:r>
      <w:r w:rsidR="00E26550">
        <w:rPr>
          <w:spacing w:val="-2"/>
        </w:rPr>
        <w:t>[the Man’s]</w:t>
      </w:r>
      <w:r w:rsidRPr="00155B06">
        <w:rPr>
          <w:spacing w:val="-2"/>
        </w:rPr>
        <w:t xml:space="preserve"> </w:t>
      </w:r>
      <w:r w:rsidRPr="00155B06">
        <w:t>premises,</w:t>
      </w:r>
      <w:r w:rsidRPr="00155B06">
        <w:rPr>
          <w:spacing w:val="-2"/>
        </w:rPr>
        <w:t xml:space="preserve"> </w:t>
      </w:r>
      <w:r w:rsidRPr="00155B06">
        <w:t>behaving</w:t>
      </w:r>
      <w:r w:rsidRPr="00155B06">
        <w:rPr>
          <w:spacing w:val="-5"/>
        </w:rPr>
        <w:t xml:space="preserve"> </w:t>
      </w:r>
      <w:r w:rsidRPr="00155B06">
        <w:t>in a</w:t>
      </w:r>
      <w:r w:rsidRPr="00155B06">
        <w:rPr>
          <w:spacing w:val="-2"/>
        </w:rPr>
        <w:t xml:space="preserve"> </w:t>
      </w:r>
      <w:r w:rsidRPr="00155B06">
        <w:t xml:space="preserve">particular way, is also private information if </w:t>
      </w:r>
      <w:r w:rsidR="00E26550">
        <w:t>[the Neighbour]</w:t>
      </w:r>
      <w:r w:rsidRPr="00155B06">
        <w:t xml:space="preserve"> is identified. Nine has some concerns about this reasoning - although the complaint is expressed as one of privacy, it appears to be more the case that </w:t>
      </w:r>
      <w:r w:rsidR="00E26550">
        <w:t xml:space="preserve">[the Neighbour] </w:t>
      </w:r>
      <w:r w:rsidRPr="00155B06">
        <w:t>and the Complainant would prefer people</w:t>
      </w:r>
      <w:r w:rsidRPr="00155B06">
        <w:rPr>
          <w:spacing w:val="-2"/>
        </w:rPr>
        <w:t xml:space="preserve"> </w:t>
      </w:r>
      <w:r w:rsidRPr="00155B06">
        <w:t xml:space="preserve">not know about the manner in </w:t>
      </w:r>
      <w:r w:rsidRPr="00155B06">
        <w:lastRenderedPageBreak/>
        <w:t xml:space="preserve">which </w:t>
      </w:r>
      <w:r w:rsidR="00E26550">
        <w:t>[the Neighbour]</w:t>
      </w:r>
      <w:r w:rsidRPr="00155B06">
        <w:t xml:space="preserve"> conducted himself towards </w:t>
      </w:r>
      <w:r w:rsidR="00E26550">
        <w:t>[the Man]</w:t>
      </w:r>
      <w:r w:rsidRPr="00155B06">
        <w:t xml:space="preserve">, and how </w:t>
      </w:r>
      <w:r w:rsidR="00E26550">
        <w:t xml:space="preserve">[the Man] </w:t>
      </w:r>
      <w:r w:rsidRPr="00155B06">
        <w:t>responded, which is not a bona fide privacy complaint.</w:t>
      </w:r>
    </w:p>
    <w:p w14:paraId="2B313AEE" w14:textId="3B86035D" w:rsidR="00F06575" w:rsidRPr="00E2338E" w:rsidRDefault="00F06575" w:rsidP="00E2338E">
      <w:pPr>
        <w:pStyle w:val="BodyText"/>
        <w:numPr>
          <w:ilvl w:val="0"/>
          <w:numId w:val="30"/>
        </w:numPr>
        <w:rPr>
          <w:rFonts w:ascii="Arial" w:hAnsi="Arial" w:cs="Arial"/>
        </w:rPr>
      </w:pPr>
      <w:r w:rsidRPr="00E2338E">
        <w:rPr>
          <w:rFonts w:ascii="Arial" w:hAnsi="Arial" w:cs="Arial"/>
        </w:rPr>
        <w:t>If a person elects to enter a neighbour’s property without consent, it cannot be the case that that person</w:t>
      </w:r>
      <w:r w:rsidRPr="00E2338E">
        <w:rPr>
          <w:rFonts w:ascii="Arial" w:hAnsi="Arial" w:cs="Arial"/>
          <w:spacing w:val="-1"/>
        </w:rPr>
        <w:t xml:space="preserve"> </w:t>
      </w:r>
      <w:r w:rsidRPr="00E2338E">
        <w:rPr>
          <w:rFonts w:ascii="Arial" w:hAnsi="Arial" w:cs="Arial"/>
        </w:rPr>
        <w:t>can</w:t>
      </w:r>
      <w:r w:rsidRPr="00E2338E">
        <w:rPr>
          <w:rFonts w:ascii="Arial" w:hAnsi="Arial" w:cs="Arial"/>
          <w:spacing w:val="-1"/>
        </w:rPr>
        <w:t xml:space="preserve"> </w:t>
      </w:r>
      <w:r w:rsidRPr="00E2338E">
        <w:rPr>
          <w:rFonts w:ascii="Arial" w:hAnsi="Arial" w:cs="Arial"/>
        </w:rPr>
        <w:t>have</w:t>
      </w:r>
      <w:r w:rsidRPr="00E2338E">
        <w:rPr>
          <w:rFonts w:ascii="Arial" w:hAnsi="Arial" w:cs="Arial"/>
          <w:spacing w:val="-2"/>
        </w:rPr>
        <w:t xml:space="preserve"> </w:t>
      </w:r>
      <w:r w:rsidRPr="00E2338E">
        <w:rPr>
          <w:rFonts w:ascii="Arial" w:hAnsi="Arial" w:cs="Arial"/>
        </w:rPr>
        <w:t>their</w:t>
      </w:r>
      <w:r w:rsidRPr="00E2338E">
        <w:rPr>
          <w:rFonts w:ascii="Arial" w:hAnsi="Arial" w:cs="Arial"/>
          <w:spacing w:val="-1"/>
        </w:rPr>
        <w:t xml:space="preserve"> </w:t>
      </w:r>
      <w:r w:rsidRPr="00E2338E">
        <w:rPr>
          <w:rFonts w:ascii="Arial" w:hAnsi="Arial" w:cs="Arial"/>
        </w:rPr>
        <w:t>actions</w:t>
      </w:r>
      <w:r w:rsidRPr="00E2338E">
        <w:rPr>
          <w:rFonts w:ascii="Arial" w:hAnsi="Arial" w:cs="Arial"/>
          <w:spacing w:val="-4"/>
        </w:rPr>
        <w:t xml:space="preserve"> </w:t>
      </w:r>
      <w:r w:rsidRPr="00E2338E">
        <w:rPr>
          <w:rFonts w:ascii="Arial" w:hAnsi="Arial" w:cs="Arial"/>
        </w:rPr>
        <w:t>protected</w:t>
      </w:r>
      <w:r w:rsidRPr="00E2338E">
        <w:rPr>
          <w:rFonts w:ascii="Arial" w:hAnsi="Arial" w:cs="Arial"/>
          <w:spacing w:val="-1"/>
        </w:rPr>
        <w:t xml:space="preserve"> </w:t>
      </w:r>
      <w:r w:rsidRPr="00E2338E">
        <w:rPr>
          <w:rFonts w:ascii="Arial" w:hAnsi="Arial" w:cs="Arial"/>
        </w:rPr>
        <w:t>by “privacy”</w:t>
      </w:r>
      <w:r w:rsidRPr="00E2338E">
        <w:rPr>
          <w:rFonts w:ascii="Arial" w:hAnsi="Arial" w:cs="Arial"/>
          <w:spacing w:val="-3"/>
        </w:rPr>
        <w:t xml:space="preserve"> </w:t>
      </w:r>
      <w:r w:rsidRPr="00E2338E">
        <w:rPr>
          <w:rFonts w:ascii="Arial" w:hAnsi="Arial" w:cs="Arial"/>
        </w:rPr>
        <w:t>simply</w:t>
      </w:r>
      <w:r w:rsidRPr="00E2338E">
        <w:rPr>
          <w:rFonts w:ascii="Arial" w:hAnsi="Arial" w:cs="Arial"/>
          <w:spacing w:val="-1"/>
        </w:rPr>
        <w:t xml:space="preserve"> </w:t>
      </w:r>
      <w:r w:rsidRPr="00E2338E">
        <w:rPr>
          <w:rFonts w:ascii="Arial" w:hAnsi="Arial" w:cs="Arial"/>
        </w:rPr>
        <w:t>because</w:t>
      </w:r>
      <w:r w:rsidRPr="00E2338E">
        <w:rPr>
          <w:rFonts w:ascii="Arial" w:hAnsi="Arial" w:cs="Arial"/>
          <w:spacing w:val="-2"/>
        </w:rPr>
        <w:t xml:space="preserve"> </w:t>
      </w:r>
      <w:r w:rsidRPr="00E2338E">
        <w:rPr>
          <w:rFonts w:ascii="Arial" w:hAnsi="Arial" w:cs="Arial"/>
        </w:rPr>
        <w:t>they</w:t>
      </w:r>
      <w:r w:rsidRPr="00E2338E">
        <w:rPr>
          <w:rFonts w:ascii="Arial" w:hAnsi="Arial" w:cs="Arial"/>
          <w:spacing w:val="-1"/>
        </w:rPr>
        <w:t xml:space="preserve"> </w:t>
      </w:r>
      <w:r w:rsidRPr="00E2338E">
        <w:rPr>
          <w:rFonts w:ascii="Arial" w:hAnsi="Arial" w:cs="Arial"/>
        </w:rPr>
        <w:t>would</w:t>
      </w:r>
      <w:r w:rsidRPr="00E2338E">
        <w:rPr>
          <w:rFonts w:ascii="Arial" w:hAnsi="Arial" w:cs="Arial"/>
          <w:spacing w:val="-1"/>
        </w:rPr>
        <w:t xml:space="preserve"> </w:t>
      </w:r>
      <w:r w:rsidRPr="00E2338E">
        <w:rPr>
          <w:rFonts w:ascii="Arial" w:hAnsi="Arial" w:cs="Arial"/>
        </w:rPr>
        <w:t>prefer</w:t>
      </w:r>
      <w:r w:rsidRPr="00E2338E">
        <w:rPr>
          <w:rFonts w:ascii="Arial" w:hAnsi="Arial" w:cs="Arial"/>
          <w:spacing w:val="-1"/>
        </w:rPr>
        <w:t xml:space="preserve"> </w:t>
      </w:r>
      <w:r w:rsidRPr="00E2338E">
        <w:rPr>
          <w:rFonts w:ascii="Arial" w:hAnsi="Arial" w:cs="Arial"/>
        </w:rPr>
        <w:t>others did not know</w:t>
      </w:r>
      <w:r w:rsidRPr="00E2338E">
        <w:rPr>
          <w:rFonts w:ascii="Arial" w:hAnsi="Arial" w:cs="Arial"/>
          <w:spacing w:val="-3"/>
        </w:rPr>
        <w:t xml:space="preserve"> </w:t>
      </w:r>
      <w:r w:rsidRPr="00E2338E">
        <w:rPr>
          <w:rFonts w:ascii="Arial" w:hAnsi="Arial" w:cs="Arial"/>
        </w:rPr>
        <w:t>about</w:t>
      </w:r>
      <w:r w:rsidRPr="00E2338E">
        <w:rPr>
          <w:rFonts w:ascii="Arial" w:hAnsi="Arial" w:cs="Arial"/>
          <w:spacing w:val="-2"/>
        </w:rPr>
        <w:t xml:space="preserve"> </w:t>
      </w:r>
      <w:r w:rsidRPr="00E2338E">
        <w:rPr>
          <w:rFonts w:ascii="Arial" w:hAnsi="Arial" w:cs="Arial"/>
        </w:rPr>
        <w:t>them. In</w:t>
      </w:r>
      <w:r w:rsidRPr="00E2338E">
        <w:rPr>
          <w:rFonts w:ascii="Arial" w:hAnsi="Arial" w:cs="Arial"/>
          <w:spacing w:val="-2"/>
        </w:rPr>
        <w:t xml:space="preserve"> </w:t>
      </w:r>
      <w:r w:rsidRPr="00E2338E">
        <w:rPr>
          <w:rFonts w:ascii="Arial" w:hAnsi="Arial" w:cs="Arial"/>
        </w:rPr>
        <w:t>this case,</w:t>
      </w:r>
      <w:r w:rsidRPr="00E2338E">
        <w:rPr>
          <w:rFonts w:ascii="Arial" w:hAnsi="Arial" w:cs="Arial"/>
          <w:spacing w:val="-2"/>
        </w:rPr>
        <w:t xml:space="preserve"> </w:t>
      </w:r>
      <w:r w:rsidRPr="00E2338E">
        <w:rPr>
          <w:rFonts w:ascii="Arial" w:hAnsi="Arial" w:cs="Arial"/>
        </w:rPr>
        <w:t>if</w:t>
      </w:r>
      <w:r w:rsidRPr="00E2338E">
        <w:rPr>
          <w:rFonts w:ascii="Arial" w:hAnsi="Arial" w:cs="Arial"/>
          <w:spacing w:val="-2"/>
        </w:rPr>
        <w:t xml:space="preserve"> </w:t>
      </w:r>
      <w:r w:rsidR="00E26550">
        <w:rPr>
          <w:rFonts w:ascii="Arial" w:hAnsi="Arial" w:cs="Arial"/>
          <w:spacing w:val="-2"/>
        </w:rPr>
        <w:t>[the Man]</w:t>
      </w:r>
      <w:r w:rsidRPr="00E2338E">
        <w:rPr>
          <w:rFonts w:ascii="Arial" w:hAnsi="Arial" w:cs="Arial"/>
          <w:spacing w:val="-3"/>
        </w:rPr>
        <w:t xml:space="preserve"> </w:t>
      </w:r>
      <w:r w:rsidRPr="00E2338E">
        <w:rPr>
          <w:rFonts w:ascii="Arial" w:hAnsi="Arial" w:cs="Arial"/>
        </w:rPr>
        <w:t>had</w:t>
      </w:r>
      <w:r w:rsidRPr="00E2338E">
        <w:rPr>
          <w:rFonts w:ascii="Arial" w:hAnsi="Arial" w:cs="Arial"/>
          <w:spacing w:val="-2"/>
        </w:rPr>
        <w:t xml:space="preserve"> </w:t>
      </w:r>
      <w:r w:rsidRPr="00E2338E">
        <w:rPr>
          <w:rFonts w:ascii="Arial" w:hAnsi="Arial" w:cs="Arial"/>
        </w:rPr>
        <w:t>not</w:t>
      </w:r>
      <w:r w:rsidRPr="00E2338E">
        <w:rPr>
          <w:rFonts w:ascii="Arial" w:hAnsi="Arial" w:cs="Arial"/>
          <w:spacing w:val="-4"/>
        </w:rPr>
        <w:t xml:space="preserve"> </w:t>
      </w:r>
      <w:r w:rsidRPr="00E2338E">
        <w:rPr>
          <w:rFonts w:ascii="Arial" w:hAnsi="Arial" w:cs="Arial"/>
        </w:rPr>
        <w:t>had</w:t>
      </w:r>
      <w:r w:rsidRPr="00E2338E">
        <w:rPr>
          <w:rFonts w:ascii="Arial" w:hAnsi="Arial" w:cs="Arial"/>
          <w:spacing w:val="-1"/>
        </w:rPr>
        <w:t xml:space="preserve"> </w:t>
      </w:r>
      <w:r w:rsidRPr="00E2338E">
        <w:rPr>
          <w:rFonts w:ascii="Arial" w:hAnsi="Arial" w:cs="Arial"/>
        </w:rPr>
        <w:t>the</w:t>
      </w:r>
      <w:r w:rsidRPr="00E2338E">
        <w:rPr>
          <w:rFonts w:ascii="Arial" w:hAnsi="Arial" w:cs="Arial"/>
          <w:spacing w:val="-3"/>
        </w:rPr>
        <w:t xml:space="preserve"> </w:t>
      </w:r>
      <w:r w:rsidRPr="00E2338E">
        <w:rPr>
          <w:rFonts w:ascii="Arial" w:hAnsi="Arial" w:cs="Arial"/>
        </w:rPr>
        <w:t>foresight</w:t>
      </w:r>
      <w:r w:rsidRPr="00E2338E">
        <w:rPr>
          <w:rFonts w:ascii="Arial" w:hAnsi="Arial" w:cs="Arial"/>
          <w:spacing w:val="-2"/>
        </w:rPr>
        <w:t xml:space="preserve"> </w:t>
      </w:r>
      <w:r w:rsidRPr="00E2338E">
        <w:rPr>
          <w:rFonts w:ascii="Arial" w:hAnsi="Arial" w:cs="Arial"/>
        </w:rPr>
        <w:t>to</w:t>
      </w:r>
      <w:r w:rsidRPr="00E2338E">
        <w:rPr>
          <w:rFonts w:ascii="Arial" w:hAnsi="Arial" w:cs="Arial"/>
          <w:spacing w:val="-2"/>
        </w:rPr>
        <w:t xml:space="preserve"> </w:t>
      </w:r>
      <w:r w:rsidRPr="00E2338E">
        <w:rPr>
          <w:rFonts w:ascii="Arial" w:hAnsi="Arial" w:cs="Arial"/>
        </w:rPr>
        <w:t>film</w:t>
      </w:r>
      <w:r w:rsidRPr="00E2338E">
        <w:rPr>
          <w:rFonts w:ascii="Arial" w:hAnsi="Arial" w:cs="Arial"/>
          <w:spacing w:val="-3"/>
        </w:rPr>
        <w:t xml:space="preserve"> </w:t>
      </w:r>
      <w:r w:rsidR="00E26550">
        <w:rPr>
          <w:rFonts w:ascii="Arial" w:hAnsi="Arial" w:cs="Arial"/>
          <w:spacing w:val="-3"/>
        </w:rPr>
        <w:t>[the Neighbour]</w:t>
      </w:r>
      <w:r w:rsidRPr="00E2338E">
        <w:rPr>
          <w:rFonts w:ascii="Arial" w:hAnsi="Arial" w:cs="Arial"/>
        </w:rPr>
        <w:t>,</w:t>
      </w:r>
      <w:r w:rsidRPr="00E2338E">
        <w:rPr>
          <w:rFonts w:ascii="Arial" w:hAnsi="Arial" w:cs="Arial"/>
          <w:spacing w:val="-1"/>
        </w:rPr>
        <w:t xml:space="preserve"> </w:t>
      </w:r>
      <w:r w:rsidRPr="00E2338E">
        <w:rPr>
          <w:rFonts w:ascii="Arial" w:hAnsi="Arial" w:cs="Arial"/>
        </w:rPr>
        <w:t>he</w:t>
      </w:r>
      <w:r w:rsidRPr="00E2338E">
        <w:rPr>
          <w:rFonts w:ascii="Arial" w:hAnsi="Arial" w:cs="Arial"/>
          <w:spacing w:val="-3"/>
        </w:rPr>
        <w:t xml:space="preserve"> </w:t>
      </w:r>
      <w:r w:rsidRPr="00E2338E">
        <w:rPr>
          <w:rFonts w:ascii="Arial" w:hAnsi="Arial" w:cs="Arial"/>
        </w:rPr>
        <w:t>would</w:t>
      </w:r>
      <w:r w:rsidRPr="00E2338E">
        <w:rPr>
          <w:rFonts w:ascii="Arial" w:hAnsi="Arial" w:cs="Arial"/>
          <w:spacing w:val="-1"/>
        </w:rPr>
        <w:t xml:space="preserve"> </w:t>
      </w:r>
      <w:r w:rsidRPr="00E2338E">
        <w:rPr>
          <w:rFonts w:ascii="Arial" w:hAnsi="Arial" w:cs="Arial"/>
        </w:rPr>
        <w:t>still</w:t>
      </w:r>
      <w:r w:rsidRPr="00E2338E">
        <w:rPr>
          <w:rFonts w:ascii="Arial" w:hAnsi="Arial" w:cs="Arial"/>
          <w:spacing w:val="-3"/>
        </w:rPr>
        <w:t xml:space="preserve"> </w:t>
      </w:r>
      <w:r w:rsidRPr="00E2338E">
        <w:rPr>
          <w:rFonts w:ascii="Arial" w:hAnsi="Arial" w:cs="Arial"/>
        </w:rPr>
        <w:t>have</w:t>
      </w:r>
      <w:r w:rsidRPr="00E2338E">
        <w:rPr>
          <w:rFonts w:ascii="Arial" w:hAnsi="Arial" w:cs="Arial"/>
          <w:spacing w:val="-3"/>
        </w:rPr>
        <w:t xml:space="preserve"> </w:t>
      </w:r>
      <w:r w:rsidRPr="00E2338E">
        <w:rPr>
          <w:rFonts w:ascii="Arial" w:hAnsi="Arial" w:cs="Arial"/>
        </w:rPr>
        <w:t>been</w:t>
      </w:r>
      <w:r w:rsidRPr="00E2338E">
        <w:rPr>
          <w:rFonts w:ascii="Arial" w:hAnsi="Arial" w:cs="Arial"/>
          <w:spacing w:val="-2"/>
        </w:rPr>
        <w:t xml:space="preserve"> </w:t>
      </w:r>
      <w:r w:rsidRPr="00E2338E">
        <w:rPr>
          <w:rFonts w:ascii="Arial" w:hAnsi="Arial" w:cs="Arial"/>
        </w:rPr>
        <w:t xml:space="preserve">free to describe the incident to anyone he wished (be that police, community members or the media). </w:t>
      </w:r>
      <w:r w:rsidR="00796F69">
        <w:rPr>
          <w:rFonts w:ascii="Arial" w:hAnsi="Arial" w:cs="Arial"/>
        </w:rPr>
        <w:t>[…]</w:t>
      </w:r>
      <w:r w:rsidRPr="00E2338E">
        <w:rPr>
          <w:rFonts w:ascii="Arial" w:hAnsi="Arial" w:cs="Arial"/>
        </w:rPr>
        <w:t xml:space="preserve"> The fact he had the foresight to record the incident was, ultimately, the best way of substantiating his claims. He elected to post that material online where it was viewed by many hundreds of</w:t>
      </w:r>
      <w:r w:rsidRPr="00E2338E">
        <w:rPr>
          <w:rFonts w:ascii="Arial" w:hAnsi="Arial" w:cs="Arial"/>
          <w:spacing w:val="-2"/>
        </w:rPr>
        <w:t xml:space="preserve"> </w:t>
      </w:r>
      <w:r w:rsidRPr="00E2338E">
        <w:rPr>
          <w:rFonts w:ascii="Arial" w:hAnsi="Arial" w:cs="Arial"/>
        </w:rPr>
        <w:t>thousands of</w:t>
      </w:r>
      <w:r w:rsidRPr="00E2338E">
        <w:rPr>
          <w:rFonts w:ascii="Arial" w:hAnsi="Arial" w:cs="Arial"/>
          <w:spacing w:val="-2"/>
        </w:rPr>
        <w:t xml:space="preserve"> </w:t>
      </w:r>
      <w:r w:rsidRPr="00E2338E">
        <w:rPr>
          <w:rFonts w:ascii="Arial" w:hAnsi="Arial" w:cs="Arial"/>
        </w:rPr>
        <w:t>people (around 400,000</w:t>
      </w:r>
      <w:r w:rsidRPr="00E2338E">
        <w:rPr>
          <w:rFonts w:ascii="Arial" w:hAnsi="Arial" w:cs="Arial"/>
          <w:spacing w:val="-1"/>
        </w:rPr>
        <w:t xml:space="preserve"> </w:t>
      </w:r>
      <w:r w:rsidRPr="00E2338E">
        <w:rPr>
          <w:rFonts w:ascii="Arial" w:hAnsi="Arial" w:cs="Arial"/>
        </w:rPr>
        <w:t>prior to the</w:t>
      </w:r>
      <w:r w:rsidRPr="00E2338E">
        <w:rPr>
          <w:rFonts w:ascii="Arial" w:hAnsi="Arial" w:cs="Arial"/>
          <w:spacing w:val="-1"/>
        </w:rPr>
        <w:t xml:space="preserve"> </w:t>
      </w:r>
      <w:r w:rsidRPr="00E2338E">
        <w:rPr>
          <w:rFonts w:ascii="Arial" w:hAnsi="Arial" w:cs="Arial"/>
        </w:rPr>
        <w:t>broadcast of</w:t>
      </w:r>
      <w:r w:rsidRPr="00E2338E">
        <w:rPr>
          <w:rFonts w:ascii="Arial" w:hAnsi="Arial" w:cs="Arial"/>
          <w:spacing w:val="-2"/>
        </w:rPr>
        <w:t xml:space="preserve"> </w:t>
      </w:r>
      <w:r w:rsidRPr="00E2338E">
        <w:rPr>
          <w:rFonts w:ascii="Arial" w:hAnsi="Arial" w:cs="Arial"/>
        </w:rPr>
        <w:t>the</w:t>
      </w:r>
      <w:r w:rsidRPr="00E2338E">
        <w:rPr>
          <w:rFonts w:ascii="Arial" w:hAnsi="Arial" w:cs="Arial"/>
          <w:spacing w:val="-1"/>
        </w:rPr>
        <w:t xml:space="preserve"> </w:t>
      </w:r>
      <w:r w:rsidRPr="00E2338E">
        <w:rPr>
          <w:rFonts w:ascii="Arial" w:hAnsi="Arial" w:cs="Arial"/>
        </w:rPr>
        <w:t>Report and many more since). Whether or not one personally agrees with the posting of</w:t>
      </w:r>
      <w:r w:rsidRPr="00E2338E">
        <w:rPr>
          <w:rFonts w:ascii="Arial" w:hAnsi="Arial" w:cs="Arial"/>
          <w:spacing w:val="-1"/>
        </w:rPr>
        <w:t xml:space="preserve"> </w:t>
      </w:r>
      <w:r w:rsidRPr="00E2338E">
        <w:rPr>
          <w:rFonts w:ascii="Arial" w:hAnsi="Arial" w:cs="Arial"/>
        </w:rPr>
        <w:t>such footage</w:t>
      </w:r>
      <w:r w:rsidRPr="00E2338E">
        <w:rPr>
          <w:rFonts w:ascii="Arial" w:hAnsi="Arial" w:cs="Arial"/>
          <w:spacing w:val="-1"/>
        </w:rPr>
        <w:t xml:space="preserve"> </w:t>
      </w:r>
      <w:r w:rsidRPr="00E2338E">
        <w:rPr>
          <w:rFonts w:ascii="Arial" w:hAnsi="Arial" w:cs="Arial"/>
        </w:rPr>
        <w:t>on social</w:t>
      </w:r>
      <w:r w:rsidRPr="00E2338E">
        <w:rPr>
          <w:rFonts w:ascii="Arial" w:hAnsi="Arial" w:cs="Arial"/>
          <w:spacing w:val="-2"/>
        </w:rPr>
        <w:t xml:space="preserve"> </w:t>
      </w:r>
      <w:r w:rsidRPr="00E2338E">
        <w:rPr>
          <w:rFonts w:ascii="Arial" w:hAnsi="Arial" w:cs="Arial"/>
        </w:rPr>
        <w:t>media, the fact remains</w:t>
      </w:r>
      <w:r w:rsidRPr="00E2338E">
        <w:rPr>
          <w:rFonts w:ascii="Arial" w:hAnsi="Arial" w:cs="Arial"/>
          <w:spacing w:val="-3"/>
        </w:rPr>
        <w:t xml:space="preserve"> </w:t>
      </w:r>
      <w:r w:rsidRPr="00E2338E">
        <w:rPr>
          <w:rFonts w:ascii="Arial" w:hAnsi="Arial" w:cs="Arial"/>
        </w:rPr>
        <w:t>that</w:t>
      </w:r>
      <w:r w:rsidRPr="00E2338E">
        <w:rPr>
          <w:rFonts w:ascii="Arial" w:hAnsi="Arial" w:cs="Arial"/>
          <w:spacing w:val="-1"/>
        </w:rPr>
        <w:t xml:space="preserve"> </w:t>
      </w:r>
      <w:r w:rsidRPr="00E2338E">
        <w:rPr>
          <w:rFonts w:ascii="Arial" w:hAnsi="Arial" w:cs="Arial"/>
        </w:rPr>
        <w:t>in</w:t>
      </w:r>
      <w:r w:rsidRPr="00E2338E">
        <w:rPr>
          <w:rFonts w:ascii="Arial" w:hAnsi="Arial" w:cs="Arial"/>
          <w:spacing w:val="-3"/>
        </w:rPr>
        <w:t xml:space="preserve"> </w:t>
      </w:r>
      <w:r w:rsidRPr="00E2338E">
        <w:rPr>
          <w:rFonts w:ascii="Arial" w:hAnsi="Arial" w:cs="Arial"/>
        </w:rPr>
        <w:t>this</w:t>
      </w:r>
      <w:r w:rsidRPr="00E2338E">
        <w:rPr>
          <w:rFonts w:ascii="Arial" w:hAnsi="Arial" w:cs="Arial"/>
          <w:spacing w:val="-3"/>
        </w:rPr>
        <w:t xml:space="preserve"> </w:t>
      </w:r>
      <w:r w:rsidRPr="00E2338E">
        <w:rPr>
          <w:rFonts w:ascii="Arial" w:hAnsi="Arial" w:cs="Arial"/>
        </w:rPr>
        <w:t>case,</w:t>
      </w:r>
      <w:r w:rsidRPr="00E2338E">
        <w:rPr>
          <w:rFonts w:ascii="Arial" w:hAnsi="Arial" w:cs="Arial"/>
          <w:spacing w:val="-4"/>
        </w:rPr>
        <w:t xml:space="preserve"> </w:t>
      </w:r>
      <w:r w:rsidR="00E26550">
        <w:rPr>
          <w:rFonts w:ascii="Arial" w:hAnsi="Arial" w:cs="Arial"/>
        </w:rPr>
        <w:t>[the Man’s]</w:t>
      </w:r>
      <w:r w:rsidRPr="00E2338E">
        <w:rPr>
          <w:rFonts w:ascii="Arial" w:hAnsi="Arial" w:cs="Arial"/>
          <w:spacing w:val="-4"/>
        </w:rPr>
        <w:t xml:space="preserve"> </w:t>
      </w:r>
      <w:r w:rsidRPr="00E2338E">
        <w:rPr>
          <w:rFonts w:ascii="Arial" w:hAnsi="Arial" w:cs="Arial"/>
        </w:rPr>
        <w:t>actions</w:t>
      </w:r>
      <w:r w:rsidRPr="00E2338E">
        <w:rPr>
          <w:rFonts w:ascii="Arial" w:hAnsi="Arial" w:cs="Arial"/>
          <w:spacing w:val="-3"/>
        </w:rPr>
        <w:t xml:space="preserve"> </w:t>
      </w:r>
      <w:r w:rsidRPr="00E2338E">
        <w:rPr>
          <w:rFonts w:ascii="Arial" w:hAnsi="Arial" w:cs="Arial"/>
        </w:rPr>
        <w:t>in</w:t>
      </w:r>
      <w:r w:rsidRPr="00E2338E">
        <w:rPr>
          <w:rFonts w:ascii="Arial" w:hAnsi="Arial" w:cs="Arial"/>
          <w:spacing w:val="-2"/>
        </w:rPr>
        <w:t xml:space="preserve"> </w:t>
      </w:r>
      <w:r w:rsidRPr="00E2338E">
        <w:rPr>
          <w:rFonts w:ascii="Arial" w:hAnsi="Arial" w:cs="Arial"/>
        </w:rPr>
        <w:t>posting</w:t>
      </w:r>
      <w:r w:rsidRPr="00E2338E">
        <w:rPr>
          <w:rFonts w:ascii="Arial" w:hAnsi="Arial" w:cs="Arial"/>
          <w:spacing w:val="-4"/>
        </w:rPr>
        <w:t xml:space="preserve"> </w:t>
      </w:r>
      <w:r w:rsidRPr="00E2338E">
        <w:rPr>
          <w:rFonts w:ascii="Arial" w:hAnsi="Arial" w:cs="Arial"/>
        </w:rPr>
        <w:t>the</w:t>
      </w:r>
      <w:r w:rsidRPr="00E2338E">
        <w:rPr>
          <w:rFonts w:ascii="Arial" w:hAnsi="Arial" w:cs="Arial"/>
          <w:spacing w:val="-4"/>
        </w:rPr>
        <w:t xml:space="preserve"> </w:t>
      </w:r>
      <w:r w:rsidRPr="00E2338E">
        <w:rPr>
          <w:rFonts w:ascii="Arial" w:hAnsi="Arial" w:cs="Arial"/>
        </w:rPr>
        <w:t>footage</w:t>
      </w:r>
      <w:r w:rsidRPr="00E2338E">
        <w:rPr>
          <w:rFonts w:ascii="Arial" w:hAnsi="Arial" w:cs="Arial"/>
          <w:spacing w:val="-5"/>
        </w:rPr>
        <w:t xml:space="preserve"> </w:t>
      </w:r>
      <w:r w:rsidRPr="00E2338E">
        <w:rPr>
          <w:rFonts w:ascii="Arial" w:hAnsi="Arial" w:cs="Arial"/>
        </w:rPr>
        <w:t>online</w:t>
      </w:r>
      <w:r w:rsidRPr="00E2338E">
        <w:rPr>
          <w:rFonts w:ascii="Arial" w:hAnsi="Arial" w:cs="Arial"/>
          <w:spacing w:val="-1"/>
        </w:rPr>
        <w:t xml:space="preserve"> </w:t>
      </w:r>
      <w:r w:rsidRPr="00E2338E">
        <w:rPr>
          <w:rFonts w:ascii="Arial" w:hAnsi="Arial" w:cs="Arial"/>
        </w:rPr>
        <w:t>were</w:t>
      </w:r>
      <w:r w:rsidRPr="00E2338E">
        <w:rPr>
          <w:rFonts w:ascii="Arial" w:hAnsi="Arial" w:cs="Arial"/>
          <w:spacing w:val="-1"/>
        </w:rPr>
        <w:t xml:space="preserve"> </w:t>
      </w:r>
      <w:r w:rsidRPr="00E2338E">
        <w:rPr>
          <w:rFonts w:ascii="Arial" w:hAnsi="Arial" w:cs="Arial"/>
        </w:rPr>
        <w:t>entirely</w:t>
      </w:r>
      <w:r w:rsidRPr="00E2338E">
        <w:rPr>
          <w:rFonts w:ascii="Arial" w:hAnsi="Arial" w:cs="Arial"/>
          <w:spacing w:val="-3"/>
        </w:rPr>
        <w:t xml:space="preserve"> </w:t>
      </w:r>
      <w:r w:rsidRPr="00E2338E">
        <w:rPr>
          <w:rFonts w:ascii="Arial" w:hAnsi="Arial" w:cs="Arial"/>
        </w:rPr>
        <w:t>lawful,</w:t>
      </w:r>
      <w:r w:rsidRPr="00E2338E">
        <w:rPr>
          <w:rFonts w:ascii="Arial" w:hAnsi="Arial" w:cs="Arial"/>
          <w:spacing w:val="-2"/>
        </w:rPr>
        <w:t xml:space="preserve"> </w:t>
      </w:r>
      <w:r w:rsidRPr="00E2338E">
        <w:rPr>
          <w:rFonts w:ascii="Arial" w:hAnsi="Arial" w:cs="Arial"/>
        </w:rPr>
        <w:t>permissible</w:t>
      </w:r>
      <w:r w:rsidRPr="00E2338E">
        <w:rPr>
          <w:rFonts w:ascii="Arial" w:hAnsi="Arial" w:cs="Arial"/>
          <w:spacing w:val="-4"/>
        </w:rPr>
        <w:t xml:space="preserve"> </w:t>
      </w:r>
      <w:r w:rsidRPr="00E2338E">
        <w:rPr>
          <w:rFonts w:ascii="Arial" w:hAnsi="Arial" w:cs="Arial"/>
        </w:rPr>
        <w:t xml:space="preserve">and not in breach of any code or regulation, including as to privacy. </w:t>
      </w:r>
      <w:r w:rsidR="00E26550">
        <w:rPr>
          <w:rFonts w:ascii="Arial" w:hAnsi="Arial" w:cs="Arial"/>
        </w:rPr>
        <w:t>[The Man]</w:t>
      </w:r>
      <w:r w:rsidRPr="00E2338E">
        <w:rPr>
          <w:rFonts w:ascii="Arial" w:hAnsi="Arial" w:cs="Arial"/>
        </w:rPr>
        <w:t xml:space="preserve"> did not require </w:t>
      </w:r>
      <w:r w:rsidR="00E26550">
        <w:rPr>
          <w:rFonts w:ascii="Arial" w:hAnsi="Arial" w:cs="Arial"/>
        </w:rPr>
        <w:t>[the Neighbour’s]</w:t>
      </w:r>
      <w:r w:rsidRPr="00E2338E">
        <w:rPr>
          <w:rFonts w:ascii="Arial" w:hAnsi="Arial" w:cs="Arial"/>
        </w:rPr>
        <w:t xml:space="preserve"> consent to publish the footage online – there is no law nor regulation that requires it. By virtue of </w:t>
      </w:r>
      <w:r w:rsidR="00E26550">
        <w:rPr>
          <w:rFonts w:ascii="Arial" w:hAnsi="Arial" w:cs="Arial"/>
        </w:rPr>
        <w:t>[the Man’s]</w:t>
      </w:r>
      <w:r w:rsidRPr="00E2338E">
        <w:rPr>
          <w:rFonts w:ascii="Arial" w:hAnsi="Arial" w:cs="Arial"/>
        </w:rPr>
        <w:t xml:space="preserve"> actions, the footage became (very) public. In fact, </w:t>
      </w:r>
      <w:r w:rsidR="00E26550">
        <w:rPr>
          <w:rFonts w:ascii="Arial" w:hAnsi="Arial" w:cs="Arial"/>
        </w:rPr>
        <w:t>[the Man]</w:t>
      </w:r>
      <w:r w:rsidRPr="00E2338E">
        <w:rPr>
          <w:rFonts w:ascii="Arial" w:hAnsi="Arial" w:cs="Arial"/>
        </w:rPr>
        <w:t xml:space="preserve"> had the capacity online to reach a greater audience than that even available to the metropolitan broadcast Licensee of a television station.</w:t>
      </w:r>
    </w:p>
    <w:p w14:paraId="3CB8FE1F" w14:textId="24EC7673" w:rsidR="00E2338E" w:rsidRPr="00E2338E" w:rsidRDefault="00E2338E" w:rsidP="00E2338E">
      <w:pPr>
        <w:pStyle w:val="ListParagraph"/>
        <w:widowControl w:val="0"/>
        <w:numPr>
          <w:ilvl w:val="0"/>
          <w:numId w:val="30"/>
        </w:numPr>
        <w:tabs>
          <w:tab w:val="left" w:pos="712"/>
          <w:tab w:val="left" w:pos="713"/>
        </w:tabs>
        <w:autoSpaceDE w:val="0"/>
        <w:autoSpaceDN w:val="0"/>
        <w:spacing w:before="118" w:after="0" w:line="259" w:lineRule="auto"/>
        <w:ind w:right="122"/>
        <w:contextualSpacing w:val="0"/>
        <w:rPr>
          <w:rFonts w:cs="Arial"/>
          <w:i w:val="0"/>
          <w:iCs/>
          <w:szCs w:val="20"/>
        </w:rPr>
      </w:pPr>
      <w:r w:rsidRPr="00E2338E">
        <w:rPr>
          <w:rFonts w:cs="Arial"/>
          <w:i w:val="0"/>
          <w:iCs/>
          <w:szCs w:val="20"/>
        </w:rPr>
        <w:tab/>
        <w:t>In</w:t>
      </w:r>
      <w:r w:rsidRPr="00E2338E">
        <w:rPr>
          <w:rFonts w:cs="Arial"/>
          <w:i w:val="0"/>
          <w:iCs/>
          <w:spacing w:val="-2"/>
          <w:szCs w:val="20"/>
        </w:rPr>
        <w:t xml:space="preserve"> </w:t>
      </w:r>
      <w:r w:rsidRPr="00E2338E">
        <w:rPr>
          <w:rFonts w:cs="Arial"/>
          <w:i w:val="0"/>
          <w:iCs/>
          <w:szCs w:val="20"/>
        </w:rPr>
        <w:t>those</w:t>
      </w:r>
      <w:r w:rsidRPr="00E2338E">
        <w:rPr>
          <w:rFonts w:cs="Arial"/>
          <w:i w:val="0"/>
          <w:iCs/>
          <w:spacing w:val="-3"/>
          <w:szCs w:val="20"/>
        </w:rPr>
        <w:t xml:space="preserve"> </w:t>
      </w:r>
      <w:r w:rsidRPr="00E2338E">
        <w:rPr>
          <w:rFonts w:cs="Arial"/>
          <w:i w:val="0"/>
          <w:iCs/>
          <w:szCs w:val="20"/>
        </w:rPr>
        <w:t>circumstances,</w:t>
      </w:r>
      <w:r w:rsidRPr="00E2338E">
        <w:rPr>
          <w:rFonts w:cs="Arial"/>
          <w:i w:val="0"/>
          <w:iCs/>
          <w:spacing w:val="-2"/>
          <w:szCs w:val="20"/>
        </w:rPr>
        <w:t xml:space="preserve"> </w:t>
      </w:r>
      <w:r w:rsidRPr="00E2338E">
        <w:rPr>
          <w:rFonts w:cs="Arial"/>
          <w:i w:val="0"/>
          <w:iCs/>
          <w:szCs w:val="20"/>
        </w:rPr>
        <w:t>the footage</w:t>
      </w:r>
      <w:r w:rsidRPr="00E2338E">
        <w:rPr>
          <w:rFonts w:cs="Arial"/>
          <w:i w:val="0"/>
          <w:iCs/>
          <w:spacing w:val="-4"/>
          <w:szCs w:val="20"/>
        </w:rPr>
        <w:t xml:space="preserve"> </w:t>
      </w:r>
      <w:r w:rsidRPr="00E2338E">
        <w:rPr>
          <w:rFonts w:cs="Arial"/>
          <w:i w:val="0"/>
          <w:iCs/>
          <w:szCs w:val="20"/>
        </w:rPr>
        <w:t>itself</w:t>
      </w:r>
      <w:r w:rsidRPr="00E2338E">
        <w:rPr>
          <w:rFonts w:cs="Arial"/>
          <w:i w:val="0"/>
          <w:iCs/>
          <w:spacing w:val="-3"/>
          <w:szCs w:val="20"/>
        </w:rPr>
        <w:t xml:space="preserve"> </w:t>
      </w:r>
      <w:r w:rsidRPr="00E2338E">
        <w:rPr>
          <w:rFonts w:cs="Arial"/>
          <w:i w:val="0"/>
          <w:iCs/>
          <w:szCs w:val="20"/>
        </w:rPr>
        <w:t>as</w:t>
      </w:r>
      <w:r w:rsidRPr="00E2338E">
        <w:rPr>
          <w:rFonts w:cs="Arial"/>
          <w:i w:val="0"/>
          <w:iCs/>
          <w:spacing w:val="-1"/>
          <w:szCs w:val="20"/>
        </w:rPr>
        <w:t xml:space="preserve"> </w:t>
      </w:r>
      <w:r w:rsidRPr="00E2338E">
        <w:rPr>
          <w:rFonts w:cs="Arial"/>
          <w:i w:val="0"/>
          <w:iCs/>
          <w:szCs w:val="20"/>
        </w:rPr>
        <w:t>well</w:t>
      </w:r>
      <w:r w:rsidRPr="00E2338E">
        <w:rPr>
          <w:rFonts w:cs="Arial"/>
          <w:i w:val="0"/>
          <w:iCs/>
          <w:spacing w:val="-2"/>
          <w:szCs w:val="20"/>
        </w:rPr>
        <w:t xml:space="preserve"> </w:t>
      </w:r>
      <w:r w:rsidRPr="00E2338E">
        <w:rPr>
          <w:rFonts w:cs="Arial"/>
          <w:i w:val="0"/>
          <w:iCs/>
          <w:szCs w:val="20"/>
        </w:rPr>
        <w:t>as</w:t>
      </w:r>
      <w:r w:rsidRPr="00E2338E">
        <w:rPr>
          <w:rFonts w:cs="Arial"/>
          <w:i w:val="0"/>
          <w:iCs/>
          <w:spacing w:val="-2"/>
          <w:szCs w:val="20"/>
        </w:rPr>
        <w:t xml:space="preserve"> </w:t>
      </w:r>
      <w:r w:rsidRPr="00E2338E">
        <w:rPr>
          <w:rFonts w:cs="Arial"/>
          <w:i w:val="0"/>
          <w:iCs/>
          <w:szCs w:val="20"/>
        </w:rPr>
        <w:t>the</w:t>
      </w:r>
      <w:r w:rsidRPr="00E2338E">
        <w:rPr>
          <w:rFonts w:cs="Arial"/>
          <w:i w:val="0"/>
          <w:iCs/>
          <w:spacing w:val="-3"/>
          <w:szCs w:val="20"/>
        </w:rPr>
        <w:t xml:space="preserve"> </w:t>
      </w:r>
      <w:r w:rsidRPr="00E2338E">
        <w:rPr>
          <w:rFonts w:cs="Arial"/>
          <w:i w:val="0"/>
          <w:iCs/>
          <w:szCs w:val="20"/>
        </w:rPr>
        <w:t>fact of</w:t>
      </w:r>
      <w:r w:rsidRPr="00E2338E">
        <w:rPr>
          <w:rFonts w:cs="Arial"/>
          <w:i w:val="0"/>
          <w:iCs/>
          <w:spacing w:val="-4"/>
          <w:szCs w:val="20"/>
        </w:rPr>
        <w:t xml:space="preserve"> </w:t>
      </w:r>
      <w:r w:rsidRPr="00E2338E">
        <w:rPr>
          <w:rFonts w:cs="Arial"/>
          <w:i w:val="0"/>
          <w:iCs/>
          <w:szCs w:val="20"/>
        </w:rPr>
        <w:t>the</w:t>
      </w:r>
      <w:r w:rsidRPr="00E2338E">
        <w:rPr>
          <w:rFonts w:cs="Arial"/>
          <w:i w:val="0"/>
          <w:iCs/>
          <w:spacing w:val="-3"/>
          <w:szCs w:val="20"/>
        </w:rPr>
        <w:t xml:space="preserve"> </w:t>
      </w:r>
      <w:r w:rsidRPr="00E2338E">
        <w:rPr>
          <w:rFonts w:cs="Arial"/>
          <w:i w:val="0"/>
          <w:iCs/>
          <w:szCs w:val="20"/>
        </w:rPr>
        <w:t>dispute</w:t>
      </w:r>
      <w:r w:rsidRPr="00E2338E">
        <w:rPr>
          <w:rFonts w:cs="Arial"/>
          <w:i w:val="0"/>
          <w:iCs/>
          <w:spacing w:val="-3"/>
          <w:szCs w:val="20"/>
        </w:rPr>
        <w:t xml:space="preserve"> </w:t>
      </w:r>
      <w:r w:rsidRPr="00E2338E">
        <w:rPr>
          <w:rFonts w:cs="Arial"/>
          <w:i w:val="0"/>
          <w:iCs/>
          <w:szCs w:val="20"/>
        </w:rPr>
        <w:t>it</w:t>
      </w:r>
      <w:r w:rsidRPr="00E2338E">
        <w:rPr>
          <w:rFonts w:cs="Arial"/>
          <w:i w:val="0"/>
          <w:iCs/>
          <w:spacing w:val="-2"/>
          <w:szCs w:val="20"/>
        </w:rPr>
        <w:t xml:space="preserve"> </w:t>
      </w:r>
      <w:r w:rsidRPr="00E2338E">
        <w:rPr>
          <w:rFonts w:cs="Arial"/>
          <w:i w:val="0"/>
          <w:iCs/>
          <w:szCs w:val="20"/>
        </w:rPr>
        <w:t>depicts,</w:t>
      </w:r>
      <w:r w:rsidRPr="00E2338E">
        <w:rPr>
          <w:rFonts w:cs="Arial"/>
          <w:i w:val="0"/>
          <w:iCs/>
          <w:spacing w:val="-2"/>
          <w:szCs w:val="20"/>
        </w:rPr>
        <w:t xml:space="preserve"> </w:t>
      </w:r>
      <w:r w:rsidRPr="00E2338E">
        <w:rPr>
          <w:rFonts w:cs="Arial"/>
          <w:i w:val="0"/>
          <w:iCs/>
          <w:szCs w:val="20"/>
        </w:rPr>
        <w:t>and</w:t>
      </w:r>
      <w:r w:rsidRPr="00E2338E">
        <w:rPr>
          <w:rFonts w:cs="Arial"/>
          <w:i w:val="0"/>
          <w:iCs/>
          <w:spacing w:val="-4"/>
          <w:szCs w:val="20"/>
        </w:rPr>
        <w:t xml:space="preserve"> </w:t>
      </w:r>
      <w:r w:rsidRPr="00E2338E">
        <w:rPr>
          <w:rFonts w:cs="Arial"/>
          <w:i w:val="0"/>
          <w:iCs/>
          <w:szCs w:val="20"/>
        </w:rPr>
        <w:t>the</w:t>
      </w:r>
      <w:r w:rsidRPr="00E2338E">
        <w:rPr>
          <w:rFonts w:cs="Arial"/>
          <w:i w:val="0"/>
          <w:iCs/>
          <w:spacing w:val="-3"/>
          <w:szCs w:val="20"/>
        </w:rPr>
        <w:t xml:space="preserve"> </w:t>
      </w:r>
      <w:r w:rsidRPr="00E2338E">
        <w:rPr>
          <w:rFonts w:cs="Arial"/>
          <w:i w:val="0"/>
          <w:iCs/>
          <w:szCs w:val="20"/>
        </w:rPr>
        <w:t>identity</w:t>
      </w:r>
      <w:r w:rsidRPr="00E2338E">
        <w:rPr>
          <w:rFonts w:cs="Arial"/>
          <w:i w:val="0"/>
          <w:iCs/>
          <w:spacing w:val="-1"/>
          <w:szCs w:val="20"/>
        </w:rPr>
        <w:t xml:space="preserve"> </w:t>
      </w:r>
      <w:r w:rsidRPr="00E2338E">
        <w:rPr>
          <w:rFonts w:cs="Arial"/>
          <w:i w:val="0"/>
          <w:iCs/>
          <w:szCs w:val="20"/>
        </w:rPr>
        <w:t xml:space="preserve">of </w:t>
      </w:r>
      <w:r w:rsidR="00E26550">
        <w:rPr>
          <w:rFonts w:cs="Arial"/>
          <w:i w:val="0"/>
          <w:iCs/>
          <w:szCs w:val="20"/>
        </w:rPr>
        <w:t>[the Neighbour]</w:t>
      </w:r>
      <w:r w:rsidRPr="00E2338E">
        <w:rPr>
          <w:rFonts w:cs="Arial"/>
          <w:i w:val="0"/>
          <w:iCs/>
          <w:szCs w:val="20"/>
        </w:rPr>
        <w:t xml:space="preserve"> and the role he played, are publicly available and can no longer be considered private or personal matters. They are quite lawfully and permissibly in the public domain. </w:t>
      </w:r>
      <w:r w:rsidR="00E26550">
        <w:rPr>
          <w:rFonts w:cs="Arial"/>
          <w:i w:val="0"/>
          <w:iCs/>
          <w:szCs w:val="20"/>
        </w:rPr>
        <w:t>[The Neighbour]</w:t>
      </w:r>
      <w:r w:rsidRPr="00E2338E">
        <w:rPr>
          <w:rFonts w:cs="Arial"/>
          <w:i w:val="0"/>
          <w:iCs/>
          <w:szCs w:val="20"/>
        </w:rPr>
        <w:t xml:space="preserve"> has no recourse whatsoever against </w:t>
      </w:r>
      <w:r w:rsidR="00E26550">
        <w:rPr>
          <w:rFonts w:cs="Arial"/>
          <w:i w:val="0"/>
          <w:iCs/>
          <w:szCs w:val="20"/>
        </w:rPr>
        <w:t>[the Man]</w:t>
      </w:r>
      <w:r w:rsidRPr="00E2338E">
        <w:rPr>
          <w:rFonts w:cs="Arial"/>
          <w:i w:val="0"/>
          <w:iCs/>
          <w:szCs w:val="20"/>
        </w:rPr>
        <w:t xml:space="preserve"> for the publication of that information online – it was filmed with the consent of </w:t>
      </w:r>
      <w:r w:rsidR="00E26550">
        <w:rPr>
          <w:rFonts w:cs="Arial"/>
          <w:i w:val="0"/>
          <w:iCs/>
          <w:szCs w:val="20"/>
        </w:rPr>
        <w:t>[the Man]</w:t>
      </w:r>
      <w:r w:rsidRPr="00E2338E">
        <w:rPr>
          <w:rFonts w:cs="Arial"/>
          <w:i w:val="0"/>
          <w:iCs/>
          <w:szCs w:val="20"/>
        </w:rPr>
        <w:t xml:space="preserve"> on his</w:t>
      </w:r>
      <w:r w:rsidRPr="00E2338E">
        <w:rPr>
          <w:rFonts w:cs="Arial"/>
          <w:i w:val="0"/>
          <w:iCs/>
          <w:spacing w:val="40"/>
          <w:szCs w:val="20"/>
        </w:rPr>
        <w:t xml:space="preserve"> </w:t>
      </w:r>
      <w:r w:rsidRPr="00E2338E">
        <w:rPr>
          <w:rFonts w:cs="Arial"/>
          <w:i w:val="0"/>
          <w:iCs/>
          <w:szCs w:val="20"/>
        </w:rPr>
        <w:t>own property, it was not obtained unlawfully or improperly (such as with hacked data), it contains no information protected by law (such as in the case of an intimate image distributed without consent), and</w:t>
      </w:r>
      <w:r w:rsidRPr="00E2338E">
        <w:rPr>
          <w:rFonts w:cs="Arial"/>
          <w:i w:val="0"/>
          <w:iCs/>
          <w:spacing w:val="-1"/>
          <w:szCs w:val="20"/>
        </w:rPr>
        <w:t xml:space="preserve"> </w:t>
      </w:r>
      <w:r w:rsidRPr="00E2338E">
        <w:rPr>
          <w:rFonts w:cs="Arial"/>
          <w:i w:val="0"/>
          <w:iCs/>
          <w:szCs w:val="20"/>
        </w:rPr>
        <w:t>the</w:t>
      </w:r>
      <w:r w:rsidRPr="00E2338E">
        <w:rPr>
          <w:rFonts w:cs="Arial"/>
          <w:i w:val="0"/>
          <w:iCs/>
          <w:spacing w:val="-2"/>
          <w:szCs w:val="20"/>
        </w:rPr>
        <w:t xml:space="preserve"> </w:t>
      </w:r>
      <w:r w:rsidRPr="00E2338E">
        <w:rPr>
          <w:rFonts w:cs="Arial"/>
          <w:i w:val="0"/>
          <w:iCs/>
          <w:szCs w:val="20"/>
        </w:rPr>
        <w:t>fact</w:t>
      </w:r>
      <w:r w:rsidRPr="00E2338E">
        <w:rPr>
          <w:rFonts w:cs="Arial"/>
          <w:i w:val="0"/>
          <w:iCs/>
          <w:spacing w:val="-1"/>
          <w:szCs w:val="20"/>
        </w:rPr>
        <w:t xml:space="preserve"> </w:t>
      </w:r>
      <w:r w:rsidRPr="00E2338E">
        <w:rPr>
          <w:rFonts w:cs="Arial"/>
          <w:i w:val="0"/>
          <w:iCs/>
          <w:szCs w:val="20"/>
        </w:rPr>
        <w:t>the</w:t>
      </w:r>
      <w:r w:rsidRPr="00E2338E">
        <w:rPr>
          <w:rFonts w:cs="Arial"/>
          <w:i w:val="0"/>
          <w:iCs/>
          <w:spacing w:val="-2"/>
          <w:szCs w:val="20"/>
        </w:rPr>
        <w:t xml:space="preserve"> </w:t>
      </w:r>
      <w:r w:rsidRPr="00E2338E">
        <w:rPr>
          <w:rFonts w:cs="Arial"/>
          <w:i w:val="0"/>
          <w:iCs/>
          <w:szCs w:val="20"/>
        </w:rPr>
        <w:t>incident</w:t>
      </w:r>
      <w:r w:rsidRPr="00E2338E">
        <w:rPr>
          <w:rFonts w:cs="Arial"/>
          <w:i w:val="0"/>
          <w:iCs/>
          <w:spacing w:val="-1"/>
          <w:szCs w:val="20"/>
        </w:rPr>
        <w:t xml:space="preserve"> </w:t>
      </w:r>
      <w:r w:rsidRPr="00E2338E">
        <w:rPr>
          <w:rFonts w:cs="Arial"/>
          <w:i w:val="0"/>
          <w:iCs/>
          <w:szCs w:val="20"/>
        </w:rPr>
        <w:t>was filmed</w:t>
      </w:r>
      <w:r w:rsidRPr="00E2338E">
        <w:rPr>
          <w:rFonts w:cs="Arial"/>
          <w:i w:val="0"/>
          <w:iCs/>
          <w:spacing w:val="-1"/>
          <w:szCs w:val="20"/>
        </w:rPr>
        <w:t xml:space="preserve"> </w:t>
      </w:r>
      <w:r w:rsidRPr="00E2338E">
        <w:rPr>
          <w:rFonts w:cs="Arial"/>
          <w:i w:val="0"/>
          <w:iCs/>
          <w:szCs w:val="20"/>
        </w:rPr>
        <w:t>does</w:t>
      </w:r>
      <w:r w:rsidRPr="00E2338E">
        <w:rPr>
          <w:rFonts w:cs="Arial"/>
          <w:i w:val="0"/>
          <w:iCs/>
          <w:spacing w:val="-1"/>
          <w:szCs w:val="20"/>
        </w:rPr>
        <w:t xml:space="preserve"> </w:t>
      </w:r>
      <w:r w:rsidRPr="00E2338E">
        <w:rPr>
          <w:rFonts w:cs="Arial"/>
          <w:i w:val="0"/>
          <w:iCs/>
          <w:szCs w:val="20"/>
        </w:rPr>
        <w:t>not</w:t>
      </w:r>
      <w:r w:rsidRPr="00E2338E">
        <w:rPr>
          <w:rFonts w:cs="Arial"/>
          <w:i w:val="0"/>
          <w:iCs/>
          <w:spacing w:val="-1"/>
          <w:szCs w:val="20"/>
        </w:rPr>
        <w:t xml:space="preserve"> </w:t>
      </w:r>
      <w:r w:rsidRPr="00E2338E">
        <w:rPr>
          <w:rFonts w:cs="Arial"/>
          <w:i w:val="0"/>
          <w:iCs/>
          <w:szCs w:val="20"/>
        </w:rPr>
        <w:t>change</w:t>
      </w:r>
      <w:r w:rsidRPr="00E2338E">
        <w:rPr>
          <w:rFonts w:cs="Arial"/>
          <w:i w:val="0"/>
          <w:iCs/>
          <w:spacing w:val="-3"/>
          <w:szCs w:val="20"/>
        </w:rPr>
        <w:t xml:space="preserve"> </w:t>
      </w:r>
      <w:r w:rsidRPr="00E2338E">
        <w:rPr>
          <w:rFonts w:cs="Arial"/>
          <w:i w:val="0"/>
          <w:iCs/>
          <w:szCs w:val="20"/>
        </w:rPr>
        <w:t>the</w:t>
      </w:r>
      <w:r w:rsidRPr="00E2338E">
        <w:rPr>
          <w:rFonts w:cs="Arial"/>
          <w:i w:val="0"/>
          <w:iCs/>
          <w:spacing w:val="-2"/>
          <w:szCs w:val="20"/>
        </w:rPr>
        <w:t xml:space="preserve"> </w:t>
      </w:r>
      <w:r w:rsidRPr="00E2338E">
        <w:rPr>
          <w:rFonts w:cs="Arial"/>
          <w:i w:val="0"/>
          <w:iCs/>
          <w:szCs w:val="20"/>
        </w:rPr>
        <w:t>nature</w:t>
      </w:r>
      <w:r w:rsidRPr="00E2338E">
        <w:rPr>
          <w:rFonts w:cs="Arial"/>
          <w:i w:val="0"/>
          <w:iCs/>
          <w:spacing w:val="-2"/>
          <w:szCs w:val="20"/>
        </w:rPr>
        <w:t xml:space="preserve"> </w:t>
      </w:r>
      <w:r w:rsidRPr="00E2338E">
        <w:rPr>
          <w:rFonts w:cs="Arial"/>
          <w:i w:val="0"/>
          <w:iCs/>
          <w:szCs w:val="20"/>
        </w:rPr>
        <w:t>of</w:t>
      </w:r>
      <w:r w:rsidRPr="00E2338E">
        <w:rPr>
          <w:rFonts w:cs="Arial"/>
          <w:i w:val="0"/>
          <w:iCs/>
          <w:spacing w:val="-3"/>
          <w:szCs w:val="20"/>
        </w:rPr>
        <w:t xml:space="preserve"> </w:t>
      </w:r>
      <w:r w:rsidRPr="00E2338E">
        <w:rPr>
          <w:rFonts w:cs="Arial"/>
          <w:i w:val="0"/>
          <w:iCs/>
          <w:szCs w:val="20"/>
        </w:rPr>
        <w:t>whether</w:t>
      </w:r>
      <w:r w:rsidRPr="00E2338E">
        <w:rPr>
          <w:rFonts w:cs="Arial"/>
          <w:i w:val="0"/>
          <w:iCs/>
          <w:spacing w:val="-1"/>
          <w:szCs w:val="20"/>
        </w:rPr>
        <w:t xml:space="preserve"> </w:t>
      </w:r>
      <w:r w:rsidRPr="00E2338E">
        <w:rPr>
          <w:rFonts w:cs="Arial"/>
          <w:i w:val="0"/>
          <w:iCs/>
          <w:szCs w:val="20"/>
        </w:rPr>
        <w:t>the dispute</w:t>
      </w:r>
      <w:r w:rsidRPr="00E2338E">
        <w:rPr>
          <w:rFonts w:cs="Arial"/>
          <w:i w:val="0"/>
          <w:iCs/>
          <w:spacing w:val="-2"/>
          <w:szCs w:val="20"/>
        </w:rPr>
        <w:t xml:space="preserve"> </w:t>
      </w:r>
      <w:r w:rsidRPr="00E2338E">
        <w:rPr>
          <w:rFonts w:cs="Arial"/>
          <w:i w:val="0"/>
          <w:iCs/>
          <w:szCs w:val="20"/>
        </w:rPr>
        <w:t>itself,</w:t>
      </w:r>
      <w:r w:rsidRPr="00E2338E">
        <w:rPr>
          <w:rFonts w:cs="Arial"/>
          <w:i w:val="0"/>
          <w:iCs/>
          <w:spacing w:val="-1"/>
          <w:szCs w:val="20"/>
        </w:rPr>
        <w:t xml:space="preserve"> </w:t>
      </w:r>
      <w:r w:rsidRPr="00E2338E">
        <w:rPr>
          <w:rFonts w:cs="Arial"/>
          <w:i w:val="0"/>
          <w:iCs/>
          <w:szCs w:val="20"/>
        </w:rPr>
        <w:t>and</w:t>
      </w:r>
      <w:r w:rsidRPr="00E2338E">
        <w:rPr>
          <w:rFonts w:cs="Arial"/>
          <w:i w:val="0"/>
          <w:iCs/>
          <w:spacing w:val="-1"/>
          <w:szCs w:val="20"/>
        </w:rPr>
        <w:t xml:space="preserve"> </w:t>
      </w:r>
      <w:r w:rsidR="00E26550">
        <w:rPr>
          <w:rFonts w:cs="Arial"/>
          <w:i w:val="0"/>
          <w:iCs/>
          <w:szCs w:val="20"/>
        </w:rPr>
        <w:t>[the Neighbour’s]</w:t>
      </w:r>
      <w:r w:rsidRPr="00E2338E">
        <w:rPr>
          <w:rFonts w:cs="Arial"/>
          <w:i w:val="0"/>
          <w:iCs/>
          <w:szCs w:val="20"/>
        </w:rPr>
        <w:t xml:space="preserve"> involvement in it, can be considered private.</w:t>
      </w:r>
    </w:p>
    <w:p w14:paraId="2B5F4816" w14:textId="187ED944" w:rsidR="00E2338E" w:rsidRPr="00E2338E" w:rsidRDefault="00E2338E" w:rsidP="00E2338E">
      <w:pPr>
        <w:pStyle w:val="ListParagraph"/>
        <w:widowControl w:val="0"/>
        <w:numPr>
          <w:ilvl w:val="0"/>
          <w:numId w:val="30"/>
        </w:numPr>
        <w:tabs>
          <w:tab w:val="left" w:pos="712"/>
          <w:tab w:val="left" w:pos="713"/>
        </w:tabs>
        <w:autoSpaceDE w:val="0"/>
        <w:autoSpaceDN w:val="0"/>
        <w:spacing w:before="118" w:after="0" w:line="259" w:lineRule="auto"/>
        <w:ind w:right="122"/>
        <w:contextualSpacing w:val="0"/>
        <w:rPr>
          <w:rFonts w:cs="Arial"/>
          <w:i w:val="0"/>
          <w:iCs/>
          <w:szCs w:val="20"/>
        </w:rPr>
      </w:pPr>
      <w:r w:rsidRPr="00E2338E">
        <w:rPr>
          <w:rFonts w:cs="Arial"/>
          <w:i w:val="0"/>
          <w:iCs/>
          <w:szCs w:val="20"/>
        </w:rPr>
        <w:t xml:space="preserve">From the moment that material was lawfully posted online and attracted an audience, </w:t>
      </w:r>
      <w:r w:rsidR="00E26550">
        <w:rPr>
          <w:rFonts w:cs="Arial"/>
          <w:i w:val="0"/>
          <w:iCs/>
          <w:szCs w:val="20"/>
        </w:rPr>
        <w:t>[the Neighbour</w:t>
      </w:r>
      <w:r w:rsidR="00724B7C">
        <w:rPr>
          <w:rFonts w:cs="Arial"/>
          <w:i w:val="0"/>
          <w:iCs/>
          <w:szCs w:val="20"/>
        </w:rPr>
        <w:t xml:space="preserve">] </w:t>
      </w:r>
      <w:r w:rsidRPr="00E2338E">
        <w:rPr>
          <w:rFonts w:cs="Arial"/>
          <w:i w:val="0"/>
          <w:iCs/>
          <w:szCs w:val="20"/>
        </w:rPr>
        <w:t xml:space="preserve">was publicly identified in connection with the Dispute, and his conduct. That information was publicly available and ceased to be private at that point. The question of consent therefore does not arise because the material ceases to be material relating to </w:t>
      </w:r>
      <w:r w:rsidR="00E26550">
        <w:rPr>
          <w:rFonts w:cs="Arial"/>
          <w:i w:val="0"/>
          <w:iCs/>
          <w:szCs w:val="20"/>
        </w:rPr>
        <w:t>[the Neighbour’s]</w:t>
      </w:r>
      <w:r w:rsidRPr="00E2338E">
        <w:rPr>
          <w:rFonts w:cs="Arial"/>
          <w:i w:val="0"/>
          <w:iCs/>
          <w:szCs w:val="20"/>
        </w:rPr>
        <w:t xml:space="preserve"> personal or private affairs. Whilst of course some types of information may involve different considerations, in this case, </w:t>
      </w:r>
      <w:bookmarkStart w:id="3" w:name="_Hlk125470200"/>
      <w:r w:rsidR="00E26550">
        <w:rPr>
          <w:rFonts w:cs="Arial"/>
          <w:i w:val="0"/>
          <w:iCs/>
          <w:szCs w:val="20"/>
        </w:rPr>
        <w:t>[the Neighbour]</w:t>
      </w:r>
      <w:bookmarkEnd w:id="3"/>
      <w:r w:rsidR="00E26550">
        <w:rPr>
          <w:rFonts w:cs="Arial"/>
          <w:i w:val="0"/>
          <w:iCs/>
          <w:szCs w:val="20"/>
        </w:rPr>
        <w:t xml:space="preserve"> </w:t>
      </w:r>
      <w:r w:rsidRPr="00E2338E">
        <w:rPr>
          <w:rFonts w:cs="Arial"/>
          <w:i w:val="0"/>
          <w:iCs/>
          <w:szCs w:val="20"/>
        </w:rPr>
        <w:t>cannot reasonably argue his identity and involvement in the incident were private.</w:t>
      </w:r>
    </w:p>
    <w:p w14:paraId="31AE3C53" w14:textId="5151DA80" w:rsidR="00E2338E" w:rsidRPr="00E2338E" w:rsidRDefault="00E2338E" w:rsidP="00E2338E">
      <w:pPr>
        <w:pStyle w:val="ListParagraph"/>
        <w:numPr>
          <w:ilvl w:val="0"/>
          <w:numId w:val="30"/>
        </w:numPr>
        <w:rPr>
          <w:i w:val="0"/>
          <w:snapToGrid w:val="0"/>
          <w:szCs w:val="20"/>
        </w:rPr>
      </w:pPr>
      <w:r w:rsidRPr="00E2338E">
        <w:rPr>
          <w:i w:val="0"/>
          <w:snapToGrid w:val="0"/>
          <w:szCs w:val="20"/>
        </w:rPr>
        <w:t>The Preliminary Report refers to the Guidelines, quoting that “</w:t>
      </w:r>
      <w:r w:rsidRPr="00E2338E">
        <w:rPr>
          <w:iCs/>
          <w:snapToGrid w:val="0"/>
          <w:szCs w:val="20"/>
        </w:rPr>
        <w:t>relevant content may be of a nature that indicates it has been put in the public domain without the affected person’s knowledge or consent.</w:t>
      </w:r>
      <w:r w:rsidRPr="00E2338E">
        <w:rPr>
          <w:i w:val="0"/>
          <w:snapToGrid w:val="0"/>
          <w:szCs w:val="20"/>
        </w:rPr>
        <w:t xml:space="preserve">” However, the full extract from the Guidelines includes the following relevant additional words </w:t>
      </w:r>
      <w:r w:rsidRPr="00E2338E">
        <w:rPr>
          <w:iCs/>
          <w:snapToGrid w:val="0"/>
          <w:szCs w:val="20"/>
        </w:rPr>
        <w:t>“for example, material that is inherently offensive and appears to have been uploaded by someone other than the affected person</w:t>
      </w:r>
      <w:r w:rsidRPr="00E2338E">
        <w:rPr>
          <w:i w:val="0"/>
          <w:snapToGrid w:val="0"/>
          <w:szCs w:val="20"/>
        </w:rPr>
        <w:t xml:space="preserve">.” In this circumstance, the footage is not “inherently offensive” to </w:t>
      </w:r>
      <w:r w:rsidR="00E26550">
        <w:rPr>
          <w:i w:val="0"/>
          <w:snapToGrid w:val="0"/>
          <w:szCs w:val="20"/>
        </w:rPr>
        <w:t>[the Neighbour]</w:t>
      </w:r>
      <w:r w:rsidRPr="00E2338E">
        <w:rPr>
          <w:i w:val="0"/>
          <w:snapToGrid w:val="0"/>
          <w:szCs w:val="20"/>
        </w:rPr>
        <w:t xml:space="preserve">  </w:t>
      </w:r>
      <w:r w:rsidR="009C49AE">
        <w:rPr>
          <w:i w:val="0"/>
          <w:snapToGrid w:val="0"/>
          <w:szCs w:val="20"/>
        </w:rPr>
        <w:t>[</w:t>
      </w:r>
      <w:r w:rsidR="000678BD">
        <w:rPr>
          <w:i w:val="0"/>
          <w:snapToGrid w:val="0"/>
          <w:szCs w:val="20"/>
        </w:rPr>
        <w:t>…]</w:t>
      </w:r>
      <w:r w:rsidRPr="00E2338E">
        <w:rPr>
          <w:i w:val="0"/>
          <w:snapToGrid w:val="0"/>
          <w:szCs w:val="20"/>
        </w:rPr>
        <w:t>. The Guidelines expressly state that they are purely for assistance and do not vary the terms of the Code. Nine submits that precedence should be given to the terms of the Code, in particular the note to Clause 3.5.1 clarifying that the intention of the clause is that “</w:t>
      </w:r>
      <w:r w:rsidRPr="00ED0929">
        <w:rPr>
          <w:iCs/>
          <w:snapToGrid w:val="0"/>
          <w:szCs w:val="20"/>
        </w:rPr>
        <w:t>the broadcast of material that is publicly available or recorded in a public place will generally not be material relating to a person’s personal or private affairs or an invasion of privacy</w:t>
      </w:r>
      <w:r w:rsidRPr="00E2338E">
        <w:rPr>
          <w:i w:val="0"/>
          <w:snapToGrid w:val="0"/>
          <w:szCs w:val="20"/>
        </w:rPr>
        <w:t>.”</w:t>
      </w:r>
    </w:p>
    <w:p w14:paraId="3274596B" w14:textId="4F0AE53B" w:rsidR="00ED0929" w:rsidRPr="00ED0929" w:rsidRDefault="00ED0929" w:rsidP="00ED0929">
      <w:pPr>
        <w:pStyle w:val="ListParagraph"/>
        <w:numPr>
          <w:ilvl w:val="0"/>
          <w:numId w:val="30"/>
        </w:numPr>
        <w:rPr>
          <w:i w:val="0"/>
          <w:snapToGrid w:val="0"/>
          <w:szCs w:val="20"/>
        </w:rPr>
      </w:pPr>
      <w:r w:rsidRPr="00ED0929">
        <w:rPr>
          <w:i w:val="0"/>
          <w:snapToGrid w:val="0"/>
          <w:szCs w:val="20"/>
        </w:rPr>
        <w:t xml:space="preserve">Whether or not precisely the same portions of footage that were available online were included in the broadcast is irrelevant, because it is </w:t>
      </w:r>
      <w:r w:rsidR="00E26550">
        <w:rPr>
          <w:i w:val="0"/>
          <w:snapToGrid w:val="0"/>
          <w:szCs w:val="20"/>
        </w:rPr>
        <w:t>[the Neighbour’s]</w:t>
      </w:r>
      <w:r w:rsidRPr="00ED0929">
        <w:rPr>
          <w:i w:val="0"/>
          <w:snapToGrid w:val="0"/>
          <w:szCs w:val="20"/>
        </w:rPr>
        <w:t xml:space="preserve"> identity and the fact of </w:t>
      </w:r>
      <w:r w:rsidR="00E26550">
        <w:rPr>
          <w:i w:val="0"/>
          <w:snapToGrid w:val="0"/>
          <w:szCs w:val="20"/>
        </w:rPr>
        <w:t>[the Neighbour’s]</w:t>
      </w:r>
      <w:r w:rsidRPr="00ED0929">
        <w:rPr>
          <w:i w:val="0"/>
          <w:snapToGrid w:val="0"/>
          <w:szCs w:val="20"/>
        </w:rPr>
        <w:t xml:space="preserve"> involvement in the dispute that is in issue - not every frame of </w:t>
      </w:r>
      <w:r w:rsidRPr="00ED0929">
        <w:rPr>
          <w:i w:val="0"/>
          <w:snapToGrid w:val="0"/>
          <w:szCs w:val="20"/>
        </w:rPr>
        <w:lastRenderedPageBreak/>
        <w:t xml:space="preserve">the vision. Once the fact of </w:t>
      </w:r>
      <w:r w:rsidR="00724B7C">
        <w:rPr>
          <w:rFonts w:cs="Arial"/>
          <w:i w:val="0"/>
          <w:iCs/>
          <w:szCs w:val="20"/>
        </w:rPr>
        <w:t>[the Neighbour’s]</w:t>
      </w:r>
      <w:r w:rsidRPr="00ED0929">
        <w:rPr>
          <w:i w:val="0"/>
          <w:snapToGrid w:val="0"/>
          <w:szCs w:val="20"/>
        </w:rPr>
        <w:t xml:space="preserve"> involvement and his identity were in the public domain, they ceased to be private.</w:t>
      </w:r>
    </w:p>
    <w:p w14:paraId="59C677F6" w14:textId="04B737BB" w:rsidR="00ED0929" w:rsidRPr="00ED0929" w:rsidRDefault="00ED0929" w:rsidP="00ED0929">
      <w:pPr>
        <w:pStyle w:val="ListParagraph"/>
        <w:numPr>
          <w:ilvl w:val="0"/>
          <w:numId w:val="30"/>
        </w:numPr>
        <w:rPr>
          <w:i w:val="0"/>
          <w:snapToGrid w:val="0"/>
          <w:szCs w:val="20"/>
        </w:rPr>
      </w:pPr>
      <w:r w:rsidRPr="00ED0929">
        <w:rPr>
          <w:i w:val="0"/>
          <w:snapToGrid w:val="0"/>
          <w:szCs w:val="20"/>
        </w:rPr>
        <w:t xml:space="preserve">The Preliminary Report asserts that “the personal information about the neighbour relating to the dispute… the neighbour’s name, age and part of his residential address was not in the public domain.” The Preliminary Report however contains no evidentiary basis for this assertion. </w:t>
      </w:r>
      <w:r w:rsidR="00724B7C">
        <w:rPr>
          <w:rFonts w:cs="Arial"/>
          <w:i w:val="0"/>
          <w:iCs/>
          <w:szCs w:val="20"/>
        </w:rPr>
        <w:t>[The Neighbour]</w:t>
      </w:r>
      <w:r w:rsidRPr="00ED0929">
        <w:rPr>
          <w:i w:val="0"/>
          <w:snapToGrid w:val="0"/>
          <w:szCs w:val="20"/>
        </w:rPr>
        <w:t xml:space="preserve"> was clearly identifiable in the Viral Video. His name and town therefore may well have been known to many viewers of the Viral Video, been tagged or referred to in the comments of one of the various posts including the Viral Vision, or referred to in other media reports about the post. Nine does not know but notes the ACMA makes this statement as an assumption, without any factual or evidentiary basis.</w:t>
      </w:r>
    </w:p>
    <w:p w14:paraId="2F454944" w14:textId="0ECF36D8" w:rsidR="00ED0929" w:rsidRPr="00ED0929" w:rsidRDefault="00ED0929" w:rsidP="00ED0929">
      <w:pPr>
        <w:pStyle w:val="ListParagraph"/>
        <w:numPr>
          <w:ilvl w:val="0"/>
          <w:numId w:val="30"/>
        </w:numPr>
        <w:rPr>
          <w:i w:val="0"/>
          <w:snapToGrid w:val="0"/>
          <w:szCs w:val="20"/>
        </w:rPr>
      </w:pPr>
      <w:r w:rsidRPr="00ED0929">
        <w:rPr>
          <w:i w:val="0"/>
          <w:snapToGrid w:val="0"/>
          <w:szCs w:val="20"/>
        </w:rPr>
        <w:t xml:space="preserve">Further, the Preliminary Report fails to consider that the relevant information was equally </w:t>
      </w:r>
      <w:r w:rsidR="00724B7C">
        <w:rPr>
          <w:i w:val="0"/>
          <w:snapToGrid w:val="0"/>
          <w:szCs w:val="20"/>
        </w:rPr>
        <w:t>[the Man’s]</w:t>
      </w:r>
      <w:r w:rsidRPr="00ED0929">
        <w:rPr>
          <w:i w:val="0"/>
          <w:snapToGrid w:val="0"/>
          <w:szCs w:val="20"/>
        </w:rPr>
        <w:t xml:space="preserve"> information, and was published with his consent. The incident happened to </w:t>
      </w:r>
      <w:r w:rsidR="00724B7C">
        <w:rPr>
          <w:i w:val="0"/>
          <w:snapToGrid w:val="0"/>
          <w:szCs w:val="20"/>
        </w:rPr>
        <w:t>[the Man]</w:t>
      </w:r>
      <w:r w:rsidRPr="00ED0929">
        <w:rPr>
          <w:i w:val="0"/>
          <w:snapToGrid w:val="0"/>
          <w:szCs w:val="20"/>
        </w:rPr>
        <w:t xml:space="preserve">, on his property, involving him. He gave the footage to Nine and consented for it to be broadcast as part of a report about a matter of public interest – that is, the conduct to which he was subjected, on his premises, without his consent, by his neighbour </w:t>
      </w:r>
      <w:r w:rsidR="00724B7C">
        <w:rPr>
          <w:rFonts w:cs="Arial"/>
          <w:i w:val="0"/>
          <w:iCs/>
          <w:szCs w:val="20"/>
        </w:rPr>
        <w:t>[the Neighbour]</w:t>
      </w:r>
      <w:r w:rsidRPr="00ED0929">
        <w:rPr>
          <w:i w:val="0"/>
          <w:snapToGrid w:val="0"/>
          <w:szCs w:val="20"/>
        </w:rPr>
        <w:t xml:space="preserve">. </w:t>
      </w:r>
    </w:p>
    <w:p w14:paraId="246E816B" w14:textId="29EC41F4" w:rsidR="00ED0929" w:rsidRPr="00ED0929" w:rsidRDefault="00ED0929" w:rsidP="00ED0929">
      <w:pPr>
        <w:pStyle w:val="Heading1"/>
        <w:spacing w:before="119"/>
        <w:rPr>
          <w:sz w:val="20"/>
          <w:szCs w:val="20"/>
        </w:rPr>
      </w:pPr>
      <w:r w:rsidRPr="00155B06">
        <w:rPr>
          <w:sz w:val="20"/>
          <w:szCs w:val="20"/>
        </w:rPr>
        <w:t>Consent</w:t>
      </w:r>
      <w:r w:rsidRPr="00155B06">
        <w:rPr>
          <w:spacing w:val="-5"/>
          <w:sz w:val="20"/>
          <w:szCs w:val="20"/>
        </w:rPr>
        <w:t xml:space="preserve"> </w:t>
      </w:r>
      <w:r w:rsidRPr="00155B06">
        <w:rPr>
          <w:sz w:val="20"/>
          <w:szCs w:val="20"/>
        </w:rPr>
        <w:t>and</w:t>
      </w:r>
      <w:r w:rsidRPr="00155B06">
        <w:rPr>
          <w:spacing w:val="-8"/>
          <w:sz w:val="20"/>
          <w:szCs w:val="20"/>
        </w:rPr>
        <w:t xml:space="preserve"> </w:t>
      </w:r>
      <w:r w:rsidRPr="00155B06">
        <w:rPr>
          <w:sz w:val="20"/>
          <w:szCs w:val="20"/>
        </w:rPr>
        <w:t>public</w:t>
      </w:r>
      <w:r w:rsidRPr="00155B06">
        <w:rPr>
          <w:spacing w:val="-5"/>
          <w:sz w:val="20"/>
          <w:szCs w:val="20"/>
        </w:rPr>
        <w:t xml:space="preserve"> </w:t>
      </w:r>
      <w:r w:rsidRPr="00155B06">
        <w:rPr>
          <w:spacing w:val="-2"/>
          <w:sz w:val="20"/>
          <w:szCs w:val="20"/>
        </w:rPr>
        <w:t>domai</w:t>
      </w:r>
      <w:r>
        <w:rPr>
          <w:spacing w:val="-2"/>
          <w:sz w:val="20"/>
          <w:szCs w:val="20"/>
        </w:rPr>
        <w:t>n</w:t>
      </w:r>
    </w:p>
    <w:p w14:paraId="085AD71C" w14:textId="5E043D73" w:rsidR="004C6F7C" w:rsidRPr="004C6F7C" w:rsidRDefault="004C6F7C" w:rsidP="004C6F7C">
      <w:pPr>
        <w:pStyle w:val="ListParagraph"/>
        <w:numPr>
          <w:ilvl w:val="0"/>
          <w:numId w:val="30"/>
        </w:numPr>
        <w:rPr>
          <w:i w:val="0"/>
          <w:snapToGrid w:val="0"/>
          <w:szCs w:val="20"/>
        </w:rPr>
      </w:pPr>
      <w:r w:rsidRPr="004C6F7C">
        <w:rPr>
          <w:i w:val="0"/>
          <w:snapToGrid w:val="0"/>
          <w:szCs w:val="20"/>
        </w:rPr>
        <w:t xml:space="preserve">The ACMA has formed that view that it is irrelevant whether </w:t>
      </w:r>
      <w:r w:rsidR="00724B7C">
        <w:rPr>
          <w:rFonts w:cs="Arial"/>
          <w:i w:val="0"/>
          <w:iCs/>
          <w:szCs w:val="20"/>
        </w:rPr>
        <w:t>[the Neighbour]</w:t>
      </w:r>
      <w:r w:rsidRPr="004C6F7C">
        <w:rPr>
          <w:i w:val="0"/>
          <w:snapToGrid w:val="0"/>
          <w:szCs w:val="20"/>
        </w:rPr>
        <w:t xml:space="preserve"> consented to be recorded, because the only relevant consideration is whether consent was given to broadcast. Nine maintains this is a misconstruction of the relevant provision.</w:t>
      </w:r>
    </w:p>
    <w:p w14:paraId="330CFDFB" w14:textId="77777777" w:rsidR="009318EC" w:rsidRPr="009318EC" w:rsidRDefault="009318EC" w:rsidP="009318EC">
      <w:pPr>
        <w:pStyle w:val="ListParagraph"/>
        <w:numPr>
          <w:ilvl w:val="0"/>
          <w:numId w:val="30"/>
        </w:numPr>
        <w:rPr>
          <w:i w:val="0"/>
          <w:snapToGrid w:val="0"/>
          <w:szCs w:val="20"/>
        </w:rPr>
      </w:pPr>
      <w:r w:rsidRPr="009318EC">
        <w:rPr>
          <w:i w:val="0"/>
          <w:snapToGrid w:val="0"/>
          <w:szCs w:val="20"/>
        </w:rPr>
        <w:t>If a person has given consent to be recorded, or has been recorded in circumstances clearly evidencing implied consent, that fact must be relevant. In those circumstances,</w:t>
      </w:r>
      <w:r w:rsidRPr="009318EC">
        <w:rPr>
          <w:b/>
          <w:bCs/>
          <w:i w:val="0"/>
          <w:snapToGrid w:val="0"/>
          <w:szCs w:val="20"/>
        </w:rPr>
        <w:t xml:space="preserve"> </w:t>
      </w:r>
      <w:r w:rsidRPr="00842B3A">
        <w:rPr>
          <w:i w:val="0"/>
          <w:snapToGrid w:val="0"/>
          <w:szCs w:val="20"/>
        </w:rPr>
        <w:t>it is entirely reasonable to assert that the person has also consented to any use of the footage,</w:t>
      </w:r>
      <w:r w:rsidRPr="009318EC">
        <w:rPr>
          <w:i w:val="0"/>
          <w:snapToGrid w:val="0"/>
          <w:szCs w:val="20"/>
        </w:rPr>
        <w:t xml:space="preserve"> unless in the circumstances, the consent was clearly conditional (that is, the consent was expressly conditional or clearly limited in the particular circumstances, such as the case where someone records an intimate image for a partner but does not consent to its broader distribution).</w:t>
      </w:r>
    </w:p>
    <w:p w14:paraId="006C1170" w14:textId="1AC0B23C" w:rsidR="009318EC" w:rsidRPr="009318EC" w:rsidRDefault="009318EC" w:rsidP="009318EC">
      <w:pPr>
        <w:pStyle w:val="ListParagraph"/>
        <w:numPr>
          <w:ilvl w:val="0"/>
          <w:numId w:val="30"/>
        </w:numPr>
        <w:rPr>
          <w:i w:val="0"/>
          <w:snapToGrid w:val="0"/>
          <w:szCs w:val="20"/>
        </w:rPr>
      </w:pPr>
      <w:r w:rsidRPr="009318EC">
        <w:rPr>
          <w:i w:val="0"/>
          <w:snapToGrid w:val="0"/>
          <w:szCs w:val="20"/>
        </w:rPr>
        <w:t xml:space="preserve">In this case, </w:t>
      </w:r>
      <w:r w:rsidR="00724B7C">
        <w:rPr>
          <w:rFonts w:cs="Arial"/>
          <w:i w:val="0"/>
          <w:iCs/>
          <w:szCs w:val="20"/>
        </w:rPr>
        <w:t>[the Neighbour]</w:t>
      </w:r>
      <w:r w:rsidRPr="009318EC">
        <w:rPr>
          <w:i w:val="0"/>
          <w:snapToGrid w:val="0"/>
          <w:szCs w:val="20"/>
        </w:rPr>
        <w:t xml:space="preserve"> was allegedly trespassing on someone else’s property. It is clear from the Viral Video footage that </w:t>
      </w:r>
      <w:r w:rsidR="00724B7C">
        <w:rPr>
          <w:rFonts w:cs="Arial"/>
          <w:i w:val="0"/>
          <w:iCs/>
          <w:szCs w:val="20"/>
        </w:rPr>
        <w:t>[the Neighbour]</w:t>
      </w:r>
      <w:r w:rsidRPr="009318EC">
        <w:rPr>
          <w:i w:val="0"/>
          <w:snapToGrid w:val="0"/>
          <w:szCs w:val="20"/>
        </w:rPr>
        <w:t xml:space="preserve"> knew at all times he was being recorded. He could at any time have (a) left the property, (b) ceased his </w:t>
      </w:r>
      <w:r w:rsidR="009C49AE">
        <w:rPr>
          <w:i w:val="0"/>
          <w:snapToGrid w:val="0"/>
          <w:szCs w:val="20"/>
        </w:rPr>
        <w:t>[…]</w:t>
      </w:r>
      <w:r w:rsidRPr="009318EC">
        <w:rPr>
          <w:i w:val="0"/>
          <w:snapToGrid w:val="0"/>
          <w:szCs w:val="20"/>
        </w:rPr>
        <w:t xml:space="preserve"> conduct, (c) asked for the camera to be put away or (d) enquired what use was intended to be made of the footage. He did none of those things. In the circumstances, </w:t>
      </w:r>
      <w:r w:rsidR="00724B7C">
        <w:rPr>
          <w:i w:val="0"/>
          <w:snapToGrid w:val="0"/>
          <w:szCs w:val="20"/>
        </w:rPr>
        <w:t>[the Man]</w:t>
      </w:r>
      <w:r w:rsidRPr="009318EC">
        <w:rPr>
          <w:i w:val="0"/>
          <w:snapToGrid w:val="0"/>
          <w:szCs w:val="20"/>
        </w:rPr>
        <w:t xml:space="preserve"> was entirely within his rights to film </w:t>
      </w:r>
      <w:r w:rsidR="00724B7C">
        <w:rPr>
          <w:rFonts w:cs="Arial"/>
          <w:i w:val="0"/>
          <w:iCs/>
          <w:szCs w:val="20"/>
        </w:rPr>
        <w:t>[the Neighbour]</w:t>
      </w:r>
      <w:r w:rsidRPr="009318EC">
        <w:rPr>
          <w:i w:val="0"/>
          <w:snapToGrid w:val="0"/>
          <w:szCs w:val="20"/>
        </w:rPr>
        <w:t xml:space="preserve">, and to make whatever use he wished of the footage, whether that was giving it to police, putting it online or broadcasting it on national television. Simply because </w:t>
      </w:r>
      <w:r w:rsidR="00724B7C">
        <w:rPr>
          <w:rFonts w:cs="Arial"/>
          <w:i w:val="0"/>
          <w:iCs/>
          <w:szCs w:val="20"/>
        </w:rPr>
        <w:t>[the Neighbour]</w:t>
      </w:r>
      <w:r w:rsidRPr="009318EC">
        <w:rPr>
          <w:i w:val="0"/>
          <w:snapToGrid w:val="0"/>
          <w:szCs w:val="20"/>
        </w:rPr>
        <w:t xml:space="preserve"> was upset or embarrassed that the incident was shown to the community, does not give rise to a claim of privacy.</w:t>
      </w:r>
    </w:p>
    <w:p w14:paraId="7CCEAF02" w14:textId="03C0B1B1" w:rsidR="009318EC" w:rsidRPr="00842B3A" w:rsidRDefault="009318EC" w:rsidP="009318EC">
      <w:pPr>
        <w:pStyle w:val="ListParagraph"/>
        <w:numPr>
          <w:ilvl w:val="0"/>
          <w:numId w:val="30"/>
        </w:numPr>
        <w:rPr>
          <w:i w:val="0"/>
          <w:snapToGrid w:val="0"/>
          <w:szCs w:val="20"/>
        </w:rPr>
      </w:pPr>
      <w:r w:rsidRPr="00842B3A">
        <w:rPr>
          <w:i w:val="0"/>
          <w:snapToGrid w:val="0"/>
          <w:szCs w:val="20"/>
        </w:rPr>
        <w:t xml:space="preserve">The broadcast did not contain any personal information about </w:t>
      </w:r>
      <w:r w:rsidR="00724B7C" w:rsidRPr="00842B3A">
        <w:rPr>
          <w:rFonts w:cs="Arial"/>
          <w:i w:val="0"/>
          <w:iCs/>
          <w:szCs w:val="20"/>
        </w:rPr>
        <w:t>[the Neighbour]</w:t>
      </w:r>
      <w:r w:rsidRPr="00842B3A">
        <w:rPr>
          <w:i w:val="0"/>
          <w:snapToGrid w:val="0"/>
          <w:szCs w:val="20"/>
        </w:rPr>
        <w:t xml:space="preserve"> other than his name, age and the details of the Dispute. It did not include information about his health, his family circumstances, his finances or any other information not directly relevant to the Dispute. While a person’s name may, in some circumstances, be considered personal information, it cannot be the case that an accurate report of conduct by a named person of a certain age, is an automatic breach of their privacy </w:t>
      </w:r>
      <w:r w:rsidRPr="00842B3A">
        <w:rPr>
          <w:i w:val="0"/>
          <w:snapToGrid w:val="0"/>
          <w:szCs w:val="20"/>
        </w:rPr>
        <w:lastRenderedPageBreak/>
        <w:t>unless they consent to the report. Persons caught behaving in ways they would prefer others not know about would never give such consent.</w:t>
      </w:r>
    </w:p>
    <w:p w14:paraId="7CCB6EC5" w14:textId="794FB5FB" w:rsidR="009318EC" w:rsidRPr="00842B3A" w:rsidRDefault="009318EC" w:rsidP="009318EC">
      <w:pPr>
        <w:pStyle w:val="ListParagraph"/>
        <w:numPr>
          <w:ilvl w:val="0"/>
          <w:numId w:val="30"/>
        </w:numPr>
        <w:rPr>
          <w:i w:val="0"/>
          <w:snapToGrid w:val="0"/>
          <w:szCs w:val="20"/>
        </w:rPr>
      </w:pPr>
      <w:r w:rsidRPr="00842B3A">
        <w:rPr>
          <w:i w:val="0"/>
          <w:snapToGrid w:val="0"/>
          <w:szCs w:val="20"/>
        </w:rPr>
        <w:t xml:space="preserve">If Joe Blow, aged 24, started a fight outside a pub and was hit in the face, but no charges were laid, Nine and every other media outlet would be perfectly entitled to report that information. Dozens of these sorts of reports are published by all media every day. If there was lawfully obtained video footage of the incident, Nine would be perfectly entitled to broadcast that footage. </w:t>
      </w:r>
      <w:r w:rsidR="00E71CFA">
        <w:rPr>
          <w:i w:val="0"/>
          <w:snapToGrid w:val="0"/>
          <w:szCs w:val="20"/>
        </w:rPr>
        <w:t>[…]</w:t>
      </w:r>
      <w:r w:rsidRPr="00842B3A">
        <w:rPr>
          <w:i w:val="0"/>
          <w:snapToGrid w:val="0"/>
          <w:szCs w:val="20"/>
        </w:rPr>
        <w:t xml:space="preserve"> Nine would not be entitled, arguably, to broadcast other personal information about Joe Blow unless there were a public interest reason for that information. It cannot be the case that every person involved in a dispute in public, or which becomes public, must not be identified unless they give consent.</w:t>
      </w:r>
    </w:p>
    <w:p w14:paraId="3ABA57ED" w14:textId="77777777" w:rsidR="009318EC" w:rsidRPr="009318EC" w:rsidRDefault="009318EC" w:rsidP="009318EC">
      <w:pPr>
        <w:pStyle w:val="ListParagraph"/>
        <w:numPr>
          <w:ilvl w:val="0"/>
          <w:numId w:val="30"/>
        </w:numPr>
        <w:rPr>
          <w:i w:val="0"/>
          <w:snapToGrid w:val="0"/>
          <w:szCs w:val="20"/>
        </w:rPr>
      </w:pPr>
      <w:r w:rsidRPr="009318EC">
        <w:rPr>
          <w:i w:val="0"/>
          <w:snapToGrid w:val="0"/>
          <w:szCs w:val="20"/>
        </w:rPr>
        <w:t>Nine is not aware of any authority or precedent suggesting it has ever been the case that in order to report on a dispute, one must obtain consent from both parties to the dispute in order to identify the parties and report the dispute.</w:t>
      </w:r>
    </w:p>
    <w:p w14:paraId="27976E02" w14:textId="039BA2A2" w:rsidR="00F06575" w:rsidRPr="009318EC" w:rsidRDefault="009318EC" w:rsidP="009318EC">
      <w:pPr>
        <w:pStyle w:val="ACMABodyText"/>
        <w:ind w:left="360"/>
        <w:rPr>
          <w:b/>
          <w:bCs/>
        </w:rPr>
      </w:pPr>
      <w:r w:rsidRPr="009318EC">
        <w:rPr>
          <w:b/>
          <w:bCs/>
        </w:rPr>
        <w:t>Public interest and proportionality</w:t>
      </w:r>
    </w:p>
    <w:p w14:paraId="7FD7E071" w14:textId="77777777" w:rsidR="009318EC" w:rsidRPr="009318EC" w:rsidRDefault="009318EC" w:rsidP="009318EC">
      <w:pPr>
        <w:pStyle w:val="ListParagraph"/>
        <w:numPr>
          <w:ilvl w:val="0"/>
          <w:numId w:val="30"/>
        </w:numPr>
        <w:rPr>
          <w:i w:val="0"/>
          <w:snapToGrid w:val="0"/>
          <w:szCs w:val="20"/>
        </w:rPr>
      </w:pPr>
      <w:r w:rsidRPr="009318EC">
        <w:rPr>
          <w:i w:val="0"/>
          <w:snapToGrid w:val="0"/>
          <w:szCs w:val="20"/>
        </w:rPr>
        <w:t>The questions of public interest and proportionality only arise if the material is considered to be personal or private information. Nine submits it was not, for the reasons above. However, even if it were, Nine submits that the ACMA’s reasoning on the issue of public interest fails to adequately take into account the circumstances in the present case.</w:t>
      </w:r>
    </w:p>
    <w:p w14:paraId="3CE56C8F" w14:textId="78F154DF" w:rsidR="009318EC" w:rsidRPr="009318EC" w:rsidRDefault="009318EC" w:rsidP="009318EC">
      <w:pPr>
        <w:pStyle w:val="ListParagraph"/>
        <w:numPr>
          <w:ilvl w:val="0"/>
          <w:numId w:val="30"/>
        </w:numPr>
        <w:rPr>
          <w:i w:val="0"/>
          <w:snapToGrid w:val="0"/>
          <w:szCs w:val="20"/>
        </w:rPr>
      </w:pPr>
      <w:r w:rsidRPr="009318EC">
        <w:rPr>
          <w:i w:val="0"/>
          <w:snapToGrid w:val="0"/>
          <w:szCs w:val="20"/>
        </w:rPr>
        <w:t xml:space="preserve">The Preliminary Report appears to accept that the reporting of the dispute was in the public interest. The ACMA however considers that it was not proportionate to identify </w:t>
      </w:r>
      <w:r w:rsidR="00724B7C">
        <w:rPr>
          <w:rFonts w:cs="Arial"/>
          <w:i w:val="0"/>
          <w:iCs/>
          <w:szCs w:val="20"/>
        </w:rPr>
        <w:t>[the Neighbour]</w:t>
      </w:r>
      <w:r w:rsidRPr="009318EC">
        <w:rPr>
          <w:i w:val="0"/>
          <w:snapToGrid w:val="0"/>
          <w:szCs w:val="20"/>
        </w:rPr>
        <w:t xml:space="preserve"> in relation to the dispute, by name or image and by “part of his residential address” (</w:t>
      </w:r>
      <w:r w:rsidR="00C736AA" w:rsidRPr="009318EC">
        <w:rPr>
          <w:i w:val="0"/>
          <w:snapToGrid w:val="0"/>
          <w:szCs w:val="20"/>
        </w:rPr>
        <w:t>i.e.</w:t>
      </w:r>
      <w:r w:rsidRPr="009318EC">
        <w:rPr>
          <w:i w:val="0"/>
          <w:snapToGrid w:val="0"/>
          <w:szCs w:val="20"/>
        </w:rPr>
        <w:t xml:space="preserve"> the town).</w:t>
      </w:r>
    </w:p>
    <w:p w14:paraId="5774A481" w14:textId="77777777" w:rsidR="009318EC" w:rsidRPr="009318EC" w:rsidRDefault="009318EC" w:rsidP="009318EC">
      <w:pPr>
        <w:pStyle w:val="ListParagraph"/>
        <w:numPr>
          <w:ilvl w:val="0"/>
          <w:numId w:val="30"/>
        </w:numPr>
        <w:rPr>
          <w:i w:val="0"/>
          <w:snapToGrid w:val="0"/>
          <w:szCs w:val="20"/>
        </w:rPr>
      </w:pPr>
      <w:r w:rsidRPr="009318EC">
        <w:rPr>
          <w:i w:val="0"/>
          <w:snapToGrid w:val="0"/>
          <w:szCs w:val="20"/>
        </w:rPr>
        <w:t>Nine is not aware of any authority or precedent suggesting it has ever been the case under clause 3.5.1 that in order to report on a dispute in the public interest, one must obtain consent from both parties to the dispute in order to identify the parties and report the dispute. Clause 3.5.1 requires that there be “a public interest reason” for the broadcast of the relevant material. However, the ACMA seems to have applied a higher test of “necessary in the public interest”, finding that “it was not necessary for the neighbour to be identified.” This reasoning imposes a threshold of “necessity” which is absent from the wording of the Code, and is higher than the threshold set out at clause 3.5.1(a). The ACMA finds that the information “did not assist the public to assess or understand the overall issue of public interest” with which Nine respectfully disagrees.</w:t>
      </w:r>
    </w:p>
    <w:p w14:paraId="3EF33B5A" w14:textId="56C84B17" w:rsidR="009318EC" w:rsidRPr="009318EC" w:rsidRDefault="009318EC" w:rsidP="009318EC">
      <w:pPr>
        <w:pStyle w:val="ListParagraph"/>
        <w:numPr>
          <w:ilvl w:val="0"/>
          <w:numId w:val="30"/>
        </w:numPr>
        <w:rPr>
          <w:i w:val="0"/>
          <w:snapToGrid w:val="0"/>
          <w:szCs w:val="20"/>
        </w:rPr>
      </w:pPr>
      <w:r w:rsidRPr="009318EC">
        <w:rPr>
          <w:i w:val="0"/>
          <w:snapToGrid w:val="0"/>
          <w:szCs w:val="20"/>
        </w:rPr>
        <w:t xml:space="preserve">Nine also notes that the ACMA’s reasoning fails to take into account the fact that </w:t>
      </w:r>
      <w:r w:rsidR="00724B7C">
        <w:rPr>
          <w:rFonts w:cs="Arial"/>
          <w:i w:val="0"/>
          <w:iCs/>
          <w:szCs w:val="20"/>
        </w:rPr>
        <w:t>[the Neighbour’s]</w:t>
      </w:r>
      <w:r w:rsidRPr="009318EC">
        <w:rPr>
          <w:i w:val="0"/>
          <w:snapToGrid w:val="0"/>
          <w:szCs w:val="20"/>
        </w:rPr>
        <w:t xml:space="preserve"> identity was already in the public domain by virtue of the Viral Video. In respect of the reference to the town in which </w:t>
      </w:r>
      <w:r w:rsidR="00724B7C">
        <w:rPr>
          <w:rFonts w:cs="Arial"/>
          <w:i w:val="0"/>
          <w:iCs/>
          <w:szCs w:val="20"/>
        </w:rPr>
        <w:t>[the Neighbour]</w:t>
      </w:r>
      <w:r w:rsidRPr="009318EC">
        <w:rPr>
          <w:i w:val="0"/>
          <w:snapToGrid w:val="0"/>
          <w:szCs w:val="20"/>
        </w:rPr>
        <w:t xml:space="preserve"> lived (described as “part of his address”), Nine notes that is equally part of </w:t>
      </w:r>
      <w:r w:rsidR="00724B7C">
        <w:rPr>
          <w:i w:val="0"/>
          <w:snapToGrid w:val="0"/>
          <w:szCs w:val="20"/>
        </w:rPr>
        <w:t>[the Man’s]</w:t>
      </w:r>
      <w:r w:rsidRPr="009318EC">
        <w:rPr>
          <w:i w:val="0"/>
          <w:snapToGrid w:val="0"/>
          <w:szCs w:val="20"/>
        </w:rPr>
        <w:t xml:space="preserve"> address, and </w:t>
      </w:r>
      <w:r w:rsidR="00724B7C">
        <w:rPr>
          <w:i w:val="0"/>
          <w:snapToGrid w:val="0"/>
          <w:szCs w:val="20"/>
        </w:rPr>
        <w:t>[the Man]</w:t>
      </w:r>
      <w:r w:rsidRPr="009318EC">
        <w:rPr>
          <w:i w:val="0"/>
          <w:snapToGrid w:val="0"/>
          <w:szCs w:val="20"/>
        </w:rPr>
        <w:t xml:space="preserve"> did consent for his town to be identified in connection with a report that was primarily about him, and an incident he experienced on his own property.</w:t>
      </w:r>
    </w:p>
    <w:p w14:paraId="2C35C088" w14:textId="1481E8E1" w:rsidR="009318EC" w:rsidRPr="009318EC" w:rsidRDefault="009318EC" w:rsidP="009318EC">
      <w:pPr>
        <w:pStyle w:val="ListParagraph"/>
        <w:numPr>
          <w:ilvl w:val="0"/>
          <w:numId w:val="30"/>
        </w:numPr>
        <w:rPr>
          <w:i w:val="0"/>
          <w:snapToGrid w:val="0"/>
          <w:szCs w:val="20"/>
        </w:rPr>
      </w:pPr>
      <w:r w:rsidRPr="009318EC">
        <w:rPr>
          <w:i w:val="0"/>
          <w:snapToGrid w:val="0"/>
          <w:szCs w:val="20"/>
        </w:rPr>
        <w:t xml:space="preserve">The Preliminary Report also relies upon the fact that “the Neighbour expressed remorse about his conduct” as a further basis for its finding that there was “no legitimate reason” to identify </w:t>
      </w:r>
      <w:r w:rsidR="00724B7C">
        <w:rPr>
          <w:rFonts w:cs="Arial"/>
          <w:i w:val="0"/>
          <w:iCs/>
          <w:szCs w:val="20"/>
        </w:rPr>
        <w:t>[the Neighbour]</w:t>
      </w:r>
      <w:r w:rsidRPr="009318EC">
        <w:rPr>
          <w:i w:val="0"/>
          <w:snapToGrid w:val="0"/>
          <w:szCs w:val="20"/>
        </w:rPr>
        <w:t xml:space="preserve">. However, the ACMA has no evidence before it about the sincerity of such an expression of remorse (noting it was made to Nine in response to a request for comment), or </w:t>
      </w:r>
      <w:r w:rsidR="00724B7C">
        <w:rPr>
          <w:rFonts w:cs="Arial"/>
          <w:i w:val="0"/>
          <w:iCs/>
          <w:szCs w:val="20"/>
        </w:rPr>
        <w:t>[the Neighbour’s]</w:t>
      </w:r>
      <w:r w:rsidRPr="009318EC">
        <w:rPr>
          <w:i w:val="0"/>
          <w:snapToGrid w:val="0"/>
          <w:szCs w:val="20"/>
        </w:rPr>
        <w:t xml:space="preserve"> conduct either before or after the relevant incident. Again, it would be a concerning restriction on </w:t>
      </w:r>
      <w:r w:rsidRPr="009318EC">
        <w:rPr>
          <w:i w:val="0"/>
          <w:snapToGrid w:val="0"/>
          <w:szCs w:val="20"/>
        </w:rPr>
        <w:lastRenderedPageBreak/>
        <w:t xml:space="preserve">reporting of matters in the public interest if it became the case that someone who trespasses on another person’s property in a threatening manner, but then later purports to express remorse, can effectively suppress the publication of their name on the basis of “privacy.” By way of illustration, if </w:t>
      </w:r>
      <w:r w:rsidR="00724B7C">
        <w:rPr>
          <w:rFonts w:cs="Arial"/>
          <w:i w:val="0"/>
          <w:iCs/>
          <w:szCs w:val="20"/>
        </w:rPr>
        <w:t>[the Neighbour]</w:t>
      </w:r>
      <w:r w:rsidRPr="009318EC">
        <w:rPr>
          <w:i w:val="0"/>
          <w:snapToGrid w:val="0"/>
          <w:szCs w:val="20"/>
        </w:rPr>
        <w:t xml:space="preserve"> had hit </w:t>
      </w:r>
      <w:r w:rsidR="00724B7C">
        <w:rPr>
          <w:i w:val="0"/>
          <w:snapToGrid w:val="0"/>
          <w:szCs w:val="20"/>
        </w:rPr>
        <w:t>[the Man]</w:t>
      </w:r>
      <w:r w:rsidRPr="009318EC">
        <w:rPr>
          <w:i w:val="0"/>
          <w:snapToGrid w:val="0"/>
          <w:szCs w:val="20"/>
        </w:rPr>
        <w:t xml:space="preserve"> or his friend, both </w:t>
      </w:r>
      <w:r w:rsidR="00724B7C">
        <w:rPr>
          <w:i w:val="0"/>
          <w:snapToGrid w:val="0"/>
          <w:szCs w:val="20"/>
        </w:rPr>
        <w:t>[the Man]</w:t>
      </w:r>
      <w:r w:rsidRPr="009318EC">
        <w:rPr>
          <w:i w:val="0"/>
          <w:snapToGrid w:val="0"/>
          <w:szCs w:val="20"/>
        </w:rPr>
        <w:t xml:space="preserve"> and the friend would have been entitled to describe the alleged assault upon them, and name their alleged attacker. The fact that </w:t>
      </w:r>
      <w:r w:rsidR="00724B7C">
        <w:rPr>
          <w:rFonts w:cs="Arial"/>
          <w:i w:val="0"/>
          <w:iCs/>
          <w:szCs w:val="20"/>
        </w:rPr>
        <w:t>[the Neighbour]</w:t>
      </w:r>
      <w:r w:rsidRPr="009318EC">
        <w:rPr>
          <w:i w:val="0"/>
          <w:snapToGrid w:val="0"/>
          <w:szCs w:val="20"/>
        </w:rPr>
        <w:t xml:space="preserve"> did not hit </w:t>
      </w:r>
      <w:r w:rsidR="00724B7C">
        <w:rPr>
          <w:i w:val="0"/>
          <w:snapToGrid w:val="0"/>
          <w:szCs w:val="20"/>
        </w:rPr>
        <w:t>[the Man]</w:t>
      </w:r>
      <w:r w:rsidRPr="009318EC">
        <w:rPr>
          <w:i w:val="0"/>
          <w:snapToGrid w:val="0"/>
          <w:szCs w:val="20"/>
        </w:rPr>
        <w:t xml:space="preserve"> does not somehow introduce an element of privacy to the incident.</w:t>
      </w:r>
    </w:p>
    <w:p w14:paraId="17964D55" w14:textId="49A7C1F1" w:rsidR="009318EC" w:rsidRPr="009318EC" w:rsidRDefault="009318EC" w:rsidP="009318EC">
      <w:pPr>
        <w:pStyle w:val="ListParagraph"/>
        <w:numPr>
          <w:ilvl w:val="0"/>
          <w:numId w:val="30"/>
        </w:numPr>
        <w:rPr>
          <w:i w:val="0"/>
          <w:snapToGrid w:val="0"/>
          <w:szCs w:val="20"/>
        </w:rPr>
      </w:pPr>
      <w:r w:rsidRPr="009318EC">
        <w:rPr>
          <w:i w:val="0"/>
          <w:snapToGrid w:val="0"/>
          <w:szCs w:val="20"/>
        </w:rPr>
        <w:t xml:space="preserve">Nine submits there was a public interest reason for the identification of both parties to the dispute. Hypothetically, had Nine broadcast the Report with </w:t>
      </w:r>
      <w:r w:rsidR="00724B7C">
        <w:rPr>
          <w:rFonts w:cs="Arial"/>
          <w:i w:val="0"/>
          <w:iCs/>
          <w:szCs w:val="20"/>
        </w:rPr>
        <w:t>[the Neighbour’s]</w:t>
      </w:r>
      <w:r w:rsidRPr="009318EC">
        <w:rPr>
          <w:i w:val="0"/>
          <w:snapToGrid w:val="0"/>
          <w:szCs w:val="20"/>
        </w:rPr>
        <w:t xml:space="preserve"> face obscured and his name omitted, viewers would not have been able to properly understand the circumstances of the altercation (including the facial expressions by which </w:t>
      </w:r>
      <w:r w:rsidR="00724B7C">
        <w:rPr>
          <w:rFonts w:cs="Arial"/>
          <w:i w:val="0"/>
          <w:iCs/>
          <w:szCs w:val="20"/>
        </w:rPr>
        <w:t>[the Neighbour]</w:t>
      </w:r>
      <w:r w:rsidRPr="009318EC">
        <w:rPr>
          <w:i w:val="0"/>
          <w:snapToGrid w:val="0"/>
          <w:szCs w:val="20"/>
        </w:rPr>
        <w:t xml:space="preserve"> is communicating in much of the footage). But more relevantly, the fact of the dispute and </w:t>
      </w:r>
      <w:r w:rsidR="00724B7C">
        <w:rPr>
          <w:rFonts w:cs="Arial"/>
          <w:i w:val="0"/>
          <w:iCs/>
          <w:szCs w:val="20"/>
        </w:rPr>
        <w:t>[the Neighbour’s]</w:t>
      </w:r>
      <w:r w:rsidRPr="009318EC">
        <w:rPr>
          <w:i w:val="0"/>
          <w:snapToGrid w:val="0"/>
          <w:szCs w:val="20"/>
        </w:rPr>
        <w:t xml:space="preserve"> identity were already in the public domain, so </w:t>
      </w:r>
      <w:r w:rsidR="00724B7C">
        <w:rPr>
          <w:rFonts w:cs="Arial"/>
          <w:i w:val="0"/>
          <w:iCs/>
          <w:szCs w:val="20"/>
        </w:rPr>
        <w:t>[the Neighbour]</w:t>
      </w:r>
      <w:r w:rsidRPr="009318EC">
        <w:rPr>
          <w:i w:val="0"/>
          <w:snapToGrid w:val="0"/>
          <w:szCs w:val="20"/>
        </w:rPr>
        <w:t xml:space="preserve"> would have been identified in any event to anyone who had seen it or cared to look for it. Further, Nine’s report was, in part, about the fact of the dispute having gone viral online – that is, the fact that a local dispute between two neighbours had already attracted a huge international audience. To report the matter without omitting the face and name of someone already identified was therefore proportionate.</w:t>
      </w:r>
    </w:p>
    <w:p w14:paraId="04BAC9C4" w14:textId="17A5CBEC" w:rsidR="009318EC" w:rsidRPr="00155B06" w:rsidRDefault="009318EC" w:rsidP="009318EC">
      <w:pPr>
        <w:pStyle w:val="ACMABodyText"/>
        <w:ind w:left="360"/>
      </w:pPr>
      <w:r>
        <w:t>[…]</w:t>
      </w:r>
    </w:p>
    <w:p w14:paraId="653501A2" w14:textId="77777777" w:rsidR="00F06575" w:rsidRPr="00C67BF9" w:rsidRDefault="00F06575" w:rsidP="004A2DC5">
      <w:pPr>
        <w:pStyle w:val="ACMABodyText"/>
        <w:ind w:left="360"/>
        <w:rPr>
          <w:bCs/>
          <w:iCs/>
        </w:rPr>
      </w:pPr>
    </w:p>
    <w:p w14:paraId="442D81B8" w14:textId="77777777" w:rsidR="006A02B1" w:rsidRPr="00153F9D" w:rsidRDefault="006A02B1" w:rsidP="00075F5D">
      <w:pPr>
        <w:pStyle w:val="ACMAHeading2"/>
        <w:pageBreakBefore/>
        <w:spacing w:after="240"/>
        <w:jc w:val="right"/>
      </w:pPr>
      <w:r w:rsidRPr="00153F9D">
        <w:lastRenderedPageBreak/>
        <w:t>Attachment C</w:t>
      </w:r>
    </w:p>
    <w:p w14:paraId="20D6408B" w14:textId="26E9A72D" w:rsidR="001845B1" w:rsidRDefault="001845B1" w:rsidP="001845B1">
      <w:pPr>
        <w:pStyle w:val="ACMAHeading3"/>
        <w:spacing w:after="120"/>
        <w:rPr>
          <w:sz w:val="28"/>
          <w:szCs w:val="28"/>
        </w:rPr>
      </w:pPr>
      <w:r w:rsidRPr="00263F24">
        <w:rPr>
          <w:sz w:val="28"/>
          <w:szCs w:val="28"/>
        </w:rPr>
        <w:t>Relevant provisions</w:t>
      </w:r>
    </w:p>
    <w:p w14:paraId="3FA97FAB" w14:textId="77777777" w:rsidR="00D17EB9" w:rsidRPr="00AD1B01" w:rsidRDefault="00D17EB9" w:rsidP="00D17EB9">
      <w:pPr>
        <w:autoSpaceDE w:val="0"/>
        <w:autoSpaceDN w:val="0"/>
        <w:adjustRightInd w:val="0"/>
        <w:spacing w:before="0" w:line="240" w:lineRule="auto"/>
        <w:rPr>
          <w:rFonts w:cs="Arial"/>
          <w:b/>
          <w:bCs/>
          <w:i w:val="0"/>
          <w:sz w:val="24"/>
          <w:lang w:eastAsia="en-AU"/>
        </w:rPr>
      </w:pPr>
      <w:r w:rsidRPr="00AD1B01">
        <w:rPr>
          <w:rFonts w:cs="Arial"/>
          <w:b/>
          <w:bCs/>
          <w:i w:val="0"/>
          <w:sz w:val="24"/>
          <w:lang w:eastAsia="en-AU"/>
        </w:rPr>
        <w:t xml:space="preserve">Relevant Code provisions </w:t>
      </w:r>
    </w:p>
    <w:p w14:paraId="1F5CA1BC" w14:textId="77777777" w:rsidR="00D17EB9" w:rsidRPr="00D0083D" w:rsidRDefault="00D17EB9" w:rsidP="00D17EB9">
      <w:pPr>
        <w:pStyle w:val="ACMAHeading3"/>
        <w:spacing w:before="0" w:after="120" w:line="240" w:lineRule="atLeast"/>
        <w:ind w:firstLine="567"/>
        <w:rPr>
          <w:sz w:val="28"/>
          <w:szCs w:val="28"/>
        </w:rPr>
      </w:pPr>
      <w:r w:rsidRPr="00D0083D">
        <w:rPr>
          <w:sz w:val="18"/>
          <w:szCs w:val="18"/>
        </w:rPr>
        <w:t xml:space="preserve">3.5 </w:t>
      </w:r>
      <w:r w:rsidRPr="00D0083D">
        <w:rPr>
          <w:sz w:val="18"/>
          <w:szCs w:val="18"/>
        </w:rPr>
        <w:tab/>
        <w:t>Privacy</w:t>
      </w:r>
    </w:p>
    <w:p w14:paraId="3FB56DC8" w14:textId="77777777" w:rsidR="00D17EB9" w:rsidRPr="00D0083D" w:rsidRDefault="00D17EB9" w:rsidP="00D17EB9">
      <w:pPr>
        <w:pStyle w:val="ACMAQuoteindented"/>
        <w:ind w:left="1437" w:hanging="870"/>
      </w:pPr>
      <w:r w:rsidRPr="00D0083D">
        <w:t>3.5.1</w:t>
      </w:r>
      <w:r w:rsidRPr="00D0083D">
        <w:tab/>
        <w:t xml:space="preserve">In broadcasting a news or Current Affairs Program, a Licensee must not broadcast material relating to a person’s personal or private affairs or which invades a person’s privacy unless: </w:t>
      </w:r>
    </w:p>
    <w:p w14:paraId="2E416C3F" w14:textId="77777777" w:rsidR="00D17EB9" w:rsidRPr="00D0083D" w:rsidRDefault="00D17EB9" w:rsidP="00D17EB9">
      <w:pPr>
        <w:pStyle w:val="ACMAQuoteindented"/>
        <w:tabs>
          <w:tab w:val="left" w:pos="1843"/>
        </w:tabs>
        <w:ind w:left="1437"/>
      </w:pPr>
      <w:r w:rsidRPr="00D0083D">
        <w:t>(a)</w:t>
      </w:r>
      <w:r w:rsidRPr="00D0083D">
        <w:tab/>
        <w:t>there is a public interest reason for the material to be broadcast; or</w:t>
      </w:r>
    </w:p>
    <w:p w14:paraId="1EE27785" w14:textId="77777777" w:rsidR="00D17EB9" w:rsidRPr="00D0083D" w:rsidRDefault="00D17EB9" w:rsidP="00D17EB9">
      <w:pPr>
        <w:pStyle w:val="ACMAQuoteindented"/>
        <w:tabs>
          <w:tab w:val="left" w:pos="1843"/>
        </w:tabs>
        <w:ind w:left="1842" w:hanging="405"/>
      </w:pPr>
      <w:r w:rsidRPr="00D0083D">
        <w:t>(b)</w:t>
      </w:r>
      <w:r w:rsidRPr="00D0083D">
        <w:tab/>
        <w:t>the person has provided implicit or explicit consent for the material to be broadcast (or in the case of a person under 16, a parent or guardian has given implicit or explicit consent).</w:t>
      </w:r>
    </w:p>
    <w:p w14:paraId="710FD97E" w14:textId="77777777" w:rsidR="00D17EB9" w:rsidRPr="00D0083D" w:rsidRDefault="00D17EB9" w:rsidP="00D17EB9">
      <w:pPr>
        <w:pStyle w:val="ACMAQuoteindented"/>
        <w:ind w:left="1437" w:right="-332" w:hanging="870"/>
        <w:rPr>
          <w:i/>
        </w:rPr>
      </w:pPr>
      <w:r w:rsidRPr="00D0083D">
        <w:rPr>
          <w:i/>
        </w:rPr>
        <w:t>Note:</w:t>
      </w:r>
      <w:r w:rsidRPr="00D0083D">
        <w:rPr>
          <w:i/>
        </w:rPr>
        <w:tab/>
        <w:t>The broadcast of material that is publicly available or recorded in a public place will generally not be material relating to a person’s personal or private affairs or an invasion of privacy.</w:t>
      </w:r>
    </w:p>
    <w:p w14:paraId="5E341A62" w14:textId="49848B8D" w:rsidR="00D17EB9" w:rsidRDefault="00D17EB9" w:rsidP="00655D0B">
      <w:pPr>
        <w:pStyle w:val="ACMAQuoteindented"/>
        <w:ind w:left="1437" w:right="-332" w:hanging="870"/>
      </w:pPr>
    </w:p>
    <w:p w14:paraId="6CBF3925" w14:textId="77777777" w:rsidR="00D17EB9" w:rsidRDefault="00D17EB9" w:rsidP="001845B1">
      <w:pPr>
        <w:pStyle w:val="ACMAHeading3"/>
        <w:spacing w:after="120"/>
        <w:rPr>
          <w:sz w:val="28"/>
          <w:szCs w:val="28"/>
        </w:rPr>
      </w:pPr>
    </w:p>
    <w:p w14:paraId="266E4EC6" w14:textId="77777777" w:rsidR="0012464D" w:rsidRPr="001845B1" w:rsidRDefault="0012464D" w:rsidP="001845B1">
      <w:pPr>
        <w:pStyle w:val="ACMAHeading3"/>
        <w:spacing w:after="120"/>
        <w:rPr>
          <w:b w:val="0"/>
          <w:bCs/>
          <w:i/>
          <w:iCs/>
          <w:sz w:val="20"/>
        </w:rPr>
      </w:pPr>
    </w:p>
    <w:sectPr w:rsidR="0012464D" w:rsidRPr="001845B1" w:rsidSect="00193967">
      <w:headerReference w:type="even" r:id="rId8"/>
      <w:footerReference w:type="even" r:id="rId9"/>
      <w:footerReference w:type="default" r:id="rId10"/>
      <w:headerReference w:type="first" r:id="rId11"/>
      <w:footerReference w:type="first" r:id="rId12"/>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A12F" w14:textId="77777777" w:rsidR="003C0112" w:rsidRDefault="003C0112">
      <w:r>
        <w:separator/>
      </w:r>
    </w:p>
  </w:endnote>
  <w:endnote w:type="continuationSeparator" w:id="0">
    <w:p w14:paraId="71D428EF" w14:textId="77777777" w:rsidR="003C0112" w:rsidRDefault="003C0112">
      <w:r>
        <w:continuationSeparator/>
      </w:r>
    </w:p>
  </w:endnote>
  <w:endnote w:type="continuationNotice" w:id="1">
    <w:p w14:paraId="0FA404A4" w14:textId="77777777" w:rsidR="003C0112" w:rsidRDefault="003C01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6AC1" w14:textId="77777777"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16FB3ED0"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B8CA" w14:textId="281834BF" w:rsidR="0061569D" w:rsidRPr="00816ADF" w:rsidRDefault="006A02B1" w:rsidP="00EF7A2A">
    <w:pPr>
      <w:pStyle w:val="ACMAFooter"/>
      <w:rPr>
        <w:sz w:val="16"/>
        <w:szCs w:val="16"/>
      </w:rPr>
    </w:pPr>
    <w:r w:rsidRPr="00816ADF">
      <w:rPr>
        <w:sz w:val="16"/>
        <w:szCs w:val="16"/>
      </w:rPr>
      <w:t>ACMA</w:t>
    </w:r>
    <w:r w:rsidR="009B2896">
      <w:rPr>
        <w:sz w:val="16"/>
        <w:szCs w:val="16"/>
      </w:rPr>
      <w:t xml:space="preserve"> </w:t>
    </w:r>
    <w:r w:rsidR="00302953">
      <w:rPr>
        <w:sz w:val="16"/>
        <w:szCs w:val="16"/>
      </w:rPr>
      <w:t>I</w:t>
    </w:r>
    <w:r w:rsidRPr="00816ADF">
      <w:rPr>
        <w:sz w:val="16"/>
        <w:szCs w:val="16"/>
      </w:rPr>
      <w:t xml:space="preserve">nvestigation </w:t>
    </w:r>
    <w:r w:rsidR="0079419E">
      <w:rPr>
        <w:sz w:val="16"/>
        <w:szCs w:val="16"/>
      </w:rPr>
      <w:t>r</w:t>
    </w:r>
    <w:r w:rsidRPr="00816ADF">
      <w:rPr>
        <w:sz w:val="16"/>
        <w:szCs w:val="16"/>
      </w:rPr>
      <w:t>eport—</w:t>
    </w:r>
    <w:r w:rsidR="004A07C9">
      <w:rPr>
        <w:i/>
        <w:sz w:val="16"/>
        <w:szCs w:val="16"/>
      </w:rPr>
      <w:t xml:space="preserve">A Current </w:t>
    </w:r>
    <w:r w:rsidR="00D84C64">
      <w:rPr>
        <w:i/>
        <w:sz w:val="16"/>
        <w:szCs w:val="16"/>
      </w:rPr>
      <w:t xml:space="preserve">Affair </w:t>
    </w:r>
    <w:r w:rsidRPr="00816ADF">
      <w:rPr>
        <w:sz w:val="16"/>
        <w:szCs w:val="16"/>
      </w:rPr>
      <w:t xml:space="preserve">broadcast </w:t>
    </w:r>
    <w:r w:rsidR="006162E4">
      <w:rPr>
        <w:sz w:val="16"/>
        <w:szCs w:val="16"/>
      </w:rPr>
      <w:t>on</w:t>
    </w:r>
    <w:r w:rsidRPr="00816ADF">
      <w:rPr>
        <w:sz w:val="16"/>
        <w:szCs w:val="16"/>
      </w:rPr>
      <w:t xml:space="preserve"> </w:t>
    </w:r>
    <w:r w:rsidR="00D84C64">
      <w:rPr>
        <w:sz w:val="16"/>
        <w:szCs w:val="16"/>
      </w:rPr>
      <w:t>Nin</w:t>
    </w:r>
    <w:r w:rsidR="00D84C64" w:rsidRPr="00220A6D">
      <w:rPr>
        <w:sz w:val="16"/>
        <w:szCs w:val="16"/>
      </w:rPr>
      <w:t xml:space="preserve">e </w:t>
    </w:r>
    <w:r w:rsidRPr="00220A6D">
      <w:rPr>
        <w:sz w:val="16"/>
        <w:szCs w:val="16"/>
      </w:rPr>
      <w:t xml:space="preserve">on </w:t>
    </w:r>
    <w:r w:rsidR="00D84C64" w:rsidRPr="00220A6D">
      <w:rPr>
        <w:sz w:val="16"/>
        <w:szCs w:val="16"/>
      </w:rPr>
      <w:t>21</w:t>
    </w:r>
    <w:r w:rsidR="00220A6D" w:rsidRPr="00220A6D">
      <w:rPr>
        <w:sz w:val="16"/>
        <w:szCs w:val="16"/>
      </w:rPr>
      <w:t xml:space="preserve"> </w:t>
    </w:r>
    <w:r w:rsidR="004309E6" w:rsidRPr="00220A6D">
      <w:rPr>
        <w:sz w:val="16"/>
        <w:szCs w:val="16"/>
      </w:rPr>
      <w:t>M</w:t>
    </w:r>
    <w:r w:rsidR="00220A6D" w:rsidRPr="00220A6D">
      <w:rPr>
        <w:sz w:val="16"/>
        <w:szCs w:val="16"/>
      </w:rPr>
      <w:t>arch 2022</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7A3E52">
      <w:rPr>
        <w:noProof/>
        <w:sz w:val="16"/>
        <w:szCs w:val="16"/>
      </w:rPr>
      <w:t>16</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E4D0" w14:textId="77777777" w:rsidR="0061569D" w:rsidRPr="00211185" w:rsidRDefault="00193967" w:rsidP="00193967">
    <w:pPr>
      <w:pStyle w:val="Footer"/>
      <w:jc w:val="right"/>
    </w:pPr>
    <w:r w:rsidRPr="005E250B">
      <w:rPr>
        <w:noProof/>
        <w:vertAlign w:val="subscript"/>
      </w:rPr>
      <w:drawing>
        <wp:inline distT="0" distB="0" distL="0" distR="0" wp14:anchorId="567D9635" wp14:editId="2AF84127">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EAD6" w14:textId="77777777" w:rsidR="003C0112" w:rsidRDefault="003C0112">
      <w:r>
        <w:separator/>
      </w:r>
    </w:p>
  </w:footnote>
  <w:footnote w:type="continuationSeparator" w:id="0">
    <w:p w14:paraId="6CC7368C" w14:textId="77777777" w:rsidR="003C0112" w:rsidRDefault="003C0112">
      <w:r>
        <w:continuationSeparator/>
      </w:r>
    </w:p>
  </w:footnote>
  <w:footnote w:type="continuationNotice" w:id="1">
    <w:p w14:paraId="46D9CD98" w14:textId="77777777" w:rsidR="003C0112" w:rsidRDefault="003C0112">
      <w:pPr>
        <w:spacing w:before="0" w:after="0" w:line="240" w:lineRule="auto"/>
      </w:pPr>
    </w:p>
  </w:footnote>
  <w:footnote w:id="2">
    <w:p w14:paraId="3F7FAD93" w14:textId="618FB588" w:rsidR="00227B87" w:rsidRDefault="00227B87" w:rsidP="00227B87">
      <w:pPr>
        <w:pStyle w:val="FootnoteText"/>
      </w:pPr>
      <w:r>
        <w:rPr>
          <w:rStyle w:val="FootnoteReference"/>
        </w:rPr>
        <w:footnoteRef/>
      </w:r>
      <w:r w:rsidR="00404F06">
        <w:t xml:space="preserve"> Privacy Guidelines for Broadcasters</w:t>
      </w:r>
      <w:r>
        <w:t xml:space="preserve"> </w:t>
      </w:r>
      <w:hyperlink r:id="rId1" w:history="1">
        <w:r w:rsidR="009B2896" w:rsidRPr="0056360B">
          <w:rPr>
            <w:rStyle w:val="Hyperlink"/>
          </w:rPr>
          <w:t>https://www.acma.gov.au/sites/default/files/2019-12/Privacy%20guidelines%20for%20broadcasters.pdf</w:t>
        </w:r>
      </w:hyperlink>
      <w:r w:rsidR="009B2896">
        <w:t xml:space="preserve"> </w:t>
      </w:r>
    </w:p>
  </w:footnote>
  <w:footnote w:id="3">
    <w:p w14:paraId="55A59B1B" w14:textId="2DE6AA29" w:rsidR="00F304C8" w:rsidRDefault="00F304C8" w:rsidP="00F304C8">
      <w:pPr>
        <w:pStyle w:val="FootnoteText"/>
      </w:pPr>
      <w:r>
        <w:rPr>
          <w:rStyle w:val="FootnoteReference"/>
        </w:rPr>
        <w:footnoteRef/>
      </w:r>
      <w:r>
        <w:t xml:space="preserve"> The Licensee provided the ACMA with </w:t>
      </w:r>
      <w:r w:rsidR="0089369D">
        <w:t>a</w:t>
      </w:r>
      <w:r>
        <w:t xml:space="preserve"> link to the Online Video</w:t>
      </w:r>
      <w:r w:rsidR="0089369D">
        <w:t>.</w:t>
      </w:r>
    </w:p>
  </w:footnote>
  <w:footnote w:id="4">
    <w:p w14:paraId="1BF9D2DC" w14:textId="72EAB11D" w:rsidR="00F90181" w:rsidRDefault="00F90181">
      <w:pPr>
        <w:pStyle w:val="FootnoteText"/>
      </w:pPr>
      <w:r>
        <w:rPr>
          <w:rStyle w:val="FootnoteReference"/>
        </w:rPr>
        <w:footnoteRef/>
      </w:r>
      <w:r w:rsidR="00404F06">
        <w:t xml:space="preserve">Privacy </w:t>
      </w:r>
      <w:r>
        <w:t xml:space="preserve">Guidelines </w:t>
      </w:r>
      <w:r w:rsidR="00404F06">
        <w:t xml:space="preserve">for Broadcasters </w:t>
      </w:r>
      <w:r>
        <w:t>p 8</w:t>
      </w:r>
      <w:r w:rsidR="00404F06">
        <w:t xml:space="preserve"> </w:t>
      </w:r>
      <w:hyperlink r:id="rId2" w:history="1">
        <w:r w:rsidR="00404F06" w:rsidRPr="0056360B">
          <w:rPr>
            <w:rStyle w:val="Hyperlink"/>
          </w:rPr>
          <w:t>https://www.acma.gov.au/sites/default/files/2019-12/Privacy%20guidelines%20for%20broadcasters.pdf</w:t>
        </w:r>
      </w:hyperlink>
    </w:p>
  </w:footnote>
  <w:footnote w:id="5">
    <w:p w14:paraId="19E5EB7A" w14:textId="77777777" w:rsidR="006720FF" w:rsidRDefault="006720FF" w:rsidP="006720FF">
      <w:pPr>
        <w:pStyle w:val="FootnoteText"/>
      </w:pPr>
      <w:r>
        <w:rPr>
          <w:rStyle w:val="FootnoteReference"/>
        </w:rPr>
        <w:footnoteRef/>
      </w:r>
      <w:r>
        <w:t xml:space="preserve">  Privacy Guidelines for Broadcasters p 9 </w:t>
      </w:r>
      <w:hyperlink r:id="rId3" w:history="1">
        <w:r w:rsidRPr="0056360B">
          <w:rPr>
            <w:rStyle w:val="Hyperlink"/>
          </w:rPr>
          <w:t>https://www.acma.gov.au/sites/default/files/2019-12/Privacy%20guidelines%20for%20broadcasters.pdf</w:t>
        </w:r>
      </w:hyperlink>
    </w:p>
  </w:footnote>
  <w:footnote w:id="6">
    <w:p w14:paraId="2487679C" w14:textId="77777777" w:rsidR="006720FF" w:rsidRDefault="006720FF" w:rsidP="006720FF">
      <w:pPr>
        <w:pStyle w:val="FootnoteText"/>
      </w:pPr>
      <w:r>
        <w:rPr>
          <w:rStyle w:val="FootnoteReference"/>
        </w:rPr>
        <w:footnoteRef/>
      </w:r>
      <w:r>
        <w:t xml:space="preserve">  Privacy Guidelines for Broadcasters p 5 </w:t>
      </w:r>
      <w:hyperlink r:id="rId4" w:history="1">
        <w:r w:rsidRPr="0056360B">
          <w:rPr>
            <w:rStyle w:val="Hyperlink"/>
          </w:rPr>
          <w:t>https://www.acma.gov.au/sites/default/files/2019-12/Privacy%20guidelines%20for%20broadcasters.pdf</w:t>
        </w:r>
      </w:hyperlink>
    </w:p>
  </w:footnote>
  <w:footnote w:id="7">
    <w:p w14:paraId="02B95904" w14:textId="5BA6CD2C" w:rsidR="00ED08D7" w:rsidRDefault="00ED08D7">
      <w:pPr>
        <w:pStyle w:val="FootnoteText"/>
      </w:pPr>
      <w:r>
        <w:rPr>
          <w:rStyle w:val="FootnoteReference"/>
        </w:rPr>
        <w:footnoteRef/>
      </w:r>
      <w:r>
        <w:t xml:space="preserve"> </w:t>
      </w:r>
      <w:r w:rsidRPr="0026442F">
        <w:rPr>
          <w:rFonts w:cs="Arial"/>
        </w:rPr>
        <w:t>This test is drawn from case law</w:t>
      </w:r>
      <w:r>
        <w:rPr>
          <w:rFonts w:cs="Arial"/>
        </w:rPr>
        <w:t>—</w:t>
      </w:r>
      <w:r w:rsidRPr="0026442F">
        <w:rPr>
          <w:rFonts w:cs="Arial"/>
          <w:i/>
        </w:rPr>
        <w:t>Allworth v John Fairfax Group Pty Ltd</w:t>
      </w:r>
      <w:r w:rsidRPr="0026442F">
        <w:rPr>
          <w:rFonts w:cs="Arial"/>
        </w:rPr>
        <w:t xml:space="preserve"> (1993) 113 FLR 254 at 263; </w:t>
      </w:r>
      <w:r w:rsidRPr="0026442F">
        <w:rPr>
          <w:rFonts w:cs="Arial"/>
          <w:i/>
        </w:rPr>
        <w:t>London Artists v Littler</w:t>
      </w:r>
      <w:r w:rsidRPr="003C546B">
        <w:rPr>
          <w:rFonts w:cs="Arial"/>
        </w:rPr>
        <w:t xml:space="preserve"> (1969) 2 QB 375 at 391.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5ADC" w14:textId="7769E7A8" w:rsidR="0061569D" w:rsidRDefault="0061569D">
    <w:r>
      <w:fldChar w:fldCharType="begin"/>
    </w:r>
    <w:r>
      <w:instrText xml:space="preserve"> REF ReportTitle \h </w:instrText>
    </w:r>
    <w:r>
      <w:fldChar w:fldCharType="separate"/>
    </w:r>
    <w:r w:rsidR="00BA3B55">
      <w:rPr>
        <w:b/>
        <w:bCs/>
        <w:lang w:val="en-US"/>
      </w:rPr>
      <w:t>Error! Reference source not found.</w:t>
    </w:r>
    <w:r>
      <w:fldChar w:fldCharType="end"/>
    </w:r>
  </w:p>
  <w:p w14:paraId="5E90785F"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F7CE" w14:textId="77777777" w:rsidR="0061569D" w:rsidRPr="005F22AA" w:rsidRDefault="004D4EEE" w:rsidP="005F22AA">
    <w:pPr>
      <w:pStyle w:val="ACMAHeaderGraphicSpace"/>
    </w:pPr>
    <w:r>
      <w:rPr>
        <w:noProof/>
      </w:rPr>
      <w:drawing>
        <wp:inline distT="0" distB="0" distL="0" distR="0" wp14:anchorId="552FD8CE" wp14:editId="279D3EC3">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09000F"/>
    <w:lvl w:ilvl="0">
      <w:start w:val="1"/>
      <w:numFmt w:val="decimal"/>
      <w:pStyle w:val="ACMABulletLevel1"/>
      <w:lvlText w:val="%1."/>
      <w:lvlJc w:val="left"/>
      <w:pPr>
        <w:ind w:left="360" w:hanging="360"/>
      </w:pPr>
      <w:rPr>
        <w:rFonts w:hint="default"/>
        <w:sz w:val="20"/>
      </w:rPr>
    </w:lvl>
  </w:abstractNum>
  <w:abstractNum w:abstractNumId="1" w15:restartNumberingAfterBreak="0">
    <w:nsid w:val="012A4D60"/>
    <w:multiLevelType w:val="hybridMultilevel"/>
    <w:tmpl w:val="FBCE9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26AF6"/>
    <w:multiLevelType w:val="hybridMultilevel"/>
    <w:tmpl w:val="50CC1E7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D13300"/>
    <w:multiLevelType w:val="hybridMultilevel"/>
    <w:tmpl w:val="9BDC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C788E"/>
    <w:multiLevelType w:val="hybridMultilevel"/>
    <w:tmpl w:val="6F266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206E69"/>
    <w:multiLevelType w:val="hybridMultilevel"/>
    <w:tmpl w:val="154C45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3F03D4"/>
    <w:multiLevelType w:val="hybridMultilevel"/>
    <w:tmpl w:val="DDCC9C5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11A28A8"/>
    <w:multiLevelType w:val="hybridMultilevel"/>
    <w:tmpl w:val="A2C8401A"/>
    <w:lvl w:ilvl="0" w:tplc="CCE2725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751874"/>
    <w:multiLevelType w:val="hybridMultilevel"/>
    <w:tmpl w:val="9C5E4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DB4367"/>
    <w:multiLevelType w:val="hybridMultilevel"/>
    <w:tmpl w:val="2B34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E032E"/>
    <w:multiLevelType w:val="hybridMultilevel"/>
    <w:tmpl w:val="5B9E2AE6"/>
    <w:lvl w:ilvl="0" w:tplc="35A6AC6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E11F5D"/>
    <w:multiLevelType w:val="multilevel"/>
    <w:tmpl w:val="22B6EE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8F192D"/>
    <w:multiLevelType w:val="hybridMultilevel"/>
    <w:tmpl w:val="ED6CF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522AFE"/>
    <w:multiLevelType w:val="hybridMultilevel"/>
    <w:tmpl w:val="FC48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5A5080"/>
    <w:multiLevelType w:val="hybridMultilevel"/>
    <w:tmpl w:val="58B0F0D6"/>
    <w:lvl w:ilvl="0" w:tplc="EFE81832">
      <w:start w:val="1"/>
      <w:numFmt w:val="bullet"/>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2F7147FB"/>
    <w:multiLevelType w:val="hybridMultilevel"/>
    <w:tmpl w:val="5C72D85C"/>
    <w:lvl w:ilvl="0" w:tplc="BE22D61A">
      <w:start w:val="1"/>
      <w:numFmt w:val="decimal"/>
      <w:lvlText w:val="%1."/>
      <w:lvlJc w:val="left"/>
      <w:pPr>
        <w:ind w:left="666" w:hanging="425"/>
      </w:pPr>
      <w:rPr>
        <w:rFonts w:ascii="Calibri" w:eastAsia="Calibri" w:hAnsi="Calibri" w:cs="Calibri" w:hint="default"/>
        <w:b w:val="0"/>
        <w:bCs w:val="0"/>
        <w:i w:val="0"/>
        <w:iCs w:val="0"/>
        <w:spacing w:val="-1"/>
        <w:w w:val="99"/>
        <w:sz w:val="20"/>
        <w:szCs w:val="20"/>
        <w:lang w:val="en-US" w:eastAsia="en-US" w:bidi="ar-SA"/>
      </w:rPr>
    </w:lvl>
    <w:lvl w:ilvl="1" w:tplc="4E9633AE">
      <w:start w:val="1"/>
      <w:numFmt w:val="lowerLetter"/>
      <w:lvlText w:val="%2)"/>
      <w:lvlJc w:val="left"/>
      <w:pPr>
        <w:ind w:left="1091" w:hanging="425"/>
      </w:pPr>
      <w:rPr>
        <w:rFonts w:ascii="Calibri" w:eastAsia="Calibri" w:hAnsi="Calibri" w:cs="Calibri" w:hint="default"/>
        <w:b w:val="0"/>
        <w:bCs w:val="0"/>
        <w:i w:val="0"/>
        <w:iCs w:val="0"/>
        <w:w w:val="99"/>
        <w:sz w:val="20"/>
        <w:szCs w:val="20"/>
        <w:lang w:val="en-US" w:eastAsia="en-US" w:bidi="ar-SA"/>
      </w:rPr>
    </w:lvl>
    <w:lvl w:ilvl="2" w:tplc="FD7077EA">
      <w:numFmt w:val="bullet"/>
      <w:lvlText w:val="•"/>
      <w:lvlJc w:val="left"/>
      <w:pPr>
        <w:ind w:left="2004" w:hanging="425"/>
      </w:pPr>
      <w:rPr>
        <w:rFonts w:hint="default"/>
        <w:lang w:val="en-US" w:eastAsia="en-US" w:bidi="ar-SA"/>
      </w:rPr>
    </w:lvl>
    <w:lvl w:ilvl="3" w:tplc="B3B82338">
      <w:numFmt w:val="bullet"/>
      <w:lvlText w:val="•"/>
      <w:lvlJc w:val="left"/>
      <w:pPr>
        <w:ind w:left="2908" w:hanging="425"/>
      </w:pPr>
      <w:rPr>
        <w:rFonts w:hint="default"/>
        <w:lang w:val="en-US" w:eastAsia="en-US" w:bidi="ar-SA"/>
      </w:rPr>
    </w:lvl>
    <w:lvl w:ilvl="4" w:tplc="97F662E0">
      <w:numFmt w:val="bullet"/>
      <w:lvlText w:val="•"/>
      <w:lvlJc w:val="left"/>
      <w:pPr>
        <w:ind w:left="3813" w:hanging="425"/>
      </w:pPr>
      <w:rPr>
        <w:rFonts w:hint="default"/>
        <w:lang w:val="en-US" w:eastAsia="en-US" w:bidi="ar-SA"/>
      </w:rPr>
    </w:lvl>
    <w:lvl w:ilvl="5" w:tplc="BA803C06">
      <w:numFmt w:val="bullet"/>
      <w:lvlText w:val="•"/>
      <w:lvlJc w:val="left"/>
      <w:pPr>
        <w:ind w:left="4717" w:hanging="425"/>
      </w:pPr>
      <w:rPr>
        <w:rFonts w:hint="default"/>
        <w:lang w:val="en-US" w:eastAsia="en-US" w:bidi="ar-SA"/>
      </w:rPr>
    </w:lvl>
    <w:lvl w:ilvl="6" w:tplc="3B7A3426">
      <w:numFmt w:val="bullet"/>
      <w:lvlText w:val="•"/>
      <w:lvlJc w:val="left"/>
      <w:pPr>
        <w:ind w:left="5621" w:hanging="425"/>
      </w:pPr>
      <w:rPr>
        <w:rFonts w:hint="default"/>
        <w:lang w:val="en-US" w:eastAsia="en-US" w:bidi="ar-SA"/>
      </w:rPr>
    </w:lvl>
    <w:lvl w:ilvl="7" w:tplc="EA6849DC">
      <w:numFmt w:val="bullet"/>
      <w:lvlText w:val="•"/>
      <w:lvlJc w:val="left"/>
      <w:pPr>
        <w:ind w:left="6526" w:hanging="425"/>
      </w:pPr>
      <w:rPr>
        <w:rFonts w:hint="default"/>
        <w:lang w:val="en-US" w:eastAsia="en-US" w:bidi="ar-SA"/>
      </w:rPr>
    </w:lvl>
    <w:lvl w:ilvl="8" w:tplc="EF7C027E">
      <w:numFmt w:val="bullet"/>
      <w:lvlText w:val="•"/>
      <w:lvlJc w:val="left"/>
      <w:pPr>
        <w:ind w:left="7430" w:hanging="425"/>
      </w:pPr>
      <w:rPr>
        <w:rFonts w:hint="default"/>
        <w:lang w:val="en-US" w:eastAsia="en-US" w:bidi="ar-SA"/>
      </w:rPr>
    </w:lvl>
  </w:abstractNum>
  <w:abstractNum w:abstractNumId="21"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2" w15:restartNumberingAfterBreak="0">
    <w:nsid w:val="3BEC01EE"/>
    <w:multiLevelType w:val="hybridMultilevel"/>
    <w:tmpl w:val="6906A82E"/>
    <w:lvl w:ilvl="0" w:tplc="35A6AC6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F52494"/>
    <w:multiLevelType w:val="hybridMultilevel"/>
    <w:tmpl w:val="0280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A7463C"/>
    <w:multiLevelType w:val="hybridMultilevel"/>
    <w:tmpl w:val="991C5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BE560D"/>
    <w:multiLevelType w:val="hybridMultilevel"/>
    <w:tmpl w:val="D7CE9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DE920F4"/>
    <w:multiLevelType w:val="hybridMultilevel"/>
    <w:tmpl w:val="BD724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E30423"/>
    <w:multiLevelType w:val="hybridMultilevel"/>
    <w:tmpl w:val="CC08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8928CD"/>
    <w:multiLevelType w:val="hybridMultilevel"/>
    <w:tmpl w:val="E4FC5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140CF1"/>
    <w:multiLevelType w:val="hybridMultilevel"/>
    <w:tmpl w:val="E00E1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23928"/>
    <w:multiLevelType w:val="multilevel"/>
    <w:tmpl w:val="F394034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2680E44"/>
    <w:multiLevelType w:val="hybridMultilevel"/>
    <w:tmpl w:val="E41A5AC0"/>
    <w:lvl w:ilvl="0" w:tplc="A39E60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3D951E5"/>
    <w:multiLevelType w:val="hybridMultilevel"/>
    <w:tmpl w:val="2F80B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956BEE"/>
    <w:multiLevelType w:val="hybridMultilevel"/>
    <w:tmpl w:val="A96C0512"/>
    <w:lvl w:ilvl="0" w:tplc="A266CB54">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BE7C51"/>
    <w:multiLevelType w:val="hybridMultilevel"/>
    <w:tmpl w:val="9C921B06"/>
    <w:lvl w:ilvl="0" w:tplc="0C090001">
      <w:start w:val="1"/>
      <w:numFmt w:val="bullet"/>
      <w:lvlText w:val=""/>
      <w:lvlJc w:val="left"/>
      <w:pPr>
        <w:ind w:left="360" w:hanging="360"/>
      </w:pPr>
      <w:rPr>
        <w:rFonts w:ascii="Symbol" w:hAnsi="Symbol" w:hint="default"/>
      </w:rPr>
    </w:lvl>
    <w:lvl w:ilvl="1" w:tplc="0C090003" w:tentative="1">
      <w:start w:val="1"/>
      <w:numFmt w:val="bullet"/>
      <w:pStyle w:val="ACMABulletLevel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FA85C86"/>
    <w:multiLevelType w:val="hybridMultilevel"/>
    <w:tmpl w:val="8AAC4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FD6F72"/>
    <w:multiLevelType w:val="hybridMultilevel"/>
    <w:tmpl w:val="8506BDC8"/>
    <w:lvl w:ilvl="0" w:tplc="5F6C1A06">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E24AD2"/>
    <w:multiLevelType w:val="multilevel"/>
    <w:tmpl w:val="A774BC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2D80CC5"/>
    <w:multiLevelType w:val="hybridMultilevel"/>
    <w:tmpl w:val="1D46661A"/>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6" w15:restartNumberingAfterBreak="0">
    <w:nsid w:val="74832361"/>
    <w:multiLevelType w:val="hybridMultilevel"/>
    <w:tmpl w:val="FE3E4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303D99"/>
    <w:multiLevelType w:val="hybridMultilevel"/>
    <w:tmpl w:val="A36294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8D3838"/>
    <w:multiLevelType w:val="hybridMultilevel"/>
    <w:tmpl w:val="9A009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7648744">
    <w:abstractNumId w:val="0"/>
  </w:num>
  <w:num w:numId="2" w16cid:durableId="1889411950">
    <w:abstractNumId w:val="31"/>
  </w:num>
  <w:num w:numId="3" w16cid:durableId="1461534323">
    <w:abstractNumId w:val="3"/>
  </w:num>
  <w:num w:numId="4" w16cid:durableId="84350722">
    <w:abstractNumId w:val="2"/>
  </w:num>
  <w:num w:numId="5" w16cid:durableId="667103313">
    <w:abstractNumId w:val="38"/>
  </w:num>
  <w:num w:numId="6" w16cid:durableId="195001471">
    <w:abstractNumId w:val="25"/>
  </w:num>
  <w:num w:numId="7" w16cid:durableId="1409420611">
    <w:abstractNumId w:val="44"/>
  </w:num>
  <w:num w:numId="8" w16cid:durableId="9635386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40244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0357521">
    <w:abstractNumId w:val="7"/>
  </w:num>
  <w:num w:numId="11" w16cid:durableId="1947735927">
    <w:abstractNumId w:val="15"/>
  </w:num>
  <w:num w:numId="12" w16cid:durableId="1839691657">
    <w:abstractNumId w:val="12"/>
  </w:num>
  <w:num w:numId="13" w16cid:durableId="619147722">
    <w:abstractNumId w:val="10"/>
  </w:num>
  <w:num w:numId="14" w16cid:durableId="499347553">
    <w:abstractNumId w:val="34"/>
  </w:num>
  <w:num w:numId="15" w16cid:durableId="204683553">
    <w:abstractNumId w:val="43"/>
  </w:num>
  <w:num w:numId="16" w16cid:durableId="1299998340">
    <w:abstractNumId w:val="1"/>
  </w:num>
  <w:num w:numId="17" w16cid:durableId="380593745">
    <w:abstractNumId w:val="17"/>
  </w:num>
  <w:num w:numId="18" w16cid:durableId="1297834015">
    <w:abstractNumId w:val="8"/>
  </w:num>
  <w:num w:numId="19" w16cid:durableId="2040616360">
    <w:abstractNumId w:val="6"/>
  </w:num>
  <w:num w:numId="20" w16cid:durableId="796291193">
    <w:abstractNumId w:val="42"/>
  </w:num>
  <w:num w:numId="21" w16cid:durableId="348871113">
    <w:abstractNumId w:val="49"/>
  </w:num>
  <w:num w:numId="22" w16cid:durableId="438912999">
    <w:abstractNumId w:val="23"/>
  </w:num>
  <w:num w:numId="23" w16cid:durableId="1967736986">
    <w:abstractNumId w:val="18"/>
  </w:num>
  <w:num w:numId="24" w16cid:durableId="210239954">
    <w:abstractNumId w:val="27"/>
  </w:num>
  <w:num w:numId="25" w16cid:durableId="1450779999">
    <w:abstractNumId w:val="33"/>
  </w:num>
  <w:num w:numId="26" w16cid:durableId="897978770">
    <w:abstractNumId w:val="46"/>
  </w:num>
  <w:num w:numId="27" w16cid:durableId="257251626">
    <w:abstractNumId w:val="36"/>
  </w:num>
  <w:num w:numId="28" w16cid:durableId="1794328475">
    <w:abstractNumId w:val="4"/>
  </w:num>
  <w:num w:numId="29" w16cid:durableId="1766994192">
    <w:abstractNumId w:val="20"/>
  </w:num>
  <w:num w:numId="30" w16cid:durableId="1883133039">
    <w:abstractNumId w:val="37"/>
  </w:num>
  <w:num w:numId="31" w16cid:durableId="357974709">
    <w:abstractNumId w:val="24"/>
  </w:num>
  <w:num w:numId="32" w16cid:durableId="1664045045">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KpT34Iqc8uFPqp0TrZSNdKZO1RNYyhLajrxT0JP8ifl4eQQWTJ37mCR5fd0kSPT9UAEOysk1c5/Ru+rvuJoViA==" w:saltValue="qMPuelmIN68SZBPNwjEdrw==" w:algorithmName="SHA-512"/>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1D9E"/>
    <w:rsid w:val="000023B8"/>
    <w:rsid w:val="000029CD"/>
    <w:rsid w:val="00004A0E"/>
    <w:rsid w:val="0000588E"/>
    <w:rsid w:val="000065BC"/>
    <w:rsid w:val="0000661F"/>
    <w:rsid w:val="0001010E"/>
    <w:rsid w:val="000101EF"/>
    <w:rsid w:val="00011C95"/>
    <w:rsid w:val="00013CD1"/>
    <w:rsid w:val="00013EAC"/>
    <w:rsid w:val="00020060"/>
    <w:rsid w:val="00020851"/>
    <w:rsid w:val="00020D8E"/>
    <w:rsid w:val="00026B34"/>
    <w:rsid w:val="000307EE"/>
    <w:rsid w:val="00031017"/>
    <w:rsid w:val="00031E89"/>
    <w:rsid w:val="00033207"/>
    <w:rsid w:val="000332CF"/>
    <w:rsid w:val="000344EE"/>
    <w:rsid w:val="000353D6"/>
    <w:rsid w:val="000370C8"/>
    <w:rsid w:val="00037A6A"/>
    <w:rsid w:val="000424EA"/>
    <w:rsid w:val="00043DE2"/>
    <w:rsid w:val="000473C6"/>
    <w:rsid w:val="0005212A"/>
    <w:rsid w:val="0005218D"/>
    <w:rsid w:val="00053457"/>
    <w:rsid w:val="000555E2"/>
    <w:rsid w:val="000579D5"/>
    <w:rsid w:val="00063656"/>
    <w:rsid w:val="00065648"/>
    <w:rsid w:val="000678BD"/>
    <w:rsid w:val="0007115E"/>
    <w:rsid w:val="00073067"/>
    <w:rsid w:val="000748D9"/>
    <w:rsid w:val="00075F5D"/>
    <w:rsid w:val="00076767"/>
    <w:rsid w:val="00076CB6"/>
    <w:rsid w:val="000809E3"/>
    <w:rsid w:val="00080EFF"/>
    <w:rsid w:val="000845A8"/>
    <w:rsid w:val="00084627"/>
    <w:rsid w:val="0008639C"/>
    <w:rsid w:val="000868B8"/>
    <w:rsid w:val="00090053"/>
    <w:rsid w:val="0009278F"/>
    <w:rsid w:val="00094589"/>
    <w:rsid w:val="0009589B"/>
    <w:rsid w:val="000A0747"/>
    <w:rsid w:val="000A217B"/>
    <w:rsid w:val="000A48E2"/>
    <w:rsid w:val="000A62E8"/>
    <w:rsid w:val="000A70B0"/>
    <w:rsid w:val="000A7685"/>
    <w:rsid w:val="000B22F0"/>
    <w:rsid w:val="000B767D"/>
    <w:rsid w:val="000C4D29"/>
    <w:rsid w:val="000C70DE"/>
    <w:rsid w:val="000C795C"/>
    <w:rsid w:val="000D0502"/>
    <w:rsid w:val="000D2B6A"/>
    <w:rsid w:val="000D4908"/>
    <w:rsid w:val="000D5126"/>
    <w:rsid w:val="000D6084"/>
    <w:rsid w:val="000D7CE1"/>
    <w:rsid w:val="000E0C29"/>
    <w:rsid w:val="000E103F"/>
    <w:rsid w:val="000E12B2"/>
    <w:rsid w:val="000E3ACD"/>
    <w:rsid w:val="000E457E"/>
    <w:rsid w:val="000E4CAF"/>
    <w:rsid w:val="000E4F0D"/>
    <w:rsid w:val="000E5661"/>
    <w:rsid w:val="000F12E8"/>
    <w:rsid w:val="000F25EA"/>
    <w:rsid w:val="000F3189"/>
    <w:rsid w:val="000F70ED"/>
    <w:rsid w:val="000F7C71"/>
    <w:rsid w:val="00102AB2"/>
    <w:rsid w:val="00103742"/>
    <w:rsid w:val="00103A8D"/>
    <w:rsid w:val="00103B3E"/>
    <w:rsid w:val="00104FFD"/>
    <w:rsid w:val="00105C54"/>
    <w:rsid w:val="00107533"/>
    <w:rsid w:val="00113573"/>
    <w:rsid w:val="00115095"/>
    <w:rsid w:val="001164DF"/>
    <w:rsid w:val="0011733F"/>
    <w:rsid w:val="00122FCA"/>
    <w:rsid w:val="0012464D"/>
    <w:rsid w:val="00124B0D"/>
    <w:rsid w:val="001257CE"/>
    <w:rsid w:val="001262BD"/>
    <w:rsid w:val="001267C8"/>
    <w:rsid w:val="001268E2"/>
    <w:rsid w:val="00131277"/>
    <w:rsid w:val="0013198F"/>
    <w:rsid w:val="0013275A"/>
    <w:rsid w:val="001329E3"/>
    <w:rsid w:val="00135595"/>
    <w:rsid w:val="001369F2"/>
    <w:rsid w:val="00137A28"/>
    <w:rsid w:val="00140B36"/>
    <w:rsid w:val="00140C7F"/>
    <w:rsid w:val="001438F4"/>
    <w:rsid w:val="001443BB"/>
    <w:rsid w:val="00146895"/>
    <w:rsid w:val="00146E30"/>
    <w:rsid w:val="00150296"/>
    <w:rsid w:val="00150968"/>
    <w:rsid w:val="001528B2"/>
    <w:rsid w:val="00155B32"/>
    <w:rsid w:val="001573E1"/>
    <w:rsid w:val="00160297"/>
    <w:rsid w:val="00160831"/>
    <w:rsid w:val="00161F35"/>
    <w:rsid w:val="00171B51"/>
    <w:rsid w:val="00174162"/>
    <w:rsid w:val="0017448F"/>
    <w:rsid w:val="00181375"/>
    <w:rsid w:val="00183698"/>
    <w:rsid w:val="001845B1"/>
    <w:rsid w:val="0018475D"/>
    <w:rsid w:val="00187224"/>
    <w:rsid w:val="00187354"/>
    <w:rsid w:val="00187E47"/>
    <w:rsid w:val="001904F1"/>
    <w:rsid w:val="00191BDE"/>
    <w:rsid w:val="00191E26"/>
    <w:rsid w:val="00193093"/>
    <w:rsid w:val="00193967"/>
    <w:rsid w:val="001943DC"/>
    <w:rsid w:val="00195974"/>
    <w:rsid w:val="00195ECD"/>
    <w:rsid w:val="00197E2F"/>
    <w:rsid w:val="001A0A47"/>
    <w:rsid w:val="001A0AC0"/>
    <w:rsid w:val="001A375C"/>
    <w:rsid w:val="001A53BE"/>
    <w:rsid w:val="001A6BF3"/>
    <w:rsid w:val="001B0780"/>
    <w:rsid w:val="001B2524"/>
    <w:rsid w:val="001B2EA7"/>
    <w:rsid w:val="001B4291"/>
    <w:rsid w:val="001B6B48"/>
    <w:rsid w:val="001B6F51"/>
    <w:rsid w:val="001B754B"/>
    <w:rsid w:val="001B7B29"/>
    <w:rsid w:val="001B7E7F"/>
    <w:rsid w:val="001C285C"/>
    <w:rsid w:val="001C3EC9"/>
    <w:rsid w:val="001C41F0"/>
    <w:rsid w:val="001C4D19"/>
    <w:rsid w:val="001C5021"/>
    <w:rsid w:val="001C5744"/>
    <w:rsid w:val="001C5A5E"/>
    <w:rsid w:val="001C6546"/>
    <w:rsid w:val="001D430E"/>
    <w:rsid w:val="001D4710"/>
    <w:rsid w:val="001D5D4A"/>
    <w:rsid w:val="001E2D6A"/>
    <w:rsid w:val="001E3098"/>
    <w:rsid w:val="001E63DF"/>
    <w:rsid w:val="001F2D5B"/>
    <w:rsid w:val="001F423C"/>
    <w:rsid w:val="001F4FFF"/>
    <w:rsid w:val="001F5AAD"/>
    <w:rsid w:val="00200F38"/>
    <w:rsid w:val="0020321A"/>
    <w:rsid w:val="00205CDE"/>
    <w:rsid w:val="00210199"/>
    <w:rsid w:val="00211185"/>
    <w:rsid w:val="002114D9"/>
    <w:rsid w:val="0021167F"/>
    <w:rsid w:val="0021377B"/>
    <w:rsid w:val="002137CA"/>
    <w:rsid w:val="00213AFF"/>
    <w:rsid w:val="00214950"/>
    <w:rsid w:val="002163EC"/>
    <w:rsid w:val="00217601"/>
    <w:rsid w:val="0021780F"/>
    <w:rsid w:val="00220A6D"/>
    <w:rsid w:val="00222893"/>
    <w:rsid w:val="00224120"/>
    <w:rsid w:val="002243C5"/>
    <w:rsid w:val="00224A5E"/>
    <w:rsid w:val="002251E2"/>
    <w:rsid w:val="00227744"/>
    <w:rsid w:val="00227B87"/>
    <w:rsid w:val="00227CCB"/>
    <w:rsid w:val="00230D12"/>
    <w:rsid w:val="002325DB"/>
    <w:rsid w:val="0023314F"/>
    <w:rsid w:val="002336D9"/>
    <w:rsid w:val="0024000F"/>
    <w:rsid w:val="0024060D"/>
    <w:rsid w:val="00245CE7"/>
    <w:rsid w:val="00253814"/>
    <w:rsid w:val="00254479"/>
    <w:rsid w:val="00265AB1"/>
    <w:rsid w:val="00267125"/>
    <w:rsid w:val="00270105"/>
    <w:rsid w:val="00270182"/>
    <w:rsid w:val="002718AB"/>
    <w:rsid w:val="00272E13"/>
    <w:rsid w:val="0027366A"/>
    <w:rsid w:val="00273D69"/>
    <w:rsid w:val="00281F78"/>
    <w:rsid w:val="00282E1C"/>
    <w:rsid w:val="0028384B"/>
    <w:rsid w:val="00284509"/>
    <w:rsid w:val="00285384"/>
    <w:rsid w:val="002867E2"/>
    <w:rsid w:val="00286AFC"/>
    <w:rsid w:val="00286CA7"/>
    <w:rsid w:val="00286CC2"/>
    <w:rsid w:val="00287745"/>
    <w:rsid w:val="0028781C"/>
    <w:rsid w:val="0029081B"/>
    <w:rsid w:val="00295F51"/>
    <w:rsid w:val="00297868"/>
    <w:rsid w:val="002A0ADD"/>
    <w:rsid w:val="002A1D54"/>
    <w:rsid w:val="002A45C6"/>
    <w:rsid w:val="002A5B5C"/>
    <w:rsid w:val="002A7CAA"/>
    <w:rsid w:val="002B0831"/>
    <w:rsid w:val="002B1724"/>
    <w:rsid w:val="002B1843"/>
    <w:rsid w:val="002B3552"/>
    <w:rsid w:val="002B4EFB"/>
    <w:rsid w:val="002B7C38"/>
    <w:rsid w:val="002C3721"/>
    <w:rsid w:val="002C3AD6"/>
    <w:rsid w:val="002C3B2E"/>
    <w:rsid w:val="002C61C6"/>
    <w:rsid w:val="002C6235"/>
    <w:rsid w:val="002C68E3"/>
    <w:rsid w:val="002C6DE0"/>
    <w:rsid w:val="002C7069"/>
    <w:rsid w:val="002D12BF"/>
    <w:rsid w:val="002D1F99"/>
    <w:rsid w:val="002D3179"/>
    <w:rsid w:val="002D3BFE"/>
    <w:rsid w:val="002D5C6F"/>
    <w:rsid w:val="002D7E3D"/>
    <w:rsid w:val="002E10F1"/>
    <w:rsid w:val="002E1A33"/>
    <w:rsid w:val="002E3B76"/>
    <w:rsid w:val="002E64F5"/>
    <w:rsid w:val="002F0E96"/>
    <w:rsid w:val="002F1908"/>
    <w:rsid w:val="002F3B30"/>
    <w:rsid w:val="002F4141"/>
    <w:rsid w:val="002F4CD6"/>
    <w:rsid w:val="00302953"/>
    <w:rsid w:val="003040DE"/>
    <w:rsid w:val="00310EBA"/>
    <w:rsid w:val="0031189B"/>
    <w:rsid w:val="00315098"/>
    <w:rsid w:val="0031515E"/>
    <w:rsid w:val="003163A9"/>
    <w:rsid w:val="003163C6"/>
    <w:rsid w:val="003169B0"/>
    <w:rsid w:val="00320122"/>
    <w:rsid w:val="003203A1"/>
    <w:rsid w:val="00321A85"/>
    <w:rsid w:val="00322C79"/>
    <w:rsid w:val="003306B4"/>
    <w:rsid w:val="0033104B"/>
    <w:rsid w:val="00331DC9"/>
    <w:rsid w:val="00331DEE"/>
    <w:rsid w:val="003329A6"/>
    <w:rsid w:val="00335C63"/>
    <w:rsid w:val="003364DB"/>
    <w:rsid w:val="00336588"/>
    <w:rsid w:val="0034108F"/>
    <w:rsid w:val="003440AB"/>
    <w:rsid w:val="00346A8C"/>
    <w:rsid w:val="003470D1"/>
    <w:rsid w:val="00350165"/>
    <w:rsid w:val="003505C0"/>
    <w:rsid w:val="003534FD"/>
    <w:rsid w:val="00354A52"/>
    <w:rsid w:val="00354C14"/>
    <w:rsid w:val="00356D39"/>
    <w:rsid w:val="00357507"/>
    <w:rsid w:val="00357707"/>
    <w:rsid w:val="00357712"/>
    <w:rsid w:val="003615D1"/>
    <w:rsid w:val="003634AA"/>
    <w:rsid w:val="003635C6"/>
    <w:rsid w:val="00365BFF"/>
    <w:rsid w:val="0036731F"/>
    <w:rsid w:val="00370FC9"/>
    <w:rsid w:val="00371957"/>
    <w:rsid w:val="003742CA"/>
    <w:rsid w:val="00374F2E"/>
    <w:rsid w:val="00377AFB"/>
    <w:rsid w:val="00382846"/>
    <w:rsid w:val="003832F2"/>
    <w:rsid w:val="00391255"/>
    <w:rsid w:val="0039406A"/>
    <w:rsid w:val="00395815"/>
    <w:rsid w:val="003A0F3A"/>
    <w:rsid w:val="003A1FF5"/>
    <w:rsid w:val="003A22C0"/>
    <w:rsid w:val="003A25AA"/>
    <w:rsid w:val="003A2DE2"/>
    <w:rsid w:val="003A4C94"/>
    <w:rsid w:val="003B0526"/>
    <w:rsid w:val="003B1977"/>
    <w:rsid w:val="003B2BFB"/>
    <w:rsid w:val="003B3292"/>
    <w:rsid w:val="003B3C9D"/>
    <w:rsid w:val="003B610A"/>
    <w:rsid w:val="003B6843"/>
    <w:rsid w:val="003C0112"/>
    <w:rsid w:val="003C021D"/>
    <w:rsid w:val="003C0345"/>
    <w:rsid w:val="003C1096"/>
    <w:rsid w:val="003C2724"/>
    <w:rsid w:val="003C30D2"/>
    <w:rsid w:val="003C343E"/>
    <w:rsid w:val="003C42DB"/>
    <w:rsid w:val="003D5988"/>
    <w:rsid w:val="003D68A3"/>
    <w:rsid w:val="003D6F6C"/>
    <w:rsid w:val="003D718C"/>
    <w:rsid w:val="003D7A22"/>
    <w:rsid w:val="003D7A88"/>
    <w:rsid w:val="003E08A5"/>
    <w:rsid w:val="003E0CFA"/>
    <w:rsid w:val="003E2685"/>
    <w:rsid w:val="003E456C"/>
    <w:rsid w:val="003E73E4"/>
    <w:rsid w:val="003E7A3A"/>
    <w:rsid w:val="003F0B3F"/>
    <w:rsid w:val="003F1C65"/>
    <w:rsid w:val="003F666C"/>
    <w:rsid w:val="00401B16"/>
    <w:rsid w:val="00402317"/>
    <w:rsid w:val="0040375B"/>
    <w:rsid w:val="00404EED"/>
    <w:rsid w:val="00404F06"/>
    <w:rsid w:val="0040529A"/>
    <w:rsid w:val="004054CE"/>
    <w:rsid w:val="00410D91"/>
    <w:rsid w:val="00412405"/>
    <w:rsid w:val="004132DE"/>
    <w:rsid w:val="00414199"/>
    <w:rsid w:val="00420BA9"/>
    <w:rsid w:val="00420F9B"/>
    <w:rsid w:val="00421558"/>
    <w:rsid w:val="0042193F"/>
    <w:rsid w:val="00421C83"/>
    <w:rsid w:val="004266E1"/>
    <w:rsid w:val="00426A3E"/>
    <w:rsid w:val="004270E8"/>
    <w:rsid w:val="004306D2"/>
    <w:rsid w:val="004309E6"/>
    <w:rsid w:val="00431E14"/>
    <w:rsid w:val="00433F8D"/>
    <w:rsid w:val="0043400F"/>
    <w:rsid w:val="004358E2"/>
    <w:rsid w:val="00437DFC"/>
    <w:rsid w:val="004413F1"/>
    <w:rsid w:val="00441634"/>
    <w:rsid w:val="00441B06"/>
    <w:rsid w:val="0044246F"/>
    <w:rsid w:val="00444C27"/>
    <w:rsid w:val="00447AEF"/>
    <w:rsid w:val="004521FF"/>
    <w:rsid w:val="004532BE"/>
    <w:rsid w:val="004552AF"/>
    <w:rsid w:val="00457097"/>
    <w:rsid w:val="004578B6"/>
    <w:rsid w:val="004607FC"/>
    <w:rsid w:val="00466592"/>
    <w:rsid w:val="004710F3"/>
    <w:rsid w:val="004779A6"/>
    <w:rsid w:val="00482E5D"/>
    <w:rsid w:val="00483487"/>
    <w:rsid w:val="00486F4D"/>
    <w:rsid w:val="004957AC"/>
    <w:rsid w:val="0049681D"/>
    <w:rsid w:val="0049754C"/>
    <w:rsid w:val="004A020E"/>
    <w:rsid w:val="004A07C9"/>
    <w:rsid w:val="004A2DC5"/>
    <w:rsid w:val="004B783C"/>
    <w:rsid w:val="004B7FCB"/>
    <w:rsid w:val="004C08C8"/>
    <w:rsid w:val="004C0AFA"/>
    <w:rsid w:val="004C16E0"/>
    <w:rsid w:val="004C3A71"/>
    <w:rsid w:val="004C67A9"/>
    <w:rsid w:val="004C6F7C"/>
    <w:rsid w:val="004C7346"/>
    <w:rsid w:val="004D0C65"/>
    <w:rsid w:val="004D1505"/>
    <w:rsid w:val="004D34D2"/>
    <w:rsid w:val="004D386B"/>
    <w:rsid w:val="004D3949"/>
    <w:rsid w:val="004D4EEE"/>
    <w:rsid w:val="004D63D3"/>
    <w:rsid w:val="004D64C6"/>
    <w:rsid w:val="004D6C6A"/>
    <w:rsid w:val="004E08CB"/>
    <w:rsid w:val="004E0B99"/>
    <w:rsid w:val="004E11DF"/>
    <w:rsid w:val="004E13F7"/>
    <w:rsid w:val="004E1601"/>
    <w:rsid w:val="004E2A31"/>
    <w:rsid w:val="004E4297"/>
    <w:rsid w:val="004E7647"/>
    <w:rsid w:val="004F2D34"/>
    <w:rsid w:val="004F330E"/>
    <w:rsid w:val="004F4DCC"/>
    <w:rsid w:val="004F746E"/>
    <w:rsid w:val="004F7A2B"/>
    <w:rsid w:val="0050049F"/>
    <w:rsid w:val="005005AC"/>
    <w:rsid w:val="00500666"/>
    <w:rsid w:val="00501AD6"/>
    <w:rsid w:val="005050E0"/>
    <w:rsid w:val="00505A8E"/>
    <w:rsid w:val="00506BCE"/>
    <w:rsid w:val="00506E42"/>
    <w:rsid w:val="00507982"/>
    <w:rsid w:val="00510271"/>
    <w:rsid w:val="00510A07"/>
    <w:rsid w:val="005122AF"/>
    <w:rsid w:val="005125E3"/>
    <w:rsid w:val="005158CB"/>
    <w:rsid w:val="005175FD"/>
    <w:rsid w:val="00521BCF"/>
    <w:rsid w:val="00522026"/>
    <w:rsid w:val="00522DDC"/>
    <w:rsid w:val="00523A35"/>
    <w:rsid w:val="00524CFE"/>
    <w:rsid w:val="00527A9D"/>
    <w:rsid w:val="005331F4"/>
    <w:rsid w:val="00535423"/>
    <w:rsid w:val="00535EE2"/>
    <w:rsid w:val="00537065"/>
    <w:rsid w:val="00541840"/>
    <w:rsid w:val="00541C78"/>
    <w:rsid w:val="00546E15"/>
    <w:rsid w:val="00546F37"/>
    <w:rsid w:val="005473BA"/>
    <w:rsid w:val="005473ED"/>
    <w:rsid w:val="0054771B"/>
    <w:rsid w:val="00550001"/>
    <w:rsid w:val="005517BF"/>
    <w:rsid w:val="005528F7"/>
    <w:rsid w:val="005531E0"/>
    <w:rsid w:val="00554755"/>
    <w:rsid w:val="00554E5F"/>
    <w:rsid w:val="005566FE"/>
    <w:rsid w:val="0055708D"/>
    <w:rsid w:val="005610A6"/>
    <w:rsid w:val="0056157F"/>
    <w:rsid w:val="005631CB"/>
    <w:rsid w:val="005639EF"/>
    <w:rsid w:val="00563F23"/>
    <w:rsid w:val="00565785"/>
    <w:rsid w:val="005664C2"/>
    <w:rsid w:val="0056798E"/>
    <w:rsid w:val="005703E5"/>
    <w:rsid w:val="0057136F"/>
    <w:rsid w:val="005714DD"/>
    <w:rsid w:val="00572EF7"/>
    <w:rsid w:val="005778EF"/>
    <w:rsid w:val="00580C35"/>
    <w:rsid w:val="005820B7"/>
    <w:rsid w:val="00583227"/>
    <w:rsid w:val="00585D30"/>
    <w:rsid w:val="00586E25"/>
    <w:rsid w:val="00587BF8"/>
    <w:rsid w:val="005A227A"/>
    <w:rsid w:val="005A2628"/>
    <w:rsid w:val="005A58D4"/>
    <w:rsid w:val="005A5AE5"/>
    <w:rsid w:val="005A613B"/>
    <w:rsid w:val="005B0790"/>
    <w:rsid w:val="005B12CD"/>
    <w:rsid w:val="005B1509"/>
    <w:rsid w:val="005B1C02"/>
    <w:rsid w:val="005B2759"/>
    <w:rsid w:val="005B4AD7"/>
    <w:rsid w:val="005B4D1E"/>
    <w:rsid w:val="005B5DCB"/>
    <w:rsid w:val="005B64CA"/>
    <w:rsid w:val="005C3922"/>
    <w:rsid w:val="005C3E56"/>
    <w:rsid w:val="005C428D"/>
    <w:rsid w:val="005C54F5"/>
    <w:rsid w:val="005C5EB3"/>
    <w:rsid w:val="005C6FAA"/>
    <w:rsid w:val="005D0A26"/>
    <w:rsid w:val="005D1A9A"/>
    <w:rsid w:val="005D267B"/>
    <w:rsid w:val="005D277F"/>
    <w:rsid w:val="005D3FE4"/>
    <w:rsid w:val="005D49E9"/>
    <w:rsid w:val="005E0777"/>
    <w:rsid w:val="005E47CA"/>
    <w:rsid w:val="005E47E5"/>
    <w:rsid w:val="005F087F"/>
    <w:rsid w:val="005F0D6D"/>
    <w:rsid w:val="005F22AA"/>
    <w:rsid w:val="005F54DC"/>
    <w:rsid w:val="005F5C0C"/>
    <w:rsid w:val="005F731D"/>
    <w:rsid w:val="005F7A0E"/>
    <w:rsid w:val="00602073"/>
    <w:rsid w:val="00604A12"/>
    <w:rsid w:val="006057AC"/>
    <w:rsid w:val="00605E62"/>
    <w:rsid w:val="00607512"/>
    <w:rsid w:val="00614008"/>
    <w:rsid w:val="0061479F"/>
    <w:rsid w:val="0061569D"/>
    <w:rsid w:val="006162E4"/>
    <w:rsid w:val="00622736"/>
    <w:rsid w:val="00622D38"/>
    <w:rsid w:val="006258FD"/>
    <w:rsid w:val="00625E1E"/>
    <w:rsid w:val="006308A9"/>
    <w:rsid w:val="00635495"/>
    <w:rsid w:val="00637492"/>
    <w:rsid w:val="00637EE2"/>
    <w:rsid w:val="00642867"/>
    <w:rsid w:val="00643DF0"/>
    <w:rsid w:val="00645F94"/>
    <w:rsid w:val="00646CF0"/>
    <w:rsid w:val="00647DD3"/>
    <w:rsid w:val="006526F9"/>
    <w:rsid w:val="00653846"/>
    <w:rsid w:val="006541A3"/>
    <w:rsid w:val="00655D0B"/>
    <w:rsid w:val="0065633C"/>
    <w:rsid w:val="00656A17"/>
    <w:rsid w:val="006601D3"/>
    <w:rsid w:val="00660602"/>
    <w:rsid w:val="00662BFF"/>
    <w:rsid w:val="00662E00"/>
    <w:rsid w:val="00664217"/>
    <w:rsid w:val="006708CE"/>
    <w:rsid w:val="006720FF"/>
    <w:rsid w:val="00673AEA"/>
    <w:rsid w:val="00676642"/>
    <w:rsid w:val="00680C4B"/>
    <w:rsid w:val="00682A27"/>
    <w:rsid w:val="0068393D"/>
    <w:rsid w:val="00684B32"/>
    <w:rsid w:val="006877FC"/>
    <w:rsid w:val="00690594"/>
    <w:rsid w:val="00691131"/>
    <w:rsid w:val="006947BA"/>
    <w:rsid w:val="00694DA2"/>
    <w:rsid w:val="006958B4"/>
    <w:rsid w:val="0069594E"/>
    <w:rsid w:val="0069604A"/>
    <w:rsid w:val="00696876"/>
    <w:rsid w:val="006A02B1"/>
    <w:rsid w:val="006A1BED"/>
    <w:rsid w:val="006A2A1D"/>
    <w:rsid w:val="006A37C8"/>
    <w:rsid w:val="006A40B9"/>
    <w:rsid w:val="006A4C13"/>
    <w:rsid w:val="006A4F59"/>
    <w:rsid w:val="006A6E71"/>
    <w:rsid w:val="006B0066"/>
    <w:rsid w:val="006B1154"/>
    <w:rsid w:val="006B2B44"/>
    <w:rsid w:val="006B4691"/>
    <w:rsid w:val="006B72AF"/>
    <w:rsid w:val="006B7982"/>
    <w:rsid w:val="006C10B2"/>
    <w:rsid w:val="006C1768"/>
    <w:rsid w:val="006C293D"/>
    <w:rsid w:val="006C4B0E"/>
    <w:rsid w:val="006C78D0"/>
    <w:rsid w:val="006D01DA"/>
    <w:rsid w:val="006D0FEC"/>
    <w:rsid w:val="006D7DB1"/>
    <w:rsid w:val="006E016B"/>
    <w:rsid w:val="006E1969"/>
    <w:rsid w:val="006E1C68"/>
    <w:rsid w:val="006E2405"/>
    <w:rsid w:val="006E2D96"/>
    <w:rsid w:val="006E340C"/>
    <w:rsid w:val="006E4ED0"/>
    <w:rsid w:val="006E5357"/>
    <w:rsid w:val="006E542C"/>
    <w:rsid w:val="006E56D7"/>
    <w:rsid w:val="006F24EE"/>
    <w:rsid w:val="006F3066"/>
    <w:rsid w:val="006F3E1D"/>
    <w:rsid w:val="006F4CCD"/>
    <w:rsid w:val="006F6CA7"/>
    <w:rsid w:val="0070001F"/>
    <w:rsid w:val="00701E0D"/>
    <w:rsid w:val="00704B35"/>
    <w:rsid w:val="00706916"/>
    <w:rsid w:val="007073A4"/>
    <w:rsid w:val="00707C68"/>
    <w:rsid w:val="007102B5"/>
    <w:rsid w:val="007124A7"/>
    <w:rsid w:val="00712EB8"/>
    <w:rsid w:val="00713916"/>
    <w:rsid w:val="00713F7E"/>
    <w:rsid w:val="00714AD5"/>
    <w:rsid w:val="00715297"/>
    <w:rsid w:val="00715C35"/>
    <w:rsid w:val="00716B9F"/>
    <w:rsid w:val="00717E89"/>
    <w:rsid w:val="00720CC7"/>
    <w:rsid w:val="00720E0E"/>
    <w:rsid w:val="0072120E"/>
    <w:rsid w:val="0072188B"/>
    <w:rsid w:val="007232C6"/>
    <w:rsid w:val="007233FD"/>
    <w:rsid w:val="00724B7C"/>
    <w:rsid w:val="00725D8A"/>
    <w:rsid w:val="00727103"/>
    <w:rsid w:val="00727D22"/>
    <w:rsid w:val="00732412"/>
    <w:rsid w:val="00732B0A"/>
    <w:rsid w:val="007335E8"/>
    <w:rsid w:val="00733663"/>
    <w:rsid w:val="00733F89"/>
    <w:rsid w:val="00734222"/>
    <w:rsid w:val="007343CE"/>
    <w:rsid w:val="00734881"/>
    <w:rsid w:val="007354ED"/>
    <w:rsid w:val="007379F4"/>
    <w:rsid w:val="007411A1"/>
    <w:rsid w:val="007411F1"/>
    <w:rsid w:val="00741721"/>
    <w:rsid w:val="007451C5"/>
    <w:rsid w:val="0074682E"/>
    <w:rsid w:val="0074758B"/>
    <w:rsid w:val="00747CC0"/>
    <w:rsid w:val="00750D40"/>
    <w:rsid w:val="00751153"/>
    <w:rsid w:val="00751159"/>
    <w:rsid w:val="00754C70"/>
    <w:rsid w:val="007559C9"/>
    <w:rsid w:val="00755B0C"/>
    <w:rsid w:val="007566CE"/>
    <w:rsid w:val="007570E9"/>
    <w:rsid w:val="007579B1"/>
    <w:rsid w:val="00762251"/>
    <w:rsid w:val="00763632"/>
    <w:rsid w:val="00764F50"/>
    <w:rsid w:val="00766746"/>
    <w:rsid w:val="00766876"/>
    <w:rsid w:val="00766D75"/>
    <w:rsid w:val="007674AA"/>
    <w:rsid w:val="00767B08"/>
    <w:rsid w:val="007701A2"/>
    <w:rsid w:val="00772B49"/>
    <w:rsid w:val="00772E29"/>
    <w:rsid w:val="007747EF"/>
    <w:rsid w:val="00775052"/>
    <w:rsid w:val="00776DDB"/>
    <w:rsid w:val="007771E4"/>
    <w:rsid w:val="00782038"/>
    <w:rsid w:val="007826C2"/>
    <w:rsid w:val="00782A97"/>
    <w:rsid w:val="00783189"/>
    <w:rsid w:val="00785DDD"/>
    <w:rsid w:val="007873B8"/>
    <w:rsid w:val="00790918"/>
    <w:rsid w:val="0079221C"/>
    <w:rsid w:val="00792555"/>
    <w:rsid w:val="0079419E"/>
    <w:rsid w:val="00796AF5"/>
    <w:rsid w:val="00796F69"/>
    <w:rsid w:val="007A0304"/>
    <w:rsid w:val="007A07FE"/>
    <w:rsid w:val="007A15A3"/>
    <w:rsid w:val="007A3E52"/>
    <w:rsid w:val="007A3FE6"/>
    <w:rsid w:val="007A4A1A"/>
    <w:rsid w:val="007A56F7"/>
    <w:rsid w:val="007A7491"/>
    <w:rsid w:val="007B047A"/>
    <w:rsid w:val="007B17BC"/>
    <w:rsid w:val="007B1953"/>
    <w:rsid w:val="007B344F"/>
    <w:rsid w:val="007B368E"/>
    <w:rsid w:val="007B4828"/>
    <w:rsid w:val="007B76DE"/>
    <w:rsid w:val="007C3D2A"/>
    <w:rsid w:val="007C3D5E"/>
    <w:rsid w:val="007C50C6"/>
    <w:rsid w:val="007C5B8C"/>
    <w:rsid w:val="007C710D"/>
    <w:rsid w:val="007D0347"/>
    <w:rsid w:val="007D1E0F"/>
    <w:rsid w:val="007D4E18"/>
    <w:rsid w:val="007D580D"/>
    <w:rsid w:val="007D6B6D"/>
    <w:rsid w:val="007D7B2F"/>
    <w:rsid w:val="007E0167"/>
    <w:rsid w:val="007E1EAA"/>
    <w:rsid w:val="007E2821"/>
    <w:rsid w:val="007E4C6E"/>
    <w:rsid w:val="007F617B"/>
    <w:rsid w:val="007F644F"/>
    <w:rsid w:val="007F66DE"/>
    <w:rsid w:val="00804D47"/>
    <w:rsid w:val="00805F13"/>
    <w:rsid w:val="008102B0"/>
    <w:rsid w:val="00810636"/>
    <w:rsid w:val="008108D4"/>
    <w:rsid w:val="0081181E"/>
    <w:rsid w:val="00812638"/>
    <w:rsid w:val="0081394F"/>
    <w:rsid w:val="0081646E"/>
    <w:rsid w:val="00816ADF"/>
    <w:rsid w:val="008179ED"/>
    <w:rsid w:val="008238FE"/>
    <w:rsid w:val="008278C9"/>
    <w:rsid w:val="00830728"/>
    <w:rsid w:val="008319D6"/>
    <w:rsid w:val="00842B3A"/>
    <w:rsid w:val="00843B06"/>
    <w:rsid w:val="00844F3E"/>
    <w:rsid w:val="00845D5E"/>
    <w:rsid w:val="00845F36"/>
    <w:rsid w:val="00846C55"/>
    <w:rsid w:val="008479E7"/>
    <w:rsid w:val="008505DE"/>
    <w:rsid w:val="0085074F"/>
    <w:rsid w:val="00850B2D"/>
    <w:rsid w:val="00851F1C"/>
    <w:rsid w:val="008531F9"/>
    <w:rsid w:val="00853A5C"/>
    <w:rsid w:val="00853B62"/>
    <w:rsid w:val="00854183"/>
    <w:rsid w:val="0085498B"/>
    <w:rsid w:val="00855291"/>
    <w:rsid w:val="00856992"/>
    <w:rsid w:val="00857227"/>
    <w:rsid w:val="008572C0"/>
    <w:rsid w:val="0086114E"/>
    <w:rsid w:val="008612B3"/>
    <w:rsid w:val="008620E8"/>
    <w:rsid w:val="00862217"/>
    <w:rsid w:val="00866489"/>
    <w:rsid w:val="00866540"/>
    <w:rsid w:val="008679B5"/>
    <w:rsid w:val="0087360D"/>
    <w:rsid w:val="00874227"/>
    <w:rsid w:val="008746E9"/>
    <w:rsid w:val="00874B86"/>
    <w:rsid w:val="00875B6F"/>
    <w:rsid w:val="008764C7"/>
    <w:rsid w:val="0087653A"/>
    <w:rsid w:val="00880246"/>
    <w:rsid w:val="008833C2"/>
    <w:rsid w:val="00883556"/>
    <w:rsid w:val="008837B5"/>
    <w:rsid w:val="0088427E"/>
    <w:rsid w:val="00885B69"/>
    <w:rsid w:val="00887775"/>
    <w:rsid w:val="00887AC1"/>
    <w:rsid w:val="0089369D"/>
    <w:rsid w:val="008946C0"/>
    <w:rsid w:val="008A11CB"/>
    <w:rsid w:val="008A5538"/>
    <w:rsid w:val="008A619C"/>
    <w:rsid w:val="008A7415"/>
    <w:rsid w:val="008B0505"/>
    <w:rsid w:val="008B1ED2"/>
    <w:rsid w:val="008B270A"/>
    <w:rsid w:val="008B42DA"/>
    <w:rsid w:val="008B4571"/>
    <w:rsid w:val="008B4AD8"/>
    <w:rsid w:val="008B4B9E"/>
    <w:rsid w:val="008B68FC"/>
    <w:rsid w:val="008C1455"/>
    <w:rsid w:val="008C588C"/>
    <w:rsid w:val="008D0871"/>
    <w:rsid w:val="008D1173"/>
    <w:rsid w:val="008D2B23"/>
    <w:rsid w:val="008D7F7A"/>
    <w:rsid w:val="008D7F83"/>
    <w:rsid w:val="008E279D"/>
    <w:rsid w:val="008E4AEE"/>
    <w:rsid w:val="008E7B7E"/>
    <w:rsid w:val="008F0E8E"/>
    <w:rsid w:val="008F2BA5"/>
    <w:rsid w:val="008F2CB6"/>
    <w:rsid w:val="008F2EEF"/>
    <w:rsid w:val="008F4B7B"/>
    <w:rsid w:val="00901C0F"/>
    <w:rsid w:val="00903100"/>
    <w:rsid w:val="00906284"/>
    <w:rsid w:val="0091118D"/>
    <w:rsid w:val="0091127E"/>
    <w:rsid w:val="00913557"/>
    <w:rsid w:val="00913D30"/>
    <w:rsid w:val="00914973"/>
    <w:rsid w:val="00920322"/>
    <w:rsid w:val="009222FC"/>
    <w:rsid w:val="009249CD"/>
    <w:rsid w:val="00926AB1"/>
    <w:rsid w:val="00927F53"/>
    <w:rsid w:val="0093042F"/>
    <w:rsid w:val="0093050B"/>
    <w:rsid w:val="00930FDC"/>
    <w:rsid w:val="009318EC"/>
    <w:rsid w:val="00931E4F"/>
    <w:rsid w:val="00932322"/>
    <w:rsid w:val="00934ECC"/>
    <w:rsid w:val="009359FA"/>
    <w:rsid w:val="00936351"/>
    <w:rsid w:val="009363D0"/>
    <w:rsid w:val="00936692"/>
    <w:rsid w:val="00937C1F"/>
    <w:rsid w:val="0094483D"/>
    <w:rsid w:val="00947985"/>
    <w:rsid w:val="00951087"/>
    <w:rsid w:val="00951990"/>
    <w:rsid w:val="0095427A"/>
    <w:rsid w:val="00956AE4"/>
    <w:rsid w:val="009575A2"/>
    <w:rsid w:val="00960C4F"/>
    <w:rsid w:val="0096238F"/>
    <w:rsid w:val="009625E9"/>
    <w:rsid w:val="00962A0A"/>
    <w:rsid w:val="00963260"/>
    <w:rsid w:val="009671D5"/>
    <w:rsid w:val="0096741A"/>
    <w:rsid w:val="00967B58"/>
    <w:rsid w:val="00970C9B"/>
    <w:rsid w:val="0097259A"/>
    <w:rsid w:val="00972A4C"/>
    <w:rsid w:val="00972DB3"/>
    <w:rsid w:val="009738BE"/>
    <w:rsid w:val="0097545F"/>
    <w:rsid w:val="00977D26"/>
    <w:rsid w:val="009813D8"/>
    <w:rsid w:val="009822A1"/>
    <w:rsid w:val="00983557"/>
    <w:rsid w:val="00984201"/>
    <w:rsid w:val="00984279"/>
    <w:rsid w:val="00987D46"/>
    <w:rsid w:val="009910F5"/>
    <w:rsid w:val="009920AA"/>
    <w:rsid w:val="00996D30"/>
    <w:rsid w:val="00997A9F"/>
    <w:rsid w:val="00997E79"/>
    <w:rsid w:val="009A1C2B"/>
    <w:rsid w:val="009A3065"/>
    <w:rsid w:val="009A35E5"/>
    <w:rsid w:val="009A5AC7"/>
    <w:rsid w:val="009A7874"/>
    <w:rsid w:val="009A7B23"/>
    <w:rsid w:val="009B13CC"/>
    <w:rsid w:val="009B2896"/>
    <w:rsid w:val="009B2B79"/>
    <w:rsid w:val="009B3072"/>
    <w:rsid w:val="009B461B"/>
    <w:rsid w:val="009B5613"/>
    <w:rsid w:val="009B59F4"/>
    <w:rsid w:val="009B5D37"/>
    <w:rsid w:val="009B6D63"/>
    <w:rsid w:val="009C1370"/>
    <w:rsid w:val="009C22BA"/>
    <w:rsid w:val="009C289F"/>
    <w:rsid w:val="009C49AE"/>
    <w:rsid w:val="009C5494"/>
    <w:rsid w:val="009C5596"/>
    <w:rsid w:val="009D0EFF"/>
    <w:rsid w:val="009D184C"/>
    <w:rsid w:val="009D1962"/>
    <w:rsid w:val="009D3591"/>
    <w:rsid w:val="009D4132"/>
    <w:rsid w:val="009D4B90"/>
    <w:rsid w:val="009D4C90"/>
    <w:rsid w:val="009D6585"/>
    <w:rsid w:val="009E13C1"/>
    <w:rsid w:val="009E1F57"/>
    <w:rsid w:val="009E5720"/>
    <w:rsid w:val="009E5AC6"/>
    <w:rsid w:val="009E5BAC"/>
    <w:rsid w:val="009E6A9F"/>
    <w:rsid w:val="009E6B01"/>
    <w:rsid w:val="009E7E53"/>
    <w:rsid w:val="009F188C"/>
    <w:rsid w:val="009F234B"/>
    <w:rsid w:val="009F5D03"/>
    <w:rsid w:val="009F5E0B"/>
    <w:rsid w:val="009F5E1D"/>
    <w:rsid w:val="009F6C9B"/>
    <w:rsid w:val="009F73D0"/>
    <w:rsid w:val="00A02CAF"/>
    <w:rsid w:val="00A04A54"/>
    <w:rsid w:val="00A05AF4"/>
    <w:rsid w:val="00A10D9D"/>
    <w:rsid w:val="00A15205"/>
    <w:rsid w:val="00A1664A"/>
    <w:rsid w:val="00A202EA"/>
    <w:rsid w:val="00A2236D"/>
    <w:rsid w:val="00A2443C"/>
    <w:rsid w:val="00A246B9"/>
    <w:rsid w:val="00A2623E"/>
    <w:rsid w:val="00A26989"/>
    <w:rsid w:val="00A27C43"/>
    <w:rsid w:val="00A30120"/>
    <w:rsid w:val="00A30DF6"/>
    <w:rsid w:val="00A31B1A"/>
    <w:rsid w:val="00A31C1E"/>
    <w:rsid w:val="00A33D8F"/>
    <w:rsid w:val="00A341F5"/>
    <w:rsid w:val="00A420FF"/>
    <w:rsid w:val="00A43C96"/>
    <w:rsid w:val="00A44ED8"/>
    <w:rsid w:val="00A472AB"/>
    <w:rsid w:val="00A47E02"/>
    <w:rsid w:val="00A5055A"/>
    <w:rsid w:val="00A539AE"/>
    <w:rsid w:val="00A553E3"/>
    <w:rsid w:val="00A554A4"/>
    <w:rsid w:val="00A57D5D"/>
    <w:rsid w:val="00A65C16"/>
    <w:rsid w:val="00A7236D"/>
    <w:rsid w:val="00A72BE6"/>
    <w:rsid w:val="00A72CC9"/>
    <w:rsid w:val="00A733BF"/>
    <w:rsid w:val="00A75DBA"/>
    <w:rsid w:val="00A76076"/>
    <w:rsid w:val="00A7626F"/>
    <w:rsid w:val="00A82982"/>
    <w:rsid w:val="00A82FA1"/>
    <w:rsid w:val="00A837A2"/>
    <w:rsid w:val="00A8400A"/>
    <w:rsid w:val="00A84FB9"/>
    <w:rsid w:val="00A964D9"/>
    <w:rsid w:val="00AA0EEA"/>
    <w:rsid w:val="00AA22D7"/>
    <w:rsid w:val="00AA39F0"/>
    <w:rsid w:val="00AA3A91"/>
    <w:rsid w:val="00AA3D14"/>
    <w:rsid w:val="00AA4C6F"/>
    <w:rsid w:val="00AA5690"/>
    <w:rsid w:val="00AA5CF0"/>
    <w:rsid w:val="00AB01E8"/>
    <w:rsid w:val="00AB2609"/>
    <w:rsid w:val="00AB29DB"/>
    <w:rsid w:val="00AB3D4B"/>
    <w:rsid w:val="00AB4EA9"/>
    <w:rsid w:val="00AB523C"/>
    <w:rsid w:val="00AC22AF"/>
    <w:rsid w:val="00AC4868"/>
    <w:rsid w:val="00AC4AF1"/>
    <w:rsid w:val="00AC5010"/>
    <w:rsid w:val="00AD1700"/>
    <w:rsid w:val="00AD198A"/>
    <w:rsid w:val="00AD1C18"/>
    <w:rsid w:val="00AD2B67"/>
    <w:rsid w:val="00AD3F29"/>
    <w:rsid w:val="00AD721F"/>
    <w:rsid w:val="00AD73AF"/>
    <w:rsid w:val="00AE1A2C"/>
    <w:rsid w:val="00AE20DD"/>
    <w:rsid w:val="00AE3834"/>
    <w:rsid w:val="00AE401B"/>
    <w:rsid w:val="00AE4518"/>
    <w:rsid w:val="00AE63DD"/>
    <w:rsid w:val="00AF056F"/>
    <w:rsid w:val="00AF0BBA"/>
    <w:rsid w:val="00AF0D57"/>
    <w:rsid w:val="00AF17CD"/>
    <w:rsid w:val="00AF27CD"/>
    <w:rsid w:val="00AF5820"/>
    <w:rsid w:val="00AF5D87"/>
    <w:rsid w:val="00AF62B2"/>
    <w:rsid w:val="00AF641D"/>
    <w:rsid w:val="00AF67EE"/>
    <w:rsid w:val="00B00E4D"/>
    <w:rsid w:val="00B0106A"/>
    <w:rsid w:val="00B0310E"/>
    <w:rsid w:val="00B058B3"/>
    <w:rsid w:val="00B07D45"/>
    <w:rsid w:val="00B07EEE"/>
    <w:rsid w:val="00B10664"/>
    <w:rsid w:val="00B12EC3"/>
    <w:rsid w:val="00B147B8"/>
    <w:rsid w:val="00B163D6"/>
    <w:rsid w:val="00B17C4E"/>
    <w:rsid w:val="00B2053E"/>
    <w:rsid w:val="00B24CFA"/>
    <w:rsid w:val="00B24F9D"/>
    <w:rsid w:val="00B2559F"/>
    <w:rsid w:val="00B26346"/>
    <w:rsid w:val="00B27B6D"/>
    <w:rsid w:val="00B30A6C"/>
    <w:rsid w:val="00B30AEC"/>
    <w:rsid w:val="00B4126B"/>
    <w:rsid w:val="00B423C5"/>
    <w:rsid w:val="00B43CAC"/>
    <w:rsid w:val="00B45129"/>
    <w:rsid w:val="00B45381"/>
    <w:rsid w:val="00B507BE"/>
    <w:rsid w:val="00B50A25"/>
    <w:rsid w:val="00B52425"/>
    <w:rsid w:val="00B55AEC"/>
    <w:rsid w:val="00B56A23"/>
    <w:rsid w:val="00B56B9B"/>
    <w:rsid w:val="00B62B80"/>
    <w:rsid w:val="00B63521"/>
    <w:rsid w:val="00B636AC"/>
    <w:rsid w:val="00B65850"/>
    <w:rsid w:val="00B66835"/>
    <w:rsid w:val="00B674D9"/>
    <w:rsid w:val="00B70F51"/>
    <w:rsid w:val="00B72AD5"/>
    <w:rsid w:val="00B7300E"/>
    <w:rsid w:val="00B73344"/>
    <w:rsid w:val="00B73CF5"/>
    <w:rsid w:val="00B74E61"/>
    <w:rsid w:val="00B7699F"/>
    <w:rsid w:val="00B8072C"/>
    <w:rsid w:val="00B81A7D"/>
    <w:rsid w:val="00B82841"/>
    <w:rsid w:val="00B84BC2"/>
    <w:rsid w:val="00B84C47"/>
    <w:rsid w:val="00B86A58"/>
    <w:rsid w:val="00B878D7"/>
    <w:rsid w:val="00B879B0"/>
    <w:rsid w:val="00B913F6"/>
    <w:rsid w:val="00B925B4"/>
    <w:rsid w:val="00B93FA4"/>
    <w:rsid w:val="00B94DC3"/>
    <w:rsid w:val="00BA0C67"/>
    <w:rsid w:val="00BA3B55"/>
    <w:rsid w:val="00BA3BBA"/>
    <w:rsid w:val="00BA7AA8"/>
    <w:rsid w:val="00BB2A87"/>
    <w:rsid w:val="00BB5DAA"/>
    <w:rsid w:val="00BC3A96"/>
    <w:rsid w:val="00BC4728"/>
    <w:rsid w:val="00BC4858"/>
    <w:rsid w:val="00BC6684"/>
    <w:rsid w:val="00BC7AC8"/>
    <w:rsid w:val="00BD0176"/>
    <w:rsid w:val="00BD1D44"/>
    <w:rsid w:val="00BD25A7"/>
    <w:rsid w:val="00BD4214"/>
    <w:rsid w:val="00BD49AC"/>
    <w:rsid w:val="00BE282A"/>
    <w:rsid w:val="00BE2A3C"/>
    <w:rsid w:val="00BE2E03"/>
    <w:rsid w:val="00BE3EBD"/>
    <w:rsid w:val="00BE459D"/>
    <w:rsid w:val="00BE54BE"/>
    <w:rsid w:val="00BF3486"/>
    <w:rsid w:val="00BF3760"/>
    <w:rsid w:val="00BF3959"/>
    <w:rsid w:val="00BF3CC8"/>
    <w:rsid w:val="00BF4891"/>
    <w:rsid w:val="00BF4A2F"/>
    <w:rsid w:val="00BF554B"/>
    <w:rsid w:val="00C0205F"/>
    <w:rsid w:val="00C0320D"/>
    <w:rsid w:val="00C038E9"/>
    <w:rsid w:val="00C03DE1"/>
    <w:rsid w:val="00C03F8D"/>
    <w:rsid w:val="00C04AF0"/>
    <w:rsid w:val="00C05671"/>
    <w:rsid w:val="00C07073"/>
    <w:rsid w:val="00C0728D"/>
    <w:rsid w:val="00C07B88"/>
    <w:rsid w:val="00C1095F"/>
    <w:rsid w:val="00C11CE2"/>
    <w:rsid w:val="00C15E1E"/>
    <w:rsid w:val="00C201F2"/>
    <w:rsid w:val="00C2160C"/>
    <w:rsid w:val="00C22B6B"/>
    <w:rsid w:val="00C23D13"/>
    <w:rsid w:val="00C24A9A"/>
    <w:rsid w:val="00C24B21"/>
    <w:rsid w:val="00C2537D"/>
    <w:rsid w:val="00C30843"/>
    <w:rsid w:val="00C30E51"/>
    <w:rsid w:val="00C31846"/>
    <w:rsid w:val="00C32019"/>
    <w:rsid w:val="00C32E4D"/>
    <w:rsid w:val="00C3399F"/>
    <w:rsid w:val="00C33E60"/>
    <w:rsid w:val="00C34B4D"/>
    <w:rsid w:val="00C34F7D"/>
    <w:rsid w:val="00C35B8B"/>
    <w:rsid w:val="00C37DDE"/>
    <w:rsid w:val="00C40428"/>
    <w:rsid w:val="00C41795"/>
    <w:rsid w:val="00C43DFF"/>
    <w:rsid w:val="00C43E5B"/>
    <w:rsid w:val="00C44CC1"/>
    <w:rsid w:val="00C452D8"/>
    <w:rsid w:val="00C455E0"/>
    <w:rsid w:val="00C53E5D"/>
    <w:rsid w:val="00C5672B"/>
    <w:rsid w:val="00C56C6E"/>
    <w:rsid w:val="00C57771"/>
    <w:rsid w:val="00C60135"/>
    <w:rsid w:val="00C60B32"/>
    <w:rsid w:val="00C622B3"/>
    <w:rsid w:val="00C641A3"/>
    <w:rsid w:val="00C64503"/>
    <w:rsid w:val="00C6585D"/>
    <w:rsid w:val="00C659DD"/>
    <w:rsid w:val="00C65EB0"/>
    <w:rsid w:val="00C65EBE"/>
    <w:rsid w:val="00C671E4"/>
    <w:rsid w:val="00C67BF9"/>
    <w:rsid w:val="00C7324F"/>
    <w:rsid w:val="00C736AA"/>
    <w:rsid w:val="00C76A4D"/>
    <w:rsid w:val="00C76CD9"/>
    <w:rsid w:val="00C76D75"/>
    <w:rsid w:val="00C82A46"/>
    <w:rsid w:val="00C857F8"/>
    <w:rsid w:val="00C873A9"/>
    <w:rsid w:val="00C9060C"/>
    <w:rsid w:val="00C9310B"/>
    <w:rsid w:val="00C947E2"/>
    <w:rsid w:val="00C95FA1"/>
    <w:rsid w:val="00C9760F"/>
    <w:rsid w:val="00CA101F"/>
    <w:rsid w:val="00CA3AA6"/>
    <w:rsid w:val="00CA6E7E"/>
    <w:rsid w:val="00CB3539"/>
    <w:rsid w:val="00CB39B3"/>
    <w:rsid w:val="00CC16BE"/>
    <w:rsid w:val="00CC16EC"/>
    <w:rsid w:val="00CC38CA"/>
    <w:rsid w:val="00CC4906"/>
    <w:rsid w:val="00CC4977"/>
    <w:rsid w:val="00CC597A"/>
    <w:rsid w:val="00CC6DAB"/>
    <w:rsid w:val="00CC7A32"/>
    <w:rsid w:val="00CD0115"/>
    <w:rsid w:val="00CD0796"/>
    <w:rsid w:val="00CD2711"/>
    <w:rsid w:val="00CD2B62"/>
    <w:rsid w:val="00CD3452"/>
    <w:rsid w:val="00CD6B91"/>
    <w:rsid w:val="00CD7EE5"/>
    <w:rsid w:val="00CE07CE"/>
    <w:rsid w:val="00CE2DC3"/>
    <w:rsid w:val="00CE3667"/>
    <w:rsid w:val="00CE4C5F"/>
    <w:rsid w:val="00CE6F07"/>
    <w:rsid w:val="00CE7EE3"/>
    <w:rsid w:val="00CF155C"/>
    <w:rsid w:val="00CF246A"/>
    <w:rsid w:val="00CF3E93"/>
    <w:rsid w:val="00CF404D"/>
    <w:rsid w:val="00CF40D3"/>
    <w:rsid w:val="00CF4B7A"/>
    <w:rsid w:val="00CF5789"/>
    <w:rsid w:val="00CF5EB3"/>
    <w:rsid w:val="00D0103B"/>
    <w:rsid w:val="00D01406"/>
    <w:rsid w:val="00D01F0A"/>
    <w:rsid w:val="00D04F9D"/>
    <w:rsid w:val="00D11455"/>
    <w:rsid w:val="00D1242A"/>
    <w:rsid w:val="00D12628"/>
    <w:rsid w:val="00D13D21"/>
    <w:rsid w:val="00D16281"/>
    <w:rsid w:val="00D1637C"/>
    <w:rsid w:val="00D171F2"/>
    <w:rsid w:val="00D17EB9"/>
    <w:rsid w:val="00D21B6B"/>
    <w:rsid w:val="00D21C54"/>
    <w:rsid w:val="00D2288C"/>
    <w:rsid w:val="00D22D4A"/>
    <w:rsid w:val="00D24CDD"/>
    <w:rsid w:val="00D24D99"/>
    <w:rsid w:val="00D25553"/>
    <w:rsid w:val="00D3071B"/>
    <w:rsid w:val="00D30758"/>
    <w:rsid w:val="00D33269"/>
    <w:rsid w:val="00D36446"/>
    <w:rsid w:val="00D36F90"/>
    <w:rsid w:val="00D37C93"/>
    <w:rsid w:val="00D4263C"/>
    <w:rsid w:val="00D453DC"/>
    <w:rsid w:val="00D457D5"/>
    <w:rsid w:val="00D46F22"/>
    <w:rsid w:val="00D5174B"/>
    <w:rsid w:val="00D520F0"/>
    <w:rsid w:val="00D530A5"/>
    <w:rsid w:val="00D56F18"/>
    <w:rsid w:val="00D60138"/>
    <w:rsid w:val="00D6266E"/>
    <w:rsid w:val="00D62F1F"/>
    <w:rsid w:val="00D668E3"/>
    <w:rsid w:val="00D6705E"/>
    <w:rsid w:val="00D6718B"/>
    <w:rsid w:val="00D67530"/>
    <w:rsid w:val="00D70EE1"/>
    <w:rsid w:val="00D76AF0"/>
    <w:rsid w:val="00D7799C"/>
    <w:rsid w:val="00D80CCA"/>
    <w:rsid w:val="00D81422"/>
    <w:rsid w:val="00D82E9D"/>
    <w:rsid w:val="00D840AC"/>
    <w:rsid w:val="00D84C64"/>
    <w:rsid w:val="00D863E1"/>
    <w:rsid w:val="00D90D3D"/>
    <w:rsid w:val="00D91764"/>
    <w:rsid w:val="00D9593A"/>
    <w:rsid w:val="00D97925"/>
    <w:rsid w:val="00DA35BD"/>
    <w:rsid w:val="00DA3924"/>
    <w:rsid w:val="00DA4B9A"/>
    <w:rsid w:val="00DB054F"/>
    <w:rsid w:val="00DB1F97"/>
    <w:rsid w:val="00DB34DB"/>
    <w:rsid w:val="00DB62BA"/>
    <w:rsid w:val="00DB6966"/>
    <w:rsid w:val="00DB7D94"/>
    <w:rsid w:val="00DC01C2"/>
    <w:rsid w:val="00DC099F"/>
    <w:rsid w:val="00DC1B37"/>
    <w:rsid w:val="00DC23DC"/>
    <w:rsid w:val="00DC2DE8"/>
    <w:rsid w:val="00DC3EE5"/>
    <w:rsid w:val="00DC4A6C"/>
    <w:rsid w:val="00DC6666"/>
    <w:rsid w:val="00DD7494"/>
    <w:rsid w:val="00DD7CA7"/>
    <w:rsid w:val="00DE5646"/>
    <w:rsid w:val="00DE7D54"/>
    <w:rsid w:val="00DF0C59"/>
    <w:rsid w:val="00DF2E9B"/>
    <w:rsid w:val="00DF3CFE"/>
    <w:rsid w:val="00DF3DE3"/>
    <w:rsid w:val="00DF5321"/>
    <w:rsid w:val="00E00988"/>
    <w:rsid w:val="00E00D5D"/>
    <w:rsid w:val="00E046C8"/>
    <w:rsid w:val="00E053B8"/>
    <w:rsid w:val="00E063E8"/>
    <w:rsid w:val="00E06BF1"/>
    <w:rsid w:val="00E06E0F"/>
    <w:rsid w:val="00E104BD"/>
    <w:rsid w:val="00E11501"/>
    <w:rsid w:val="00E11692"/>
    <w:rsid w:val="00E2152A"/>
    <w:rsid w:val="00E2338E"/>
    <w:rsid w:val="00E23853"/>
    <w:rsid w:val="00E26550"/>
    <w:rsid w:val="00E27E12"/>
    <w:rsid w:val="00E30230"/>
    <w:rsid w:val="00E311F0"/>
    <w:rsid w:val="00E316F5"/>
    <w:rsid w:val="00E35210"/>
    <w:rsid w:val="00E37D18"/>
    <w:rsid w:val="00E40DA0"/>
    <w:rsid w:val="00E416C9"/>
    <w:rsid w:val="00E437A9"/>
    <w:rsid w:val="00E43A73"/>
    <w:rsid w:val="00E44705"/>
    <w:rsid w:val="00E46208"/>
    <w:rsid w:val="00E46944"/>
    <w:rsid w:val="00E46959"/>
    <w:rsid w:val="00E52144"/>
    <w:rsid w:val="00E52BEF"/>
    <w:rsid w:val="00E53480"/>
    <w:rsid w:val="00E536EE"/>
    <w:rsid w:val="00E5579C"/>
    <w:rsid w:val="00E55CD3"/>
    <w:rsid w:val="00E55E8E"/>
    <w:rsid w:val="00E574DE"/>
    <w:rsid w:val="00E574E8"/>
    <w:rsid w:val="00E64144"/>
    <w:rsid w:val="00E66467"/>
    <w:rsid w:val="00E67D3D"/>
    <w:rsid w:val="00E71217"/>
    <w:rsid w:val="00E71CED"/>
    <w:rsid w:val="00E71CFA"/>
    <w:rsid w:val="00E735ED"/>
    <w:rsid w:val="00E738AF"/>
    <w:rsid w:val="00E7638D"/>
    <w:rsid w:val="00E76DFD"/>
    <w:rsid w:val="00E80D8F"/>
    <w:rsid w:val="00E829F9"/>
    <w:rsid w:val="00E8312E"/>
    <w:rsid w:val="00E84456"/>
    <w:rsid w:val="00E8673B"/>
    <w:rsid w:val="00E870FA"/>
    <w:rsid w:val="00E87AA0"/>
    <w:rsid w:val="00E87DB8"/>
    <w:rsid w:val="00E92A4F"/>
    <w:rsid w:val="00E9663D"/>
    <w:rsid w:val="00EA1450"/>
    <w:rsid w:val="00EA50D4"/>
    <w:rsid w:val="00EA51AB"/>
    <w:rsid w:val="00EA6F59"/>
    <w:rsid w:val="00EB0C2E"/>
    <w:rsid w:val="00EB2D67"/>
    <w:rsid w:val="00EB6196"/>
    <w:rsid w:val="00EB765E"/>
    <w:rsid w:val="00EB7881"/>
    <w:rsid w:val="00EC0CF4"/>
    <w:rsid w:val="00EC1B3E"/>
    <w:rsid w:val="00EC4739"/>
    <w:rsid w:val="00EC491A"/>
    <w:rsid w:val="00EC49A1"/>
    <w:rsid w:val="00EC69D9"/>
    <w:rsid w:val="00EC6C3A"/>
    <w:rsid w:val="00EC6F93"/>
    <w:rsid w:val="00EC7793"/>
    <w:rsid w:val="00EC7D8E"/>
    <w:rsid w:val="00ED021F"/>
    <w:rsid w:val="00ED079E"/>
    <w:rsid w:val="00ED08D7"/>
    <w:rsid w:val="00ED0929"/>
    <w:rsid w:val="00ED1613"/>
    <w:rsid w:val="00ED2F3B"/>
    <w:rsid w:val="00ED5925"/>
    <w:rsid w:val="00ED616B"/>
    <w:rsid w:val="00ED70F3"/>
    <w:rsid w:val="00EE13CA"/>
    <w:rsid w:val="00EE20DA"/>
    <w:rsid w:val="00EE21F2"/>
    <w:rsid w:val="00EE26E2"/>
    <w:rsid w:val="00EE7896"/>
    <w:rsid w:val="00EE7D2A"/>
    <w:rsid w:val="00EF0012"/>
    <w:rsid w:val="00EF1D52"/>
    <w:rsid w:val="00EF3540"/>
    <w:rsid w:val="00EF3B7C"/>
    <w:rsid w:val="00EF41B0"/>
    <w:rsid w:val="00EF755E"/>
    <w:rsid w:val="00EF7A2A"/>
    <w:rsid w:val="00EF7E30"/>
    <w:rsid w:val="00F01D98"/>
    <w:rsid w:val="00F02518"/>
    <w:rsid w:val="00F03742"/>
    <w:rsid w:val="00F06575"/>
    <w:rsid w:val="00F100CF"/>
    <w:rsid w:val="00F11C45"/>
    <w:rsid w:val="00F1388F"/>
    <w:rsid w:val="00F13AF3"/>
    <w:rsid w:val="00F13ED1"/>
    <w:rsid w:val="00F15660"/>
    <w:rsid w:val="00F169A2"/>
    <w:rsid w:val="00F22F41"/>
    <w:rsid w:val="00F2457D"/>
    <w:rsid w:val="00F304C8"/>
    <w:rsid w:val="00F305D1"/>
    <w:rsid w:val="00F30D24"/>
    <w:rsid w:val="00F3319C"/>
    <w:rsid w:val="00F354B4"/>
    <w:rsid w:val="00F35B96"/>
    <w:rsid w:val="00F367CE"/>
    <w:rsid w:val="00F40E2A"/>
    <w:rsid w:val="00F414E6"/>
    <w:rsid w:val="00F42C1D"/>
    <w:rsid w:val="00F42D92"/>
    <w:rsid w:val="00F43236"/>
    <w:rsid w:val="00F44966"/>
    <w:rsid w:val="00F4702E"/>
    <w:rsid w:val="00F470B8"/>
    <w:rsid w:val="00F472AC"/>
    <w:rsid w:val="00F50A81"/>
    <w:rsid w:val="00F5139C"/>
    <w:rsid w:val="00F522D0"/>
    <w:rsid w:val="00F55224"/>
    <w:rsid w:val="00F55923"/>
    <w:rsid w:val="00F56232"/>
    <w:rsid w:val="00F56960"/>
    <w:rsid w:val="00F56D18"/>
    <w:rsid w:val="00F621FB"/>
    <w:rsid w:val="00F630FA"/>
    <w:rsid w:val="00F63813"/>
    <w:rsid w:val="00F67886"/>
    <w:rsid w:val="00F72A8A"/>
    <w:rsid w:val="00F7406F"/>
    <w:rsid w:val="00F74097"/>
    <w:rsid w:val="00F7738A"/>
    <w:rsid w:val="00F80519"/>
    <w:rsid w:val="00F80927"/>
    <w:rsid w:val="00F822D1"/>
    <w:rsid w:val="00F82933"/>
    <w:rsid w:val="00F83A01"/>
    <w:rsid w:val="00F84C65"/>
    <w:rsid w:val="00F90181"/>
    <w:rsid w:val="00F9182B"/>
    <w:rsid w:val="00F92221"/>
    <w:rsid w:val="00F92C45"/>
    <w:rsid w:val="00F94154"/>
    <w:rsid w:val="00F94423"/>
    <w:rsid w:val="00F94CDB"/>
    <w:rsid w:val="00F97301"/>
    <w:rsid w:val="00FA20DC"/>
    <w:rsid w:val="00FA246C"/>
    <w:rsid w:val="00FA3513"/>
    <w:rsid w:val="00FA4C97"/>
    <w:rsid w:val="00FA4F23"/>
    <w:rsid w:val="00FA6580"/>
    <w:rsid w:val="00FA791C"/>
    <w:rsid w:val="00FA796B"/>
    <w:rsid w:val="00FB6275"/>
    <w:rsid w:val="00FB71F4"/>
    <w:rsid w:val="00FB7587"/>
    <w:rsid w:val="00FC0CBF"/>
    <w:rsid w:val="00FC0DE9"/>
    <w:rsid w:val="00FC32A9"/>
    <w:rsid w:val="00FC62BB"/>
    <w:rsid w:val="00FC6B52"/>
    <w:rsid w:val="00FC6EB5"/>
    <w:rsid w:val="00FD21E2"/>
    <w:rsid w:val="00FD3843"/>
    <w:rsid w:val="00FD4482"/>
    <w:rsid w:val="00FD6149"/>
    <w:rsid w:val="00FD6639"/>
    <w:rsid w:val="00FD78BE"/>
    <w:rsid w:val="00FE254E"/>
    <w:rsid w:val="00FE2762"/>
    <w:rsid w:val="00FE43C9"/>
    <w:rsid w:val="00FE5622"/>
    <w:rsid w:val="00FE5C98"/>
    <w:rsid w:val="00FE6362"/>
    <w:rsid w:val="00FF18C3"/>
    <w:rsid w:val="00FF4C2E"/>
    <w:rsid w:val="00FF6F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CBD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tabs>
        <w:tab w:val="num" w:pos="295"/>
      </w:tabs>
      <w:spacing w:after="80" w:line="240" w:lineRule="atLeast"/>
      <w:ind w:left="295" w:hanging="295"/>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uiPriority w:val="99"/>
    <w:semiHidden/>
    <w:unhideWhenUsed/>
    <w:rsid w:val="00B30A6C"/>
    <w:rPr>
      <w:sz w:val="16"/>
      <w:szCs w:val="16"/>
    </w:rPr>
  </w:style>
  <w:style w:type="paragraph" w:styleId="CommentText">
    <w:name w:val="annotation text"/>
    <w:basedOn w:val="Normal"/>
    <w:link w:val="CommentTextChar"/>
    <w:uiPriority w:val="99"/>
    <w:unhideWhenUsed/>
    <w:rsid w:val="00B30A6C"/>
    <w:pPr>
      <w:spacing w:line="240" w:lineRule="auto"/>
    </w:pPr>
    <w:rPr>
      <w:szCs w:val="20"/>
    </w:rPr>
  </w:style>
  <w:style w:type="character" w:customStyle="1" w:styleId="CommentTextChar">
    <w:name w:val="Comment Text Char"/>
    <w:basedOn w:val="DefaultParagraphFont"/>
    <w:link w:val="CommentText"/>
    <w:uiPriority w:val="99"/>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uiPriority w:val="99"/>
    <w:qForma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uiPriority w:val="99"/>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tabs>
        <w:tab w:val="num" w:pos="360"/>
      </w:tabs>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styleId="ListParagraph">
    <w:name w:val="List Paragraph"/>
    <w:basedOn w:val="Normal"/>
    <w:uiPriority w:val="34"/>
    <w:qFormat/>
    <w:rsid w:val="00227B87"/>
    <w:pPr>
      <w:ind w:left="720"/>
      <w:contextualSpacing/>
    </w:pPr>
  </w:style>
  <w:style w:type="paragraph" w:styleId="ListBullet">
    <w:name w:val="List Bullet"/>
    <w:basedOn w:val="Normal"/>
    <w:qFormat/>
    <w:rsid w:val="003F1C65"/>
    <w:pPr>
      <w:spacing w:before="0" w:after="80" w:line="240" w:lineRule="atLeast"/>
    </w:pPr>
    <w:rPr>
      <w:i w:val="0"/>
      <w:lang w:eastAsia="en-AU"/>
    </w:rPr>
  </w:style>
  <w:style w:type="paragraph" w:customStyle="1" w:styleId="ListBulletLast">
    <w:name w:val="List Bullet Last"/>
    <w:basedOn w:val="ListBullet"/>
    <w:qFormat/>
    <w:rsid w:val="003F1C65"/>
    <w:pPr>
      <w:spacing w:after="240"/>
    </w:pPr>
    <w:rPr>
      <w:rFonts w:cs="Arial"/>
    </w:rPr>
  </w:style>
  <w:style w:type="paragraph" w:customStyle="1" w:styleId="Default">
    <w:name w:val="Default"/>
    <w:rsid w:val="00FA4C97"/>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B2896"/>
    <w:rPr>
      <w:color w:val="605E5C"/>
      <w:shd w:val="clear" w:color="auto" w:fill="E1DFDD"/>
    </w:rPr>
  </w:style>
  <w:style w:type="paragraph" w:styleId="BodyText">
    <w:name w:val="Body Text"/>
    <w:basedOn w:val="Normal"/>
    <w:link w:val="BodyTextChar"/>
    <w:uiPriority w:val="1"/>
    <w:qFormat/>
    <w:rsid w:val="00F06575"/>
    <w:pPr>
      <w:widowControl w:val="0"/>
      <w:autoSpaceDE w:val="0"/>
      <w:autoSpaceDN w:val="0"/>
      <w:spacing w:before="0" w:after="0" w:line="240" w:lineRule="auto"/>
      <w:ind w:left="666" w:hanging="425"/>
    </w:pPr>
    <w:rPr>
      <w:rFonts w:ascii="Calibri" w:eastAsia="Calibri" w:hAnsi="Calibri" w:cs="Calibri"/>
      <w:i w:val="0"/>
      <w:szCs w:val="20"/>
      <w:lang w:val="en-US"/>
    </w:rPr>
  </w:style>
  <w:style w:type="character" w:customStyle="1" w:styleId="BodyTextChar">
    <w:name w:val="Body Text Char"/>
    <w:basedOn w:val="DefaultParagraphFont"/>
    <w:link w:val="BodyText"/>
    <w:uiPriority w:val="1"/>
    <w:rsid w:val="00F06575"/>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1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sites/default/files/2019-12/Privacy%20guidelines%20for%20broadcasters.pdf" TargetMode="External"/><Relationship Id="rId2" Type="http://schemas.openxmlformats.org/officeDocument/2006/relationships/hyperlink" Target="https://www.acma.gov.au/sites/default/files/2019-12/Privacy%20guidelines%20for%20broadcasters.pdf" TargetMode="External"/><Relationship Id="rId1" Type="http://schemas.openxmlformats.org/officeDocument/2006/relationships/hyperlink" Target="https://www.acma.gov.au/sites/default/files/2019-12/Privacy%20guidelines%20for%20broadcasters.pdf" TargetMode="External"/><Relationship Id="rId4" Type="http://schemas.openxmlformats.org/officeDocument/2006/relationships/hyperlink" Target="https://www.acma.gov.au/sites/default/files/2019-12/Privacy%20guidelines%20for%20broadcaste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77B4D-9103-4F97-84BC-17967EAF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5722</Words>
  <Characters>32618</Characters>
  <Application>Microsoft Office Word</Application>
  <DocSecurity>8</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2023-05-09T23:38:00Z</dcterms:created>
  <dcterms:modified xsi:type="dcterms:W3CDTF">2023-05-09T23:39:00Z</dcterms:modified>
  <cp:category/>
</cp:coreProperties>
</file>