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84A" w14:textId="7E5AA1D0" w:rsidR="00F06E14" w:rsidRPr="00A51D1A" w:rsidRDefault="00DE5B98" w:rsidP="00A51D1A">
      <w:pPr>
        <w:pStyle w:val="Reporttitle"/>
      </w:pPr>
      <w:r>
        <w:t>Sunsetting of spectrum licensing legislative instruments</w:t>
      </w:r>
    </w:p>
    <w:p w14:paraId="50F21803" w14:textId="21AFC364" w:rsidR="00F06E14" w:rsidRDefault="00EF3F45" w:rsidP="00F06E14">
      <w:pPr>
        <w:pStyle w:val="Reportsubtitle"/>
      </w:pPr>
      <w:r w:rsidRPr="00057029">
        <w:t>Outcomes paper</w:t>
      </w:r>
    </w:p>
    <w:p w14:paraId="72900FB7" w14:textId="06E3AB9F" w:rsidR="00C97736" w:rsidRPr="000D76E0" w:rsidRDefault="005F494A"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MARCH </w:t>
      </w:r>
      <w:r w:rsidR="00BD4421">
        <w:t>20</w:t>
      </w:r>
      <w:r w:rsidR="008E0428">
        <w:t>2</w:t>
      </w:r>
      <w:r w:rsidR="00DE5B98">
        <w:t>3</w:t>
      </w:r>
    </w:p>
    <w:p w14:paraId="1BB7DD83" w14:textId="77777777" w:rsidR="0005011A" w:rsidRPr="00F44F3A" w:rsidRDefault="0005011A" w:rsidP="00FC07B9">
      <w:pPr>
        <w:pStyle w:val="ACMACorporateAddressHeader"/>
      </w:pPr>
      <w:r w:rsidRPr="00F44F3A">
        <w:lastRenderedPageBreak/>
        <w:t>Canberra</w:t>
      </w:r>
    </w:p>
    <w:p w14:paraId="77B9B22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9F42131" w14:textId="77777777" w:rsidR="0005011A" w:rsidRPr="00FC07B9" w:rsidRDefault="0005011A" w:rsidP="00FC07B9">
      <w:pPr>
        <w:pStyle w:val="ACMACorporateAddresses"/>
      </w:pPr>
      <w:r w:rsidRPr="00FC07B9">
        <w:t>PO Box 78</w:t>
      </w:r>
      <w:r w:rsidRPr="00FC07B9">
        <w:br/>
        <w:t>Belconnen ACT 2616</w:t>
      </w:r>
    </w:p>
    <w:p w14:paraId="15AA101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8375004" w14:textId="77777777" w:rsidR="0005011A" w:rsidRPr="00F44F3A" w:rsidRDefault="0005011A" w:rsidP="00FC07B9">
      <w:pPr>
        <w:pStyle w:val="ACMACorporateAddressHeader"/>
      </w:pPr>
      <w:r w:rsidRPr="00F44F3A">
        <w:t>Melbourne</w:t>
      </w:r>
    </w:p>
    <w:p w14:paraId="3D057C40"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67C7214"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F31200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AA6F101" w14:textId="77777777" w:rsidR="0005011A" w:rsidRPr="00F44F3A" w:rsidRDefault="0005011A" w:rsidP="00FC07B9">
      <w:pPr>
        <w:pStyle w:val="ACMACorporateAddressHeader"/>
      </w:pPr>
      <w:r w:rsidRPr="00F44F3A">
        <w:t>Sydney</w:t>
      </w:r>
    </w:p>
    <w:p w14:paraId="5178973E"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A4F043C"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4623C0D"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7A698CA" w14:textId="77777777" w:rsidR="00140318" w:rsidRPr="006D46E5" w:rsidRDefault="00140318" w:rsidP="00FC07B9">
      <w:pPr>
        <w:pStyle w:val="ACMACopyrightHeader"/>
      </w:pPr>
      <w:r w:rsidRPr="00140318">
        <w:t>Copyright notice</w:t>
      </w:r>
    </w:p>
    <w:p w14:paraId="3D403D99" w14:textId="77777777" w:rsidR="00140318" w:rsidRPr="006D46E5" w:rsidRDefault="00623FF9" w:rsidP="00623FF9">
      <w:pPr>
        <w:pStyle w:val="ACMACClogo"/>
      </w:pPr>
      <w:r w:rsidRPr="00623FF9">
        <w:rPr>
          <w:noProof/>
        </w:rPr>
        <w:drawing>
          <wp:inline distT="0" distB="0" distL="0" distR="0" wp14:anchorId="63CA4662" wp14:editId="61FB1363">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487E39B" w14:textId="77777777" w:rsidR="00AA2DE5" w:rsidRDefault="00A76094" w:rsidP="00AA2DE5">
      <w:pPr>
        <w:pStyle w:val="ACMACorporateAddresses"/>
        <w:rPr>
          <w:rStyle w:val="Hyperlink"/>
        </w:rPr>
      </w:pPr>
      <w:hyperlink r:id="rId13" w:history="1">
        <w:r w:rsidR="00AA2DE5">
          <w:rPr>
            <w:rStyle w:val="Hyperlink"/>
          </w:rPr>
          <w:t>https://creativecommons.org/licenses/by/4.0/</w:t>
        </w:r>
      </w:hyperlink>
    </w:p>
    <w:p w14:paraId="4C33A705"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49B525D" w14:textId="7155F322" w:rsidR="00AA2DE5" w:rsidRDefault="00AA2DE5" w:rsidP="00AA2DE5">
      <w:pPr>
        <w:pStyle w:val="ACMACorporateAddresses"/>
      </w:pPr>
      <w:r>
        <w:t>We request attribution as © Commonwealth of Australia (Australian Communications and Media Authority) 20</w:t>
      </w:r>
      <w:r w:rsidR="00C41F21">
        <w:t>2</w:t>
      </w:r>
      <w:r w:rsidR="0001680B">
        <w:t>3</w:t>
      </w:r>
      <w:r>
        <w:t>.</w:t>
      </w:r>
    </w:p>
    <w:p w14:paraId="05B3BB0A" w14:textId="77777777" w:rsidR="00AA2DE5" w:rsidRDefault="00AA2DE5" w:rsidP="00AA2DE5">
      <w:pPr>
        <w:pStyle w:val="ACMACorporateAddresses"/>
      </w:pPr>
      <w:r>
        <w:t>All other rights are reserved.</w:t>
      </w:r>
    </w:p>
    <w:p w14:paraId="5B1B2ED8"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CE107DC" w14:textId="77777777" w:rsidR="00AA2DE5" w:rsidRDefault="00AA2DE5" w:rsidP="00AA2DE5">
      <w:pPr>
        <w:pStyle w:val="ACMACorporateAddresses"/>
      </w:pPr>
      <w:r>
        <w:t>Written enquiries may be sent to:</w:t>
      </w:r>
    </w:p>
    <w:p w14:paraId="1FF7524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6E1C089D" w14:textId="77777777" w:rsidR="00D16FE3" w:rsidRDefault="00D16FE3" w:rsidP="00D16FE3">
      <w:pPr>
        <w:pStyle w:val="ACMACorporateAddresses"/>
        <w:rPr>
          <w:rStyle w:val="Hyperlink"/>
        </w:rPr>
      </w:pPr>
    </w:p>
    <w:p w14:paraId="44837049"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2E6D048" w14:textId="5F722465" w:rsidR="00753443" w:rsidRDefault="004F0452">
      <w:pPr>
        <w:pStyle w:val="TOC1"/>
        <w:rPr>
          <w:rFonts w:asciiTheme="minorHAnsi" w:eastAsiaTheme="minorEastAsia" w:hAnsiTheme="minorHAnsi" w:cstheme="minorBidi"/>
          <w:b w:val="0"/>
          <w:spacing w:val="0"/>
          <w:sz w:val="22"/>
          <w:szCs w:val="22"/>
        </w:rPr>
      </w:pPr>
      <w:r w:rsidRPr="00057029">
        <w:rPr>
          <w:rFonts w:cs="Arial"/>
          <w:b w:val="0"/>
        </w:rPr>
        <w:lastRenderedPageBreak/>
        <w:fldChar w:fldCharType="begin"/>
      </w:r>
      <w:r w:rsidRPr="00057029">
        <w:rPr>
          <w:rFonts w:cs="Arial"/>
          <w:b w:val="0"/>
        </w:rPr>
        <w:instrText xml:space="preserve"> TOC \o "1-3" \h \z \t "ACMA_ExecSummaryHeading,1" </w:instrText>
      </w:r>
      <w:r w:rsidRPr="00057029">
        <w:rPr>
          <w:rFonts w:cs="Arial"/>
          <w:b w:val="0"/>
        </w:rPr>
        <w:fldChar w:fldCharType="separate"/>
      </w:r>
      <w:hyperlink w:anchor="_Toc130550467" w:history="1">
        <w:r w:rsidR="00753443" w:rsidRPr="00045E5C">
          <w:rPr>
            <w:rStyle w:val="Hyperlink"/>
          </w:rPr>
          <w:t>Introduction</w:t>
        </w:r>
        <w:r w:rsidR="00753443">
          <w:rPr>
            <w:webHidden/>
          </w:rPr>
          <w:tab/>
        </w:r>
        <w:r w:rsidR="00753443">
          <w:rPr>
            <w:webHidden/>
          </w:rPr>
          <w:fldChar w:fldCharType="begin"/>
        </w:r>
        <w:r w:rsidR="00753443">
          <w:rPr>
            <w:webHidden/>
          </w:rPr>
          <w:instrText xml:space="preserve"> PAGEREF _Toc130550467 \h </w:instrText>
        </w:r>
        <w:r w:rsidR="00753443">
          <w:rPr>
            <w:webHidden/>
          </w:rPr>
        </w:r>
        <w:r w:rsidR="00753443">
          <w:rPr>
            <w:webHidden/>
          </w:rPr>
          <w:fldChar w:fldCharType="separate"/>
        </w:r>
        <w:r w:rsidR="00753443">
          <w:rPr>
            <w:webHidden/>
          </w:rPr>
          <w:t>1</w:t>
        </w:r>
        <w:r w:rsidR="00753443">
          <w:rPr>
            <w:webHidden/>
          </w:rPr>
          <w:fldChar w:fldCharType="end"/>
        </w:r>
      </w:hyperlink>
    </w:p>
    <w:p w14:paraId="6BD0FA73" w14:textId="42F389B8" w:rsidR="00753443" w:rsidRDefault="00A76094">
      <w:pPr>
        <w:pStyle w:val="TOC1"/>
        <w:rPr>
          <w:rFonts w:asciiTheme="minorHAnsi" w:eastAsiaTheme="minorEastAsia" w:hAnsiTheme="minorHAnsi" w:cstheme="minorBidi"/>
          <w:b w:val="0"/>
          <w:spacing w:val="0"/>
          <w:sz w:val="22"/>
          <w:szCs w:val="22"/>
        </w:rPr>
      </w:pPr>
      <w:hyperlink w:anchor="_Toc130550468" w:history="1">
        <w:r w:rsidR="00753443" w:rsidRPr="00045E5C">
          <w:rPr>
            <w:rStyle w:val="Hyperlink"/>
          </w:rPr>
          <w:t>Summary and response to issues</w:t>
        </w:r>
        <w:r w:rsidR="00753443">
          <w:rPr>
            <w:webHidden/>
          </w:rPr>
          <w:tab/>
        </w:r>
        <w:r w:rsidR="00753443">
          <w:rPr>
            <w:webHidden/>
          </w:rPr>
          <w:fldChar w:fldCharType="begin"/>
        </w:r>
        <w:r w:rsidR="00753443">
          <w:rPr>
            <w:webHidden/>
          </w:rPr>
          <w:instrText xml:space="preserve"> PAGEREF _Toc130550468 \h </w:instrText>
        </w:r>
        <w:r w:rsidR="00753443">
          <w:rPr>
            <w:webHidden/>
          </w:rPr>
        </w:r>
        <w:r w:rsidR="00753443">
          <w:rPr>
            <w:webHidden/>
          </w:rPr>
          <w:fldChar w:fldCharType="separate"/>
        </w:r>
        <w:r w:rsidR="00753443">
          <w:rPr>
            <w:webHidden/>
          </w:rPr>
          <w:t>3</w:t>
        </w:r>
        <w:r w:rsidR="00753443">
          <w:rPr>
            <w:webHidden/>
          </w:rPr>
          <w:fldChar w:fldCharType="end"/>
        </w:r>
      </w:hyperlink>
    </w:p>
    <w:p w14:paraId="4B24F2A2" w14:textId="453DFA0D" w:rsidR="00753443" w:rsidRDefault="00A76094">
      <w:pPr>
        <w:pStyle w:val="TOC2"/>
        <w:rPr>
          <w:rFonts w:asciiTheme="minorHAnsi" w:eastAsiaTheme="minorEastAsia" w:hAnsiTheme="minorHAnsi" w:cstheme="minorBidi"/>
          <w:spacing w:val="0"/>
          <w:sz w:val="22"/>
          <w:szCs w:val="22"/>
        </w:rPr>
      </w:pPr>
      <w:hyperlink w:anchor="_Toc130550469" w:history="1">
        <w:r w:rsidR="00753443" w:rsidRPr="00045E5C">
          <w:rPr>
            <w:rStyle w:val="Hyperlink"/>
          </w:rPr>
          <w:t>Issues for comment</w:t>
        </w:r>
        <w:r w:rsidR="00753443">
          <w:rPr>
            <w:webHidden/>
          </w:rPr>
          <w:tab/>
        </w:r>
        <w:r w:rsidR="00753443">
          <w:rPr>
            <w:webHidden/>
          </w:rPr>
          <w:fldChar w:fldCharType="begin"/>
        </w:r>
        <w:r w:rsidR="00753443">
          <w:rPr>
            <w:webHidden/>
          </w:rPr>
          <w:instrText xml:space="preserve"> PAGEREF _Toc130550469 \h </w:instrText>
        </w:r>
        <w:r w:rsidR="00753443">
          <w:rPr>
            <w:webHidden/>
          </w:rPr>
        </w:r>
        <w:r w:rsidR="00753443">
          <w:rPr>
            <w:webHidden/>
          </w:rPr>
          <w:fldChar w:fldCharType="separate"/>
        </w:r>
        <w:r w:rsidR="00753443">
          <w:rPr>
            <w:webHidden/>
          </w:rPr>
          <w:t>3</w:t>
        </w:r>
        <w:r w:rsidR="00753443">
          <w:rPr>
            <w:webHidden/>
          </w:rPr>
          <w:fldChar w:fldCharType="end"/>
        </w:r>
      </w:hyperlink>
    </w:p>
    <w:p w14:paraId="637D0E23" w14:textId="3E94443E" w:rsidR="00753443" w:rsidRDefault="00A76094">
      <w:pPr>
        <w:pStyle w:val="TOC3"/>
        <w:rPr>
          <w:rFonts w:asciiTheme="minorHAnsi" w:eastAsiaTheme="minorEastAsia" w:hAnsiTheme="minorHAnsi" w:cstheme="minorBidi"/>
        </w:rPr>
      </w:pPr>
      <w:hyperlink w:anchor="_Toc130550470" w:history="1">
        <w:r w:rsidR="00753443" w:rsidRPr="00045E5C">
          <w:rPr>
            <w:rStyle w:val="Hyperlink"/>
          </w:rPr>
          <w:t>Question 5</w:t>
        </w:r>
        <w:r w:rsidR="00753443">
          <w:rPr>
            <w:webHidden/>
          </w:rPr>
          <w:tab/>
        </w:r>
        <w:r w:rsidR="00753443">
          <w:rPr>
            <w:webHidden/>
          </w:rPr>
          <w:fldChar w:fldCharType="begin"/>
        </w:r>
        <w:r w:rsidR="00753443">
          <w:rPr>
            <w:webHidden/>
          </w:rPr>
          <w:instrText xml:space="preserve"> PAGEREF _Toc130550470 \h </w:instrText>
        </w:r>
        <w:r w:rsidR="00753443">
          <w:rPr>
            <w:webHidden/>
          </w:rPr>
        </w:r>
        <w:r w:rsidR="00753443">
          <w:rPr>
            <w:webHidden/>
          </w:rPr>
          <w:fldChar w:fldCharType="separate"/>
        </w:r>
        <w:r w:rsidR="00753443">
          <w:rPr>
            <w:webHidden/>
          </w:rPr>
          <w:t>5</w:t>
        </w:r>
        <w:r w:rsidR="00753443">
          <w:rPr>
            <w:webHidden/>
          </w:rPr>
          <w:fldChar w:fldCharType="end"/>
        </w:r>
      </w:hyperlink>
    </w:p>
    <w:p w14:paraId="4F943406" w14:textId="37BFB31F" w:rsidR="00753443" w:rsidRDefault="00A76094">
      <w:pPr>
        <w:pStyle w:val="TOC3"/>
        <w:rPr>
          <w:rFonts w:asciiTheme="minorHAnsi" w:eastAsiaTheme="minorEastAsia" w:hAnsiTheme="minorHAnsi" w:cstheme="minorBidi"/>
        </w:rPr>
      </w:pPr>
      <w:hyperlink w:anchor="_Toc130550471" w:history="1">
        <w:r w:rsidR="00753443" w:rsidRPr="00045E5C">
          <w:rPr>
            <w:rStyle w:val="Hyperlink"/>
          </w:rPr>
          <w:t>Question 6</w:t>
        </w:r>
        <w:r w:rsidR="00753443">
          <w:rPr>
            <w:webHidden/>
          </w:rPr>
          <w:tab/>
        </w:r>
        <w:r w:rsidR="00753443">
          <w:rPr>
            <w:webHidden/>
          </w:rPr>
          <w:fldChar w:fldCharType="begin"/>
        </w:r>
        <w:r w:rsidR="00753443">
          <w:rPr>
            <w:webHidden/>
          </w:rPr>
          <w:instrText xml:space="preserve"> PAGEREF _Toc130550471 \h </w:instrText>
        </w:r>
        <w:r w:rsidR="00753443">
          <w:rPr>
            <w:webHidden/>
          </w:rPr>
        </w:r>
        <w:r w:rsidR="00753443">
          <w:rPr>
            <w:webHidden/>
          </w:rPr>
          <w:fldChar w:fldCharType="separate"/>
        </w:r>
        <w:r w:rsidR="00753443">
          <w:rPr>
            <w:webHidden/>
          </w:rPr>
          <w:t>5</w:t>
        </w:r>
        <w:r w:rsidR="00753443">
          <w:rPr>
            <w:webHidden/>
          </w:rPr>
          <w:fldChar w:fldCharType="end"/>
        </w:r>
      </w:hyperlink>
    </w:p>
    <w:p w14:paraId="039CA5D2" w14:textId="41AFBE0E" w:rsidR="00753443" w:rsidRDefault="00A76094">
      <w:pPr>
        <w:pStyle w:val="TOC3"/>
        <w:rPr>
          <w:rFonts w:asciiTheme="minorHAnsi" w:eastAsiaTheme="minorEastAsia" w:hAnsiTheme="minorHAnsi" w:cstheme="minorBidi"/>
        </w:rPr>
      </w:pPr>
      <w:hyperlink w:anchor="_Toc130550472" w:history="1">
        <w:r w:rsidR="00753443" w:rsidRPr="00045E5C">
          <w:rPr>
            <w:rStyle w:val="Hyperlink"/>
          </w:rPr>
          <w:t>Question 7</w:t>
        </w:r>
        <w:r w:rsidR="00753443">
          <w:rPr>
            <w:webHidden/>
          </w:rPr>
          <w:tab/>
        </w:r>
        <w:r w:rsidR="00753443">
          <w:rPr>
            <w:webHidden/>
          </w:rPr>
          <w:fldChar w:fldCharType="begin"/>
        </w:r>
        <w:r w:rsidR="00753443">
          <w:rPr>
            <w:webHidden/>
          </w:rPr>
          <w:instrText xml:space="preserve"> PAGEREF _Toc130550472 \h </w:instrText>
        </w:r>
        <w:r w:rsidR="00753443">
          <w:rPr>
            <w:webHidden/>
          </w:rPr>
        </w:r>
        <w:r w:rsidR="00753443">
          <w:rPr>
            <w:webHidden/>
          </w:rPr>
          <w:fldChar w:fldCharType="separate"/>
        </w:r>
        <w:r w:rsidR="00753443">
          <w:rPr>
            <w:webHidden/>
          </w:rPr>
          <w:t>5</w:t>
        </w:r>
        <w:r w:rsidR="00753443">
          <w:rPr>
            <w:webHidden/>
          </w:rPr>
          <w:fldChar w:fldCharType="end"/>
        </w:r>
      </w:hyperlink>
    </w:p>
    <w:p w14:paraId="2B922263" w14:textId="377BFEDD" w:rsidR="00753443" w:rsidRDefault="00A76094">
      <w:pPr>
        <w:pStyle w:val="TOC3"/>
        <w:rPr>
          <w:rFonts w:asciiTheme="minorHAnsi" w:eastAsiaTheme="minorEastAsia" w:hAnsiTheme="minorHAnsi" w:cstheme="minorBidi"/>
        </w:rPr>
      </w:pPr>
      <w:hyperlink w:anchor="_Toc130550473" w:history="1">
        <w:r w:rsidR="00753443" w:rsidRPr="00045E5C">
          <w:rPr>
            <w:rStyle w:val="Hyperlink"/>
          </w:rPr>
          <w:t>Question 8</w:t>
        </w:r>
        <w:r w:rsidR="00753443">
          <w:rPr>
            <w:webHidden/>
          </w:rPr>
          <w:tab/>
        </w:r>
        <w:r w:rsidR="00753443">
          <w:rPr>
            <w:webHidden/>
          </w:rPr>
          <w:fldChar w:fldCharType="begin"/>
        </w:r>
        <w:r w:rsidR="00753443">
          <w:rPr>
            <w:webHidden/>
          </w:rPr>
          <w:instrText xml:space="preserve"> PAGEREF _Toc130550473 \h </w:instrText>
        </w:r>
        <w:r w:rsidR="00753443">
          <w:rPr>
            <w:webHidden/>
          </w:rPr>
        </w:r>
        <w:r w:rsidR="00753443">
          <w:rPr>
            <w:webHidden/>
          </w:rPr>
          <w:fldChar w:fldCharType="separate"/>
        </w:r>
        <w:r w:rsidR="00753443">
          <w:rPr>
            <w:webHidden/>
          </w:rPr>
          <w:t>5</w:t>
        </w:r>
        <w:r w:rsidR="00753443">
          <w:rPr>
            <w:webHidden/>
          </w:rPr>
          <w:fldChar w:fldCharType="end"/>
        </w:r>
      </w:hyperlink>
    </w:p>
    <w:p w14:paraId="203DF32E" w14:textId="505DE296" w:rsidR="00753443" w:rsidRDefault="00A76094">
      <w:pPr>
        <w:pStyle w:val="TOC3"/>
        <w:rPr>
          <w:rFonts w:asciiTheme="minorHAnsi" w:eastAsiaTheme="minorEastAsia" w:hAnsiTheme="minorHAnsi" w:cstheme="minorBidi"/>
        </w:rPr>
      </w:pPr>
      <w:hyperlink w:anchor="_Toc130550474" w:history="1">
        <w:r w:rsidR="00753443" w:rsidRPr="00045E5C">
          <w:rPr>
            <w:rStyle w:val="Hyperlink"/>
          </w:rPr>
          <w:t>Question 9</w:t>
        </w:r>
        <w:r w:rsidR="00753443">
          <w:rPr>
            <w:webHidden/>
          </w:rPr>
          <w:tab/>
        </w:r>
        <w:r w:rsidR="00753443">
          <w:rPr>
            <w:webHidden/>
          </w:rPr>
          <w:fldChar w:fldCharType="begin"/>
        </w:r>
        <w:r w:rsidR="00753443">
          <w:rPr>
            <w:webHidden/>
          </w:rPr>
          <w:instrText xml:space="preserve"> PAGEREF _Toc130550474 \h </w:instrText>
        </w:r>
        <w:r w:rsidR="00753443">
          <w:rPr>
            <w:webHidden/>
          </w:rPr>
        </w:r>
        <w:r w:rsidR="00753443">
          <w:rPr>
            <w:webHidden/>
          </w:rPr>
          <w:fldChar w:fldCharType="separate"/>
        </w:r>
        <w:r w:rsidR="00753443">
          <w:rPr>
            <w:webHidden/>
          </w:rPr>
          <w:t>6</w:t>
        </w:r>
        <w:r w:rsidR="00753443">
          <w:rPr>
            <w:webHidden/>
          </w:rPr>
          <w:fldChar w:fldCharType="end"/>
        </w:r>
      </w:hyperlink>
    </w:p>
    <w:p w14:paraId="03A6DC91" w14:textId="3A718562" w:rsidR="00753443" w:rsidRDefault="00A76094">
      <w:pPr>
        <w:pStyle w:val="TOC3"/>
        <w:rPr>
          <w:rFonts w:asciiTheme="minorHAnsi" w:eastAsiaTheme="minorEastAsia" w:hAnsiTheme="minorHAnsi" w:cstheme="minorBidi"/>
        </w:rPr>
      </w:pPr>
      <w:hyperlink w:anchor="_Toc130550475" w:history="1">
        <w:r w:rsidR="00753443" w:rsidRPr="00045E5C">
          <w:rPr>
            <w:rStyle w:val="Hyperlink"/>
          </w:rPr>
          <w:t>Question 10</w:t>
        </w:r>
        <w:r w:rsidR="00753443">
          <w:rPr>
            <w:webHidden/>
          </w:rPr>
          <w:tab/>
        </w:r>
        <w:r w:rsidR="00753443">
          <w:rPr>
            <w:webHidden/>
          </w:rPr>
          <w:fldChar w:fldCharType="begin"/>
        </w:r>
        <w:r w:rsidR="00753443">
          <w:rPr>
            <w:webHidden/>
          </w:rPr>
          <w:instrText xml:space="preserve"> PAGEREF _Toc130550475 \h </w:instrText>
        </w:r>
        <w:r w:rsidR="00753443">
          <w:rPr>
            <w:webHidden/>
          </w:rPr>
        </w:r>
        <w:r w:rsidR="00753443">
          <w:rPr>
            <w:webHidden/>
          </w:rPr>
          <w:fldChar w:fldCharType="separate"/>
        </w:r>
        <w:r w:rsidR="00753443">
          <w:rPr>
            <w:webHidden/>
          </w:rPr>
          <w:t>6</w:t>
        </w:r>
        <w:r w:rsidR="00753443">
          <w:rPr>
            <w:webHidden/>
          </w:rPr>
          <w:fldChar w:fldCharType="end"/>
        </w:r>
      </w:hyperlink>
    </w:p>
    <w:p w14:paraId="33686AA3" w14:textId="713A9221" w:rsidR="00753443" w:rsidRDefault="00A76094">
      <w:pPr>
        <w:pStyle w:val="TOC3"/>
        <w:rPr>
          <w:rFonts w:asciiTheme="minorHAnsi" w:eastAsiaTheme="minorEastAsia" w:hAnsiTheme="minorHAnsi" w:cstheme="minorBidi"/>
        </w:rPr>
      </w:pPr>
      <w:hyperlink w:anchor="_Toc130550476" w:history="1">
        <w:r w:rsidR="00753443" w:rsidRPr="00045E5C">
          <w:rPr>
            <w:rStyle w:val="Hyperlink"/>
          </w:rPr>
          <w:t>Question 11</w:t>
        </w:r>
        <w:r w:rsidR="00753443">
          <w:rPr>
            <w:webHidden/>
          </w:rPr>
          <w:tab/>
        </w:r>
        <w:r w:rsidR="00753443">
          <w:rPr>
            <w:webHidden/>
          </w:rPr>
          <w:fldChar w:fldCharType="begin"/>
        </w:r>
        <w:r w:rsidR="00753443">
          <w:rPr>
            <w:webHidden/>
          </w:rPr>
          <w:instrText xml:space="preserve"> PAGEREF _Toc130550476 \h </w:instrText>
        </w:r>
        <w:r w:rsidR="00753443">
          <w:rPr>
            <w:webHidden/>
          </w:rPr>
        </w:r>
        <w:r w:rsidR="00753443">
          <w:rPr>
            <w:webHidden/>
          </w:rPr>
          <w:fldChar w:fldCharType="separate"/>
        </w:r>
        <w:r w:rsidR="00753443">
          <w:rPr>
            <w:webHidden/>
          </w:rPr>
          <w:t>7</w:t>
        </w:r>
        <w:r w:rsidR="00753443">
          <w:rPr>
            <w:webHidden/>
          </w:rPr>
          <w:fldChar w:fldCharType="end"/>
        </w:r>
      </w:hyperlink>
    </w:p>
    <w:p w14:paraId="47CFBF63" w14:textId="21A69359" w:rsidR="00753443" w:rsidRDefault="00A76094">
      <w:pPr>
        <w:pStyle w:val="TOC3"/>
        <w:rPr>
          <w:rFonts w:asciiTheme="minorHAnsi" w:eastAsiaTheme="minorEastAsia" w:hAnsiTheme="minorHAnsi" w:cstheme="minorBidi"/>
        </w:rPr>
      </w:pPr>
      <w:hyperlink w:anchor="_Toc130550477" w:history="1">
        <w:r w:rsidR="00753443" w:rsidRPr="00045E5C">
          <w:rPr>
            <w:rStyle w:val="Hyperlink"/>
          </w:rPr>
          <w:t>Question 12</w:t>
        </w:r>
        <w:r w:rsidR="00753443">
          <w:rPr>
            <w:webHidden/>
          </w:rPr>
          <w:tab/>
        </w:r>
        <w:r w:rsidR="00753443">
          <w:rPr>
            <w:webHidden/>
          </w:rPr>
          <w:fldChar w:fldCharType="begin"/>
        </w:r>
        <w:r w:rsidR="00753443">
          <w:rPr>
            <w:webHidden/>
          </w:rPr>
          <w:instrText xml:space="preserve"> PAGEREF _Toc130550477 \h </w:instrText>
        </w:r>
        <w:r w:rsidR="00753443">
          <w:rPr>
            <w:webHidden/>
          </w:rPr>
        </w:r>
        <w:r w:rsidR="00753443">
          <w:rPr>
            <w:webHidden/>
          </w:rPr>
          <w:fldChar w:fldCharType="separate"/>
        </w:r>
        <w:r w:rsidR="00753443">
          <w:rPr>
            <w:webHidden/>
          </w:rPr>
          <w:t>7</w:t>
        </w:r>
        <w:r w:rsidR="00753443">
          <w:rPr>
            <w:webHidden/>
          </w:rPr>
          <w:fldChar w:fldCharType="end"/>
        </w:r>
      </w:hyperlink>
    </w:p>
    <w:p w14:paraId="07EE2072" w14:textId="1FA4338E" w:rsidR="00753443" w:rsidRDefault="00A76094">
      <w:pPr>
        <w:pStyle w:val="TOC3"/>
        <w:rPr>
          <w:rFonts w:asciiTheme="minorHAnsi" w:eastAsiaTheme="minorEastAsia" w:hAnsiTheme="minorHAnsi" w:cstheme="minorBidi"/>
        </w:rPr>
      </w:pPr>
      <w:hyperlink w:anchor="_Toc130550478" w:history="1">
        <w:r w:rsidR="00753443" w:rsidRPr="00045E5C">
          <w:rPr>
            <w:rStyle w:val="Hyperlink"/>
          </w:rPr>
          <w:t>Question 13</w:t>
        </w:r>
        <w:r w:rsidR="00753443">
          <w:rPr>
            <w:webHidden/>
          </w:rPr>
          <w:tab/>
        </w:r>
        <w:r w:rsidR="00753443">
          <w:rPr>
            <w:webHidden/>
          </w:rPr>
          <w:fldChar w:fldCharType="begin"/>
        </w:r>
        <w:r w:rsidR="00753443">
          <w:rPr>
            <w:webHidden/>
          </w:rPr>
          <w:instrText xml:space="preserve"> PAGEREF _Toc130550478 \h </w:instrText>
        </w:r>
        <w:r w:rsidR="00753443">
          <w:rPr>
            <w:webHidden/>
          </w:rPr>
        </w:r>
        <w:r w:rsidR="00753443">
          <w:rPr>
            <w:webHidden/>
          </w:rPr>
          <w:fldChar w:fldCharType="separate"/>
        </w:r>
        <w:r w:rsidR="00753443">
          <w:rPr>
            <w:webHidden/>
          </w:rPr>
          <w:t>7</w:t>
        </w:r>
        <w:r w:rsidR="00753443">
          <w:rPr>
            <w:webHidden/>
          </w:rPr>
          <w:fldChar w:fldCharType="end"/>
        </w:r>
      </w:hyperlink>
    </w:p>
    <w:p w14:paraId="555F62F8" w14:textId="7ED1DA0F" w:rsidR="00753443" w:rsidRDefault="00A76094">
      <w:pPr>
        <w:pStyle w:val="TOC1"/>
        <w:rPr>
          <w:rFonts w:asciiTheme="minorHAnsi" w:eastAsiaTheme="minorEastAsia" w:hAnsiTheme="minorHAnsi" w:cstheme="minorBidi"/>
          <w:b w:val="0"/>
          <w:spacing w:val="0"/>
          <w:sz w:val="22"/>
          <w:szCs w:val="22"/>
        </w:rPr>
      </w:pPr>
      <w:hyperlink w:anchor="_Toc130550479" w:history="1">
        <w:r w:rsidR="00753443" w:rsidRPr="00045E5C">
          <w:rPr>
            <w:rStyle w:val="Hyperlink"/>
          </w:rPr>
          <w:t>Outcomes of consultation</w:t>
        </w:r>
        <w:r w:rsidR="00753443">
          <w:rPr>
            <w:webHidden/>
          </w:rPr>
          <w:tab/>
        </w:r>
        <w:r w:rsidR="00753443">
          <w:rPr>
            <w:webHidden/>
          </w:rPr>
          <w:fldChar w:fldCharType="begin"/>
        </w:r>
        <w:r w:rsidR="00753443">
          <w:rPr>
            <w:webHidden/>
          </w:rPr>
          <w:instrText xml:space="preserve"> PAGEREF _Toc130550479 \h </w:instrText>
        </w:r>
        <w:r w:rsidR="00753443">
          <w:rPr>
            <w:webHidden/>
          </w:rPr>
        </w:r>
        <w:r w:rsidR="00753443">
          <w:rPr>
            <w:webHidden/>
          </w:rPr>
          <w:fldChar w:fldCharType="separate"/>
        </w:r>
        <w:r w:rsidR="00753443">
          <w:rPr>
            <w:webHidden/>
          </w:rPr>
          <w:t>8</w:t>
        </w:r>
        <w:r w:rsidR="00753443">
          <w:rPr>
            <w:webHidden/>
          </w:rPr>
          <w:fldChar w:fldCharType="end"/>
        </w:r>
      </w:hyperlink>
    </w:p>
    <w:p w14:paraId="5914CBD4" w14:textId="4764AEB7" w:rsidR="004D56FF" w:rsidRPr="000D76E0" w:rsidRDefault="004F0452" w:rsidP="004F045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057029">
        <w:rPr>
          <w:rFonts w:cs="Arial"/>
          <w:b/>
        </w:rPr>
        <w:fldChar w:fldCharType="end"/>
      </w:r>
    </w:p>
    <w:p w14:paraId="0E17F3F9" w14:textId="623B3C6D" w:rsidR="00E0400E" w:rsidRPr="00E0400E" w:rsidRDefault="00E0400E" w:rsidP="00BC5475">
      <w:pPr>
        <w:pStyle w:val="Heading1"/>
      </w:pPr>
      <w:bookmarkStart w:id="0" w:name="_Toc441074798"/>
      <w:bookmarkStart w:id="1" w:name="_Toc130550467"/>
      <w:r w:rsidRPr="00E0400E">
        <w:lastRenderedPageBreak/>
        <w:t>Introduction</w:t>
      </w:r>
      <w:bookmarkEnd w:id="0"/>
      <w:bookmarkEnd w:id="1"/>
      <w:r w:rsidRPr="00E0400E">
        <w:t xml:space="preserve"> </w:t>
      </w:r>
    </w:p>
    <w:p w14:paraId="0B7906D2" w14:textId="3BCAF161" w:rsidR="00AD3095" w:rsidRDefault="00E0400E" w:rsidP="00B36A19">
      <w:pPr>
        <w:pStyle w:val="Paragraph"/>
        <w:rPr>
          <w:szCs w:val="20"/>
        </w:rPr>
      </w:pPr>
      <w:r w:rsidRPr="00E0400E">
        <w:t>The Australian Communications and Media Authority (ACMA) released the</w:t>
      </w:r>
      <w:r w:rsidR="006B0118">
        <w:t xml:space="preserve"> </w:t>
      </w:r>
      <w:hyperlink r:id="rId24" w:history="1"/>
      <w:r w:rsidRPr="00E0400E">
        <w:rPr>
          <w:szCs w:val="20"/>
        </w:rPr>
        <w:t xml:space="preserve"> </w:t>
      </w:r>
      <w:hyperlink r:id="rId25" w:history="1">
        <w:r w:rsidR="006B0118" w:rsidRPr="006B0118">
          <w:rPr>
            <w:rStyle w:val="Hyperlink"/>
            <w:szCs w:val="20"/>
          </w:rPr>
          <w:t>Proposal to remake instruments for the 700 MHz, 1800 MHz, 2.5 GHz and 2.5 GHz mid-band gap spectrum</w:t>
        </w:r>
        <w:r w:rsidR="00940DFF">
          <w:rPr>
            <w:rStyle w:val="Hyperlink"/>
            <w:szCs w:val="20"/>
          </w:rPr>
          <w:t xml:space="preserve"> </w:t>
        </w:r>
        <w:r w:rsidR="006B0118" w:rsidRPr="006B0118">
          <w:rPr>
            <w:rStyle w:val="Hyperlink"/>
            <w:szCs w:val="20"/>
          </w:rPr>
          <w:t>licensed bands</w:t>
        </w:r>
      </w:hyperlink>
      <w:r w:rsidR="006B0118">
        <w:rPr>
          <w:szCs w:val="20"/>
        </w:rPr>
        <w:t xml:space="preserve"> </w:t>
      </w:r>
      <w:r w:rsidRPr="00896D08">
        <w:rPr>
          <w:szCs w:val="20"/>
        </w:rPr>
        <w:t>consultation paper</w:t>
      </w:r>
      <w:r w:rsidRPr="00E0400E">
        <w:rPr>
          <w:szCs w:val="20"/>
        </w:rPr>
        <w:t xml:space="preserve"> on </w:t>
      </w:r>
      <w:r w:rsidR="006B0118">
        <w:rPr>
          <w:szCs w:val="20"/>
        </w:rPr>
        <w:t>4 November</w:t>
      </w:r>
      <w:r w:rsidRPr="00E0400E">
        <w:rPr>
          <w:szCs w:val="20"/>
        </w:rPr>
        <w:t xml:space="preserve"> 202</w:t>
      </w:r>
      <w:r w:rsidR="006B0118">
        <w:rPr>
          <w:szCs w:val="20"/>
        </w:rPr>
        <w:t>2</w:t>
      </w:r>
      <w:r w:rsidRPr="00E0400E">
        <w:rPr>
          <w:szCs w:val="20"/>
        </w:rPr>
        <w:t xml:space="preserve">. The paper sought industry feedback on </w:t>
      </w:r>
      <w:r w:rsidR="00B278D7">
        <w:rPr>
          <w:szCs w:val="20"/>
        </w:rPr>
        <w:t>our</w:t>
      </w:r>
      <w:r w:rsidRPr="00E0400E">
        <w:rPr>
          <w:szCs w:val="20"/>
        </w:rPr>
        <w:t xml:space="preserve"> proposed</w:t>
      </w:r>
      <w:r w:rsidR="006B0118">
        <w:rPr>
          <w:szCs w:val="20"/>
        </w:rPr>
        <w:t xml:space="preserve"> draft</w:t>
      </w:r>
      <w:r w:rsidRPr="00E0400E">
        <w:rPr>
          <w:szCs w:val="20"/>
        </w:rPr>
        <w:t xml:space="preserve"> </w:t>
      </w:r>
      <w:r w:rsidR="006B0118">
        <w:rPr>
          <w:szCs w:val="20"/>
        </w:rPr>
        <w:t>l</w:t>
      </w:r>
      <w:r w:rsidR="006B0118" w:rsidRPr="006B0118">
        <w:rPr>
          <w:szCs w:val="20"/>
        </w:rPr>
        <w:t xml:space="preserve">egislative instruments linked to the technical framework for several spectrum licence bands </w:t>
      </w:r>
      <w:r w:rsidR="006B0118">
        <w:rPr>
          <w:szCs w:val="20"/>
        </w:rPr>
        <w:t>that are</w:t>
      </w:r>
      <w:r w:rsidR="006B0118" w:rsidRPr="006B0118">
        <w:rPr>
          <w:szCs w:val="20"/>
        </w:rPr>
        <w:t xml:space="preserve"> due to sunset on </w:t>
      </w:r>
      <w:r w:rsidR="007D717B">
        <w:rPr>
          <w:szCs w:val="20"/>
        </w:rPr>
        <w:br/>
      </w:r>
      <w:r w:rsidR="006B0118" w:rsidRPr="006B0118">
        <w:rPr>
          <w:szCs w:val="20"/>
        </w:rPr>
        <w:t xml:space="preserve">1 April 2023. </w:t>
      </w:r>
    </w:p>
    <w:p w14:paraId="37241C2F" w14:textId="063A73CC" w:rsidR="00AD3095" w:rsidRPr="00E162C4" w:rsidRDefault="006B0118" w:rsidP="00AD3095">
      <w:pPr>
        <w:pStyle w:val="Paragraphbeforelist"/>
      </w:pPr>
      <w:r w:rsidRPr="006B0118">
        <w:rPr>
          <w:szCs w:val="20"/>
        </w:rPr>
        <w:t xml:space="preserve">The </w:t>
      </w:r>
      <w:r w:rsidR="00AD3095">
        <w:rPr>
          <w:szCs w:val="20"/>
        </w:rPr>
        <w:t xml:space="preserve">proposed legislative instruments to be remade </w:t>
      </w:r>
      <w:r w:rsidR="00AD3095">
        <w:t>were:</w:t>
      </w:r>
    </w:p>
    <w:p w14:paraId="7F59F915" w14:textId="6478354F" w:rsidR="00AD3095" w:rsidRPr="007D717B" w:rsidRDefault="00AD3095" w:rsidP="00AD3095">
      <w:pPr>
        <w:pStyle w:val="Numberlistlevel1"/>
      </w:pPr>
      <w:r w:rsidRPr="008E586C">
        <w:t>Radiocommunications Advisory Guidelines (Managing Interference from Transmitters – 700 MHz Band)</w:t>
      </w:r>
      <w:r w:rsidR="00694304" w:rsidRPr="008E586C">
        <w:t xml:space="preserve"> 2012</w:t>
      </w:r>
      <w:r w:rsidRPr="007D717B">
        <w:t xml:space="preserve">. </w:t>
      </w:r>
    </w:p>
    <w:p w14:paraId="39B59BCE" w14:textId="72A1F3EF" w:rsidR="00AD3095" w:rsidRPr="007D717B" w:rsidRDefault="00AD3095" w:rsidP="00AD3095">
      <w:pPr>
        <w:pStyle w:val="Numberlistlevel1"/>
      </w:pPr>
      <w:r w:rsidRPr="008E586C">
        <w:t>Radiocommunications Advisory Guidelines (Managing Interference to Receivers – 700 MHz Band)</w:t>
      </w:r>
      <w:r w:rsidR="000B4F5A" w:rsidRPr="008E586C">
        <w:t xml:space="preserve"> 2012</w:t>
      </w:r>
      <w:r w:rsidRPr="007D717B">
        <w:t xml:space="preserve">. </w:t>
      </w:r>
    </w:p>
    <w:p w14:paraId="07270D60" w14:textId="7EE4BFB5" w:rsidR="00AD3095" w:rsidRPr="007D717B" w:rsidRDefault="00AD3095" w:rsidP="00AD3095">
      <w:pPr>
        <w:pStyle w:val="Numberlistlevel1"/>
      </w:pPr>
      <w:r w:rsidRPr="008E586C">
        <w:t>Radiocommunications (Unacceptable Levels of Interference – 700 MHz Band) Determination</w:t>
      </w:r>
      <w:r w:rsidR="000B4F5A" w:rsidRPr="008E586C">
        <w:t xml:space="preserve"> 2012</w:t>
      </w:r>
      <w:r w:rsidRPr="007D717B">
        <w:t>.</w:t>
      </w:r>
    </w:p>
    <w:p w14:paraId="0038BFB2" w14:textId="375EE0A1" w:rsidR="00AD3095" w:rsidRPr="007D717B" w:rsidRDefault="00AD3095" w:rsidP="00AD3095">
      <w:pPr>
        <w:pStyle w:val="Numberlistlevel1"/>
      </w:pPr>
      <w:r w:rsidRPr="008E586C">
        <w:t>Radiocommunications Advisory Guidelines (Managing Interference from Spectrum Licensed Transmitters – 1800 MHz Band)</w:t>
      </w:r>
      <w:r w:rsidR="00733D63" w:rsidRPr="008E586C">
        <w:t xml:space="preserve"> 2012</w:t>
      </w:r>
      <w:r w:rsidRPr="007D717B">
        <w:t xml:space="preserve">.  </w:t>
      </w:r>
    </w:p>
    <w:p w14:paraId="1C1EBC66" w14:textId="794F8E66" w:rsidR="00AD3095" w:rsidRPr="007D717B" w:rsidRDefault="00AD3095" w:rsidP="00AD3095">
      <w:pPr>
        <w:pStyle w:val="Numberlistlevel1"/>
      </w:pPr>
      <w:r w:rsidRPr="008E586C">
        <w:t>Radiocommunications Advisory Guidelines (Managing Interference to Spectrum Licensed Receivers – 1800 MHz Band)</w:t>
      </w:r>
      <w:r w:rsidR="00733D63" w:rsidRPr="008E586C">
        <w:t xml:space="preserve"> 2012</w:t>
      </w:r>
      <w:r w:rsidRPr="007D717B">
        <w:t xml:space="preserve">. </w:t>
      </w:r>
    </w:p>
    <w:p w14:paraId="622E5964" w14:textId="18E3D26B" w:rsidR="00AD3095" w:rsidRPr="007D717B" w:rsidRDefault="00AD3095" w:rsidP="00AD3095">
      <w:pPr>
        <w:pStyle w:val="Numberlistlevel1"/>
      </w:pPr>
      <w:r w:rsidRPr="008E586C">
        <w:t>Radiocommunications (Unacceptable Levels of Interference – 1800 MHz Band) Determination</w:t>
      </w:r>
      <w:r w:rsidR="00733D63" w:rsidRPr="008E586C">
        <w:t xml:space="preserve"> 2012</w:t>
      </w:r>
      <w:r w:rsidRPr="007D717B">
        <w:t>.</w:t>
      </w:r>
    </w:p>
    <w:p w14:paraId="4B3AE039" w14:textId="4A1808AA" w:rsidR="00AD3095" w:rsidRPr="007D717B" w:rsidRDefault="00AD3095" w:rsidP="00AD3095">
      <w:pPr>
        <w:pStyle w:val="Numberlistlevel1"/>
      </w:pPr>
      <w:r w:rsidRPr="008E586C">
        <w:t>Radiocommunications Advisory Guidelines (Managing Interference from Transmitters – 2.5 GHz Band)</w:t>
      </w:r>
      <w:r w:rsidR="0019126C" w:rsidRPr="008E586C">
        <w:t xml:space="preserve"> 2012</w:t>
      </w:r>
      <w:r w:rsidRPr="007D717B">
        <w:t xml:space="preserve">. </w:t>
      </w:r>
    </w:p>
    <w:p w14:paraId="2CB8CEE3" w14:textId="171150E1" w:rsidR="00AD3095" w:rsidRPr="007D717B" w:rsidRDefault="00AD3095" w:rsidP="00AD3095">
      <w:pPr>
        <w:pStyle w:val="Numberlistlevel1"/>
      </w:pPr>
      <w:r w:rsidRPr="008E586C">
        <w:t>Radiocommunications Advisory Guidelines (Managing Interference to Receivers – 2.5 GHz Band)</w:t>
      </w:r>
      <w:r w:rsidR="0019126C" w:rsidRPr="008E586C">
        <w:t xml:space="preserve"> 2012</w:t>
      </w:r>
      <w:r w:rsidRPr="007D717B">
        <w:t xml:space="preserve">. </w:t>
      </w:r>
    </w:p>
    <w:p w14:paraId="48E5AEAF" w14:textId="37D0C5F9" w:rsidR="00AD3095" w:rsidRPr="007D717B" w:rsidRDefault="00AD3095" w:rsidP="00AD3095">
      <w:pPr>
        <w:pStyle w:val="Numberlistlevel1"/>
      </w:pPr>
      <w:r w:rsidRPr="008E586C">
        <w:t>Radiocommunications (Unacceptable Levels of Interference – 2.5 GHz Band) Determination</w:t>
      </w:r>
      <w:r w:rsidR="0019126C" w:rsidRPr="008E586C">
        <w:t xml:space="preserve"> 2012</w:t>
      </w:r>
      <w:r w:rsidRPr="007D717B">
        <w:t>.</w:t>
      </w:r>
    </w:p>
    <w:p w14:paraId="2E6B4FB5" w14:textId="75A0C5F3" w:rsidR="00AD3095" w:rsidRPr="007D717B" w:rsidRDefault="00AD3095" w:rsidP="00AD3095">
      <w:pPr>
        <w:pStyle w:val="Numberlistlevel1"/>
      </w:pPr>
      <w:r w:rsidRPr="008E586C">
        <w:t>Radiocommunications Advisory Guidelines (Managing Interference from Transmitters – 2.5 GHz Mid-</w:t>
      </w:r>
      <w:r w:rsidR="00744551" w:rsidRPr="008E586C">
        <w:t>b</w:t>
      </w:r>
      <w:r w:rsidRPr="008E586C">
        <w:t>and Gap)</w:t>
      </w:r>
      <w:r w:rsidR="001520B3" w:rsidRPr="008E586C">
        <w:t xml:space="preserve"> 2012</w:t>
      </w:r>
      <w:r w:rsidRPr="007D717B">
        <w:t xml:space="preserve">. </w:t>
      </w:r>
    </w:p>
    <w:p w14:paraId="65DDAE50" w14:textId="566F7267" w:rsidR="00AD3095" w:rsidRPr="007D717B" w:rsidRDefault="00AD3095" w:rsidP="00AD3095">
      <w:pPr>
        <w:pStyle w:val="Numberlistlevel1"/>
      </w:pPr>
      <w:r w:rsidRPr="008E586C">
        <w:t>Radiocommunications Advisory Guidelines (Managing Interference to Receivers – 2.5 GHz Mid-</w:t>
      </w:r>
      <w:r w:rsidR="00744551" w:rsidRPr="008E586C">
        <w:t>b</w:t>
      </w:r>
      <w:r w:rsidRPr="008E586C">
        <w:t>and Gap)</w:t>
      </w:r>
      <w:r w:rsidR="001520B3" w:rsidRPr="008E586C">
        <w:t xml:space="preserve"> 2012</w:t>
      </w:r>
      <w:r w:rsidRPr="007D717B">
        <w:t xml:space="preserve">. </w:t>
      </w:r>
    </w:p>
    <w:p w14:paraId="047531EC" w14:textId="0C84B715" w:rsidR="00AD3095" w:rsidRPr="007D717B" w:rsidRDefault="00AD3095" w:rsidP="008E586C">
      <w:pPr>
        <w:pStyle w:val="Numberlistlevel1"/>
        <w:spacing w:after="240"/>
        <w:ind w:left="357" w:hanging="357"/>
        <w:rPr>
          <w:color w:val="000000"/>
        </w:rPr>
      </w:pPr>
      <w:r w:rsidRPr="008E586C">
        <w:t>Radiocommunications (Unacceptable Levels of Interference – 2.5 GHz Mid-</w:t>
      </w:r>
      <w:r w:rsidR="00744551" w:rsidRPr="008E586C">
        <w:t>b</w:t>
      </w:r>
      <w:r w:rsidRPr="008E586C">
        <w:t>and Gap) Determination</w:t>
      </w:r>
      <w:r w:rsidR="001520B3" w:rsidRPr="008E586C">
        <w:t xml:space="preserve"> 2012</w:t>
      </w:r>
      <w:r w:rsidRPr="007D717B">
        <w:t>.</w:t>
      </w:r>
    </w:p>
    <w:p w14:paraId="549DAF14" w14:textId="1D406F69" w:rsidR="006B0118" w:rsidRPr="007D717B" w:rsidRDefault="00AD3095" w:rsidP="00B36A19">
      <w:pPr>
        <w:pStyle w:val="Paragraph"/>
      </w:pPr>
      <w:r>
        <w:t>The proposed instrument to repeal was</w:t>
      </w:r>
      <w:r w:rsidR="001520B3">
        <w:t xml:space="preserve"> the </w:t>
      </w:r>
      <w:r w:rsidRPr="008E586C">
        <w:t>Radiocommunications Advisory Guidelines (Additional Device Boundary Criteria – 1800 MHz Lower Band) 2012</w:t>
      </w:r>
      <w:r w:rsidR="001520B3" w:rsidRPr="007D717B">
        <w:t>.</w:t>
      </w:r>
      <w:r w:rsidRPr="007D717B">
        <w:t xml:space="preserve"> </w:t>
      </w:r>
    </w:p>
    <w:p w14:paraId="540DAB82" w14:textId="44B514B2" w:rsidR="00E0400E" w:rsidRPr="00E0400E" w:rsidRDefault="009F4A03" w:rsidP="008E586C">
      <w:pPr>
        <w:pStyle w:val="Paragraphbeforelist"/>
      </w:pPr>
      <w:r>
        <w:t>Five</w:t>
      </w:r>
      <w:r w:rsidR="00E0400E" w:rsidRPr="00E0400E">
        <w:t xml:space="preserve"> submissions were received to the consultation paper from the following organisations:</w:t>
      </w:r>
    </w:p>
    <w:p w14:paraId="4AF506E7" w14:textId="570BF948" w:rsidR="009F4A03" w:rsidRDefault="00412CF3" w:rsidP="00B36A19">
      <w:pPr>
        <w:pStyle w:val="Bulletlevel1"/>
      </w:pPr>
      <w:r>
        <w:t>Australian Mobile Telecommunications Association (</w:t>
      </w:r>
      <w:r w:rsidR="009F4A03">
        <w:t>AMTA</w:t>
      </w:r>
      <w:r>
        <w:t>)</w:t>
      </w:r>
    </w:p>
    <w:p w14:paraId="2B79800E" w14:textId="443F498A" w:rsidR="00E0400E" w:rsidRPr="00E0400E" w:rsidRDefault="008A2B87" w:rsidP="00B36A19">
      <w:pPr>
        <w:pStyle w:val="Bulletlevel1"/>
      </w:pPr>
      <w:r>
        <w:t>Bureau of Meteorology (BoM)</w:t>
      </w:r>
    </w:p>
    <w:p w14:paraId="6F326D27" w14:textId="3516A89B" w:rsidR="00E0400E" w:rsidRDefault="008A2B87" w:rsidP="00B36A19">
      <w:pPr>
        <w:pStyle w:val="Bulletlevel1"/>
      </w:pPr>
      <w:proofErr w:type="spellStart"/>
      <w:r>
        <w:t>FreeTV</w:t>
      </w:r>
      <w:proofErr w:type="spellEnd"/>
    </w:p>
    <w:p w14:paraId="414F103C" w14:textId="49464F66" w:rsidR="009F4A03" w:rsidRDefault="009F4A03" w:rsidP="00B36A19">
      <w:pPr>
        <w:pStyle w:val="Bulletlevel1"/>
      </w:pPr>
      <w:r>
        <w:t>Optus</w:t>
      </w:r>
    </w:p>
    <w:p w14:paraId="2960CFC0" w14:textId="5D47F4A7" w:rsidR="009F4A03" w:rsidRPr="00E0400E" w:rsidRDefault="009F4A03" w:rsidP="00B36A19">
      <w:pPr>
        <w:pStyle w:val="Bulletlevel1last"/>
      </w:pPr>
      <w:r>
        <w:t>Telstra</w:t>
      </w:r>
      <w:r w:rsidR="007D717B">
        <w:t>.</w:t>
      </w:r>
    </w:p>
    <w:p w14:paraId="43586290" w14:textId="77777777" w:rsidR="00E0400E" w:rsidRPr="00E0400E" w:rsidRDefault="00E0400E" w:rsidP="00E0400E">
      <w:pPr>
        <w:spacing w:after="0"/>
        <w:ind w:left="720"/>
        <w:rPr>
          <w:rFonts w:cs="Arial"/>
        </w:rPr>
      </w:pPr>
    </w:p>
    <w:p w14:paraId="30C9FF89" w14:textId="6D2473A8" w:rsidR="00E0400E" w:rsidRPr="00E0400E" w:rsidRDefault="00BC5AF1" w:rsidP="008E586C">
      <w:pPr>
        <w:pStyle w:val="Paragraph"/>
        <w:keepNext/>
        <w:keepLines/>
      </w:pPr>
      <w:r>
        <w:lastRenderedPageBreak/>
        <w:t xml:space="preserve">These submissions are available on the </w:t>
      </w:r>
      <w:hyperlink r:id="rId26" w:history="1">
        <w:r w:rsidRPr="00BC5AF1">
          <w:rPr>
            <w:rStyle w:val="Hyperlink"/>
          </w:rPr>
          <w:t>ACMA website</w:t>
        </w:r>
      </w:hyperlink>
      <w:r>
        <w:t xml:space="preserve">. </w:t>
      </w:r>
      <w:r w:rsidR="00E0400E" w:rsidRPr="00E0400E">
        <w:t xml:space="preserve">A </w:t>
      </w:r>
      <w:r w:rsidR="00E0400E" w:rsidRPr="008A2B87">
        <w:rPr>
          <w:u w:color="0000FF"/>
        </w:rPr>
        <w:t>summary of submissions</w:t>
      </w:r>
      <w:r w:rsidR="00E0400E" w:rsidRPr="00E0400E">
        <w:t xml:space="preserve"> received and </w:t>
      </w:r>
      <w:r w:rsidR="00E760B8">
        <w:t xml:space="preserve">our </w:t>
      </w:r>
      <w:r w:rsidR="00E0400E" w:rsidRPr="00E0400E">
        <w:t xml:space="preserve">response to the issues raised </w:t>
      </w:r>
      <w:r w:rsidR="001C06FA">
        <w:t>are</w:t>
      </w:r>
      <w:r w:rsidR="001C06FA" w:rsidRPr="00E0400E">
        <w:t xml:space="preserve"> </w:t>
      </w:r>
      <w:r w:rsidR="00E0400E" w:rsidRPr="00E0400E">
        <w:t xml:space="preserve">outlined </w:t>
      </w:r>
      <w:r w:rsidR="00E760B8">
        <w:t>below</w:t>
      </w:r>
      <w:r w:rsidR="00E0400E" w:rsidRPr="00E0400E">
        <w:t xml:space="preserve">. The </w:t>
      </w:r>
      <w:hyperlink w:anchor="_3_Outcomes_of" w:history="1">
        <w:r w:rsidR="00E0400E" w:rsidRPr="00E760B8">
          <w:rPr>
            <w:rStyle w:val="Hyperlink"/>
          </w:rPr>
          <w:t>outcomes of the consultation</w:t>
        </w:r>
      </w:hyperlink>
      <w:r w:rsidR="00E0400E" w:rsidRPr="00E0400E">
        <w:t xml:space="preserve"> and </w:t>
      </w:r>
      <w:r w:rsidR="00E81059">
        <w:t xml:space="preserve">how </w:t>
      </w:r>
      <w:r w:rsidR="00E0400E" w:rsidRPr="00E0400E">
        <w:t xml:space="preserve">to implement these are </w:t>
      </w:r>
      <w:r w:rsidR="00E81059">
        <w:t>listed</w:t>
      </w:r>
      <w:r w:rsidR="00E81059" w:rsidRPr="00E0400E">
        <w:t xml:space="preserve"> </w:t>
      </w:r>
      <w:r w:rsidR="00E0400E" w:rsidRPr="00E0400E">
        <w:t xml:space="preserve">in </w:t>
      </w:r>
      <w:r w:rsidR="00E760B8">
        <w:t>the final s</w:t>
      </w:r>
      <w:r w:rsidR="00E0400E" w:rsidRPr="00E0400E">
        <w:t xml:space="preserve">ection </w:t>
      </w:r>
      <w:r w:rsidR="00E760B8">
        <w:t xml:space="preserve">of </w:t>
      </w:r>
      <w:r w:rsidR="001C06FA">
        <w:br/>
      </w:r>
      <w:r w:rsidR="00E760B8">
        <w:t>this paper</w:t>
      </w:r>
      <w:r w:rsidR="00E0400E" w:rsidRPr="00E0400E">
        <w:t xml:space="preserve">. </w:t>
      </w:r>
    </w:p>
    <w:p w14:paraId="505D00B6" w14:textId="0573DE89" w:rsidR="00E0400E" w:rsidRPr="00E0400E" w:rsidRDefault="00E0400E" w:rsidP="00BC5475">
      <w:pPr>
        <w:pStyle w:val="Heading1"/>
      </w:pPr>
      <w:bookmarkStart w:id="2" w:name="_2_Summary_and"/>
      <w:bookmarkStart w:id="3" w:name="_Toc441074818"/>
      <w:bookmarkStart w:id="4" w:name="_Toc130550468"/>
      <w:bookmarkEnd w:id="2"/>
      <w:r w:rsidRPr="00E0400E">
        <w:lastRenderedPageBreak/>
        <w:t>Summary and response to issues</w:t>
      </w:r>
      <w:bookmarkEnd w:id="3"/>
      <w:bookmarkEnd w:id="4"/>
    </w:p>
    <w:p w14:paraId="315AD50C" w14:textId="30F35A03" w:rsidR="00E0400E" w:rsidRPr="00B1465F" w:rsidRDefault="00BD77BB" w:rsidP="008D5D86">
      <w:pPr>
        <w:pStyle w:val="Paragraph"/>
      </w:pPr>
      <w:r>
        <w:t xml:space="preserve">All </w:t>
      </w:r>
      <w:r w:rsidR="001C06FA">
        <w:t xml:space="preserve">5 </w:t>
      </w:r>
      <w:r>
        <w:t>s</w:t>
      </w:r>
      <w:r w:rsidR="00E0400E" w:rsidRPr="00E0400E">
        <w:t xml:space="preserve">ubmissions were generally supportive of the proposed </w:t>
      </w:r>
      <w:r w:rsidR="008A2B87">
        <w:t>draft legislative instruments</w:t>
      </w:r>
      <w:r w:rsidR="00E65373">
        <w:t xml:space="preserve">. </w:t>
      </w:r>
      <w:r w:rsidR="00E0400E" w:rsidRPr="00E0400E">
        <w:t>This section summarises</w:t>
      </w:r>
      <w:r w:rsidR="008E4D39">
        <w:t xml:space="preserve"> any additional</w:t>
      </w:r>
      <w:r w:rsidR="00E0400E" w:rsidRPr="00E0400E">
        <w:t xml:space="preserve"> responses </w:t>
      </w:r>
      <w:r w:rsidR="00E81059">
        <w:t xml:space="preserve">to </w:t>
      </w:r>
      <w:r w:rsidR="00E0400E" w:rsidRPr="00E0400E">
        <w:t>the</w:t>
      </w:r>
      <w:r w:rsidR="008E4D39">
        <w:t xml:space="preserve"> specific </w:t>
      </w:r>
      <w:r w:rsidR="00E0400E" w:rsidRPr="00E0400E">
        <w:t>issues for comment in the consultation paper</w:t>
      </w:r>
      <w:r w:rsidR="001C06FA">
        <w:t>,</w:t>
      </w:r>
      <w:r w:rsidR="00E0400E" w:rsidRPr="00E0400E">
        <w:t xml:space="preserve"> as well as </w:t>
      </w:r>
      <w:r w:rsidR="00B1465F">
        <w:t xml:space="preserve">any </w:t>
      </w:r>
      <w:r w:rsidR="00E0400E" w:rsidRPr="00E0400E">
        <w:t xml:space="preserve">additional issues raised. </w:t>
      </w:r>
      <w:r w:rsidR="00E81059">
        <w:t xml:space="preserve">Our </w:t>
      </w:r>
      <w:r w:rsidR="00E0400E" w:rsidRPr="00E0400E">
        <w:t xml:space="preserve">views on these responses </w:t>
      </w:r>
      <w:r w:rsidR="00E81059">
        <w:t>are</w:t>
      </w:r>
      <w:r w:rsidR="00E0400E" w:rsidRPr="00E0400E">
        <w:t xml:space="preserve"> also provided.</w:t>
      </w:r>
    </w:p>
    <w:p w14:paraId="04ABE81B" w14:textId="40DCD2A5" w:rsidR="00E0400E" w:rsidRPr="00E0400E" w:rsidRDefault="00E0400E" w:rsidP="00BC5475">
      <w:pPr>
        <w:pStyle w:val="Heading2"/>
      </w:pPr>
      <w:bookmarkStart w:id="5" w:name="_Toc130550469"/>
      <w:bookmarkStart w:id="6" w:name="_Toc441074847"/>
      <w:r w:rsidRPr="00E0400E">
        <w:t xml:space="preserve">Issues for </w:t>
      </w:r>
      <w:r w:rsidR="00E81059">
        <w:t>c</w:t>
      </w:r>
      <w:r w:rsidRPr="00E0400E">
        <w:t>omment</w:t>
      </w:r>
      <w:bookmarkEnd w:id="5"/>
      <w:r w:rsidRPr="00E0400E">
        <w:t xml:space="preserve"> </w:t>
      </w:r>
    </w:p>
    <w:p w14:paraId="51F416DE"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7" w:name="_Toc89760804"/>
      <w:r w:rsidRPr="00E0400E">
        <w:rPr>
          <w:rFonts w:cs="Arial"/>
          <w:b/>
          <w:bCs/>
          <w:szCs w:val="26"/>
        </w:rPr>
        <w:t>Question 1</w:t>
      </w:r>
      <w:bookmarkEnd w:id="7"/>
    </w:p>
    <w:p w14:paraId="7FCB9D0B" w14:textId="38B34888" w:rsidR="00E0400E" w:rsidRPr="00E0400E" w:rsidRDefault="002E2C0A" w:rsidP="00E6537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rPr>
      </w:pPr>
      <w:r>
        <w:t xml:space="preserve">The ACMA seeks comment on the proposed amendments in the remaking of the </w:t>
      </w:r>
      <w:r w:rsidR="00E65373" w:rsidRPr="00E65373">
        <w:rPr>
          <w:rFonts w:cs="Arial"/>
        </w:rPr>
        <w:t>Radiocommunications Advisory Guidelines (Managing Interference from Transmitters – 700 MHz Band</w:t>
      </w:r>
      <w:r w:rsidR="00203DEE">
        <w:rPr>
          <w:rFonts w:cs="Arial"/>
        </w:rPr>
        <w:t xml:space="preserve"> 2012</w:t>
      </w:r>
      <w:r w:rsidR="00E65373" w:rsidRPr="00E65373">
        <w:rPr>
          <w:rFonts w:cs="Arial"/>
        </w:rPr>
        <w:t>).</w:t>
      </w:r>
    </w:p>
    <w:p w14:paraId="27245313" w14:textId="289EF5F4" w:rsidR="009F4A03" w:rsidRDefault="00AD7782" w:rsidP="008D5D86">
      <w:pPr>
        <w:pStyle w:val="Paragraph"/>
      </w:pPr>
      <w:r>
        <w:t xml:space="preserve">The </w:t>
      </w:r>
      <w:r w:rsidR="009F4A03">
        <w:t>Optus</w:t>
      </w:r>
      <w:r w:rsidR="008E4D39">
        <w:t>, AMT</w:t>
      </w:r>
      <w:r w:rsidR="0001680B">
        <w:t>A</w:t>
      </w:r>
      <w:r w:rsidR="008E4D39">
        <w:t xml:space="preserve"> and Telstra</w:t>
      </w:r>
      <w:r w:rsidR="009F4A03">
        <w:t xml:space="preserve"> </w:t>
      </w:r>
      <w:r w:rsidR="00B36A19">
        <w:t xml:space="preserve">submissions </w:t>
      </w:r>
      <w:r w:rsidR="002E2C0A">
        <w:t>were supportive of the proposed changes, except for the inclusion of Parts 6 and 7</w:t>
      </w:r>
      <w:r w:rsidR="002D778E">
        <w:t xml:space="preserve"> in the draft instrument</w:t>
      </w:r>
      <w:r>
        <w:t>.</w:t>
      </w:r>
      <w:r w:rsidR="00950FB4">
        <w:rPr>
          <w:rStyle w:val="FootnoteReference"/>
        </w:rPr>
        <w:footnoteReference w:id="2"/>
      </w:r>
      <w:r w:rsidR="002E2C0A">
        <w:t xml:space="preserve"> </w:t>
      </w:r>
      <w:bookmarkStart w:id="9" w:name="_Hlk128492258"/>
      <w:r w:rsidR="006F47AC">
        <w:t>The</w:t>
      </w:r>
      <w:r w:rsidR="00B36A19">
        <w:t xml:space="preserve">se submitters </w:t>
      </w:r>
      <w:r w:rsidR="006F47AC">
        <w:t xml:space="preserve"> argued that it would lead to inefficient use of the available spectrum, with modelling showing it would create exclusion zones up to several kilometres in size around</w:t>
      </w:r>
      <w:r w:rsidR="003D2D87">
        <w:t xml:space="preserve"> any apparatus licences in the 804</w:t>
      </w:r>
      <w:r w:rsidR="002D778E">
        <w:t xml:space="preserve"> MHz to </w:t>
      </w:r>
      <w:r w:rsidR="003D2D87">
        <w:t xml:space="preserve">809 MHz frequency </w:t>
      </w:r>
      <w:r w:rsidR="002D778E">
        <w:t>band</w:t>
      </w:r>
      <w:r w:rsidR="00481D61">
        <w:t xml:space="preserve"> (804 MHz band)</w:t>
      </w:r>
      <w:r w:rsidR="006F47AC">
        <w:t xml:space="preserve">. </w:t>
      </w:r>
      <w:r w:rsidR="00B36A19">
        <w:t xml:space="preserve">These submitters considered that the proposed change </w:t>
      </w:r>
      <w:r w:rsidR="006F47AC">
        <w:t xml:space="preserve">would create a level of uncertainty in network rollout and investment plans in a way that was not disclosed or foreshadowed when </w:t>
      </w:r>
      <w:r w:rsidR="00B36A19">
        <w:t xml:space="preserve">the </w:t>
      </w:r>
      <w:r w:rsidR="006F47AC">
        <w:t xml:space="preserve">700 MHz </w:t>
      </w:r>
      <w:r w:rsidR="00D021E9">
        <w:t>spectrum</w:t>
      </w:r>
      <w:r w:rsidR="006F47AC">
        <w:t xml:space="preserve"> licences were originally </w:t>
      </w:r>
      <w:r w:rsidR="00D021E9">
        <w:t>allocated</w:t>
      </w:r>
      <w:r w:rsidR="00481D61">
        <w:t xml:space="preserve"> in 2013</w:t>
      </w:r>
      <w:r w:rsidR="006F47AC">
        <w:t xml:space="preserve">. </w:t>
      </w:r>
      <w:bookmarkEnd w:id="9"/>
    </w:p>
    <w:p w14:paraId="28703A1E" w14:textId="754E4C75" w:rsidR="006F47AC" w:rsidRDefault="00481D61" w:rsidP="008D5D86">
      <w:pPr>
        <w:pStyle w:val="Paragraph"/>
      </w:pPr>
      <w:r>
        <w:t>Optus, AMTA and Telstra proposed a</w:t>
      </w:r>
      <w:r w:rsidR="006F47AC">
        <w:t xml:space="preserve">n alternative approach to manage </w:t>
      </w:r>
      <w:r w:rsidR="00950FB4">
        <w:t>interference with new apparatus</w:t>
      </w:r>
      <w:r w:rsidR="00AD7782">
        <w:t>-</w:t>
      </w:r>
      <w:r w:rsidR="00950FB4">
        <w:t xml:space="preserve">licensed </w:t>
      </w:r>
      <w:r w:rsidR="00D021E9">
        <w:t xml:space="preserve">services </w:t>
      </w:r>
      <w:r w:rsidR="00950FB4">
        <w:t>in the 804 MHz band</w:t>
      </w:r>
      <w:r w:rsidR="006F47AC">
        <w:t xml:space="preserve">. </w:t>
      </w:r>
      <w:bookmarkStart w:id="10" w:name="_Hlk128492439"/>
      <w:r w:rsidR="006F47AC">
        <w:t xml:space="preserve">The proposal was to adopt a </w:t>
      </w:r>
      <w:r w:rsidR="00541546">
        <w:t>‘</w:t>
      </w:r>
      <w:r w:rsidR="006F47AC">
        <w:t>notification protocol</w:t>
      </w:r>
      <w:r w:rsidR="00541546">
        <w:t>’</w:t>
      </w:r>
      <w:r w:rsidR="006F47AC">
        <w:t xml:space="preserve"> for any </w:t>
      </w:r>
      <w:r w:rsidR="00950FB4">
        <w:t xml:space="preserve">new </w:t>
      </w:r>
      <w:r w:rsidR="006F47AC">
        <w:t>apparatus licences</w:t>
      </w:r>
      <w:r w:rsidR="00950FB4">
        <w:t xml:space="preserve">. This would involve </w:t>
      </w:r>
      <w:r w:rsidR="00C107C7">
        <w:t>an</w:t>
      </w:r>
      <w:r w:rsidR="00950FB4">
        <w:t xml:space="preserve"> apparatus licen</w:t>
      </w:r>
      <w:r w:rsidR="00C107C7">
        <w:t>see</w:t>
      </w:r>
      <w:r w:rsidR="00950FB4">
        <w:t xml:space="preserve"> </w:t>
      </w:r>
      <w:r w:rsidR="002D45DA">
        <w:t>notifying</w:t>
      </w:r>
      <w:r w:rsidR="00950FB4">
        <w:t xml:space="preserve"> 700 MHz spectrum licensees of their intention to deploy. The apparatus licensee c</w:t>
      </w:r>
      <w:r w:rsidR="00D021E9">
        <w:t>ould</w:t>
      </w:r>
      <w:r w:rsidR="00950FB4">
        <w:t xml:space="preserve"> then choose to implement appropriate interference mitigation measures</w:t>
      </w:r>
      <w:r w:rsidR="00541546">
        <w:t>,</w:t>
      </w:r>
      <w:r w:rsidR="00950FB4">
        <w:t xml:space="preserve"> such as additional </w:t>
      </w:r>
      <w:r w:rsidR="00541546">
        <w:t>radiofrequency</w:t>
      </w:r>
      <w:r w:rsidR="00950FB4">
        <w:t xml:space="preserve"> filtering</w:t>
      </w:r>
      <w:r w:rsidR="00541546">
        <w:t>,</w:t>
      </w:r>
      <w:r w:rsidR="00950FB4">
        <w:t xml:space="preserve"> or </w:t>
      </w:r>
      <w:r w:rsidR="00541546">
        <w:t xml:space="preserve">could </w:t>
      </w:r>
      <w:r w:rsidR="00950FB4">
        <w:t>investigat</w:t>
      </w:r>
      <w:r w:rsidR="00541546">
        <w:t>e</w:t>
      </w:r>
      <w:r w:rsidR="00950FB4">
        <w:t xml:space="preserve"> options in another band</w:t>
      </w:r>
      <w:r w:rsidR="00EF28BB">
        <w:t xml:space="preserve"> </w:t>
      </w:r>
      <w:r w:rsidR="00541546">
        <w:t>(</w:t>
      </w:r>
      <w:r w:rsidR="00EF28BB">
        <w:t xml:space="preserve">such as </w:t>
      </w:r>
      <w:r w:rsidR="00541546">
        <w:t xml:space="preserve">the </w:t>
      </w:r>
      <w:r w:rsidR="00EF28BB">
        <w:t>400 MHz</w:t>
      </w:r>
      <w:r w:rsidR="00541546">
        <w:t xml:space="preserve"> band)</w:t>
      </w:r>
      <w:r w:rsidR="00950FB4">
        <w:t xml:space="preserve">. </w:t>
      </w:r>
      <w:r w:rsidR="000B780C">
        <w:t xml:space="preserve">Under this approach, it was intended that apparatus licences in the 804 MHz band would </w:t>
      </w:r>
      <w:r w:rsidR="00EF28BB">
        <w:t xml:space="preserve">operate as a </w:t>
      </w:r>
      <w:r w:rsidR="00541546">
        <w:t>‘</w:t>
      </w:r>
      <w:r w:rsidR="00EF28BB">
        <w:t>secondary service</w:t>
      </w:r>
      <w:r w:rsidR="00541546">
        <w:t>’</w:t>
      </w:r>
      <w:r w:rsidR="00EF28BB">
        <w:t xml:space="preserve"> to 700 MHz spectrum licences, thereby not preventing the deployment of future systems. </w:t>
      </w:r>
      <w:bookmarkEnd w:id="10"/>
    </w:p>
    <w:p w14:paraId="685C2EA6" w14:textId="77777777" w:rsidR="00E0400E" w:rsidRPr="00E0400E" w:rsidRDefault="00E0400E" w:rsidP="00DB4EF9">
      <w:pPr>
        <w:pStyle w:val="Heading4"/>
      </w:pPr>
      <w:r w:rsidRPr="00E0400E">
        <w:t>ACMA response</w:t>
      </w:r>
    </w:p>
    <w:p w14:paraId="73FACB69" w14:textId="57D814E5" w:rsidR="00221637" w:rsidRDefault="00AD7782" w:rsidP="008E586C">
      <w:r>
        <w:t>We are</w:t>
      </w:r>
      <w:r w:rsidR="00221637">
        <w:t xml:space="preserve"> constantly reviewing arrangements to either improve </w:t>
      </w:r>
      <w:r w:rsidR="00B36A19">
        <w:t xml:space="preserve">spectrum </w:t>
      </w:r>
      <w:r w:rsidR="00221637">
        <w:t xml:space="preserve">utilisation or support the introduction of new services. This includes, for example, </w:t>
      </w:r>
      <w:r w:rsidR="00400891">
        <w:t>our</w:t>
      </w:r>
      <w:r w:rsidR="00221637">
        <w:t xml:space="preserve"> ongoing work to review the technical frameworks associated with existing spectrum licences to support 5G and new technologies such as active antenna systems. These can impact services operating in or adjacent to the bands in question</w:t>
      </w:r>
      <w:r>
        <w:t>,</w:t>
      </w:r>
      <w:r w:rsidR="002120F7">
        <w:t xml:space="preserve"> and</w:t>
      </w:r>
      <w:r w:rsidR="00221637">
        <w:t>, as such, there is often a need to consider how to manage this as part of any changes made.</w:t>
      </w:r>
    </w:p>
    <w:p w14:paraId="1A6158F9" w14:textId="411D969C" w:rsidR="006F47AC" w:rsidRDefault="006F47AC" w:rsidP="002E2C0A">
      <w:pPr>
        <w:spacing w:before="120"/>
      </w:pPr>
      <w:r>
        <w:t xml:space="preserve">We </w:t>
      </w:r>
      <w:r w:rsidR="004271E8">
        <w:t xml:space="preserve">have </w:t>
      </w:r>
      <w:r>
        <w:t xml:space="preserve">included </w:t>
      </w:r>
      <w:r w:rsidR="002E2C0A">
        <w:t xml:space="preserve">Parts 6 and 7 </w:t>
      </w:r>
      <w:r w:rsidR="004271E8">
        <w:t xml:space="preserve">in </w:t>
      </w:r>
      <w:r w:rsidR="002E2C0A">
        <w:t xml:space="preserve">the </w:t>
      </w:r>
      <w:r w:rsidR="002E2C0A" w:rsidRPr="008E586C">
        <w:rPr>
          <w:rFonts w:cs="Arial"/>
        </w:rPr>
        <w:t>Radiocommunications Advisory Guidelines (Managing Interference from Spectrum Licensed Transmitters – 700 MHz Band)</w:t>
      </w:r>
      <w:r w:rsidR="004271E8" w:rsidRPr="008E586C">
        <w:rPr>
          <w:rFonts w:cs="Arial"/>
        </w:rPr>
        <w:t xml:space="preserve"> 2023</w:t>
      </w:r>
      <w:r w:rsidR="0019090B">
        <w:rPr>
          <w:rFonts w:cs="Arial"/>
        </w:rPr>
        <w:t xml:space="preserve">. This </w:t>
      </w:r>
      <w:r w:rsidR="002E2C0A">
        <w:t>provide</w:t>
      </w:r>
      <w:r w:rsidR="0019090B">
        <w:t>s</w:t>
      </w:r>
      <w:r w:rsidR="002E2C0A">
        <w:t xml:space="preserve"> guidance on the management of interference with </w:t>
      </w:r>
      <w:r w:rsidR="00950FB4">
        <w:t>apparatus</w:t>
      </w:r>
      <w:r w:rsidR="0019090B">
        <w:t>-</w:t>
      </w:r>
      <w:r w:rsidR="00950FB4">
        <w:t>licen</w:t>
      </w:r>
      <w:r w:rsidR="00400891">
        <w:t>s</w:t>
      </w:r>
      <w:r w:rsidR="00950FB4">
        <w:t xml:space="preserve">ed </w:t>
      </w:r>
      <w:r w:rsidR="002E2C0A" w:rsidRPr="002E2C0A">
        <w:t xml:space="preserve">land mobile, point-to-point and point-to-multipoint services operating in the 804 MHz </w:t>
      </w:r>
      <w:r w:rsidR="004271E8">
        <w:t>band</w:t>
      </w:r>
      <w:r w:rsidR="002E2C0A" w:rsidRPr="002E2C0A">
        <w:t>.</w:t>
      </w:r>
      <w:r w:rsidR="002E2C0A" w:rsidRPr="002E2C0A" w:rsidDel="002E2C0A">
        <w:t xml:space="preserve"> </w:t>
      </w:r>
      <w:r w:rsidR="002E2C0A" w:rsidRPr="002E2C0A">
        <w:t xml:space="preserve">Arrangements for these services </w:t>
      </w:r>
      <w:r w:rsidR="00221637">
        <w:t xml:space="preserve">were </w:t>
      </w:r>
      <w:r w:rsidR="002E2C0A" w:rsidRPr="002E2C0A">
        <w:t xml:space="preserve">put in place as part of the implementation of outcomes to the </w:t>
      </w:r>
      <w:hyperlink r:id="rId27" w:history="1">
        <w:r w:rsidR="002E2C0A" w:rsidRPr="002E2C0A">
          <w:rPr>
            <w:rStyle w:val="Hyperlink"/>
          </w:rPr>
          <w:t>803–960 MHz band review</w:t>
        </w:r>
      </w:hyperlink>
      <w:r w:rsidR="002E2C0A" w:rsidRPr="002E2C0A">
        <w:t xml:space="preserve">. As a result, apparatus licences </w:t>
      </w:r>
      <w:r w:rsidR="002E2C0A" w:rsidRPr="002E2C0A">
        <w:lastRenderedPageBreak/>
        <w:t xml:space="preserve">affected by this replanning decision have been progressively re-locating into the </w:t>
      </w:r>
      <w:r w:rsidR="0019090B">
        <w:br/>
      </w:r>
      <w:r w:rsidR="002E2C0A" w:rsidRPr="002E2C0A">
        <w:t xml:space="preserve">804 MHz band. </w:t>
      </w:r>
    </w:p>
    <w:p w14:paraId="4BF9AADD" w14:textId="42D130BE" w:rsidR="002D45DA" w:rsidRDefault="002D45DA" w:rsidP="002E2C0A">
      <w:pPr>
        <w:spacing w:before="120"/>
      </w:pPr>
      <w:r>
        <w:t xml:space="preserve">While these arrangements were not in place when 700 MHz spectrum licences were originally </w:t>
      </w:r>
      <w:r w:rsidR="00BF5258">
        <w:t xml:space="preserve">allocated </w:t>
      </w:r>
      <w:r>
        <w:t>in 201</w:t>
      </w:r>
      <w:r w:rsidR="00BF5258">
        <w:t>3</w:t>
      </w:r>
      <w:r>
        <w:t>, all spectrum licensees were part of the public consultation</w:t>
      </w:r>
      <w:r w:rsidR="00BF5258">
        <w:t xml:space="preserve"> on,</w:t>
      </w:r>
      <w:r w:rsidR="00D118B1">
        <w:t xml:space="preserve"> and supported the outcomes of</w:t>
      </w:r>
      <w:r w:rsidR="00BF5258">
        <w:t>,</w:t>
      </w:r>
      <w:r w:rsidR="00D118B1">
        <w:t xml:space="preserve"> the </w:t>
      </w:r>
      <w:hyperlink r:id="rId28" w:history="1">
        <w:r w:rsidR="00D118B1" w:rsidRPr="002E2C0A">
          <w:rPr>
            <w:rStyle w:val="Hyperlink"/>
          </w:rPr>
          <w:t>803–960 MHz band review</w:t>
        </w:r>
      </w:hyperlink>
      <w:r w:rsidR="00D118B1" w:rsidRPr="002E2C0A">
        <w:t>.</w:t>
      </w:r>
      <w:r w:rsidR="00D118B1">
        <w:t xml:space="preserve"> This included </w:t>
      </w:r>
      <w:r w:rsidR="0080316E">
        <w:t xml:space="preserve">the decision to </w:t>
      </w:r>
      <w:r w:rsidR="00D118B1">
        <w:t>re-locat</w:t>
      </w:r>
      <w:r w:rsidR="0080316E">
        <w:t>e</w:t>
      </w:r>
      <w:r w:rsidR="00D118B1">
        <w:t xml:space="preserve"> </w:t>
      </w:r>
      <w:r w:rsidR="00D118B1" w:rsidRPr="002E2C0A">
        <w:t xml:space="preserve">land mobile, point-to-point and point-to-multipoint </w:t>
      </w:r>
      <w:r w:rsidR="0080316E">
        <w:t>licences</w:t>
      </w:r>
      <w:r w:rsidR="00D118B1" w:rsidRPr="002E2C0A">
        <w:t xml:space="preserve"> operating in</w:t>
      </w:r>
      <w:r w:rsidR="0080316E">
        <w:t>to</w:t>
      </w:r>
      <w:r w:rsidR="00D118B1" w:rsidRPr="002E2C0A">
        <w:t xml:space="preserve"> the 804 MHz </w:t>
      </w:r>
      <w:r w:rsidR="00BF5258">
        <w:t>band</w:t>
      </w:r>
      <w:r w:rsidR="00CA5A21">
        <w:t xml:space="preserve">. It allowed </w:t>
      </w:r>
      <w:r w:rsidR="00D118B1">
        <w:t>the 814</w:t>
      </w:r>
      <w:r w:rsidR="00BF5258">
        <w:t xml:space="preserve"> MHz to </w:t>
      </w:r>
      <w:r w:rsidR="00D118B1">
        <w:t>825 MHz and 856</w:t>
      </w:r>
      <w:r w:rsidR="00BF5258">
        <w:t xml:space="preserve"> MHz to </w:t>
      </w:r>
      <w:r w:rsidR="00D118B1">
        <w:t xml:space="preserve">870 MHz frequency </w:t>
      </w:r>
      <w:r w:rsidR="00BF5258">
        <w:t xml:space="preserve">bands </w:t>
      </w:r>
      <w:r w:rsidR="00CA5A21">
        <w:t xml:space="preserve">to </w:t>
      </w:r>
      <w:r w:rsidR="00D118B1">
        <w:t>be re-allocated for the issue of spectrum licences</w:t>
      </w:r>
      <w:r w:rsidR="00BF5258">
        <w:t xml:space="preserve"> (which occurred in </w:t>
      </w:r>
      <w:r w:rsidR="0001089A">
        <w:t>2021)</w:t>
      </w:r>
      <w:r w:rsidR="00D118B1">
        <w:t xml:space="preserve">. As these </w:t>
      </w:r>
      <w:r w:rsidR="0001089A">
        <w:t xml:space="preserve">apparatus </w:t>
      </w:r>
      <w:r w:rsidR="0080316E">
        <w:t>licences</w:t>
      </w:r>
      <w:r w:rsidR="00D118B1">
        <w:t xml:space="preserve"> are required to move, we consider it appropriate that they be afforded protection </w:t>
      </w:r>
      <w:r w:rsidR="0001089A">
        <w:t>on the basis of the ACMA’s</w:t>
      </w:r>
      <w:r w:rsidR="00D118B1">
        <w:t xml:space="preserve"> standard </w:t>
      </w:r>
      <w:r w:rsidR="0001089A">
        <w:t>‘</w:t>
      </w:r>
      <w:r w:rsidR="00D118B1">
        <w:t>first-in-time</w:t>
      </w:r>
      <w:r w:rsidR="0001089A">
        <w:t>’</w:t>
      </w:r>
      <w:r w:rsidR="00D118B1">
        <w:t xml:space="preserve"> coordination principle. This means the</w:t>
      </w:r>
      <w:r w:rsidR="0001089A">
        <w:t>se apparatus licences</w:t>
      </w:r>
      <w:r w:rsidR="00D118B1">
        <w:t xml:space="preserve"> will </w:t>
      </w:r>
      <w:r w:rsidR="0001089A">
        <w:t xml:space="preserve">generally </w:t>
      </w:r>
      <w:r w:rsidR="00D118B1">
        <w:t xml:space="preserve">be required to coordinate with any existing 700 MHz band </w:t>
      </w:r>
      <w:r w:rsidR="0089616F">
        <w:t>spectrum</w:t>
      </w:r>
      <w:r w:rsidR="00CA5A21">
        <w:t>-</w:t>
      </w:r>
      <w:r w:rsidR="0089616F">
        <w:t xml:space="preserve">licensed </w:t>
      </w:r>
      <w:r w:rsidR="0001089A">
        <w:t>radiocommunications devices</w:t>
      </w:r>
      <w:r w:rsidR="00CA5A21">
        <w:t>. H</w:t>
      </w:r>
      <w:r w:rsidR="00D118B1">
        <w:t xml:space="preserve">owever, any future </w:t>
      </w:r>
      <w:r w:rsidR="0001089A">
        <w:t xml:space="preserve">devices newly operated under </w:t>
      </w:r>
      <w:r w:rsidR="00CA5A21">
        <w:br/>
      </w:r>
      <w:r w:rsidR="00D118B1">
        <w:t xml:space="preserve">700 MHz </w:t>
      </w:r>
      <w:r w:rsidR="0001089A">
        <w:t>band spectrum licences</w:t>
      </w:r>
      <w:r w:rsidR="00D118B1">
        <w:t xml:space="preserve"> will need to coordinate with the</w:t>
      </w:r>
      <w:r w:rsidR="002C5339">
        <w:t xml:space="preserve"> </w:t>
      </w:r>
      <w:r w:rsidR="00C078E0">
        <w:t>apparatus licences</w:t>
      </w:r>
      <w:r w:rsidR="00D118B1">
        <w:t xml:space="preserve">. </w:t>
      </w:r>
      <w:r w:rsidR="00395DAC">
        <w:t xml:space="preserve">Consequently, </w:t>
      </w:r>
      <w:r w:rsidR="004C7BAD">
        <w:t>the ACMA has included Parts</w:t>
      </w:r>
      <w:r w:rsidR="00395DAC">
        <w:t xml:space="preserve"> 6 and 7</w:t>
      </w:r>
      <w:r w:rsidR="00065C3A">
        <w:t>,</w:t>
      </w:r>
      <w:r w:rsidR="00395DAC">
        <w:t xml:space="preserve"> as consulted on</w:t>
      </w:r>
      <w:r w:rsidR="00930836">
        <w:t xml:space="preserve">, which point to protection criteria contained in </w:t>
      </w:r>
      <w:r w:rsidR="00065C3A">
        <w:t xml:space="preserve">radiocommunications assignment and licensing instructions (RALIs) </w:t>
      </w:r>
      <w:hyperlink r:id="rId29" w:history="1">
        <w:r w:rsidR="00930836" w:rsidRPr="00C6581C">
          <w:rPr>
            <w:rStyle w:val="Hyperlink"/>
          </w:rPr>
          <w:t>RALI LM8, RALI FX16 and RALI FX22</w:t>
        </w:r>
      </w:hyperlink>
      <w:r w:rsidR="00930836">
        <w:t>.</w:t>
      </w:r>
    </w:p>
    <w:p w14:paraId="030930B3" w14:textId="53617A91" w:rsidR="00930836" w:rsidRDefault="00930836" w:rsidP="00930836">
      <w:pPr>
        <w:pStyle w:val="Paragraph"/>
      </w:pPr>
      <w:r>
        <w:t xml:space="preserve">To address some of the concerns raised by spectrum licensees, we intend to review the protection criteria contained in these RALIs in 2023. </w:t>
      </w:r>
      <w:r w:rsidR="0080316E">
        <w:t xml:space="preserve">It is not intended that this review would impact the level of protection provided to existing apparatus licences or any apparatus licences re-locating as part of the </w:t>
      </w:r>
      <w:r w:rsidR="0089616F">
        <w:t xml:space="preserve">implementation of the </w:t>
      </w:r>
      <w:r w:rsidR="0080316E">
        <w:t xml:space="preserve">803–960 MHz band review outcomes. However, </w:t>
      </w:r>
      <w:r>
        <w:t>we could consider alternative criteria for proposed new land mobile, point-to-point and point-to-multipoint licenses</w:t>
      </w:r>
      <w:r w:rsidR="0080316E">
        <w:t xml:space="preserve"> issued after a certain date</w:t>
      </w:r>
      <w:r w:rsidR="00C421F9">
        <w:t xml:space="preserve"> (yet </w:t>
      </w:r>
      <w:r w:rsidR="00FA3EBF">
        <w:t xml:space="preserve">to </w:t>
      </w:r>
      <w:r w:rsidR="00C421F9">
        <w:t>be determined)</w:t>
      </w:r>
      <w:r w:rsidR="0080316E">
        <w:t xml:space="preserve">. </w:t>
      </w:r>
    </w:p>
    <w:p w14:paraId="33768D24" w14:textId="53598E14" w:rsidR="00E0400E" w:rsidRPr="00E0400E" w:rsidRDefault="000D61C3" w:rsidP="0086058E">
      <w:pPr>
        <w:spacing w:before="120"/>
      </w:pPr>
      <w:r>
        <w:t>In addition, w</w:t>
      </w:r>
      <w:r w:rsidR="00D118B1">
        <w:t xml:space="preserve">e are aware that many operators </w:t>
      </w:r>
      <w:r w:rsidR="00137857">
        <w:t>either have</w:t>
      </w:r>
      <w:r w:rsidR="00C421F9">
        <w:t xml:space="preserve"> not,</w:t>
      </w:r>
      <w:r w:rsidR="00137857">
        <w:t xml:space="preserve"> or </w:t>
      </w:r>
      <w:r w:rsidR="00F16FF3">
        <w:t>do not</w:t>
      </w:r>
      <w:r w:rsidR="00C421F9">
        <w:t>,</w:t>
      </w:r>
      <w:r w:rsidR="00F16FF3">
        <w:t xml:space="preserve"> </w:t>
      </w:r>
      <w:r w:rsidR="00137857">
        <w:t xml:space="preserve">plan to </w:t>
      </w:r>
      <w:r>
        <w:t>relocate their apparatus licensed services in the 800 MHz band</w:t>
      </w:r>
      <w:r w:rsidR="00137857">
        <w:t xml:space="preserve">. For example, the retuning of point-to-point and point-to-multipoint services into </w:t>
      </w:r>
      <w:r w:rsidR="00A209A9">
        <w:t xml:space="preserve">part of </w:t>
      </w:r>
      <w:r w:rsidR="00137857">
        <w:t xml:space="preserve">the 804 MHz band was completed on 30 June 2021. A majority of these services did not move into the </w:t>
      </w:r>
      <w:r w:rsidR="00A209A9">
        <w:t xml:space="preserve">relevant part of the </w:t>
      </w:r>
      <w:r w:rsidR="00137857">
        <w:t>80</w:t>
      </w:r>
      <w:r w:rsidR="00D718C5">
        <w:t>4</w:t>
      </w:r>
      <w:r w:rsidR="00137857">
        <w:t xml:space="preserve"> MHz </w:t>
      </w:r>
      <w:r w:rsidR="00A209A9">
        <w:t>band</w:t>
      </w:r>
      <w:r w:rsidR="00137857">
        <w:t xml:space="preserve">. The transition of land mobile services is required to be completed by 30 June 2024. Similarly, we are aware that a large number of </w:t>
      </w:r>
      <w:r w:rsidR="00D718C5">
        <w:t>land mobile</w:t>
      </w:r>
      <w:r w:rsidR="00137857">
        <w:t xml:space="preserve"> services are not planning to move into the </w:t>
      </w:r>
      <w:r w:rsidR="00DE26EE">
        <w:t>relevant part of the 804</w:t>
      </w:r>
      <w:r w:rsidR="00137857">
        <w:t xml:space="preserve"> MHz band. </w:t>
      </w:r>
    </w:p>
    <w:p w14:paraId="66117B10"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1" w:name="_Toc89760805"/>
      <w:r w:rsidRPr="00E0400E">
        <w:rPr>
          <w:rFonts w:cs="Arial"/>
          <w:b/>
          <w:bCs/>
          <w:szCs w:val="26"/>
        </w:rPr>
        <w:t>Question 2</w:t>
      </w:r>
      <w:bookmarkEnd w:id="11"/>
    </w:p>
    <w:p w14:paraId="36C1C2FC" w14:textId="772E2E63"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8C3A5F">
        <w:t xml:space="preserve">Radiocommunications Advisory Guidelines (Managing Interference to Receivers </w:t>
      </w:r>
      <w:r>
        <w:t>–</w:t>
      </w:r>
      <w:r w:rsidRPr="008C3A5F">
        <w:t xml:space="preserve"> </w:t>
      </w:r>
      <w:r w:rsidR="00FA3EBF">
        <w:br/>
      </w:r>
      <w:r>
        <w:t>700</w:t>
      </w:r>
      <w:r w:rsidRPr="008C3A5F">
        <w:t xml:space="preserve"> MHz Band)</w:t>
      </w:r>
      <w:r w:rsidR="00DE26EE">
        <w:t xml:space="preserve"> 2012</w:t>
      </w:r>
      <w:r>
        <w:t>.</w:t>
      </w:r>
    </w:p>
    <w:p w14:paraId="78F95BDD" w14:textId="24FE2D91" w:rsidR="00E0400E" w:rsidRPr="002E2C0A" w:rsidRDefault="008E4D39" w:rsidP="008E4D39">
      <w:pPr>
        <w:rPr>
          <w:szCs w:val="20"/>
        </w:rPr>
      </w:pPr>
      <w:r>
        <w:t>No issue</w:t>
      </w:r>
      <w:r w:rsidR="0001680B">
        <w:t>s</w:t>
      </w:r>
      <w:r>
        <w:t xml:space="preserve"> w</w:t>
      </w:r>
      <w:r w:rsidR="0001680B">
        <w:t>ere</w:t>
      </w:r>
      <w:r>
        <w:t xml:space="preserve"> raised to the proposed amendments.</w:t>
      </w:r>
      <w:r w:rsidR="00A9754A">
        <w:t xml:space="preserve"> </w:t>
      </w:r>
    </w:p>
    <w:p w14:paraId="641F2028"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2" w:name="_Toc89760806"/>
      <w:r w:rsidRPr="00E0400E">
        <w:rPr>
          <w:rFonts w:cs="Arial"/>
          <w:b/>
          <w:bCs/>
          <w:szCs w:val="26"/>
        </w:rPr>
        <w:t>Question 3</w:t>
      </w:r>
      <w:bookmarkEnd w:id="12"/>
    </w:p>
    <w:p w14:paraId="07135AE4" w14:textId="7CFB4A28"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A75DCD">
        <w:t xml:space="preserve">Radiocommunications (Unacceptable Levels of Interference </w:t>
      </w:r>
      <w:r>
        <w:t>–</w:t>
      </w:r>
      <w:r w:rsidRPr="00A75DCD">
        <w:t xml:space="preserve"> </w:t>
      </w:r>
      <w:r>
        <w:t>700 M</w:t>
      </w:r>
      <w:r w:rsidRPr="00A75DCD">
        <w:t>Hz Band) Determination</w:t>
      </w:r>
      <w:r w:rsidR="00DE26EE">
        <w:t xml:space="preserve"> 2012</w:t>
      </w:r>
      <w:r>
        <w:t>.</w:t>
      </w:r>
    </w:p>
    <w:p w14:paraId="32BF7D32" w14:textId="4B2F0098" w:rsidR="00A9754A" w:rsidRPr="002E2C0A" w:rsidRDefault="002E2C0A" w:rsidP="00A9754A">
      <w:pPr>
        <w:rPr>
          <w:szCs w:val="20"/>
        </w:rPr>
      </w:pPr>
      <w:r>
        <w:t xml:space="preserve">No issues were raised to the proposed amendments. </w:t>
      </w:r>
    </w:p>
    <w:p w14:paraId="376C2642"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3" w:name="_Toc89760807"/>
      <w:r w:rsidRPr="00E0400E">
        <w:rPr>
          <w:rFonts w:cs="Arial"/>
          <w:b/>
          <w:bCs/>
          <w:szCs w:val="26"/>
        </w:rPr>
        <w:t>Question 4</w:t>
      </w:r>
      <w:bookmarkEnd w:id="13"/>
    </w:p>
    <w:p w14:paraId="4B9DB9FF" w14:textId="70607253" w:rsidR="008337D7" w:rsidRPr="00F538E7"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F538E7">
        <w:t xml:space="preserve">The ACMA seeks comment on the proposed amendments in the remaking of the Radiocommunications Advisory Guidelines (Managing Interference from Spectrum Licensed Transmitters </w:t>
      </w:r>
      <w:r>
        <w:t>–</w:t>
      </w:r>
      <w:r w:rsidRPr="00F538E7">
        <w:t xml:space="preserve"> 1800 MHz Band)</w:t>
      </w:r>
      <w:r w:rsidR="00D33EAC">
        <w:t xml:space="preserve"> 2012</w:t>
      </w:r>
      <w:r w:rsidRPr="00F538E7">
        <w:t xml:space="preserve"> </w:t>
      </w:r>
    </w:p>
    <w:p w14:paraId="0D4235EA" w14:textId="0E73D9EB" w:rsidR="00E0400E" w:rsidRPr="00E0400E" w:rsidRDefault="008E4D39" w:rsidP="008E4D39">
      <w:r>
        <w:lastRenderedPageBreak/>
        <w:t>Telstra support</w:t>
      </w:r>
      <w:r w:rsidR="002E2C0A">
        <w:t>ed</w:t>
      </w:r>
      <w:r>
        <w:t xml:space="preserve"> the remaking of the </w:t>
      </w:r>
      <w:r w:rsidRPr="008E586C">
        <w:t>Radiocommunications Advisory Guidelines (Managing Interference from Spectrum Licensed Transmitters – 1800 MHz Band)</w:t>
      </w:r>
      <w:r w:rsidR="00D33EAC" w:rsidRPr="008E586C">
        <w:t xml:space="preserve"> 2012</w:t>
      </w:r>
      <w:r>
        <w:t xml:space="preserve"> and the proposed amendments</w:t>
      </w:r>
      <w:r w:rsidR="00D33EAC">
        <w:t xml:space="preserve"> to that instrument</w:t>
      </w:r>
      <w:r>
        <w:t xml:space="preserve">. Telstra </w:t>
      </w:r>
      <w:r w:rsidR="00BC5AF1">
        <w:t xml:space="preserve">also supported the deletion of the </w:t>
      </w:r>
      <w:r>
        <w:t xml:space="preserve">information contained in Part 7 </w:t>
      </w:r>
      <w:r w:rsidR="00FA1EE9">
        <w:t>of th</w:t>
      </w:r>
      <w:r w:rsidR="00244055">
        <w:t xml:space="preserve">is instrument </w:t>
      </w:r>
      <w:r w:rsidR="00BC5AF1">
        <w:t>on the u</w:t>
      </w:r>
      <w:r w:rsidR="00BC5AF1" w:rsidRPr="008F4632">
        <w:t xml:space="preserve">se of </w:t>
      </w:r>
      <w:r w:rsidR="00CD25B4">
        <w:t>m</w:t>
      </w:r>
      <w:r w:rsidR="00BC5AF1" w:rsidRPr="008F4632">
        <w:t xml:space="preserve">obile </w:t>
      </w:r>
      <w:r w:rsidR="00CD25B4">
        <w:t>c</w:t>
      </w:r>
      <w:r w:rsidR="00BC5AF1" w:rsidRPr="008F4632">
        <w:t>ommunications systems on-board Aircraft (MCA)</w:t>
      </w:r>
      <w:r w:rsidR="00BC5AF1">
        <w:t>, acknowledging that it applies to more than just the 1800 MHz band. However,</w:t>
      </w:r>
      <w:r w:rsidR="00FA1EE9">
        <w:t xml:space="preserve"> </w:t>
      </w:r>
      <w:r w:rsidR="00BC5AF1">
        <w:t xml:space="preserve">it recommended this information </w:t>
      </w:r>
      <w:r>
        <w:t xml:space="preserve">be made available in another format </w:t>
      </w:r>
      <w:r w:rsidR="00BC5AF1">
        <w:t>by the ACMA</w:t>
      </w:r>
      <w:r w:rsidR="00E0400E" w:rsidRPr="00E0400E">
        <w:t>.</w:t>
      </w:r>
      <w:r w:rsidR="00FA1EE9">
        <w:t xml:space="preserve"> This include</w:t>
      </w:r>
      <w:r w:rsidR="00BC5AF1">
        <w:t xml:space="preserve">s </w:t>
      </w:r>
      <w:r w:rsidR="00FA1EE9" w:rsidRPr="0093625F">
        <w:t xml:space="preserve">the recommended technical conditions for use of MCA systems </w:t>
      </w:r>
      <w:r w:rsidR="00BC5AF1">
        <w:t xml:space="preserve">within </w:t>
      </w:r>
      <w:r w:rsidR="00FA1EE9" w:rsidRPr="0093625F">
        <w:t>spectrum licensed band</w:t>
      </w:r>
      <w:r w:rsidR="00BC5AF1">
        <w:t>s.</w:t>
      </w:r>
    </w:p>
    <w:p w14:paraId="401B045C" w14:textId="77777777" w:rsidR="00E0400E" w:rsidRPr="00E0400E" w:rsidRDefault="00E0400E" w:rsidP="00CD25B4">
      <w:pPr>
        <w:pStyle w:val="Heading4"/>
      </w:pPr>
      <w:r w:rsidRPr="00E0400E">
        <w:t>ACMA response</w:t>
      </w:r>
    </w:p>
    <w:p w14:paraId="6CF9FD2A" w14:textId="7AD171CB" w:rsidR="007E445E" w:rsidRDefault="00E0400E" w:rsidP="00E0400E">
      <w:pPr>
        <w:rPr>
          <w:szCs w:val="20"/>
        </w:rPr>
      </w:pPr>
      <w:r w:rsidRPr="00E0400E">
        <w:rPr>
          <w:szCs w:val="20"/>
        </w:rPr>
        <w:t xml:space="preserve">The ACMA notes </w:t>
      </w:r>
      <w:r w:rsidR="007E445E">
        <w:rPr>
          <w:szCs w:val="20"/>
        </w:rPr>
        <w:t>Telstra’s recommendation. The ACMA</w:t>
      </w:r>
      <w:r w:rsidR="00681EF6">
        <w:rPr>
          <w:szCs w:val="20"/>
        </w:rPr>
        <w:t xml:space="preserve"> also</w:t>
      </w:r>
      <w:r w:rsidR="007E445E">
        <w:rPr>
          <w:szCs w:val="20"/>
        </w:rPr>
        <w:t xml:space="preserve"> </w:t>
      </w:r>
      <w:r w:rsidR="00B36A19">
        <w:rPr>
          <w:szCs w:val="20"/>
        </w:rPr>
        <w:t>notes</w:t>
      </w:r>
      <w:r w:rsidR="007E445E">
        <w:rPr>
          <w:szCs w:val="20"/>
        </w:rPr>
        <w:t xml:space="preserve"> that this information is already contained in the licensing procedures for obtaining a PMTS C licence and these requirements </w:t>
      </w:r>
      <w:r w:rsidR="00B36A19">
        <w:rPr>
          <w:szCs w:val="20"/>
        </w:rPr>
        <w:t>are</w:t>
      </w:r>
      <w:r w:rsidR="00D04643">
        <w:rPr>
          <w:szCs w:val="20"/>
        </w:rPr>
        <w:t xml:space="preserve"> </w:t>
      </w:r>
      <w:r w:rsidR="007E445E">
        <w:rPr>
          <w:szCs w:val="20"/>
        </w:rPr>
        <w:t>reflected in the licence requirements.</w:t>
      </w:r>
      <w:r w:rsidR="00681EF6">
        <w:rPr>
          <w:szCs w:val="20"/>
        </w:rPr>
        <w:t xml:space="preserve"> The ACMA will consider the best way to make this information </w:t>
      </w:r>
      <w:r w:rsidR="00CF7199">
        <w:rPr>
          <w:szCs w:val="20"/>
        </w:rPr>
        <w:t>available</w:t>
      </w:r>
      <w:r w:rsidR="00681EF6">
        <w:rPr>
          <w:szCs w:val="20"/>
        </w:rPr>
        <w:t xml:space="preserve"> </w:t>
      </w:r>
      <w:r w:rsidR="006D5D64">
        <w:rPr>
          <w:szCs w:val="20"/>
        </w:rPr>
        <w:t xml:space="preserve">in </w:t>
      </w:r>
      <w:r w:rsidR="00CF7199">
        <w:rPr>
          <w:szCs w:val="20"/>
        </w:rPr>
        <w:t>an alternative</w:t>
      </w:r>
      <w:r w:rsidR="006D5D64">
        <w:rPr>
          <w:szCs w:val="20"/>
        </w:rPr>
        <w:t xml:space="preserve"> </w:t>
      </w:r>
      <w:r w:rsidR="00CF7199">
        <w:rPr>
          <w:szCs w:val="20"/>
        </w:rPr>
        <w:t>format on our website</w:t>
      </w:r>
      <w:r w:rsidR="006D5D64">
        <w:rPr>
          <w:szCs w:val="20"/>
        </w:rPr>
        <w:t>.</w:t>
      </w:r>
    </w:p>
    <w:p w14:paraId="1B5FDAE9"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4" w:name="_Toc128486794"/>
      <w:bookmarkStart w:id="15" w:name="_Toc130550470"/>
      <w:r>
        <w:t>Q</w:t>
      </w:r>
      <w:r w:rsidRPr="00E162C4">
        <w:t xml:space="preserve">uestion </w:t>
      </w:r>
      <w:r>
        <w:t>5</w:t>
      </w:r>
      <w:bookmarkEnd w:id="14"/>
      <w:bookmarkEnd w:id="15"/>
    </w:p>
    <w:p w14:paraId="475DD537" w14:textId="1552232D"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8C3A5F">
        <w:t xml:space="preserve">Radiocommunications Advisory Guidelines (Managing Interference to Spectrum Licensed Receivers </w:t>
      </w:r>
      <w:r>
        <w:t>–</w:t>
      </w:r>
      <w:r w:rsidRPr="008C3A5F">
        <w:t xml:space="preserve"> 1800 MHz Band)</w:t>
      </w:r>
      <w:r w:rsidR="00E274FA">
        <w:t xml:space="preserve"> 2012</w:t>
      </w:r>
      <w:r>
        <w:t>.</w:t>
      </w:r>
    </w:p>
    <w:p w14:paraId="597396D1" w14:textId="07069B7D" w:rsidR="008E4D39" w:rsidRPr="00E0400E" w:rsidRDefault="002E2C0A" w:rsidP="008E4D39">
      <w:r>
        <w:t xml:space="preserve">No issues were raised to the proposed amendments. </w:t>
      </w:r>
    </w:p>
    <w:p w14:paraId="2B8B6C4C"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6" w:name="_Toc128486795"/>
      <w:bookmarkStart w:id="17" w:name="_Toc130550471"/>
      <w:r>
        <w:t>Q</w:t>
      </w:r>
      <w:r w:rsidRPr="00E162C4">
        <w:t xml:space="preserve">uestion </w:t>
      </w:r>
      <w:r>
        <w:t>6</w:t>
      </w:r>
      <w:bookmarkEnd w:id="16"/>
      <w:bookmarkEnd w:id="17"/>
    </w:p>
    <w:p w14:paraId="1EC665E5" w14:textId="5CDCF727"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A75DCD">
        <w:t xml:space="preserve">Radiocommunications (Unacceptable Levels of Interference </w:t>
      </w:r>
      <w:r>
        <w:t>–</w:t>
      </w:r>
      <w:r w:rsidRPr="00A75DCD">
        <w:t xml:space="preserve"> 1800 MHz Band) Determination</w:t>
      </w:r>
      <w:r w:rsidR="00E274FA">
        <w:t xml:space="preserve"> 2012</w:t>
      </w:r>
      <w:r>
        <w:t>.</w:t>
      </w:r>
    </w:p>
    <w:p w14:paraId="30DF6325" w14:textId="2B866860" w:rsidR="007E445E" w:rsidRPr="00E0400E" w:rsidRDefault="002E2C0A" w:rsidP="007E445E">
      <w:r>
        <w:t>No issues were raised to the proposed amendments</w:t>
      </w:r>
      <w:r w:rsidR="007E445E">
        <w:t xml:space="preserve">. </w:t>
      </w:r>
    </w:p>
    <w:p w14:paraId="2FA3B4A7"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8" w:name="_Toc128486796"/>
      <w:bookmarkStart w:id="19" w:name="_Toc130550472"/>
      <w:r>
        <w:t>Q</w:t>
      </w:r>
      <w:r w:rsidRPr="00E162C4">
        <w:t xml:space="preserve">uestion </w:t>
      </w:r>
      <w:r>
        <w:t>7</w:t>
      </w:r>
      <w:bookmarkEnd w:id="18"/>
      <w:bookmarkEnd w:id="19"/>
    </w:p>
    <w:p w14:paraId="3656458F" w14:textId="43718AEA"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decision to revoke the </w:t>
      </w:r>
      <w:r w:rsidRPr="00A75DCD">
        <w:t xml:space="preserve">Radiocommunications Advisory Guidelines (Additional Device Boundary Criteria </w:t>
      </w:r>
      <w:r>
        <w:t>–</w:t>
      </w:r>
      <w:r w:rsidRPr="00A75DCD">
        <w:t xml:space="preserve"> 1800 MHz Lower Band)</w:t>
      </w:r>
      <w:r>
        <w:t xml:space="preserve"> 2012 and include relevant provisions into the remade </w:t>
      </w:r>
      <w:r w:rsidRPr="00A75DCD">
        <w:t xml:space="preserve">Radiocommunications (Unacceptable Levels of Interference </w:t>
      </w:r>
      <w:r>
        <w:t>–</w:t>
      </w:r>
      <w:r w:rsidRPr="00A75DCD">
        <w:t xml:space="preserve"> 1800 MHz Band) Determination</w:t>
      </w:r>
      <w:r w:rsidR="00CB4254">
        <w:t xml:space="preserve"> 2012</w:t>
      </w:r>
      <w:r>
        <w:t>.</w:t>
      </w:r>
    </w:p>
    <w:p w14:paraId="681E9D67" w14:textId="4870137D" w:rsidR="007E445E" w:rsidRPr="00E0400E" w:rsidRDefault="002E2C0A" w:rsidP="007E445E">
      <w:r>
        <w:t xml:space="preserve">No issues were raised to the proposed amendments. </w:t>
      </w:r>
    </w:p>
    <w:p w14:paraId="2A0BE68D"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0" w:name="_Toc128486797"/>
      <w:bookmarkStart w:id="21" w:name="_Toc130550473"/>
      <w:r>
        <w:t>Q</w:t>
      </w:r>
      <w:r w:rsidRPr="00E162C4">
        <w:t xml:space="preserve">uestion </w:t>
      </w:r>
      <w:r>
        <w:t>8</w:t>
      </w:r>
      <w:bookmarkEnd w:id="20"/>
      <w:bookmarkEnd w:id="21"/>
    </w:p>
    <w:p w14:paraId="25987C07" w14:textId="226C0F37"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8C3A5F">
        <w:t xml:space="preserve">Radiocommunications Advisory Guidelines (Managing Interference </w:t>
      </w:r>
      <w:r w:rsidRPr="00A75DCD">
        <w:t xml:space="preserve">from Transmitters </w:t>
      </w:r>
      <w:r>
        <w:t>–</w:t>
      </w:r>
      <w:r w:rsidRPr="00A75DCD">
        <w:t xml:space="preserve"> </w:t>
      </w:r>
      <w:r>
        <w:t>2.5 G</w:t>
      </w:r>
      <w:r w:rsidRPr="00A75DCD">
        <w:t>Hz Band)</w:t>
      </w:r>
      <w:r w:rsidR="00CB4254">
        <w:t xml:space="preserve"> 2012</w:t>
      </w:r>
      <w:r>
        <w:t>.</w:t>
      </w:r>
      <w:r w:rsidRPr="00A75DCD">
        <w:t xml:space="preserve"> </w:t>
      </w:r>
    </w:p>
    <w:p w14:paraId="5315D7B7" w14:textId="4E37BC5C" w:rsidR="00FA1EE9" w:rsidRDefault="00FA1EE9" w:rsidP="00F30BB3">
      <w:pPr>
        <w:spacing w:before="360"/>
      </w:pPr>
      <w:r>
        <w:t>The Telstra submission noted the</w:t>
      </w:r>
      <w:r w:rsidRPr="00CC0ECE">
        <w:t xml:space="preserve"> proposed update</w:t>
      </w:r>
      <w:r>
        <w:t xml:space="preserve"> to</w:t>
      </w:r>
      <w:r w:rsidRPr="00CC0ECE">
        <w:t xml:space="preserve"> </w:t>
      </w:r>
      <w:r>
        <w:t>include a</w:t>
      </w:r>
      <w:r w:rsidRPr="00CC0ECE">
        <w:t xml:space="preserve"> reference to Recommendation ITU-R M.1849 in Part 7 of </w:t>
      </w:r>
      <w:r w:rsidR="00662450">
        <w:t>the replacement instrument</w:t>
      </w:r>
      <w:r w:rsidRPr="00CC0ECE">
        <w:t>. Telstra observe</w:t>
      </w:r>
      <w:r>
        <w:t>d</w:t>
      </w:r>
      <w:r w:rsidRPr="00CC0ECE">
        <w:t xml:space="preserve"> that while </w:t>
      </w:r>
      <w:r>
        <w:t>the</w:t>
      </w:r>
      <w:r w:rsidRPr="00CC0ECE">
        <w:t xml:space="preserve"> recommendation provides some information regarding the technical and operational characteristics of meteorological radars, it is informational (rather than prescriptive) and does not materially assist spectrum licensees in protecting BoM weather radars</w:t>
      </w:r>
      <w:r w:rsidR="00C841ED">
        <w:t>.</w:t>
      </w:r>
    </w:p>
    <w:p w14:paraId="60D10266" w14:textId="2AF5CA80" w:rsidR="007E445E" w:rsidRDefault="007E445E" w:rsidP="008E586C">
      <w:pPr>
        <w:pStyle w:val="Paragraphbeforelist"/>
      </w:pPr>
      <w:r>
        <w:t xml:space="preserve">The Bureau of Meteorology (BoM) submission raised the following points with regards to </w:t>
      </w:r>
      <w:r w:rsidR="00F6183C">
        <w:t xml:space="preserve">new </w:t>
      </w:r>
      <w:r>
        <w:t>Part 7:</w:t>
      </w:r>
    </w:p>
    <w:p w14:paraId="19F455FC" w14:textId="1F6C8934" w:rsidR="007E445E" w:rsidRDefault="007E445E" w:rsidP="007E445E">
      <w:pPr>
        <w:pStyle w:val="Bulletlevel1"/>
      </w:pPr>
      <w:r>
        <w:t xml:space="preserve">The reference to the ITU-R Recommendation </w:t>
      </w:r>
      <w:r w:rsidR="002B5B47">
        <w:t>(Rec)</w:t>
      </w:r>
      <w:r>
        <w:t xml:space="preserve"> M.1464 should be amended to reference the latest ITU-R Rec M.1464-2 rather than </w:t>
      </w:r>
      <w:r w:rsidRPr="007E445E">
        <w:t>ITU-R Rec M.1464-1</w:t>
      </w:r>
      <w:r>
        <w:t xml:space="preserve">. This </w:t>
      </w:r>
      <w:r>
        <w:lastRenderedPageBreak/>
        <w:t>would also include changes that have been made to the recommendation</w:t>
      </w:r>
      <w:r w:rsidR="005E741C">
        <w:t>’</w:t>
      </w:r>
      <w:r>
        <w:t>s title. The new title would be:</w:t>
      </w:r>
    </w:p>
    <w:p w14:paraId="2B5B3A33" w14:textId="1BEC4B57" w:rsidR="007E445E" w:rsidRDefault="002220C4" w:rsidP="008E586C">
      <w:pPr>
        <w:pStyle w:val="Bulletlevel2"/>
      </w:pPr>
      <w:r>
        <w:t>‘</w:t>
      </w:r>
      <w:r w:rsidR="007E445E">
        <w:t xml:space="preserve">Characteristics of non-meteorological radiolocation radars, and characteristics and protection criteria for sharing studies for aeronautical radionavigation and radars in the radiodetermination service operating in the frequency band </w:t>
      </w:r>
      <w:r w:rsidR="008E586C">
        <w:br/>
      </w:r>
      <w:r w:rsidR="007E445E">
        <w:t>2 700</w:t>
      </w:r>
      <w:r w:rsidR="008E586C">
        <w:t xml:space="preserve"> to </w:t>
      </w:r>
      <w:r w:rsidR="007E445E">
        <w:t>2 900 MHz</w:t>
      </w:r>
      <w:r>
        <w:t>’.</w:t>
      </w:r>
    </w:p>
    <w:p w14:paraId="3A5BC8F4" w14:textId="3CCBF234" w:rsidR="007E445E" w:rsidRDefault="007E445E" w:rsidP="007E445E">
      <w:pPr>
        <w:pStyle w:val="Bulletlevel1"/>
      </w:pPr>
      <w:r>
        <w:t>BoM</w:t>
      </w:r>
      <w:r w:rsidRPr="007E445E">
        <w:t xml:space="preserve"> </w:t>
      </w:r>
      <w:r>
        <w:t>supported the</w:t>
      </w:r>
      <w:r w:rsidRPr="007E445E">
        <w:t xml:space="preserve"> inclusion of </w:t>
      </w:r>
      <w:r>
        <w:t xml:space="preserve">ITU-R </w:t>
      </w:r>
      <w:r w:rsidRPr="007E445E">
        <w:t xml:space="preserve">Rec M.1461 and </w:t>
      </w:r>
      <w:r>
        <w:t xml:space="preserve">ITU-R </w:t>
      </w:r>
      <w:r w:rsidRPr="007E445E">
        <w:t>Rec M.1849.</w:t>
      </w:r>
    </w:p>
    <w:p w14:paraId="77177D45" w14:textId="1D86233B" w:rsidR="007E445E" w:rsidRDefault="007E445E" w:rsidP="008E586C">
      <w:pPr>
        <w:pStyle w:val="Bulletlevel1"/>
        <w:spacing w:after="0"/>
      </w:pPr>
      <w:r>
        <w:t xml:space="preserve">BoM proposed the inclusion of a new </w:t>
      </w:r>
      <w:r w:rsidR="00977706">
        <w:t>provision</w:t>
      </w:r>
      <w:r>
        <w:t xml:space="preserve">, which would </w:t>
      </w:r>
      <w:r w:rsidRPr="007E445E">
        <w:t>specif</w:t>
      </w:r>
      <w:r>
        <w:t>y</w:t>
      </w:r>
      <w:r w:rsidRPr="007E445E">
        <w:t xml:space="preserve"> the maximum out-of-band emissions from transmitting </w:t>
      </w:r>
      <w:r>
        <w:t xml:space="preserve">stations </w:t>
      </w:r>
      <w:r w:rsidRPr="007E445E">
        <w:t xml:space="preserve">operating in the </w:t>
      </w:r>
      <w:r w:rsidR="002B5B47" w:rsidRPr="007E445E">
        <w:t>2.5</w:t>
      </w:r>
      <w:r w:rsidR="00BC5AF1">
        <w:t> </w:t>
      </w:r>
      <w:r w:rsidR="002B5B47" w:rsidRPr="007E445E">
        <w:t xml:space="preserve">GHz </w:t>
      </w:r>
      <w:r w:rsidRPr="007E445E">
        <w:t xml:space="preserve">spectrum licence band </w:t>
      </w:r>
      <w:r w:rsidR="00ED2DCB">
        <w:t>at</w:t>
      </w:r>
      <w:r w:rsidR="00ED2DCB" w:rsidRPr="007E445E">
        <w:t xml:space="preserve"> </w:t>
      </w:r>
      <w:r w:rsidRPr="007E445E">
        <w:t xml:space="preserve">the location of meteorological radar sites. The proposed text to be added to this instrument </w:t>
      </w:r>
      <w:r>
        <w:t>was</w:t>
      </w:r>
      <w:r w:rsidRPr="007E445E">
        <w:t>:</w:t>
      </w:r>
    </w:p>
    <w:p w14:paraId="084F7923" w14:textId="53566C15" w:rsidR="009F4A03" w:rsidRPr="008E586C" w:rsidRDefault="002220C4" w:rsidP="008E586C">
      <w:pPr>
        <w:spacing w:before="60" w:after="60"/>
        <w:ind w:left="567"/>
        <w:rPr>
          <w:sz w:val="18"/>
          <w:szCs w:val="18"/>
        </w:rPr>
      </w:pPr>
      <w:r w:rsidRPr="008E586C">
        <w:rPr>
          <w:sz w:val="18"/>
          <w:szCs w:val="18"/>
        </w:rPr>
        <w:t>‘</w:t>
      </w:r>
      <w:r w:rsidR="007E445E" w:rsidRPr="008E586C">
        <w:rPr>
          <w:sz w:val="18"/>
          <w:szCs w:val="18"/>
        </w:rPr>
        <w:t>(8) Protection is required for all radiodetermination services receivers operated by the Bureau of Meteorology in the 2700</w:t>
      </w:r>
      <w:r w:rsidR="00BB550E">
        <w:rPr>
          <w:sz w:val="18"/>
          <w:szCs w:val="18"/>
        </w:rPr>
        <w:t>–</w:t>
      </w:r>
      <w:r w:rsidR="007E445E" w:rsidRPr="008E586C">
        <w:rPr>
          <w:sz w:val="18"/>
          <w:szCs w:val="18"/>
        </w:rPr>
        <w:t>2900 MHz band. The maximum power flux density limit at the radar site for out-of-band emissions from a station under a spectrum licence in the 2.5 GHz band is -132.9 dBm/MHz/m2 at the antenna height, at the radar site. Currently there is no RALI describing coordination requirements with Bureau of Meteorology radiodetermination services in the band 2700 to 2900 MHz</w:t>
      </w:r>
      <w:r w:rsidR="00BB550E">
        <w:rPr>
          <w:sz w:val="18"/>
          <w:szCs w:val="18"/>
        </w:rPr>
        <w:t>,</w:t>
      </w:r>
      <w:r w:rsidR="007E445E" w:rsidRPr="008E586C">
        <w:rPr>
          <w:sz w:val="18"/>
          <w:szCs w:val="18"/>
        </w:rPr>
        <w:t xml:space="preserve"> but such a RALI could be developed in the future</w:t>
      </w:r>
      <w:r w:rsidR="009F4A03" w:rsidRPr="008E586C">
        <w:rPr>
          <w:sz w:val="18"/>
          <w:szCs w:val="18"/>
        </w:rPr>
        <w:t>.</w:t>
      </w:r>
      <w:r w:rsidRPr="008E586C">
        <w:rPr>
          <w:sz w:val="18"/>
          <w:szCs w:val="18"/>
        </w:rPr>
        <w:t>’</w:t>
      </w:r>
    </w:p>
    <w:p w14:paraId="0BE3A03A" w14:textId="77777777" w:rsidR="008337D7" w:rsidRPr="00E0400E" w:rsidRDefault="008337D7" w:rsidP="008337D7">
      <w:pPr>
        <w:pStyle w:val="Heading4"/>
      </w:pPr>
      <w:r w:rsidRPr="00E0400E">
        <w:t>ACMA response</w:t>
      </w:r>
    </w:p>
    <w:p w14:paraId="3BBF400D" w14:textId="357D4403" w:rsidR="002B425D" w:rsidRDefault="006D3309" w:rsidP="008E586C">
      <w:r>
        <w:t xml:space="preserve">We note </w:t>
      </w:r>
      <w:r w:rsidR="002B425D">
        <w:t xml:space="preserve">Telstra’s comments on the inclusion of ITU-R </w:t>
      </w:r>
      <w:r w:rsidR="002B425D" w:rsidRPr="007E445E">
        <w:t>Rec M.1849</w:t>
      </w:r>
      <w:r w:rsidR="002B425D">
        <w:t xml:space="preserve">. The ACMA considers the recommendation </w:t>
      </w:r>
      <w:r w:rsidR="00B96D3B">
        <w:t>to be</w:t>
      </w:r>
      <w:r w:rsidR="002B425D">
        <w:t xml:space="preserve"> useful </w:t>
      </w:r>
      <w:r w:rsidR="00C331E0">
        <w:t xml:space="preserve">information </w:t>
      </w:r>
      <w:r w:rsidR="002B425D">
        <w:t>and has kept the recommendation in the instrument.</w:t>
      </w:r>
    </w:p>
    <w:p w14:paraId="368699E7" w14:textId="21A6ED86" w:rsidR="008337D7" w:rsidRDefault="006D3309" w:rsidP="0086058E">
      <w:pPr>
        <w:spacing w:before="120"/>
      </w:pPr>
      <w:r>
        <w:t xml:space="preserve">We have </w:t>
      </w:r>
      <w:r w:rsidR="007E445E">
        <w:t xml:space="preserve">agreed to BoM’s proposal to amend </w:t>
      </w:r>
      <w:r w:rsidR="00ED2DCB">
        <w:t xml:space="preserve">the reference to </w:t>
      </w:r>
      <w:r w:rsidR="007E445E">
        <w:t xml:space="preserve">ITU-R Recommendation </w:t>
      </w:r>
      <w:r w:rsidR="006E3644">
        <w:t>M.</w:t>
      </w:r>
      <w:r w:rsidR="007E445E">
        <w:t>1464</w:t>
      </w:r>
      <w:r w:rsidR="006E3644">
        <w:t>-1</w:t>
      </w:r>
      <w:r w:rsidR="007E445E">
        <w:t>. To ensure it remains current</w:t>
      </w:r>
      <w:r w:rsidR="00B36A19">
        <w:t xml:space="preserve">, </w:t>
      </w:r>
      <w:r w:rsidR="007E445E">
        <w:t xml:space="preserve">the ACMA will not include a version number. The title of the recommendation will be amended to reflect the </w:t>
      </w:r>
      <w:r>
        <w:br/>
      </w:r>
      <w:r w:rsidR="007E445E">
        <w:t>current title.</w:t>
      </w:r>
    </w:p>
    <w:p w14:paraId="55580B29" w14:textId="0D1F0BBC" w:rsidR="007E445E" w:rsidRPr="00E0400E" w:rsidRDefault="007E445E" w:rsidP="008337D7">
      <w:pPr>
        <w:spacing w:after="360"/>
      </w:pPr>
      <w:r>
        <w:t xml:space="preserve">The ACMA does not intend to adopt any new criteria for </w:t>
      </w:r>
      <w:r w:rsidR="00602368">
        <w:t>spectrum licen</w:t>
      </w:r>
      <w:r w:rsidR="0049720E">
        <w:t>s</w:t>
      </w:r>
      <w:r w:rsidR="00602368">
        <w:t>e</w:t>
      </w:r>
      <w:r w:rsidR="0049720E">
        <w:t>d</w:t>
      </w:r>
      <w:r w:rsidR="00602368">
        <w:t xml:space="preserve"> </w:t>
      </w:r>
      <w:r>
        <w:t xml:space="preserve">transmitters </w:t>
      </w:r>
      <w:r w:rsidR="008D0BC0">
        <w:t>at this point in time</w:t>
      </w:r>
      <w:r>
        <w:t>. The requirement to meet a specified</w:t>
      </w:r>
      <w:r w:rsidR="008D0BC0">
        <w:t xml:space="preserve"> power flux density</w:t>
      </w:r>
      <w:r>
        <w:t xml:space="preserve"> limit would require </w:t>
      </w:r>
      <w:r w:rsidRPr="00BC5AF1">
        <w:rPr>
          <w:szCs w:val="20"/>
        </w:rPr>
        <w:t>substanti</w:t>
      </w:r>
      <w:r w:rsidR="00ED2DCB" w:rsidRPr="00BC5AF1">
        <w:rPr>
          <w:szCs w:val="20"/>
        </w:rPr>
        <w:t>al</w:t>
      </w:r>
      <w:r w:rsidRPr="00BC5AF1">
        <w:rPr>
          <w:szCs w:val="20"/>
        </w:rPr>
        <w:t xml:space="preserve"> consultation with spectrum licensees. </w:t>
      </w:r>
      <w:r w:rsidR="005340FE">
        <w:rPr>
          <w:szCs w:val="20"/>
        </w:rPr>
        <w:t xml:space="preserve">We </w:t>
      </w:r>
      <w:r w:rsidR="00534D8A" w:rsidRPr="0086058E">
        <w:rPr>
          <w:rFonts w:cs="Arial"/>
          <w:szCs w:val="20"/>
        </w:rPr>
        <w:t xml:space="preserve">will consider the proposal on the possible development of more detailed protection criteria for </w:t>
      </w:r>
      <w:r w:rsidR="00534D8A" w:rsidRPr="0086058E">
        <w:rPr>
          <w:rFonts w:eastAsiaTheme="minorHAnsi" w:cs="Arial"/>
          <w:szCs w:val="20"/>
        </w:rPr>
        <w:t>meteorological radars in the 2700</w:t>
      </w:r>
      <w:r w:rsidR="00FC4DDC">
        <w:rPr>
          <w:rFonts w:eastAsiaTheme="minorHAnsi" w:cs="Arial"/>
          <w:szCs w:val="20"/>
        </w:rPr>
        <w:t xml:space="preserve"> MHz to </w:t>
      </w:r>
      <w:r w:rsidR="00534D8A" w:rsidRPr="0086058E">
        <w:rPr>
          <w:rFonts w:eastAsiaTheme="minorHAnsi" w:cs="Arial"/>
          <w:szCs w:val="20"/>
        </w:rPr>
        <w:t xml:space="preserve">2900 MHz </w:t>
      </w:r>
      <w:r w:rsidR="00FC4DDC">
        <w:rPr>
          <w:rFonts w:eastAsiaTheme="minorHAnsi" w:cs="Arial"/>
          <w:szCs w:val="20"/>
        </w:rPr>
        <w:t xml:space="preserve">frequency </w:t>
      </w:r>
      <w:r w:rsidR="00534D8A" w:rsidRPr="0086058E">
        <w:rPr>
          <w:rFonts w:eastAsiaTheme="minorHAnsi" w:cs="Arial"/>
          <w:szCs w:val="20"/>
        </w:rPr>
        <w:t xml:space="preserve">band as part of the more detailed </w:t>
      </w:r>
      <w:hyperlink r:id="rId30" w:history="1">
        <w:r w:rsidR="00534D8A" w:rsidRPr="0086058E">
          <w:rPr>
            <w:rStyle w:val="Hyperlink"/>
            <w:rFonts w:eastAsiaTheme="minorHAnsi" w:cs="Arial"/>
            <w:szCs w:val="20"/>
          </w:rPr>
          <w:t>review of the 2.5 GHz spectrum licence technical framework</w:t>
        </w:r>
      </w:hyperlink>
      <w:r w:rsidR="00534D8A" w:rsidRPr="0086058E">
        <w:rPr>
          <w:rFonts w:eastAsiaTheme="minorHAnsi" w:cs="Arial"/>
          <w:szCs w:val="20"/>
        </w:rPr>
        <w:t xml:space="preserve"> planned for </w:t>
      </w:r>
      <w:r w:rsidR="005340FE">
        <w:rPr>
          <w:rFonts w:eastAsiaTheme="minorHAnsi" w:cs="Arial"/>
          <w:szCs w:val="20"/>
        </w:rPr>
        <w:t>the last quarter of</w:t>
      </w:r>
      <w:r w:rsidR="005340FE" w:rsidRPr="0086058E">
        <w:rPr>
          <w:rFonts w:eastAsiaTheme="minorHAnsi" w:cs="Arial"/>
          <w:szCs w:val="20"/>
        </w:rPr>
        <w:t xml:space="preserve"> </w:t>
      </w:r>
      <w:r w:rsidR="00534D8A" w:rsidRPr="0086058E">
        <w:rPr>
          <w:rFonts w:eastAsiaTheme="minorHAnsi" w:cs="Arial"/>
          <w:szCs w:val="20"/>
        </w:rPr>
        <w:t>2023</w:t>
      </w:r>
      <w:r w:rsidR="00534D8A" w:rsidRPr="0086058E">
        <w:rPr>
          <w:rFonts w:cs="Arial"/>
          <w:szCs w:val="20"/>
        </w:rPr>
        <w:t>.</w:t>
      </w:r>
    </w:p>
    <w:p w14:paraId="7B45C6C3"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2" w:name="_Toc128486798"/>
      <w:bookmarkStart w:id="23" w:name="_Toc130550474"/>
      <w:r>
        <w:t>Q</w:t>
      </w:r>
      <w:r w:rsidRPr="00E162C4">
        <w:t xml:space="preserve">uestion </w:t>
      </w:r>
      <w:r>
        <w:t>9</w:t>
      </w:r>
      <w:bookmarkEnd w:id="22"/>
      <w:bookmarkEnd w:id="23"/>
    </w:p>
    <w:p w14:paraId="3EE73355" w14:textId="5D47DD14"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8C3A5F">
        <w:t xml:space="preserve">Radiocommunications Advisory Guidelines (Managing Interference to Receivers </w:t>
      </w:r>
      <w:r>
        <w:br/>
        <w:t>–</w:t>
      </w:r>
      <w:r w:rsidRPr="008C3A5F">
        <w:t xml:space="preserve"> </w:t>
      </w:r>
      <w:r>
        <w:t>2.5</w:t>
      </w:r>
      <w:r w:rsidRPr="008C3A5F">
        <w:t xml:space="preserve"> </w:t>
      </w:r>
      <w:r>
        <w:t>G</w:t>
      </w:r>
      <w:r w:rsidRPr="008C3A5F">
        <w:t>Hz Band)</w:t>
      </w:r>
      <w:r w:rsidR="00FC4DDC">
        <w:t xml:space="preserve"> 2012</w:t>
      </w:r>
      <w:r>
        <w:t>.</w:t>
      </w:r>
    </w:p>
    <w:p w14:paraId="169F4193" w14:textId="509DC580" w:rsidR="007E445E" w:rsidRPr="00E0400E" w:rsidRDefault="002E2C0A" w:rsidP="007E445E">
      <w:r>
        <w:t xml:space="preserve">No issues were raised to the proposed amendments. </w:t>
      </w:r>
    </w:p>
    <w:p w14:paraId="1E0FD0D0"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4" w:name="_Toc128486799"/>
      <w:bookmarkStart w:id="25" w:name="_Toc130550475"/>
      <w:r>
        <w:t>Q</w:t>
      </w:r>
      <w:r w:rsidRPr="00E162C4">
        <w:t>uestion 1</w:t>
      </w:r>
      <w:r>
        <w:t>0</w:t>
      </w:r>
      <w:bookmarkEnd w:id="24"/>
      <w:bookmarkEnd w:id="25"/>
    </w:p>
    <w:p w14:paraId="5FCA90D4" w14:textId="3A9B91BA"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6" w:name="_Hlk115260148"/>
      <w:r>
        <w:t xml:space="preserve">The ACMA seeks comment on the proposed amendments in the remaking of the </w:t>
      </w:r>
      <w:r w:rsidRPr="00A75DCD">
        <w:t xml:space="preserve">Radiocommunications (Unacceptable Levels of Interference </w:t>
      </w:r>
      <w:r>
        <w:t>–</w:t>
      </w:r>
      <w:r w:rsidRPr="00A75DCD">
        <w:t xml:space="preserve"> </w:t>
      </w:r>
      <w:r>
        <w:t>2.5 G</w:t>
      </w:r>
      <w:r w:rsidRPr="00A75DCD">
        <w:t>Hz Band) Determination</w:t>
      </w:r>
      <w:r w:rsidR="00B44222">
        <w:t xml:space="preserve"> 2012</w:t>
      </w:r>
      <w:r>
        <w:t>.</w:t>
      </w:r>
    </w:p>
    <w:bookmarkEnd w:id="26"/>
    <w:p w14:paraId="0C5A197F" w14:textId="7B11EE6E" w:rsidR="008E4D39" w:rsidRPr="00E0400E" w:rsidRDefault="008E4D39" w:rsidP="008E4D39">
      <w:r>
        <w:t xml:space="preserve">While no issue was raised to the proposed amendments, Telstra did highlight </w:t>
      </w:r>
      <w:r w:rsidR="005340FE">
        <w:t xml:space="preserve">its </w:t>
      </w:r>
      <w:r>
        <w:t>desire to update the spectrum licence core conditions to accommodate AAS technologies at a suitable time.</w:t>
      </w:r>
    </w:p>
    <w:p w14:paraId="5F36D087" w14:textId="77777777" w:rsidR="008337D7" w:rsidRPr="00E0400E" w:rsidRDefault="008337D7" w:rsidP="008E586C">
      <w:pPr>
        <w:pStyle w:val="Heading4"/>
        <w:keepNext/>
        <w:keepLines/>
      </w:pPr>
      <w:r w:rsidRPr="00E0400E">
        <w:lastRenderedPageBreak/>
        <w:t>ACMA response</w:t>
      </w:r>
    </w:p>
    <w:p w14:paraId="54EAA302" w14:textId="25FCB4BA" w:rsidR="008337D7" w:rsidRDefault="007E445E" w:rsidP="008E586C">
      <w:pPr>
        <w:keepNext/>
        <w:keepLines/>
      </w:pPr>
      <w:r>
        <w:t xml:space="preserve">The review of the 2.5 GHz </w:t>
      </w:r>
      <w:r w:rsidR="00BC5AF1" w:rsidRPr="00835098">
        <w:rPr>
          <w:szCs w:val="20"/>
        </w:rPr>
        <w:t>spectrum licence technical framework (SLTF)</w:t>
      </w:r>
      <w:r>
        <w:t xml:space="preserve"> is on the ACMA’s work program</w:t>
      </w:r>
      <w:r w:rsidR="00B44222">
        <w:t>,</w:t>
      </w:r>
      <w:r>
        <w:t xml:space="preserve"> as specified in the </w:t>
      </w:r>
      <w:r w:rsidR="005340FE">
        <w:t>f</w:t>
      </w:r>
      <w:r>
        <w:t>ive</w:t>
      </w:r>
      <w:r w:rsidR="005340FE">
        <w:t>-y</w:t>
      </w:r>
      <w:r>
        <w:t xml:space="preserve">ear </w:t>
      </w:r>
      <w:r w:rsidR="005340FE">
        <w:t>s</w:t>
      </w:r>
      <w:r>
        <w:t xml:space="preserve">pectrum </w:t>
      </w:r>
      <w:r w:rsidR="005340FE">
        <w:t>o</w:t>
      </w:r>
      <w:r>
        <w:t xml:space="preserve">utlook (FYSO) </w:t>
      </w:r>
      <w:r w:rsidR="005340FE">
        <w:br/>
      </w:r>
      <w:r>
        <w:t>2022</w:t>
      </w:r>
      <w:r w:rsidR="005340FE">
        <w:t>–</w:t>
      </w:r>
      <w:r>
        <w:t xml:space="preserve">26. The review of the 2.5 GHz SLTF is proposed to begin in </w:t>
      </w:r>
      <w:r w:rsidR="005340FE">
        <w:t xml:space="preserve">the last quarter of </w:t>
      </w:r>
      <w:r>
        <w:t>2023, but is dependent on the progress of the 700 MHz SLTF review</w:t>
      </w:r>
      <w:r w:rsidR="00B44222">
        <w:t>,</w:t>
      </w:r>
      <w:r>
        <w:t xml:space="preserve"> which is proposed to begin in </w:t>
      </w:r>
      <w:r w:rsidR="005340FE">
        <w:t xml:space="preserve">the first quarter of </w:t>
      </w:r>
      <w:r>
        <w:t>2023.</w:t>
      </w:r>
    </w:p>
    <w:p w14:paraId="190E96D8"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7" w:name="_Toc128486800"/>
      <w:bookmarkStart w:id="28" w:name="_Toc130550476"/>
      <w:r>
        <w:t>Q</w:t>
      </w:r>
      <w:r w:rsidRPr="00E162C4">
        <w:t>uestion 1</w:t>
      </w:r>
      <w:r>
        <w:t>1</w:t>
      </w:r>
      <w:bookmarkEnd w:id="27"/>
      <w:bookmarkEnd w:id="28"/>
    </w:p>
    <w:p w14:paraId="5FBD8B99" w14:textId="5169C225"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9" w:name="_Hlk115260193"/>
      <w:r>
        <w:t xml:space="preserve">The ACMA seeks comment on the proposed amendments in the remaking of the </w:t>
      </w:r>
      <w:r w:rsidRPr="008C3A5F">
        <w:t xml:space="preserve">Radiocommunications Advisory Guidelines (Managing Interference </w:t>
      </w:r>
      <w:r w:rsidRPr="00A75DCD">
        <w:t xml:space="preserve">from Transmitters </w:t>
      </w:r>
      <w:r>
        <w:t>–</w:t>
      </w:r>
      <w:r w:rsidRPr="00A75DCD">
        <w:t xml:space="preserve"> </w:t>
      </w:r>
      <w:r>
        <w:t>2.5 G</w:t>
      </w:r>
      <w:r w:rsidRPr="00A75DCD">
        <w:t>Hz</w:t>
      </w:r>
      <w:r>
        <w:t xml:space="preserve"> Mid-</w:t>
      </w:r>
      <w:r w:rsidR="00744551">
        <w:t>b</w:t>
      </w:r>
      <w:r>
        <w:t>and Gap</w:t>
      </w:r>
      <w:r w:rsidRPr="00A75DCD">
        <w:t>)</w:t>
      </w:r>
      <w:r w:rsidR="00B44222">
        <w:t xml:space="preserve"> 2012</w:t>
      </w:r>
      <w:r>
        <w:t>.</w:t>
      </w:r>
    </w:p>
    <w:bookmarkEnd w:id="29"/>
    <w:p w14:paraId="283743F3" w14:textId="50FC2A79" w:rsidR="007E445E" w:rsidRPr="00E0400E" w:rsidRDefault="002E2C0A" w:rsidP="007E445E">
      <w:r>
        <w:t xml:space="preserve">No issues were raised to the proposed amendments. </w:t>
      </w:r>
    </w:p>
    <w:p w14:paraId="623EFA57"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30" w:name="_Toc128486801"/>
      <w:bookmarkStart w:id="31" w:name="_Toc130550477"/>
      <w:r>
        <w:t>Q</w:t>
      </w:r>
      <w:r w:rsidRPr="00E162C4">
        <w:t>uestion 1</w:t>
      </w:r>
      <w:r>
        <w:t>2</w:t>
      </w:r>
      <w:bookmarkEnd w:id="30"/>
      <w:bookmarkEnd w:id="31"/>
    </w:p>
    <w:p w14:paraId="2516C09C" w14:textId="6149DA7C"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8C3A5F">
        <w:t xml:space="preserve">Radiocommunications Advisory Guidelines (Managing Interference to Receivers </w:t>
      </w:r>
      <w:r>
        <w:br/>
        <w:t>–</w:t>
      </w:r>
      <w:r w:rsidRPr="008C3A5F">
        <w:t xml:space="preserve"> </w:t>
      </w:r>
      <w:r>
        <w:t>2.5</w:t>
      </w:r>
      <w:r w:rsidRPr="008C3A5F">
        <w:t xml:space="preserve"> </w:t>
      </w:r>
      <w:r>
        <w:t>G</w:t>
      </w:r>
      <w:r w:rsidRPr="008C3A5F">
        <w:t xml:space="preserve">Hz </w:t>
      </w:r>
      <w:r>
        <w:t>Mid-</w:t>
      </w:r>
      <w:r w:rsidR="00744551">
        <w:t>b</w:t>
      </w:r>
      <w:r>
        <w:t>and Gap</w:t>
      </w:r>
      <w:r w:rsidRPr="008C3A5F">
        <w:t>)</w:t>
      </w:r>
      <w:r w:rsidR="00B44222">
        <w:t xml:space="preserve"> 2012</w:t>
      </w:r>
      <w:r>
        <w:t>.</w:t>
      </w:r>
    </w:p>
    <w:p w14:paraId="75A1D1B9" w14:textId="248859F9" w:rsidR="007E445E" w:rsidRPr="00E0400E" w:rsidRDefault="002E2C0A" w:rsidP="007E445E">
      <w:bookmarkStart w:id="32" w:name="_Toc298924672"/>
      <w:bookmarkStart w:id="33" w:name="_Toc300909555"/>
      <w:bookmarkStart w:id="34" w:name="_Toc348105636"/>
      <w:r>
        <w:t>No issues were raised to the proposed amendments.</w:t>
      </w:r>
      <w:r w:rsidR="007E445E">
        <w:t xml:space="preserve"> </w:t>
      </w:r>
    </w:p>
    <w:p w14:paraId="1CD1BBEF" w14:textId="77777777" w:rsidR="008337D7" w:rsidRPr="00E162C4" w:rsidRDefault="008337D7" w:rsidP="008337D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35" w:name="_Toc128486802"/>
      <w:bookmarkStart w:id="36" w:name="_Toc130550478"/>
      <w:r>
        <w:t>Q</w:t>
      </w:r>
      <w:r w:rsidRPr="00E162C4">
        <w:t>uestion 1</w:t>
      </w:r>
      <w:r>
        <w:t>3</w:t>
      </w:r>
      <w:bookmarkEnd w:id="35"/>
      <w:bookmarkEnd w:id="36"/>
    </w:p>
    <w:p w14:paraId="352375B3" w14:textId="694FA71A" w:rsidR="008337D7" w:rsidRPr="00E162C4" w:rsidRDefault="008337D7" w:rsidP="008337D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amendments in the remaking of the </w:t>
      </w:r>
      <w:r w:rsidRPr="00A75DCD">
        <w:t xml:space="preserve">Radiocommunications (Unacceptable Levels of Interference </w:t>
      </w:r>
      <w:r>
        <w:t>–</w:t>
      </w:r>
      <w:r w:rsidRPr="00A75DCD">
        <w:t xml:space="preserve"> </w:t>
      </w:r>
      <w:r>
        <w:t>2.5 G</w:t>
      </w:r>
      <w:r w:rsidRPr="00A75DCD">
        <w:t xml:space="preserve">Hz </w:t>
      </w:r>
      <w:r>
        <w:t>Mid-</w:t>
      </w:r>
      <w:r w:rsidR="00744551">
        <w:t>b</w:t>
      </w:r>
      <w:r>
        <w:t>and Gap</w:t>
      </w:r>
      <w:r w:rsidRPr="00A75DCD">
        <w:t>) Determination</w:t>
      </w:r>
      <w:r w:rsidR="00744551">
        <w:t xml:space="preserve"> 2012</w:t>
      </w:r>
      <w:r>
        <w:t>.</w:t>
      </w:r>
    </w:p>
    <w:bookmarkEnd w:id="32"/>
    <w:bookmarkEnd w:id="33"/>
    <w:bookmarkEnd w:id="34"/>
    <w:p w14:paraId="2DD69A2F" w14:textId="2F0257FF" w:rsidR="007E445E" w:rsidRPr="00F30BB3" w:rsidRDefault="007E445E" w:rsidP="007E445E">
      <w:pPr>
        <w:pStyle w:val="Heading4"/>
        <w:rPr>
          <w:rFonts w:cs="Times New Roman"/>
          <w:b w:val="0"/>
          <w:i w:val="0"/>
        </w:rPr>
      </w:pPr>
      <w:proofErr w:type="spellStart"/>
      <w:r w:rsidRPr="00F30BB3">
        <w:rPr>
          <w:rFonts w:cs="Times New Roman"/>
          <w:b w:val="0"/>
          <w:i w:val="0"/>
        </w:rPr>
        <w:t>FreeTV</w:t>
      </w:r>
      <w:proofErr w:type="spellEnd"/>
      <w:r w:rsidRPr="00F30BB3">
        <w:rPr>
          <w:rFonts w:cs="Times New Roman"/>
          <w:b w:val="0"/>
          <w:i w:val="0"/>
        </w:rPr>
        <w:t xml:space="preserve"> support</w:t>
      </w:r>
      <w:r>
        <w:rPr>
          <w:rFonts w:cs="Times New Roman"/>
          <w:b w:val="0"/>
          <w:i w:val="0"/>
        </w:rPr>
        <w:t xml:space="preserve">ed </w:t>
      </w:r>
      <w:r w:rsidRPr="00F30BB3">
        <w:rPr>
          <w:rFonts w:cs="Times New Roman"/>
          <w:b w:val="0"/>
          <w:i w:val="0"/>
        </w:rPr>
        <w:t>the remaking of the legislative instruments</w:t>
      </w:r>
      <w:r w:rsidR="00744551">
        <w:rPr>
          <w:rFonts w:cs="Times New Roman"/>
          <w:b w:val="0"/>
          <w:i w:val="0"/>
        </w:rPr>
        <w:t xml:space="preserve"> related to the 2.5 GHz mid band gap</w:t>
      </w:r>
      <w:r w:rsidRPr="00F30BB3">
        <w:rPr>
          <w:rFonts w:cs="Times New Roman"/>
          <w:b w:val="0"/>
          <w:i w:val="0"/>
        </w:rPr>
        <w:t>. In relation to</w:t>
      </w:r>
      <w:r w:rsidR="00744551">
        <w:rPr>
          <w:rFonts w:cs="Times New Roman"/>
          <w:b w:val="0"/>
          <w:i w:val="0"/>
        </w:rPr>
        <w:t xml:space="preserve"> remaking</w:t>
      </w:r>
      <w:r w:rsidRPr="00F30BB3">
        <w:rPr>
          <w:rFonts w:cs="Times New Roman"/>
          <w:b w:val="0"/>
          <w:i w:val="0"/>
        </w:rPr>
        <w:t xml:space="preserve"> the </w:t>
      </w:r>
      <w:r w:rsidRPr="008E586C">
        <w:rPr>
          <w:rFonts w:cs="Times New Roman"/>
          <w:b w:val="0"/>
          <w:i w:val="0"/>
        </w:rPr>
        <w:t>Radiocommunications (Unacceptable Levels of Interference – 2.5 GHz Mid-</w:t>
      </w:r>
      <w:r w:rsidR="00A06446" w:rsidRPr="008E586C">
        <w:rPr>
          <w:rFonts w:cs="Times New Roman"/>
          <w:b w:val="0"/>
          <w:i w:val="0"/>
        </w:rPr>
        <w:t>b</w:t>
      </w:r>
      <w:r w:rsidRPr="008E586C">
        <w:rPr>
          <w:rFonts w:cs="Times New Roman"/>
          <w:b w:val="0"/>
          <w:i w:val="0"/>
        </w:rPr>
        <w:t>and Gap) Determination</w:t>
      </w:r>
      <w:r w:rsidR="00744551" w:rsidRPr="008E586C">
        <w:rPr>
          <w:rFonts w:cs="Times New Roman"/>
          <w:b w:val="0"/>
          <w:i w:val="0"/>
        </w:rPr>
        <w:t xml:space="preserve"> 2012</w:t>
      </w:r>
      <w:r w:rsidRPr="0052547D">
        <w:rPr>
          <w:rFonts w:cs="Times New Roman"/>
          <w:b w:val="0"/>
          <w:i w:val="0"/>
        </w:rPr>
        <w:t>,</w:t>
      </w:r>
      <w:r>
        <w:rPr>
          <w:rFonts w:cs="Times New Roman"/>
          <w:b w:val="0"/>
          <w:i w:val="0"/>
        </w:rPr>
        <w:t xml:space="preserve"> </w:t>
      </w:r>
      <w:proofErr w:type="spellStart"/>
      <w:r>
        <w:rPr>
          <w:rFonts w:cs="Times New Roman"/>
          <w:b w:val="0"/>
          <w:i w:val="0"/>
        </w:rPr>
        <w:t>FreeTV</w:t>
      </w:r>
      <w:proofErr w:type="spellEnd"/>
      <w:r w:rsidRPr="00F30BB3">
        <w:rPr>
          <w:rFonts w:cs="Times New Roman"/>
          <w:b w:val="0"/>
          <w:i w:val="0"/>
        </w:rPr>
        <w:t xml:space="preserve"> </w:t>
      </w:r>
      <w:r>
        <w:rPr>
          <w:rFonts w:cs="Times New Roman"/>
          <w:b w:val="0"/>
          <w:i w:val="0"/>
        </w:rPr>
        <w:t>had</w:t>
      </w:r>
      <w:r w:rsidRPr="00F30BB3">
        <w:rPr>
          <w:rFonts w:cs="Times New Roman"/>
          <w:b w:val="0"/>
          <w:i w:val="0"/>
        </w:rPr>
        <w:t xml:space="preserve"> no objection to the</w:t>
      </w:r>
      <w:r>
        <w:rPr>
          <w:rFonts w:cs="Times New Roman"/>
          <w:b w:val="0"/>
          <w:i w:val="0"/>
        </w:rPr>
        <w:t xml:space="preserve"> </w:t>
      </w:r>
      <w:r w:rsidRPr="00F30BB3">
        <w:rPr>
          <w:rFonts w:cs="Times New Roman"/>
          <w:b w:val="0"/>
          <w:i w:val="0"/>
        </w:rPr>
        <w:t>proposed changes to the device boundary criteria</w:t>
      </w:r>
      <w:r w:rsidR="0052547D">
        <w:rPr>
          <w:rFonts w:cs="Times New Roman"/>
          <w:b w:val="0"/>
          <w:i w:val="0"/>
        </w:rPr>
        <w:t xml:space="preserve">. It noted it </w:t>
      </w:r>
      <w:r w:rsidRPr="00F30BB3">
        <w:rPr>
          <w:rFonts w:cs="Times New Roman"/>
          <w:b w:val="0"/>
          <w:i w:val="0"/>
        </w:rPr>
        <w:t>mirror</w:t>
      </w:r>
      <w:r w:rsidR="0052547D">
        <w:rPr>
          <w:rFonts w:cs="Times New Roman"/>
          <w:b w:val="0"/>
          <w:i w:val="0"/>
        </w:rPr>
        <w:t>s</w:t>
      </w:r>
      <w:r w:rsidRPr="00F30BB3">
        <w:rPr>
          <w:rFonts w:cs="Times New Roman"/>
          <w:b w:val="0"/>
          <w:i w:val="0"/>
        </w:rPr>
        <w:t xml:space="preserve"> those the ACMA has been progressively making to all spectrum licensed bands.</w:t>
      </w:r>
    </w:p>
    <w:p w14:paraId="22596278" w14:textId="0CAEAE32" w:rsidR="007E445E" w:rsidRDefault="00A06446" w:rsidP="007E445E">
      <w:proofErr w:type="spellStart"/>
      <w:r>
        <w:t>FreeTV</w:t>
      </w:r>
      <w:proofErr w:type="spellEnd"/>
      <w:r>
        <w:t xml:space="preserve"> </w:t>
      </w:r>
      <w:r w:rsidR="007E445E">
        <w:t xml:space="preserve">indicated </w:t>
      </w:r>
      <w:r>
        <w:t>its</w:t>
      </w:r>
      <w:r w:rsidR="007E445E">
        <w:t xml:space="preserve"> desire to be part of the </w:t>
      </w:r>
      <w:r w:rsidR="007E445E" w:rsidRPr="00F30BB3">
        <w:t xml:space="preserve">technical liaison group (TLG) </w:t>
      </w:r>
      <w:r w:rsidR="008C7CBB">
        <w:t>for</w:t>
      </w:r>
      <w:r w:rsidR="007E445E" w:rsidRPr="00F30BB3">
        <w:t xml:space="preserve"> the </w:t>
      </w:r>
      <w:r w:rsidR="0052547D">
        <w:br/>
      </w:r>
      <w:r w:rsidR="007E445E">
        <w:t xml:space="preserve">2.5 GHz </w:t>
      </w:r>
      <w:r w:rsidR="008C7CBB">
        <w:t xml:space="preserve">band </w:t>
      </w:r>
      <w:r w:rsidR="007E445E">
        <w:t xml:space="preserve">SLTF review. </w:t>
      </w:r>
    </w:p>
    <w:p w14:paraId="0BF2A5CD" w14:textId="77777777" w:rsidR="007E445E" w:rsidRPr="00E0400E" w:rsidRDefault="007E445E" w:rsidP="007E445E">
      <w:pPr>
        <w:pStyle w:val="Heading4"/>
      </w:pPr>
      <w:r w:rsidRPr="00E0400E">
        <w:t>ACMA response</w:t>
      </w:r>
    </w:p>
    <w:p w14:paraId="76CF584D" w14:textId="31809CD0" w:rsidR="007E445E" w:rsidRPr="00E0400E" w:rsidRDefault="007E445E" w:rsidP="007E445E">
      <w:pPr>
        <w:spacing w:after="360"/>
      </w:pPr>
      <w:r w:rsidRPr="00E0400E">
        <w:t xml:space="preserve">The ACMA </w:t>
      </w:r>
      <w:r w:rsidR="004A097C">
        <w:t xml:space="preserve">will </w:t>
      </w:r>
      <w:r w:rsidR="00A06446">
        <w:t xml:space="preserve">invite </w:t>
      </w:r>
      <w:proofErr w:type="spellStart"/>
      <w:r w:rsidR="006E3644">
        <w:t>FreeTV</w:t>
      </w:r>
      <w:proofErr w:type="spellEnd"/>
      <w:r w:rsidR="006E3644">
        <w:t xml:space="preserve"> </w:t>
      </w:r>
      <w:r w:rsidR="004A097C">
        <w:t>to join the TLG f</w:t>
      </w:r>
      <w:r w:rsidR="008C7CBB">
        <w:t>or</w:t>
      </w:r>
      <w:r w:rsidR="004A097C">
        <w:t xml:space="preserve"> the 2.5 GH</w:t>
      </w:r>
      <w:r w:rsidR="008C7CBB">
        <w:t>z</w:t>
      </w:r>
      <w:r w:rsidR="004A097C">
        <w:t xml:space="preserve"> </w:t>
      </w:r>
      <w:r w:rsidR="008C7CBB">
        <w:t>band</w:t>
      </w:r>
      <w:r w:rsidR="004A097C">
        <w:t xml:space="preserve"> SLTF review.</w:t>
      </w:r>
    </w:p>
    <w:bookmarkEnd w:id="6"/>
    <w:p w14:paraId="0B6EEF12" w14:textId="77777777" w:rsidR="00E0400E" w:rsidRPr="00E0400E" w:rsidRDefault="00E0400E" w:rsidP="00E0400E"/>
    <w:p w14:paraId="39D63EB6" w14:textId="41DFA733" w:rsidR="00E0400E" w:rsidRPr="00E0400E" w:rsidRDefault="00E0400E" w:rsidP="00BC5475">
      <w:pPr>
        <w:pStyle w:val="Heading1"/>
      </w:pPr>
      <w:bookmarkStart w:id="37" w:name="_3_Outcomes_of"/>
      <w:bookmarkStart w:id="38" w:name="_Toc130550479"/>
      <w:bookmarkEnd w:id="37"/>
      <w:r w:rsidRPr="00E0400E">
        <w:lastRenderedPageBreak/>
        <w:t>Outcomes of consultation</w:t>
      </w:r>
      <w:bookmarkStart w:id="39" w:name="_Toc59624862"/>
      <w:bookmarkEnd w:id="38"/>
    </w:p>
    <w:p w14:paraId="4B07F63E" w14:textId="7D149869" w:rsidR="00AD3095" w:rsidRPr="00057029" w:rsidRDefault="00D874C0" w:rsidP="00AD3095">
      <w:pPr>
        <w:spacing w:after="80"/>
        <w:rPr>
          <w:rFonts w:cs="Arial"/>
          <w:szCs w:val="20"/>
        </w:rPr>
      </w:pPr>
      <w:r>
        <w:rPr>
          <w:rFonts w:cs="Arial"/>
          <w:szCs w:val="20"/>
        </w:rPr>
        <w:t xml:space="preserve">After considering submissions to the consultation paper, </w:t>
      </w:r>
      <w:r w:rsidR="009026F0">
        <w:rPr>
          <w:rFonts w:cs="Arial"/>
          <w:szCs w:val="20"/>
        </w:rPr>
        <w:t xml:space="preserve">we have </w:t>
      </w:r>
      <w:r w:rsidR="00AD3095">
        <w:t>rema</w:t>
      </w:r>
      <w:r w:rsidR="00B737E8">
        <w:t>d</w:t>
      </w:r>
      <w:r w:rsidR="00AD3095">
        <w:t xml:space="preserve">e the identified legislative instruments </w:t>
      </w:r>
      <w:r w:rsidR="00AD3095" w:rsidRPr="00057029">
        <w:t>as proposed in the consultation paper, with the following amendment</w:t>
      </w:r>
      <w:r w:rsidR="0025045F">
        <w:t xml:space="preserve">s </w:t>
      </w:r>
      <w:r w:rsidR="007438A4">
        <w:t>proposed by BoM in relation to</w:t>
      </w:r>
      <w:r w:rsidR="0025045F">
        <w:t xml:space="preserve"> the </w:t>
      </w:r>
      <w:r w:rsidR="0025045F" w:rsidRPr="008E586C">
        <w:rPr>
          <w:iCs/>
        </w:rPr>
        <w:t>Radiocommunications Advisory Guidelines (Managing Interference from Spectrum Licensed Transmitters – 2.5 GHz Band) 2023</w:t>
      </w:r>
      <w:r w:rsidR="00AD3095" w:rsidRPr="009026F0">
        <w:rPr>
          <w:iCs/>
        </w:rPr>
        <w:t>:</w:t>
      </w:r>
      <w:r w:rsidR="00AD3095" w:rsidRPr="00057029">
        <w:rPr>
          <w:rFonts w:cs="Arial"/>
          <w:szCs w:val="20"/>
        </w:rPr>
        <w:t xml:space="preserve"> </w:t>
      </w:r>
    </w:p>
    <w:p w14:paraId="45E91D91" w14:textId="21DB20FC" w:rsidR="0025045F" w:rsidRDefault="0025045F" w:rsidP="00404086">
      <w:pPr>
        <w:pStyle w:val="ListParagraph"/>
        <w:numPr>
          <w:ilvl w:val="0"/>
          <w:numId w:val="24"/>
        </w:numPr>
      </w:pPr>
      <w:bookmarkStart w:id="40" w:name="_Hlk128491438"/>
      <w:r>
        <w:rPr>
          <w:szCs w:val="20"/>
        </w:rPr>
        <w:t xml:space="preserve">The reference to </w:t>
      </w:r>
      <w:r w:rsidR="00AD3095">
        <w:t>ITU-R R</w:t>
      </w:r>
      <w:r w:rsidR="008C3282">
        <w:t>ecommendation</w:t>
      </w:r>
      <w:r w:rsidR="00AD3095">
        <w:t xml:space="preserve"> M.1464</w:t>
      </w:r>
      <w:r>
        <w:t xml:space="preserve"> no longer includes a version number. The intention being that the latest version of the recommendation should always be considered. </w:t>
      </w:r>
      <w:r w:rsidR="008C3282">
        <w:t xml:space="preserve"> </w:t>
      </w:r>
    </w:p>
    <w:p w14:paraId="02023614" w14:textId="44E7258E" w:rsidR="00AD3095" w:rsidRPr="00057029" w:rsidRDefault="0025045F" w:rsidP="0086058E">
      <w:pPr>
        <w:pStyle w:val="ListParagraph"/>
        <w:numPr>
          <w:ilvl w:val="0"/>
          <w:numId w:val="24"/>
        </w:numPr>
      </w:pPr>
      <w:r>
        <w:t>The title of</w:t>
      </w:r>
      <w:r w:rsidRPr="0025045F">
        <w:t xml:space="preserve"> </w:t>
      </w:r>
      <w:r>
        <w:t xml:space="preserve">ITU-R Recommendation M.1464 </w:t>
      </w:r>
      <w:r w:rsidR="00AD3095">
        <w:t xml:space="preserve">was </w:t>
      </w:r>
      <w:r w:rsidR="008C3282">
        <w:t>corrected</w:t>
      </w:r>
      <w:r w:rsidR="00AD3095">
        <w:t xml:space="preserve"> to </w:t>
      </w:r>
      <w:r w:rsidR="009026F0">
        <w:t>‘</w:t>
      </w:r>
      <w:r w:rsidR="00AD3095" w:rsidRPr="008E586C">
        <w:t>Characteristics of non-meteorological radiolocation radars, and characteristics and protection criteria for sharing studies for aeronautical radionavigation and radars in the radiodetermination service operating in the frequency band 2 700</w:t>
      </w:r>
      <w:r w:rsidR="009026F0">
        <w:t>–</w:t>
      </w:r>
      <w:r w:rsidR="00AD3095" w:rsidRPr="008E586C">
        <w:t>2 900 MHz</w:t>
      </w:r>
      <w:r w:rsidR="009026F0">
        <w:t>’.</w:t>
      </w:r>
      <w:bookmarkEnd w:id="40"/>
    </w:p>
    <w:p w14:paraId="19DABD6B" w14:textId="40D840C0" w:rsidR="00BC5AF1" w:rsidRDefault="00BC5AF1" w:rsidP="0086058E">
      <w:pPr>
        <w:pStyle w:val="Paragraphbeforelist"/>
        <w:spacing w:after="240"/>
        <w:rPr>
          <w:szCs w:val="20"/>
        </w:rPr>
      </w:pPr>
      <w:r>
        <w:rPr>
          <w:szCs w:val="20"/>
        </w:rPr>
        <w:t xml:space="preserve">The ACMA has also repealed the </w:t>
      </w:r>
      <w:r w:rsidRPr="008E586C">
        <w:t>Radiocommunications Advisory Guidelines (Additional Device Boundary Criteria – 1800 MHz Lower Band) 2012</w:t>
      </w:r>
      <w:r>
        <w:t xml:space="preserve"> and include</w:t>
      </w:r>
      <w:r w:rsidR="007438A4">
        <w:t>d</w:t>
      </w:r>
      <w:r>
        <w:t xml:space="preserve"> relevant provisions into the </w:t>
      </w:r>
      <w:r w:rsidRPr="008E586C">
        <w:t>Radiocommunications (Unacceptable Levels of Interference – 1800 MHz Band) Determination</w:t>
      </w:r>
      <w:r w:rsidRPr="009026F0">
        <w:t xml:space="preserve"> </w:t>
      </w:r>
      <w:r w:rsidRPr="008E586C">
        <w:t>2023</w:t>
      </w:r>
      <w:r>
        <w:t xml:space="preserve">, as proposed in the </w:t>
      </w:r>
      <w:r w:rsidR="009026F0">
        <w:br/>
      </w:r>
      <w:r>
        <w:t xml:space="preserve">consultation paper. </w:t>
      </w:r>
    </w:p>
    <w:p w14:paraId="7EBDBCA4" w14:textId="7938F9F9" w:rsidR="00AD3095" w:rsidRDefault="00AB3C53" w:rsidP="008337D7">
      <w:pPr>
        <w:pStyle w:val="Paragraphbeforelist"/>
        <w:rPr>
          <w:szCs w:val="20"/>
        </w:rPr>
      </w:pPr>
      <w:r>
        <w:rPr>
          <w:szCs w:val="20"/>
        </w:rPr>
        <w:t>The ACMA will also:</w:t>
      </w:r>
    </w:p>
    <w:p w14:paraId="3DBF313C" w14:textId="6224F20B" w:rsidR="00835098" w:rsidRDefault="00AB3C53" w:rsidP="0086058E">
      <w:pPr>
        <w:pStyle w:val="Paragraphbeforelist"/>
        <w:numPr>
          <w:ilvl w:val="0"/>
          <w:numId w:val="25"/>
        </w:numPr>
      </w:pPr>
      <w:r>
        <w:rPr>
          <w:szCs w:val="20"/>
        </w:rPr>
        <w:t xml:space="preserve">In </w:t>
      </w:r>
      <w:r w:rsidR="009026F0">
        <w:rPr>
          <w:szCs w:val="20"/>
        </w:rPr>
        <w:t xml:space="preserve">the second quarter of </w:t>
      </w:r>
      <w:r>
        <w:rPr>
          <w:szCs w:val="20"/>
        </w:rPr>
        <w:t xml:space="preserve">2023, review </w:t>
      </w:r>
      <w:r w:rsidRPr="00AB3C53">
        <w:rPr>
          <w:szCs w:val="20"/>
        </w:rPr>
        <w:t xml:space="preserve">the protection criteria in </w:t>
      </w:r>
      <w:hyperlink r:id="rId31" w:history="1">
        <w:r w:rsidRPr="00AB3C53">
          <w:rPr>
            <w:rStyle w:val="Hyperlink"/>
            <w:szCs w:val="20"/>
          </w:rPr>
          <w:t>RALI LM8, RALI FX16 and RALI FX22</w:t>
        </w:r>
      </w:hyperlink>
      <w:r w:rsidRPr="00AB3C53">
        <w:rPr>
          <w:szCs w:val="20"/>
        </w:rPr>
        <w:t xml:space="preserve"> for </w:t>
      </w:r>
      <w:bookmarkStart w:id="41" w:name="_Hlk128491806"/>
      <w:r w:rsidRPr="0086058E">
        <w:rPr>
          <w:szCs w:val="20"/>
        </w:rPr>
        <w:t>apparatus</w:t>
      </w:r>
      <w:r w:rsidR="009026F0">
        <w:rPr>
          <w:szCs w:val="20"/>
        </w:rPr>
        <w:t>-</w:t>
      </w:r>
      <w:r w:rsidRPr="0086058E">
        <w:rPr>
          <w:szCs w:val="20"/>
        </w:rPr>
        <w:t>licen</w:t>
      </w:r>
      <w:r w:rsidR="000032EE">
        <w:rPr>
          <w:szCs w:val="20"/>
        </w:rPr>
        <w:t>s</w:t>
      </w:r>
      <w:r w:rsidRPr="0086058E">
        <w:rPr>
          <w:szCs w:val="20"/>
        </w:rPr>
        <w:t xml:space="preserve">ed land mobile, point-to-point and point-to-multipoint services operating in the 804 MHz </w:t>
      </w:r>
      <w:r w:rsidR="00F62A5B">
        <w:rPr>
          <w:szCs w:val="20"/>
        </w:rPr>
        <w:t>band</w:t>
      </w:r>
      <w:r w:rsidRPr="0086058E">
        <w:rPr>
          <w:szCs w:val="20"/>
        </w:rPr>
        <w:t xml:space="preserve">. </w:t>
      </w:r>
      <w:bookmarkEnd w:id="41"/>
      <w:r>
        <w:t xml:space="preserve">It is not intended that this review would impact the level of protection provided to existing apparatus licences or any apparatus licences re-locating as part of the </w:t>
      </w:r>
      <w:bookmarkStart w:id="42" w:name="_Hlk128491910"/>
      <w:r>
        <w:t>803–960 MHz band review outcomes</w:t>
      </w:r>
      <w:bookmarkEnd w:id="42"/>
      <w:r>
        <w:t xml:space="preserve">. However, we could consider </w:t>
      </w:r>
      <w:bookmarkStart w:id="43" w:name="_Hlk128491938"/>
      <w:r>
        <w:t>alternative criteria for proposed new land mobile, point-to-point and point-to-multipoint licenses issued after a certain date</w:t>
      </w:r>
      <w:r w:rsidR="00A75CB9">
        <w:t xml:space="preserve"> (which is yet to be determined)</w:t>
      </w:r>
      <w:r>
        <w:t xml:space="preserve">. </w:t>
      </w:r>
      <w:bookmarkEnd w:id="43"/>
    </w:p>
    <w:p w14:paraId="195E99A5" w14:textId="7D9A5E82" w:rsidR="008337D7" w:rsidRDefault="00835098" w:rsidP="0086058E">
      <w:pPr>
        <w:pStyle w:val="Paragraphbeforelist"/>
        <w:numPr>
          <w:ilvl w:val="0"/>
          <w:numId w:val="25"/>
        </w:numPr>
        <w:rPr>
          <w:szCs w:val="20"/>
        </w:rPr>
      </w:pPr>
      <w:r>
        <w:rPr>
          <w:szCs w:val="20"/>
        </w:rPr>
        <w:t>I</w:t>
      </w:r>
      <w:r w:rsidRPr="00835098">
        <w:rPr>
          <w:szCs w:val="20"/>
        </w:rPr>
        <w:t xml:space="preserve">n </w:t>
      </w:r>
      <w:r w:rsidR="009026F0">
        <w:rPr>
          <w:szCs w:val="20"/>
        </w:rPr>
        <w:t>the last quarter of</w:t>
      </w:r>
      <w:r w:rsidRPr="00835098">
        <w:rPr>
          <w:szCs w:val="20"/>
        </w:rPr>
        <w:t xml:space="preserve"> 2023</w:t>
      </w:r>
      <w:r>
        <w:rPr>
          <w:szCs w:val="20"/>
        </w:rPr>
        <w:t xml:space="preserve">, review the 2.5 GHz </w:t>
      </w:r>
      <w:r w:rsidRPr="00835098">
        <w:rPr>
          <w:szCs w:val="20"/>
        </w:rPr>
        <w:t>SLTF</w:t>
      </w:r>
      <w:r>
        <w:rPr>
          <w:szCs w:val="20"/>
        </w:rPr>
        <w:t>. As part of this review</w:t>
      </w:r>
      <w:r w:rsidR="009026F0">
        <w:rPr>
          <w:szCs w:val="20"/>
        </w:rPr>
        <w:t xml:space="preserve">, we </w:t>
      </w:r>
      <w:r>
        <w:rPr>
          <w:szCs w:val="20"/>
        </w:rPr>
        <w:t xml:space="preserve">will consider BoM’s request to </w:t>
      </w:r>
      <w:r w:rsidR="00BC5AF1">
        <w:rPr>
          <w:szCs w:val="20"/>
        </w:rPr>
        <w:t xml:space="preserve">provide </w:t>
      </w:r>
      <w:r w:rsidR="00E95AA8">
        <w:rPr>
          <w:szCs w:val="20"/>
        </w:rPr>
        <w:t xml:space="preserve">more detailed </w:t>
      </w:r>
      <w:r w:rsidR="00BC5AF1">
        <w:rPr>
          <w:szCs w:val="20"/>
        </w:rPr>
        <w:t>guidance on the management of interference with meteorological radar stations</w:t>
      </w:r>
      <w:r w:rsidRPr="00835098">
        <w:rPr>
          <w:szCs w:val="20"/>
        </w:rPr>
        <w:t>.</w:t>
      </w:r>
      <w:bookmarkEnd w:id="39"/>
    </w:p>
    <w:sectPr w:rsidR="008337D7" w:rsidSect="00C77380">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A395" w14:textId="77777777" w:rsidR="00630272" w:rsidRDefault="00630272">
      <w:r>
        <w:separator/>
      </w:r>
    </w:p>
  </w:endnote>
  <w:endnote w:type="continuationSeparator" w:id="0">
    <w:p w14:paraId="5AED70C3" w14:textId="77777777" w:rsidR="00630272" w:rsidRDefault="00630272">
      <w:r>
        <w:continuationSeparator/>
      </w:r>
    </w:p>
  </w:endnote>
  <w:endnote w:type="continuationNotice" w:id="1">
    <w:p w14:paraId="7760C894" w14:textId="77777777" w:rsidR="00C32D95" w:rsidRDefault="00C32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56A" w14:textId="77777777" w:rsidR="005E250B" w:rsidRDefault="005E250B" w:rsidP="005E250B">
    <w:pPr>
      <w:pStyle w:val="Footer"/>
      <w:jc w:val="right"/>
    </w:pPr>
    <w:r w:rsidRPr="005E250B">
      <w:rPr>
        <w:noProof/>
        <w:vertAlign w:val="subscript"/>
      </w:rPr>
      <w:drawing>
        <wp:inline distT="0" distB="0" distL="0" distR="0" wp14:anchorId="6E051D07" wp14:editId="5537870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9E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762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F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6FE393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7D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2D4683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1C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D1EAF8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4E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13AC8B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F6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00B53C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9E3F" w14:textId="77777777" w:rsidR="00630272" w:rsidRDefault="00630272" w:rsidP="00EA0969">
      <w:pPr>
        <w:spacing w:after="0"/>
      </w:pPr>
      <w:r>
        <w:separator/>
      </w:r>
    </w:p>
  </w:footnote>
  <w:footnote w:type="continuationSeparator" w:id="0">
    <w:p w14:paraId="1B2B7D3D" w14:textId="77777777" w:rsidR="00630272" w:rsidRDefault="00630272">
      <w:r>
        <w:continuationSeparator/>
      </w:r>
    </w:p>
  </w:footnote>
  <w:footnote w:type="continuationNotice" w:id="1">
    <w:p w14:paraId="67B0CDBE" w14:textId="77777777" w:rsidR="00C32D95" w:rsidRDefault="00C32D95">
      <w:pPr>
        <w:spacing w:after="0" w:line="240" w:lineRule="auto"/>
      </w:pPr>
    </w:p>
  </w:footnote>
  <w:footnote w:id="2">
    <w:p w14:paraId="6F90A55D" w14:textId="2628A879" w:rsidR="00950FB4" w:rsidRDefault="00950FB4">
      <w:pPr>
        <w:pStyle w:val="FootnoteText"/>
      </w:pPr>
      <w:r>
        <w:rPr>
          <w:rStyle w:val="FootnoteReference"/>
        </w:rPr>
        <w:footnoteRef/>
      </w:r>
      <w:r>
        <w:t xml:space="preserve"> </w:t>
      </w:r>
      <w:bookmarkStart w:id="8" w:name="_Hlk128490325"/>
      <w:r>
        <w:t>Parts 6 and 7 provide guidance on the management of interference with apparatus</w:t>
      </w:r>
      <w:r w:rsidR="0019090B">
        <w:t>-</w:t>
      </w:r>
      <w:r>
        <w:t xml:space="preserve">licenced </w:t>
      </w:r>
      <w:r w:rsidRPr="002E2C0A">
        <w:t>land mobile, point-to-point and point-to-multipoint services operating in the 804</w:t>
      </w:r>
      <w:r w:rsidR="002D778E">
        <w:t xml:space="preserve"> MHz to </w:t>
      </w:r>
      <w:r w:rsidRPr="002E2C0A">
        <w:t xml:space="preserve">809 MHz frequency </w:t>
      </w:r>
      <w:r w:rsidR="002D778E">
        <w:t>band</w:t>
      </w:r>
      <w:r w:rsidR="003D2D87">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F06" w14:textId="77777777" w:rsidR="00C053A1" w:rsidRPr="00A5474E" w:rsidRDefault="0021426C" w:rsidP="00A5474E">
    <w:pPr>
      <w:pStyle w:val="Header"/>
    </w:pPr>
    <w:r>
      <w:rPr>
        <w:noProof/>
      </w:rPr>
      <w:drawing>
        <wp:inline distT="0" distB="0" distL="0" distR="0" wp14:anchorId="5730400B" wp14:editId="7115D7CF">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32D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59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18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09CF5EB" w14:textId="77777777" w:rsidTr="003B0421">
      <w:trPr>
        <w:trHeight w:hRule="exact" w:val="988"/>
      </w:trPr>
      <w:tc>
        <w:tcPr>
          <w:tcW w:w="7678" w:type="dxa"/>
          <w:shd w:val="clear" w:color="auto" w:fill="auto"/>
        </w:tcPr>
        <w:p w14:paraId="5FF18C37" w14:textId="77777777" w:rsidR="00971914" w:rsidRDefault="00971914" w:rsidP="00971914">
          <w:pPr>
            <w:pStyle w:val="Header"/>
          </w:pPr>
        </w:p>
      </w:tc>
    </w:tr>
    <w:tr w:rsidR="00971914" w14:paraId="14739BB3" w14:textId="77777777" w:rsidTr="003B0421">
      <w:tc>
        <w:tcPr>
          <w:tcW w:w="7678" w:type="dxa"/>
          <w:shd w:val="clear" w:color="auto" w:fill="auto"/>
        </w:tcPr>
        <w:p w14:paraId="30930D57" w14:textId="77777777" w:rsidR="00971914" w:rsidRDefault="00971914" w:rsidP="00971914">
          <w:pPr>
            <w:pStyle w:val="GridTable31"/>
          </w:pPr>
          <w:r>
            <w:t xml:space="preserve">Contents </w:t>
          </w:r>
          <w:r w:rsidRPr="00915B1C">
            <w:rPr>
              <w:b w:val="0"/>
              <w:spacing w:val="0"/>
              <w:sz w:val="28"/>
              <w:szCs w:val="28"/>
            </w:rPr>
            <w:t>(Continued)</w:t>
          </w:r>
        </w:p>
      </w:tc>
    </w:tr>
    <w:tr w:rsidR="00971914" w14:paraId="63686979" w14:textId="77777777" w:rsidTr="003B0421">
      <w:trPr>
        <w:trHeight w:val="1220"/>
      </w:trPr>
      <w:tc>
        <w:tcPr>
          <w:tcW w:w="7678" w:type="dxa"/>
          <w:shd w:val="clear" w:color="auto" w:fill="auto"/>
        </w:tcPr>
        <w:p w14:paraId="3228D461" w14:textId="77777777" w:rsidR="00971914" w:rsidRDefault="00971914" w:rsidP="00971914"/>
      </w:tc>
    </w:tr>
  </w:tbl>
  <w:p w14:paraId="37A337C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AA46DD5" w14:textId="77777777" w:rsidTr="003B0421">
      <w:trPr>
        <w:trHeight w:hRule="exact" w:val="988"/>
      </w:trPr>
      <w:tc>
        <w:tcPr>
          <w:tcW w:w="7678" w:type="dxa"/>
          <w:shd w:val="clear" w:color="auto" w:fill="auto"/>
        </w:tcPr>
        <w:p w14:paraId="26C4E57B" w14:textId="77777777" w:rsidR="00971914" w:rsidRDefault="00971914" w:rsidP="00971914">
          <w:pPr>
            <w:pStyle w:val="Header"/>
          </w:pPr>
        </w:p>
      </w:tc>
    </w:tr>
    <w:tr w:rsidR="00971914" w14:paraId="14C15E25" w14:textId="77777777" w:rsidTr="003B0421">
      <w:tc>
        <w:tcPr>
          <w:tcW w:w="7678" w:type="dxa"/>
          <w:shd w:val="clear" w:color="auto" w:fill="auto"/>
        </w:tcPr>
        <w:p w14:paraId="41166F87" w14:textId="77777777" w:rsidR="00971914" w:rsidRDefault="00971914" w:rsidP="00971914">
          <w:pPr>
            <w:pStyle w:val="GridTable31"/>
          </w:pPr>
          <w:r>
            <w:t xml:space="preserve">Contents </w:t>
          </w:r>
          <w:r w:rsidRPr="00915B1C">
            <w:rPr>
              <w:b w:val="0"/>
              <w:spacing w:val="0"/>
              <w:sz w:val="28"/>
              <w:szCs w:val="28"/>
            </w:rPr>
            <w:t>(Continued)</w:t>
          </w:r>
        </w:p>
      </w:tc>
    </w:tr>
    <w:tr w:rsidR="00971914" w14:paraId="573D3188" w14:textId="77777777" w:rsidTr="003B0421">
      <w:trPr>
        <w:trHeight w:val="1220"/>
      </w:trPr>
      <w:tc>
        <w:tcPr>
          <w:tcW w:w="7678" w:type="dxa"/>
          <w:shd w:val="clear" w:color="auto" w:fill="auto"/>
        </w:tcPr>
        <w:p w14:paraId="59456B96" w14:textId="77777777" w:rsidR="00971914" w:rsidRDefault="00971914" w:rsidP="00971914"/>
      </w:tc>
    </w:tr>
  </w:tbl>
  <w:p w14:paraId="61A218A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1F0"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D1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3060412"/>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D6E17"/>
    <w:multiLevelType w:val="hybridMultilevel"/>
    <w:tmpl w:val="5262F4F0"/>
    <w:lvl w:ilvl="0" w:tplc="44EEC084">
      <w:start w:val="1"/>
      <w:numFmt w:val="bullet"/>
      <w:lvlText w:val="&gt;"/>
      <w:lvlJc w:val="left"/>
      <w:pPr>
        <w:ind w:left="360" w:hanging="360"/>
      </w:pPr>
      <w:rPr>
        <w:rFonts w:ascii="HelveticaNeueLT Std" w:hAnsi="HelveticaNeueLT St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272419"/>
    <w:multiLevelType w:val="hybridMultilevel"/>
    <w:tmpl w:val="3A30901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BB41F0B"/>
    <w:multiLevelType w:val="hybridMultilevel"/>
    <w:tmpl w:val="49D6E9B0"/>
    <w:lvl w:ilvl="0" w:tplc="4730631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C9F6F3C"/>
    <w:multiLevelType w:val="hybridMultilevel"/>
    <w:tmpl w:val="9144886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9A51C3"/>
    <w:multiLevelType w:val="hybridMultilevel"/>
    <w:tmpl w:val="BB18122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F010A"/>
    <w:multiLevelType w:val="hybridMultilevel"/>
    <w:tmpl w:val="259892DE"/>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8675193">
    <w:abstractNumId w:val="3"/>
  </w:num>
  <w:num w:numId="2" w16cid:durableId="158930005">
    <w:abstractNumId w:val="1"/>
  </w:num>
  <w:num w:numId="3" w16cid:durableId="1124229407">
    <w:abstractNumId w:val="2"/>
  </w:num>
  <w:num w:numId="4" w16cid:durableId="892234616">
    <w:abstractNumId w:val="0"/>
  </w:num>
  <w:num w:numId="5" w16cid:durableId="1881896321">
    <w:abstractNumId w:val="8"/>
  </w:num>
  <w:num w:numId="6" w16cid:durableId="645747562">
    <w:abstractNumId w:val="15"/>
  </w:num>
  <w:num w:numId="7" w16cid:durableId="1145854534">
    <w:abstractNumId w:val="13"/>
  </w:num>
  <w:num w:numId="8" w16cid:durableId="1298874449">
    <w:abstractNumId w:val="14"/>
  </w:num>
  <w:num w:numId="9" w16cid:durableId="557857125">
    <w:abstractNumId w:val="16"/>
  </w:num>
  <w:num w:numId="10" w16cid:durableId="1452239157">
    <w:abstractNumId w:val="5"/>
  </w:num>
  <w:num w:numId="11" w16cid:durableId="839319651">
    <w:abstractNumId w:val="4"/>
  </w:num>
  <w:num w:numId="12" w16cid:durableId="916205784">
    <w:abstractNumId w:val="3"/>
  </w:num>
  <w:num w:numId="13" w16cid:durableId="1288271257">
    <w:abstractNumId w:val="2"/>
    <w:lvlOverride w:ilvl="0">
      <w:startOverride w:val="1"/>
    </w:lvlOverride>
  </w:num>
  <w:num w:numId="14" w16cid:durableId="1058210951">
    <w:abstractNumId w:val="2"/>
    <w:lvlOverride w:ilvl="0">
      <w:startOverride w:val="1"/>
    </w:lvlOverride>
  </w:num>
  <w:num w:numId="15" w16cid:durableId="455879085">
    <w:abstractNumId w:val="2"/>
    <w:lvlOverride w:ilvl="0">
      <w:startOverride w:val="1"/>
    </w:lvlOverride>
  </w:num>
  <w:num w:numId="16" w16cid:durableId="1297763289">
    <w:abstractNumId w:val="9"/>
  </w:num>
  <w:num w:numId="17" w16cid:durableId="1221359909">
    <w:abstractNumId w:val="2"/>
    <w:lvlOverride w:ilvl="0">
      <w:startOverride w:val="1"/>
    </w:lvlOverride>
  </w:num>
  <w:num w:numId="18" w16cid:durableId="1965693420">
    <w:abstractNumId w:val="10"/>
  </w:num>
  <w:num w:numId="19" w16cid:durableId="58943214">
    <w:abstractNumId w:val="15"/>
    <w:lvlOverride w:ilvl="0">
      <w:startOverride w:val="1"/>
    </w:lvlOverride>
  </w:num>
  <w:num w:numId="20" w16cid:durableId="1895971133">
    <w:abstractNumId w:val="11"/>
  </w:num>
  <w:num w:numId="21" w16cid:durableId="646595810">
    <w:abstractNumId w:val="6"/>
  </w:num>
  <w:num w:numId="22" w16cid:durableId="1532500380">
    <w:abstractNumId w:val="12"/>
  </w:num>
  <w:num w:numId="23" w16cid:durableId="1249391328">
    <w:abstractNumId w:val="2"/>
    <w:lvlOverride w:ilvl="0">
      <w:startOverride w:val="1"/>
    </w:lvlOverride>
  </w:num>
  <w:num w:numId="24" w16cid:durableId="1720516844">
    <w:abstractNumId w:val="17"/>
  </w:num>
  <w:num w:numId="25" w16cid:durableId="21061477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0E"/>
    <w:rsid w:val="000032EE"/>
    <w:rsid w:val="00010667"/>
    <w:rsid w:val="0001089A"/>
    <w:rsid w:val="000129D5"/>
    <w:rsid w:val="00015AE7"/>
    <w:rsid w:val="0001680B"/>
    <w:rsid w:val="00016E21"/>
    <w:rsid w:val="0001719C"/>
    <w:rsid w:val="0002224E"/>
    <w:rsid w:val="00023A36"/>
    <w:rsid w:val="000245E5"/>
    <w:rsid w:val="000257A5"/>
    <w:rsid w:val="00026F91"/>
    <w:rsid w:val="00032621"/>
    <w:rsid w:val="0004764C"/>
    <w:rsid w:val="0005011A"/>
    <w:rsid w:val="0005045A"/>
    <w:rsid w:val="00051C1E"/>
    <w:rsid w:val="000539F9"/>
    <w:rsid w:val="00054C27"/>
    <w:rsid w:val="00055EC3"/>
    <w:rsid w:val="000563CE"/>
    <w:rsid w:val="000659B6"/>
    <w:rsid w:val="00065C3A"/>
    <w:rsid w:val="0006686F"/>
    <w:rsid w:val="0006722A"/>
    <w:rsid w:val="000732CF"/>
    <w:rsid w:val="00075B96"/>
    <w:rsid w:val="00076CF9"/>
    <w:rsid w:val="0008196A"/>
    <w:rsid w:val="000915ED"/>
    <w:rsid w:val="0009209D"/>
    <w:rsid w:val="0009463C"/>
    <w:rsid w:val="000969BD"/>
    <w:rsid w:val="000969BF"/>
    <w:rsid w:val="000A0C22"/>
    <w:rsid w:val="000A1400"/>
    <w:rsid w:val="000A3C43"/>
    <w:rsid w:val="000A4A51"/>
    <w:rsid w:val="000A5D2B"/>
    <w:rsid w:val="000B4664"/>
    <w:rsid w:val="000B4F5A"/>
    <w:rsid w:val="000B5DE3"/>
    <w:rsid w:val="000B780C"/>
    <w:rsid w:val="000C0A57"/>
    <w:rsid w:val="000C230C"/>
    <w:rsid w:val="000C2C9E"/>
    <w:rsid w:val="000C6AB4"/>
    <w:rsid w:val="000D61C3"/>
    <w:rsid w:val="000D71D9"/>
    <w:rsid w:val="000D76E0"/>
    <w:rsid w:val="000D7E8B"/>
    <w:rsid w:val="000E363B"/>
    <w:rsid w:val="000E4449"/>
    <w:rsid w:val="000E6097"/>
    <w:rsid w:val="00103829"/>
    <w:rsid w:val="00111FCE"/>
    <w:rsid w:val="001229A5"/>
    <w:rsid w:val="0012489B"/>
    <w:rsid w:val="00130017"/>
    <w:rsid w:val="00130F91"/>
    <w:rsid w:val="001349ED"/>
    <w:rsid w:val="00137424"/>
    <w:rsid w:val="00137857"/>
    <w:rsid w:val="00140318"/>
    <w:rsid w:val="00141AD9"/>
    <w:rsid w:val="00146CE6"/>
    <w:rsid w:val="00150922"/>
    <w:rsid w:val="001520B3"/>
    <w:rsid w:val="00152903"/>
    <w:rsid w:val="001531D0"/>
    <w:rsid w:val="00153FD5"/>
    <w:rsid w:val="0015614F"/>
    <w:rsid w:val="001577C2"/>
    <w:rsid w:val="0016173E"/>
    <w:rsid w:val="001633C4"/>
    <w:rsid w:val="001704D5"/>
    <w:rsid w:val="00171591"/>
    <w:rsid w:val="00173981"/>
    <w:rsid w:val="0017719D"/>
    <w:rsid w:val="00183FD7"/>
    <w:rsid w:val="00185CAB"/>
    <w:rsid w:val="001875B7"/>
    <w:rsid w:val="00187CB3"/>
    <w:rsid w:val="0019050A"/>
    <w:rsid w:val="0019090B"/>
    <w:rsid w:val="001910D4"/>
    <w:rsid w:val="0019126C"/>
    <w:rsid w:val="00193109"/>
    <w:rsid w:val="001976E3"/>
    <w:rsid w:val="00197B65"/>
    <w:rsid w:val="001A206A"/>
    <w:rsid w:val="001A44EC"/>
    <w:rsid w:val="001A4B22"/>
    <w:rsid w:val="001B5810"/>
    <w:rsid w:val="001B58AA"/>
    <w:rsid w:val="001B7E48"/>
    <w:rsid w:val="001C06FA"/>
    <w:rsid w:val="001C17CE"/>
    <w:rsid w:val="001C36CA"/>
    <w:rsid w:val="001C44D1"/>
    <w:rsid w:val="001C4803"/>
    <w:rsid w:val="001C6AEE"/>
    <w:rsid w:val="001C7630"/>
    <w:rsid w:val="001D6D15"/>
    <w:rsid w:val="001D7D39"/>
    <w:rsid w:val="001F50F7"/>
    <w:rsid w:val="001F7558"/>
    <w:rsid w:val="00201EE2"/>
    <w:rsid w:val="00203DEE"/>
    <w:rsid w:val="00205B57"/>
    <w:rsid w:val="002120F7"/>
    <w:rsid w:val="0021426C"/>
    <w:rsid w:val="00214AB0"/>
    <w:rsid w:val="002157E0"/>
    <w:rsid w:val="00216A57"/>
    <w:rsid w:val="00217448"/>
    <w:rsid w:val="00221637"/>
    <w:rsid w:val="002220C4"/>
    <w:rsid w:val="0022334F"/>
    <w:rsid w:val="00226819"/>
    <w:rsid w:val="00233101"/>
    <w:rsid w:val="00233817"/>
    <w:rsid w:val="002367FF"/>
    <w:rsid w:val="00240CE9"/>
    <w:rsid w:val="002434BA"/>
    <w:rsid w:val="00244055"/>
    <w:rsid w:val="00246089"/>
    <w:rsid w:val="00246093"/>
    <w:rsid w:val="00246702"/>
    <w:rsid w:val="00247C59"/>
    <w:rsid w:val="00247F2E"/>
    <w:rsid w:val="0025045F"/>
    <w:rsid w:val="00250ADC"/>
    <w:rsid w:val="00250B07"/>
    <w:rsid w:val="00257553"/>
    <w:rsid w:val="0026028F"/>
    <w:rsid w:val="00260FB2"/>
    <w:rsid w:val="00262128"/>
    <w:rsid w:val="0027165D"/>
    <w:rsid w:val="00273CEB"/>
    <w:rsid w:val="002753C0"/>
    <w:rsid w:val="00281858"/>
    <w:rsid w:val="00281C89"/>
    <w:rsid w:val="0028282F"/>
    <w:rsid w:val="0029593B"/>
    <w:rsid w:val="00297FC5"/>
    <w:rsid w:val="002A0417"/>
    <w:rsid w:val="002A16D8"/>
    <w:rsid w:val="002A1BC8"/>
    <w:rsid w:val="002A3EF2"/>
    <w:rsid w:val="002B0DED"/>
    <w:rsid w:val="002B19A2"/>
    <w:rsid w:val="002B381A"/>
    <w:rsid w:val="002B425D"/>
    <w:rsid w:val="002B4FCC"/>
    <w:rsid w:val="002B5B47"/>
    <w:rsid w:val="002B7408"/>
    <w:rsid w:val="002B7CFD"/>
    <w:rsid w:val="002C0530"/>
    <w:rsid w:val="002C210F"/>
    <w:rsid w:val="002C301E"/>
    <w:rsid w:val="002C5339"/>
    <w:rsid w:val="002D3600"/>
    <w:rsid w:val="002D45DA"/>
    <w:rsid w:val="002D778E"/>
    <w:rsid w:val="002E2C0A"/>
    <w:rsid w:val="002E4DDC"/>
    <w:rsid w:val="002F24B3"/>
    <w:rsid w:val="002F7AB8"/>
    <w:rsid w:val="00302480"/>
    <w:rsid w:val="00302758"/>
    <w:rsid w:val="003165E6"/>
    <w:rsid w:val="003215B5"/>
    <w:rsid w:val="003221CF"/>
    <w:rsid w:val="003233ED"/>
    <w:rsid w:val="00324D9F"/>
    <w:rsid w:val="003253EE"/>
    <w:rsid w:val="00327948"/>
    <w:rsid w:val="0033000F"/>
    <w:rsid w:val="00332011"/>
    <w:rsid w:val="00332518"/>
    <w:rsid w:val="00332925"/>
    <w:rsid w:val="00332E3F"/>
    <w:rsid w:val="003332ED"/>
    <w:rsid w:val="003368DC"/>
    <w:rsid w:val="0034490B"/>
    <w:rsid w:val="00345927"/>
    <w:rsid w:val="00350584"/>
    <w:rsid w:val="00351857"/>
    <w:rsid w:val="003545E8"/>
    <w:rsid w:val="003610E1"/>
    <w:rsid w:val="003671BE"/>
    <w:rsid w:val="00372485"/>
    <w:rsid w:val="00373200"/>
    <w:rsid w:val="00375EF5"/>
    <w:rsid w:val="003767A5"/>
    <w:rsid w:val="00381D15"/>
    <w:rsid w:val="00385254"/>
    <w:rsid w:val="00390D91"/>
    <w:rsid w:val="003933E8"/>
    <w:rsid w:val="00394031"/>
    <w:rsid w:val="00395DAC"/>
    <w:rsid w:val="00396DC2"/>
    <w:rsid w:val="003A04DB"/>
    <w:rsid w:val="003A5F5B"/>
    <w:rsid w:val="003A789A"/>
    <w:rsid w:val="003B12EC"/>
    <w:rsid w:val="003B17D2"/>
    <w:rsid w:val="003C03B8"/>
    <w:rsid w:val="003C77E0"/>
    <w:rsid w:val="003D0934"/>
    <w:rsid w:val="003D17D7"/>
    <w:rsid w:val="003D2678"/>
    <w:rsid w:val="003D2D87"/>
    <w:rsid w:val="003D71A3"/>
    <w:rsid w:val="003E2B8A"/>
    <w:rsid w:val="003F10EE"/>
    <w:rsid w:val="003F16F6"/>
    <w:rsid w:val="003F4DC7"/>
    <w:rsid w:val="003F5235"/>
    <w:rsid w:val="00400891"/>
    <w:rsid w:val="004027E4"/>
    <w:rsid w:val="00404086"/>
    <w:rsid w:val="0041071D"/>
    <w:rsid w:val="00412CF3"/>
    <w:rsid w:val="00414AFC"/>
    <w:rsid w:val="004151A7"/>
    <w:rsid w:val="00415310"/>
    <w:rsid w:val="00421709"/>
    <w:rsid w:val="00423763"/>
    <w:rsid w:val="004271E8"/>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81D61"/>
    <w:rsid w:val="00495A96"/>
    <w:rsid w:val="00495BB3"/>
    <w:rsid w:val="0049720E"/>
    <w:rsid w:val="004A097C"/>
    <w:rsid w:val="004A56BB"/>
    <w:rsid w:val="004A70D6"/>
    <w:rsid w:val="004B1751"/>
    <w:rsid w:val="004C0253"/>
    <w:rsid w:val="004C7BAD"/>
    <w:rsid w:val="004D56FF"/>
    <w:rsid w:val="004E2CE4"/>
    <w:rsid w:val="004E39D3"/>
    <w:rsid w:val="004E508A"/>
    <w:rsid w:val="004E616D"/>
    <w:rsid w:val="004F0452"/>
    <w:rsid w:val="004F1BDE"/>
    <w:rsid w:val="004F2CEE"/>
    <w:rsid w:val="004F556E"/>
    <w:rsid w:val="004F591C"/>
    <w:rsid w:val="004F7F44"/>
    <w:rsid w:val="005037B4"/>
    <w:rsid w:val="005079BF"/>
    <w:rsid w:val="0051269A"/>
    <w:rsid w:val="005219E7"/>
    <w:rsid w:val="0052547D"/>
    <w:rsid w:val="00531B9A"/>
    <w:rsid w:val="00531D15"/>
    <w:rsid w:val="005340FE"/>
    <w:rsid w:val="00534917"/>
    <w:rsid w:val="00534D8A"/>
    <w:rsid w:val="005361DE"/>
    <w:rsid w:val="00537604"/>
    <w:rsid w:val="00541546"/>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B4AED"/>
    <w:rsid w:val="005C34EF"/>
    <w:rsid w:val="005D2502"/>
    <w:rsid w:val="005D40BB"/>
    <w:rsid w:val="005D4154"/>
    <w:rsid w:val="005D47F3"/>
    <w:rsid w:val="005D49BF"/>
    <w:rsid w:val="005D4AA5"/>
    <w:rsid w:val="005D6F4E"/>
    <w:rsid w:val="005D7C73"/>
    <w:rsid w:val="005E250B"/>
    <w:rsid w:val="005E3ACD"/>
    <w:rsid w:val="005E7226"/>
    <w:rsid w:val="005E741C"/>
    <w:rsid w:val="005E7A57"/>
    <w:rsid w:val="005F24B0"/>
    <w:rsid w:val="005F494A"/>
    <w:rsid w:val="00602368"/>
    <w:rsid w:val="006039F1"/>
    <w:rsid w:val="00604315"/>
    <w:rsid w:val="00604E26"/>
    <w:rsid w:val="0060523F"/>
    <w:rsid w:val="006052CF"/>
    <w:rsid w:val="00607B8D"/>
    <w:rsid w:val="00611F5C"/>
    <w:rsid w:val="00616E09"/>
    <w:rsid w:val="00622A3B"/>
    <w:rsid w:val="00622EEA"/>
    <w:rsid w:val="0062396C"/>
    <w:rsid w:val="00623FF9"/>
    <w:rsid w:val="0062437D"/>
    <w:rsid w:val="00627D4E"/>
    <w:rsid w:val="00630272"/>
    <w:rsid w:val="00632B89"/>
    <w:rsid w:val="0063346D"/>
    <w:rsid w:val="00634478"/>
    <w:rsid w:val="00644373"/>
    <w:rsid w:val="00645915"/>
    <w:rsid w:val="00646CC4"/>
    <w:rsid w:val="006519C3"/>
    <w:rsid w:val="00652B30"/>
    <w:rsid w:val="00656345"/>
    <w:rsid w:val="00656DC6"/>
    <w:rsid w:val="00660EC6"/>
    <w:rsid w:val="00662450"/>
    <w:rsid w:val="00664110"/>
    <w:rsid w:val="00664D17"/>
    <w:rsid w:val="00666520"/>
    <w:rsid w:val="00666DA5"/>
    <w:rsid w:val="00667C5B"/>
    <w:rsid w:val="00681EF6"/>
    <w:rsid w:val="006907D4"/>
    <w:rsid w:val="00691EB8"/>
    <w:rsid w:val="00692CDE"/>
    <w:rsid w:val="00693073"/>
    <w:rsid w:val="006930A9"/>
    <w:rsid w:val="00694304"/>
    <w:rsid w:val="006977FF"/>
    <w:rsid w:val="006A01FA"/>
    <w:rsid w:val="006A0E9E"/>
    <w:rsid w:val="006A25C7"/>
    <w:rsid w:val="006A3ECF"/>
    <w:rsid w:val="006A4AAD"/>
    <w:rsid w:val="006A4CCA"/>
    <w:rsid w:val="006A6DA2"/>
    <w:rsid w:val="006A7AB2"/>
    <w:rsid w:val="006B0118"/>
    <w:rsid w:val="006B0765"/>
    <w:rsid w:val="006B52DE"/>
    <w:rsid w:val="006B5717"/>
    <w:rsid w:val="006B582F"/>
    <w:rsid w:val="006B5EB2"/>
    <w:rsid w:val="006C0CEB"/>
    <w:rsid w:val="006C1631"/>
    <w:rsid w:val="006C3B1E"/>
    <w:rsid w:val="006C47FD"/>
    <w:rsid w:val="006C5C19"/>
    <w:rsid w:val="006C5FD4"/>
    <w:rsid w:val="006C70A0"/>
    <w:rsid w:val="006D1DE9"/>
    <w:rsid w:val="006D27CB"/>
    <w:rsid w:val="006D2F08"/>
    <w:rsid w:val="006D3309"/>
    <w:rsid w:val="006D576C"/>
    <w:rsid w:val="006D5865"/>
    <w:rsid w:val="006D5D64"/>
    <w:rsid w:val="006E3644"/>
    <w:rsid w:val="006E4B1B"/>
    <w:rsid w:val="006E5445"/>
    <w:rsid w:val="006E7D93"/>
    <w:rsid w:val="006F45C1"/>
    <w:rsid w:val="006F47AC"/>
    <w:rsid w:val="0070133D"/>
    <w:rsid w:val="007029A3"/>
    <w:rsid w:val="00706E4E"/>
    <w:rsid w:val="0070791C"/>
    <w:rsid w:val="0071383C"/>
    <w:rsid w:val="007141A7"/>
    <w:rsid w:val="0071459D"/>
    <w:rsid w:val="00715722"/>
    <w:rsid w:val="00715BAF"/>
    <w:rsid w:val="00721032"/>
    <w:rsid w:val="00721B55"/>
    <w:rsid w:val="00726CE4"/>
    <w:rsid w:val="007327F0"/>
    <w:rsid w:val="00733D63"/>
    <w:rsid w:val="00734143"/>
    <w:rsid w:val="00737E47"/>
    <w:rsid w:val="00740EAC"/>
    <w:rsid w:val="007438A4"/>
    <w:rsid w:val="00744551"/>
    <w:rsid w:val="00744956"/>
    <w:rsid w:val="00745A5C"/>
    <w:rsid w:val="0074605F"/>
    <w:rsid w:val="00747E94"/>
    <w:rsid w:val="00750805"/>
    <w:rsid w:val="00753443"/>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D717B"/>
    <w:rsid w:val="007E445E"/>
    <w:rsid w:val="007E5598"/>
    <w:rsid w:val="007E7683"/>
    <w:rsid w:val="007F3651"/>
    <w:rsid w:val="007F49FA"/>
    <w:rsid w:val="007F54C4"/>
    <w:rsid w:val="007F6E9A"/>
    <w:rsid w:val="00800CCD"/>
    <w:rsid w:val="00801FEB"/>
    <w:rsid w:val="0080316E"/>
    <w:rsid w:val="008044D4"/>
    <w:rsid w:val="00810AB4"/>
    <w:rsid w:val="00817B56"/>
    <w:rsid w:val="00821A88"/>
    <w:rsid w:val="0082322E"/>
    <w:rsid w:val="0082495D"/>
    <w:rsid w:val="00831AC3"/>
    <w:rsid w:val="008337D7"/>
    <w:rsid w:val="00835098"/>
    <w:rsid w:val="00836FCE"/>
    <w:rsid w:val="008408FF"/>
    <w:rsid w:val="00851F3F"/>
    <w:rsid w:val="00856EDC"/>
    <w:rsid w:val="0086058E"/>
    <w:rsid w:val="008623B5"/>
    <w:rsid w:val="00870ABA"/>
    <w:rsid w:val="008710E1"/>
    <w:rsid w:val="008716E5"/>
    <w:rsid w:val="00881CA9"/>
    <w:rsid w:val="00883628"/>
    <w:rsid w:val="00885544"/>
    <w:rsid w:val="0088634E"/>
    <w:rsid w:val="00893AB8"/>
    <w:rsid w:val="0089616F"/>
    <w:rsid w:val="00896D08"/>
    <w:rsid w:val="008A04C8"/>
    <w:rsid w:val="008A2B87"/>
    <w:rsid w:val="008A4066"/>
    <w:rsid w:val="008A6913"/>
    <w:rsid w:val="008B5F96"/>
    <w:rsid w:val="008B70F3"/>
    <w:rsid w:val="008B71C4"/>
    <w:rsid w:val="008B76AD"/>
    <w:rsid w:val="008B76DF"/>
    <w:rsid w:val="008C10F4"/>
    <w:rsid w:val="008C1E09"/>
    <w:rsid w:val="008C3282"/>
    <w:rsid w:val="008C47EA"/>
    <w:rsid w:val="008C65F7"/>
    <w:rsid w:val="008C7CBB"/>
    <w:rsid w:val="008D0BC0"/>
    <w:rsid w:val="008D5D86"/>
    <w:rsid w:val="008E0428"/>
    <w:rsid w:val="008E4767"/>
    <w:rsid w:val="008E4D39"/>
    <w:rsid w:val="008E586C"/>
    <w:rsid w:val="008E7A8C"/>
    <w:rsid w:val="0090203B"/>
    <w:rsid w:val="009026F0"/>
    <w:rsid w:val="00903285"/>
    <w:rsid w:val="00906F40"/>
    <w:rsid w:val="0090731E"/>
    <w:rsid w:val="00915B1C"/>
    <w:rsid w:val="009174F3"/>
    <w:rsid w:val="0091797D"/>
    <w:rsid w:val="00923CBA"/>
    <w:rsid w:val="00926703"/>
    <w:rsid w:val="00927691"/>
    <w:rsid w:val="00927A5F"/>
    <w:rsid w:val="00930510"/>
    <w:rsid w:val="00930836"/>
    <w:rsid w:val="00935B63"/>
    <w:rsid w:val="00936BBE"/>
    <w:rsid w:val="00936E95"/>
    <w:rsid w:val="0094078F"/>
    <w:rsid w:val="00940DFF"/>
    <w:rsid w:val="00940FA3"/>
    <w:rsid w:val="00941FB0"/>
    <w:rsid w:val="009426D4"/>
    <w:rsid w:val="00947F25"/>
    <w:rsid w:val="00950159"/>
    <w:rsid w:val="00950FB4"/>
    <w:rsid w:val="0095490B"/>
    <w:rsid w:val="00957C7F"/>
    <w:rsid w:val="00960A33"/>
    <w:rsid w:val="00965D01"/>
    <w:rsid w:val="00971914"/>
    <w:rsid w:val="00974363"/>
    <w:rsid w:val="00977706"/>
    <w:rsid w:val="00981898"/>
    <w:rsid w:val="00985CB3"/>
    <w:rsid w:val="009942F4"/>
    <w:rsid w:val="0099577C"/>
    <w:rsid w:val="009A021C"/>
    <w:rsid w:val="009A25CC"/>
    <w:rsid w:val="009A5540"/>
    <w:rsid w:val="009B24A5"/>
    <w:rsid w:val="009B2601"/>
    <w:rsid w:val="009B4E9E"/>
    <w:rsid w:val="009C1690"/>
    <w:rsid w:val="009C6881"/>
    <w:rsid w:val="009C7759"/>
    <w:rsid w:val="009D043D"/>
    <w:rsid w:val="009D07C8"/>
    <w:rsid w:val="009D4C85"/>
    <w:rsid w:val="009D6C71"/>
    <w:rsid w:val="009E0631"/>
    <w:rsid w:val="009E16D0"/>
    <w:rsid w:val="009E2051"/>
    <w:rsid w:val="009E38FD"/>
    <w:rsid w:val="009F13D6"/>
    <w:rsid w:val="009F4A03"/>
    <w:rsid w:val="009F4C6B"/>
    <w:rsid w:val="009F78A8"/>
    <w:rsid w:val="00A017E0"/>
    <w:rsid w:val="00A02AD6"/>
    <w:rsid w:val="00A06446"/>
    <w:rsid w:val="00A07096"/>
    <w:rsid w:val="00A07318"/>
    <w:rsid w:val="00A11370"/>
    <w:rsid w:val="00A209A9"/>
    <w:rsid w:val="00A224CE"/>
    <w:rsid w:val="00A22522"/>
    <w:rsid w:val="00A24AFD"/>
    <w:rsid w:val="00A24F5C"/>
    <w:rsid w:val="00A27001"/>
    <w:rsid w:val="00A32F96"/>
    <w:rsid w:val="00A349B4"/>
    <w:rsid w:val="00A40871"/>
    <w:rsid w:val="00A412AB"/>
    <w:rsid w:val="00A4193E"/>
    <w:rsid w:val="00A440E0"/>
    <w:rsid w:val="00A442EF"/>
    <w:rsid w:val="00A51D1A"/>
    <w:rsid w:val="00A5418D"/>
    <w:rsid w:val="00A5474E"/>
    <w:rsid w:val="00A56843"/>
    <w:rsid w:val="00A64234"/>
    <w:rsid w:val="00A70ADF"/>
    <w:rsid w:val="00A71466"/>
    <w:rsid w:val="00A74B5E"/>
    <w:rsid w:val="00A75CB9"/>
    <w:rsid w:val="00A76094"/>
    <w:rsid w:val="00A81BED"/>
    <w:rsid w:val="00A81EC4"/>
    <w:rsid w:val="00A824E8"/>
    <w:rsid w:val="00A82661"/>
    <w:rsid w:val="00A967FD"/>
    <w:rsid w:val="00A9754A"/>
    <w:rsid w:val="00AA2DE5"/>
    <w:rsid w:val="00AB156C"/>
    <w:rsid w:val="00AB3C53"/>
    <w:rsid w:val="00AB6814"/>
    <w:rsid w:val="00AC04BA"/>
    <w:rsid w:val="00AC0E39"/>
    <w:rsid w:val="00AD3082"/>
    <w:rsid w:val="00AD3095"/>
    <w:rsid w:val="00AD32B4"/>
    <w:rsid w:val="00AD4AD0"/>
    <w:rsid w:val="00AD5436"/>
    <w:rsid w:val="00AD60CD"/>
    <w:rsid w:val="00AD6C8C"/>
    <w:rsid w:val="00AD7782"/>
    <w:rsid w:val="00AE091D"/>
    <w:rsid w:val="00AE3B60"/>
    <w:rsid w:val="00AE53A1"/>
    <w:rsid w:val="00AF2484"/>
    <w:rsid w:val="00AF63E7"/>
    <w:rsid w:val="00AF6E17"/>
    <w:rsid w:val="00B00307"/>
    <w:rsid w:val="00B0165D"/>
    <w:rsid w:val="00B01B60"/>
    <w:rsid w:val="00B031F3"/>
    <w:rsid w:val="00B052A4"/>
    <w:rsid w:val="00B125DE"/>
    <w:rsid w:val="00B13FDD"/>
    <w:rsid w:val="00B1465F"/>
    <w:rsid w:val="00B229FA"/>
    <w:rsid w:val="00B22EB2"/>
    <w:rsid w:val="00B27442"/>
    <w:rsid w:val="00B278D7"/>
    <w:rsid w:val="00B31167"/>
    <w:rsid w:val="00B329D8"/>
    <w:rsid w:val="00B32BB9"/>
    <w:rsid w:val="00B33AE1"/>
    <w:rsid w:val="00B36A19"/>
    <w:rsid w:val="00B36B13"/>
    <w:rsid w:val="00B37C38"/>
    <w:rsid w:val="00B4288C"/>
    <w:rsid w:val="00B43262"/>
    <w:rsid w:val="00B44100"/>
    <w:rsid w:val="00B44222"/>
    <w:rsid w:val="00B46CBA"/>
    <w:rsid w:val="00B46F94"/>
    <w:rsid w:val="00B6003C"/>
    <w:rsid w:val="00B61F03"/>
    <w:rsid w:val="00B626E4"/>
    <w:rsid w:val="00B72F4A"/>
    <w:rsid w:val="00B737E8"/>
    <w:rsid w:val="00B83C27"/>
    <w:rsid w:val="00B84BC3"/>
    <w:rsid w:val="00B84BDD"/>
    <w:rsid w:val="00B92812"/>
    <w:rsid w:val="00B96D3B"/>
    <w:rsid w:val="00BB45A1"/>
    <w:rsid w:val="00BB4FD0"/>
    <w:rsid w:val="00BB550E"/>
    <w:rsid w:val="00BB6335"/>
    <w:rsid w:val="00BB7686"/>
    <w:rsid w:val="00BB7802"/>
    <w:rsid w:val="00BC23F9"/>
    <w:rsid w:val="00BC3421"/>
    <w:rsid w:val="00BC5475"/>
    <w:rsid w:val="00BC5AF1"/>
    <w:rsid w:val="00BC732C"/>
    <w:rsid w:val="00BD4421"/>
    <w:rsid w:val="00BD77BB"/>
    <w:rsid w:val="00BE2580"/>
    <w:rsid w:val="00BE266D"/>
    <w:rsid w:val="00BE3938"/>
    <w:rsid w:val="00BE4C11"/>
    <w:rsid w:val="00BE71C0"/>
    <w:rsid w:val="00BF4037"/>
    <w:rsid w:val="00BF5258"/>
    <w:rsid w:val="00BF610C"/>
    <w:rsid w:val="00C0060B"/>
    <w:rsid w:val="00C01A6C"/>
    <w:rsid w:val="00C0277D"/>
    <w:rsid w:val="00C02F26"/>
    <w:rsid w:val="00C04F41"/>
    <w:rsid w:val="00C053A1"/>
    <w:rsid w:val="00C078E0"/>
    <w:rsid w:val="00C107C7"/>
    <w:rsid w:val="00C16198"/>
    <w:rsid w:val="00C2083D"/>
    <w:rsid w:val="00C24A53"/>
    <w:rsid w:val="00C31B2A"/>
    <w:rsid w:val="00C32D95"/>
    <w:rsid w:val="00C331E0"/>
    <w:rsid w:val="00C34A05"/>
    <w:rsid w:val="00C35CCE"/>
    <w:rsid w:val="00C4032F"/>
    <w:rsid w:val="00C41F21"/>
    <w:rsid w:val="00C421F9"/>
    <w:rsid w:val="00C44047"/>
    <w:rsid w:val="00C45155"/>
    <w:rsid w:val="00C505A0"/>
    <w:rsid w:val="00C5498F"/>
    <w:rsid w:val="00C55235"/>
    <w:rsid w:val="00C64CD0"/>
    <w:rsid w:val="00C65F61"/>
    <w:rsid w:val="00C6684F"/>
    <w:rsid w:val="00C70E70"/>
    <w:rsid w:val="00C75F8D"/>
    <w:rsid w:val="00C77380"/>
    <w:rsid w:val="00C81ACC"/>
    <w:rsid w:val="00C841ED"/>
    <w:rsid w:val="00C87E8A"/>
    <w:rsid w:val="00C913D6"/>
    <w:rsid w:val="00C97736"/>
    <w:rsid w:val="00CA345A"/>
    <w:rsid w:val="00CA5A21"/>
    <w:rsid w:val="00CB1E82"/>
    <w:rsid w:val="00CB4254"/>
    <w:rsid w:val="00CB4BA8"/>
    <w:rsid w:val="00CB4C16"/>
    <w:rsid w:val="00CB52D7"/>
    <w:rsid w:val="00CC6732"/>
    <w:rsid w:val="00CD25B4"/>
    <w:rsid w:val="00CD6ACF"/>
    <w:rsid w:val="00CE2C4A"/>
    <w:rsid w:val="00CE3C96"/>
    <w:rsid w:val="00CE51A8"/>
    <w:rsid w:val="00CF0BFE"/>
    <w:rsid w:val="00CF369B"/>
    <w:rsid w:val="00CF7199"/>
    <w:rsid w:val="00CF7D81"/>
    <w:rsid w:val="00D00E28"/>
    <w:rsid w:val="00D021E9"/>
    <w:rsid w:val="00D0269E"/>
    <w:rsid w:val="00D0343B"/>
    <w:rsid w:val="00D04643"/>
    <w:rsid w:val="00D05D6C"/>
    <w:rsid w:val="00D07669"/>
    <w:rsid w:val="00D118B1"/>
    <w:rsid w:val="00D15810"/>
    <w:rsid w:val="00D16D4E"/>
    <w:rsid w:val="00D16FE3"/>
    <w:rsid w:val="00D2377D"/>
    <w:rsid w:val="00D27F41"/>
    <w:rsid w:val="00D33EAC"/>
    <w:rsid w:val="00D36441"/>
    <w:rsid w:val="00D4064E"/>
    <w:rsid w:val="00D42534"/>
    <w:rsid w:val="00D43B47"/>
    <w:rsid w:val="00D44E9B"/>
    <w:rsid w:val="00D47AEB"/>
    <w:rsid w:val="00D50DB9"/>
    <w:rsid w:val="00D51302"/>
    <w:rsid w:val="00D52C43"/>
    <w:rsid w:val="00D554DD"/>
    <w:rsid w:val="00D61243"/>
    <w:rsid w:val="00D62A43"/>
    <w:rsid w:val="00D6507F"/>
    <w:rsid w:val="00D718C5"/>
    <w:rsid w:val="00D730BC"/>
    <w:rsid w:val="00D73912"/>
    <w:rsid w:val="00D76901"/>
    <w:rsid w:val="00D85226"/>
    <w:rsid w:val="00D874C0"/>
    <w:rsid w:val="00D87B94"/>
    <w:rsid w:val="00D92D49"/>
    <w:rsid w:val="00D92EC1"/>
    <w:rsid w:val="00D96DEA"/>
    <w:rsid w:val="00DA4E41"/>
    <w:rsid w:val="00DB117A"/>
    <w:rsid w:val="00DB4EF9"/>
    <w:rsid w:val="00DB5173"/>
    <w:rsid w:val="00DB7873"/>
    <w:rsid w:val="00DC187B"/>
    <w:rsid w:val="00DC7202"/>
    <w:rsid w:val="00DD1A43"/>
    <w:rsid w:val="00DD73C2"/>
    <w:rsid w:val="00DE26EE"/>
    <w:rsid w:val="00DE319B"/>
    <w:rsid w:val="00DE5B98"/>
    <w:rsid w:val="00DF34FE"/>
    <w:rsid w:val="00DF56AA"/>
    <w:rsid w:val="00DF56AF"/>
    <w:rsid w:val="00DF78E7"/>
    <w:rsid w:val="00E0400E"/>
    <w:rsid w:val="00E110E0"/>
    <w:rsid w:val="00E15371"/>
    <w:rsid w:val="00E21056"/>
    <w:rsid w:val="00E24104"/>
    <w:rsid w:val="00E274FA"/>
    <w:rsid w:val="00E276EE"/>
    <w:rsid w:val="00E302D0"/>
    <w:rsid w:val="00E31E50"/>
    <w:rsid w:val="00E35707"/>
    <w:rsid w:val="00E36AA1"/>
    <w:rsid w:val="00E41ECB"/>
    <w:rsid w:val="00E42676"/>
    <w:rsid w:val="00E44C5E"/>
    <w:rsid w:val="00E46439"/>
    <w:rsid w:val="00E54FDB"/>
    <w:rsid w:val="00E5617D"/>
    <w:rsid w:val="00E563D7"/>
    <w:rsid w:val="00E65373"/>
    <w:rsid w:val="00E663F4"/>
    <w:rsid w:val="00E666F2"/>
    <w:rsid w:val="00E66DD4"/>
    <w:rsid w:val="00E71872"/>
    <w:rsid w:val="00E748CC"/>
    <w:rsid w:val="00E74F15"/>
    <w:rsid w:val="00E75415"/>
    <w:rsid w:val="00E760B8"/>
    <w:rsid w:val="00E775B1"/>
    <w:rsid w:val="00E81059"/>
    <w:rsid w:val="00E810A7"/>
    <w:rsid w:val="00E8152A"/>
    <w:rsid w:val="00E850D0"/>
    <w:rsid w:val="00E93629"/>
    <w:rsid w:val="00E93B5C"/>
    <w:rsid w:val="00E94CEC"/>
    <w:rsid w:val="00E95AA8"/>
    <w:rsid w:val="00EA04EF"/>
    <w:rsid w:val="00EA0969"/>
    <w:rsid w:val="00EA6C79"/>
    <w:rsid w:val="00EA6F19"/>
    <w:rsid w:val="00EB7090"/>
    <w:rsid w:val="00EC1BBE"/>
    <w:rsid w:val="00EC2B68"/>
    <w:rsid w:val="00EC3AEF"/>
    <w:rsid w:val="00EC5CD7"/>
    <w:rsid w:val="00ED2DCB"/>
    <w:rsid w:val="00EE1EBB"/>
    <w:rsid w:val="00EE5FB3"/>
    <w:rsid w:val="00EE7F79"/>
    <w:rsid w:val="00EF28BB"/>
    <w:rsid w:val="00EF3F45"/>
    <w:rsid w:val="00EF40AE"/>
    <w:rsid w:val="00EF715A"/>
    <w:rsid w:val="00F06E14"/>
    <w:rsid w:val="00F16FF3"/>
    <w:rsid w:val="00F179D4"/>
    <w:rsid w:val="00F22A23"/>
    <w:rsid w:val="00F30BB3"/>
    <w:rsid w:val="00F33C56"/>
    <w:rsid w:val="00F347C7"/>
    <w:rsid w:val="00F34848"/>
    <w:rsid w:val="00F355A4"/>
    <w:rsid w:val="00F361D7"/>
    <w:rsid w:val="00F42D46"/>
    <w:rsid w:val="00F42D55"/>
    <w:rsid w:val="00F4496C"/>
    <w:rsid w:val="00F44F3A"/>
    <w:rsid w:val="00F51F10"/>
    <w:rsid w:val="00F529A5"/>
    <w:rsid w:val="00F5310D"/>
    <w:rsid w:val="00F60F00"/>
    <w:rsid w:val="00F614C0"/>
    <w:rsid w:val="00F6183C"/>
    <w:rsid w:val="00F62A5B"/>
    <w:rsid w:val="00F63EDC"/>
    <w:rsid w:val="00F83848"/>
    <w:rsid w:val="00F975E9"/>
    <w:rsid w:val="00FA1B7D"/>
    <w:rsid w:val="00FA1EE9"/>
    <w:rsid w:val="00FA3EBF"/>
    <w:rsid w:val="00FA698C"/>
    <w:rsid w:val="00FC07B9"/>
    <w:rsid w:val="00FC4DDC"/>
    <w:rsid w:val="00FC4E21"/>
    <w:rsid w:val="00FC5F6D"/>
    <w:rsid w:val="00FD0107"/>
    <w:rsid w:val="00FD2C2F"/>
    <w:rsid w:val="00FD3B31"/>
    <w:rsid w:val="00FE1823"/>
    <w:rsid w:val="00FE487A"/>
    <w:rsid w:val="00FF0569"/>
    <w:rsid w:val="00FF206E"/>
    <w:rsid w:val="00FF3C69"/>
    <w:rsid w:val="00FF6E0A"/>
    <w:rsid w:val="00FF7B6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7C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4F0452"/>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qFormat/>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semiHidden/>
    <w:rsid w:val="0040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9932634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2-11/proposal-remake-instruments-700-mhz-1800-mhz-25-ghz-and-25-ghz-mid-band-gap-spectrum-licensed-bands-consultation-362022" TargetMode="Externa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2-11/proposal-remake-instruments-700-mhz-1800-mhz-25-ghz-and-25-ghz-mid-band-gap-spectrum-licensed-bands-consultation-362022"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ralis-frequency-coord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media/Spectrum%20Transformation%20and%20Government/Issue%20for%20comment/Word%20Document/IFC%2022%202015%20MBB%20Strategy%20consultation%20paper%20docx.docx"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803-960-mhz-overview"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ralis-frequency-coordin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803-960-mhz-overview" TargetMode="External"/><Relationship Id="rId30" Type="http://schemas.openxmlformats.org/officeDocument/2006/relationships/hyperlink" Target="https://www.acma.gov.au/spectrum-licence-technical-framework-review" TargetMode="Externa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3171</Words>
  <Characters>17886</Characters>
  <Application>Microsoft Office Word</Application>
  <DocSecurity>0</DocSecurity>
  <Lines>388</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2023-03-27T04:13:00Z</dcterms:created>
  <dcterms:modified xsi:type="dcterms:W3CDTF">2023-03-27T04:14:00Z</dcterms:modified>
  <cp:category/>
</cp:coreProperties>
</file>