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3880" w14:textId="0C87B42E" w:rsidR="00F06E14" w:rsidRPr="00E162C4" w:rsidRDefault="009F00A6" w:rsidP="00A51D1A">
      <w:pPr>
        <w:pStyle w:val="Reporttitle"/>
      </w:pPr>
      <w:r>
        <w:t>Review of banned equipment and exemptions framework</w:t>
      </w:r>
    </w:p>
    <w:p w14:paraId="1E264764" w14:textId="38EA568E" w:rsidR="00F06E14" w:rsidRPr="00E162C4" w:rsidRDefault="007A6B36" w:rsidP="00F06E14">
      <w:pPr>
        <w:pStyle w:val="Reportsubtitle"/>
      </w:pPr>
      <w:r>
        <w:t>R</w:t>
      </w:r>
      <w:r w:rsidR="009F00A6">
        <w:t>esponse to submission</w:t>
      </w:r>
      <w:r w:rsidR="00954C5B">
        <w:t>s</w:t>
      </w:r>
    </w:p>
    <w:p w14:paraId="3D8D8658" w14:textId="3C7E66A3" w:rsidR="00C97736" w:rsidRPr="00E162C4" w:rsidRDefault="00DC3DC0"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March</w:t>
      </w:r>
      <w:r w:rsidR="00BD4421" w:rsidRPr="00E162C4">
        <w:t xml:space="preserve"> 20</w:t>
      </w:r>
      <w:r w:rsidR="008E0428" w:rsidRPr="00E162C4">
        <w:t>2</w:t>
      </w:r>
      <w:r w:rsidR="009E4D0F">
        <w:t>3</w:t>
      </w:r>
    </w:p>
    <w:p w14:paraId="7967AE97" w14:textId="77777777" w:rsidR="0005011A" w:rsidRPr="00E162C4" w:rsidRDefault="0005011A" w:rsidP="00FC07B9">
      <w:pPr>
        <w:pStyle w:val="ACMACorporateAddressHeader"/>
      </w:pPr>
      <w:r w:rsidRPr="00E162C4">
        <w:lastRenderedPageBreak/>
        <w:t>Canberra</w:t>
      </w:r>
    </w:p>
    <w:p w14:paraId="19A1C1C8"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6D93D0EC" w14:textId="77777777" w:rsidR="0005011A" w:rsidRPr="00E162C4" w:rsidRDefault="0005011A" w:rsidP="00FC07B9">
      <w:pPr>
        <w:pStyle w:val="ACMACorporateAddresses"/>
      </w:pPr>
      <w:r w:rsidRPr="00E162C4">
        <w:t>PO Box 78</w:t>
      </w:r>
      <w:r w:rsidRPr="00E162C4">
        <w:br/>
        <w:t>Belconnen ACT 2616</w:t>
      </w:r>
    </w:p>
    <w:p w14:paraId="5AC2E192"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0154975A" w14:textId="77777777" w:rsidR="0005011A" w:rsidRPr="00E162C4" w:rsidRDefault="0005011A" w:rsidP="00FC07B9">
      <w:pPr>
        <w:pStyle w:val="ACMACorporateAddressHeader"/>
      </w:pPr>
      <w:r w:rsidRPr="00E162C4">
        <w:t>Melbourne</w:t>
      </w:r>
    </w:p>
    <w:p w14:paraId="253F0E18"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7F0C839C"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1E21FBA9"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18C0478E" w14:textId="77777777" w:rsidR="0005011A" w:rsidRPr="00E162C4" w:rsidRDefault="0005011A" w:rsidP="00FC07B9">
      <w:pPr>
        <w:pStyle w:val="ACMACorporateAddressHeader"/>
      </w:pPr>
      <w:r w:rsidRPr="00E162C4">
        <w:t>Sydney</w:t>
      </w:r>
    </w:p>
    <w:p w14:paraId="2385DF2A"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61CF1A29"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612B70CF"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5A938DD7" w14:textId="77777777" w:rsidR="00140318" w:rsidRPr="00E162C4" w:rsidRDefault="00140318" w:rsidP="00FC07B9">
      <w:pPr>
        <w:pStyle w:val="ACMACopyrightHeader"/>
      </w:pPr>
      <w:r w:rsidRPr="00E162C4">
        <w:t>Copyright notice</w:t>
      </w:r>
    </w:p>
    <w:p w14:paraId="69B5465F" w14:textId="77777777" w:rsidR="00140318" w:rsidRPr="00E162C4" w:rsidRDefault="00623FF9" w:rsidP="00623FF9">
      <w:pPr>
        <w:pStyle w:val="ACMACClogo"/>
      </w:pPr>
      <w:r w:rsidRPr="00E162C4">
        <w:rPr>
          <w:noProof/>
        </w:rPr>
        <w:drawing>
          <wp:inline distT="0" distB="0" distL="0" distR="0" wp14:anchorId="317D18A1" wp14:editId="272699E7">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A599F79" w14:textId="77777777" w:rsidR="00AA2DE5" w:rsidRPr="00E162C4" w:rsidRDefault="00DC3D5A" w:rsidP="00AA2DE5">
      <w:pPr>
        <w:pStyle w:val="ACMACorporateAddresses"/>
        <w:rPr>
          <w:rStyle w:val="Hyperlink"/>
        </w:rPr>
      </w:pPr>
      <w:hyperlink r:id="rId13" w:history="1">
        <w:r w:rsidR="00AA2DE5" w:rsidRPr="00E162C4">
          <w:rPr>
            <w:rStyle w:val="Hyperlink"/>
          </w:rPr>
          <w:t>https://creativecommons.org/licenses/by/4.0/</w:t>
        </w:r>
      </w:hyperlink>
    </w:p>
    <w:p w14:paraId="0B47D38E"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5D8BA5F5" w14:textId="1B486AFF"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7B3A72">
        <w:t>3</w:t>
      </w:r>
      <w:r w:rsidRPr="00E162C4">
        <w:t>.</w:t>
      </w:r>
    </w:p>
    <w:p w14:paraId="516A8AC2" w14:textId="77777777" w:rsidR="00AA2DE5" w:rsidRPr="00E162C4" w:rsidRDefault="00AA2DE5" w:rsidP="00AA2DE5">
      <w:pPr>
        <w:pStyle w:val="ACMACorporateAddresses"/>
      </w:pPr>
      <w:r w:rsidRPr="00E162C4">
        <w:t>All other rights are reserved.</w:t>
      </w:r>
    </w:p>
    <w:p w14:paraId="7F5A1DBF"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F343075" w14:textId="77777777" w:rsidR="00AA2DE5" w:rsidRPr="00E162C4" w:rsidRDefault="00AA2DE5" w:rsidP="00AA2DE5">
      <w:pPr>
        <w:pStyle w:val="ACMACorporateAddresses"/>
      </w:pPr>
      <w:r w:rsidRPr="00E162C4">
        <w:t>Written enquiries may be sent to:</w:t>
      </w:r>
    </w:p>
    <w:p w14:paraId="5033CCF3"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6E4A54F3" w14:textId="77777777" w:rsidR="00D16FE3" w:rsidRPr="00E162C4" w:rsidRDefault="00D16FE3" w:rsidP="00D16FE3">
      <w:pPr>
        <w:pStyle w:val="ACMACorporateAddresses"/>
        <w:rPr>
          <w:rStyle w:val="Hyperlink"/>
        </w:rPr>
      </w:pPr>
    </w:p>
    <w:p w14:paraId="34A9E3D7"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6993EBB" w14:textId="3FE4767F" w:rsidR="00BD6456"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29255699" w:history="1">
        <w:r w:rsidR="00BD6456" w:rsidRPr="00AC52B9">
          <w:rPr>
            <w:rStyle w:val="Hyperlink"/>
          </w:rPr>
          <w:t>Executive summary</w:t>
        </w:r>
        <w:r w:rsidR="00BD6456">
          <w:rPr>
            <w:webHidden/>
          </w:rPr>
          <w:tab/>
        </w:r>
        <w:r w:rsidR="00BD6456">
          <w:rPr>
            <w:webHidden/>
          </w:rPr>
          <w:fldChar w:fldCharType="begin"/>
        </w:r>
        <w:r w:rsidR="00BD6456">
          <w:rPr>
            <w:webHidden/>
          </w:rPr>
          <w:instrText xml:space="preserve"> PAGEREF _Toc129255699 \h </w:instrText>
        </w:r>
        <w:r w:rsidR="00BD6456">
          <w:rPr>
            <w:webHidden/>
          </w:rPr>
        </w:r>
        <w:r w:rsidR="00BD6456">
          <w:rPr>
            <w:webHidden/>
          </w:rPr>
          <w:fldChar w:fldCharType="separate"/>
        </w:r>
        <w:r w:rsidR="00BD6456">
          <w:rPr>
            <w:webHidden/>
          </w:rPr>
          <w:t>1</w:t>
        </w:r>
        <w:r w:rsidR="00BD6456">
          <w:rPr>
            <w:webHidden/>
          </w:rPr>
          <w:fldChar w:fldCharType="end"/>
        </w:r>
      </w:hyperlink>
    </w:p>
    <w:p w14:paraId="70088A56" w14:textId="33B9E8D6" w:rsidR="00BD6456" w:rsidRDefault="00DC3D5A">
      <w:pPr>
        <w:pStyle w:val="TOC1"/>
        <w:rPr>
          <w:rFonts w:asciiTheme="minorHAnsi" w:eastAsiaTheme="minorEastAsia" w:hAnsiTheme="minorHAnsi" w:cstheme="minorBidi"/>
          <w:b w:val="0"/>
          <w:spacing w:val="0"/>
          <w:sz w:val="22"/>
          <w:szCs w:val="22"/>
        </w:rPr>
      </w:pPr>
      <w:hyperlink w:anchor="_Toc129255700" w:history="1">
        <w:r w:rsidR="00BD6456" w:rsidRPr="00AC52B9">
          <w:rPr>
            <w:rStyle w:val="Hyperlink"/>
          </w:rPr>
          <w:t>Background: 2020 consultation</w:t>
        </w:r>
        <w:r w:rsidR="00BD6456">
          <w:rPr>
            <w:webHidden/>
          </w:rPr>
          <w:tab/>
        </w:r>
        <w:r w:rsidR="00BD6456">
          <w:rPr>
            <w:webHidden/>
          </w:rPr>
          <w:fldChar w:fldCharType="begin"/>
        </w:r>
        <w:r w:rsidR="00BD6456">
          <w:rPr>
            <w:webHidden/>
          </w:rPr>
          <w:instrText xml:space="preserve"> PAGEREF _Toc129255700 \h </w:instrText>
        </w:r>
        <w:r w:rsidR="00BD6456">
          <w:rPr>
            <w:webHidden/>
          </w:rPr>
        </w:r>
        <w:r w:rsidR="00BD6456">
          <w:rPr>
            <w:webHidden/>
          </w:rPr>
          <w:fldChar w:fldCharType="separate"/>
        </w:r>
        <w:r w:rsidR="00BD6456">
          <w:rPr>
            <w:webHidden/>
          </w:rPr>
          <w:t>2</w:t>
        </w:r>
        <w:r w:rsidR="00BD6456">
          <w:rPr>
            <w:webHidden/>
          </w:rPr>
          <w:fldChar w:fldCharType="end"/>
        </w:r>
      </w:hyperlink>
    </w:p>
    <w:p w14:paraId="12AFEF92" w14:textId="6B2EC4D7" w:rsidR="00BD6456" w:rsidRDefault="00DC3D5A">
      <w:pPr>
        <w:pStyle w:val="TOC1"/>
        <w:rPr>
          <w:rFonts w:asciiTheme="minorHAnsi" w:eastAsiaTheme="minorEastAsia" w:hAnsiTheme="minorHAnsi" w:cstheme="minorBidi"/>
          <w:b w:val="0"/>
          <w:spacing w:val="0"/>
          <w:sz w:val="22"/>
          <w:szCs w:val="22"/>
        </w:rPr>
      </w:pPr>
      <w:hyperlink w:anchor="_Toc129255701" w:history="1">
        <w:r w:rsidR="00BD6456" w:rsidRPr="00AC52B9">
          <w:rPr>
            <w:rStyle w:val="Hyperlink"/>
          </w:rPr>
          <w:t>Response to submissions to the July 2022 consultation</w:t>
        </w:r>
        <w:r w:rsidR="00BD6456">
          <w:rPr>
            <w:webHidden/>
          </w:rPr>
          <w:tab/>
        </w:r>
        <w:r w:rsidR="00BD6456">
          <w:rPr>
            <w:webHidden/>
          </w:rPr>
          <w:fldChar w:fldCharType="begin"/>
        </w:r>
        <w:r w:rsidR="00BD6456">
          <w:rPr>
            <w:webHidden/>
          </w:rPr>
          <w:instrText xml:space="preserve"> PAGEREF _Toc129255701 \h </w:instrText>
        </w:r>
        <w:r w:rsidR="00BD6456">
          <w:rPr>
            <w:webHidden/>
          </w:rPr>
        </w:r>
        <w:r w:rsidR="00BD6456">
          <w:rPr>
            <w:webHidden/>
          </w:rPr>
          <w:fldChar w:fldCharType="separate"/>
        </w:r>
        <w:r w:rsidR="00BD6456">
          <w:rPr>
            <w:webHidden/>
          </w:rPr>
          <w:t>4</w:t>
        </w:r>
        <w:r w:rsidR="00BD6456">
          <w:rPr>
            <w:webHidden/>
          </w:rPr>
          <w:fldChar w:fldCharType="end"/>
        </w:r>
      </w:hyperlink>
    </w:p>
    <w:p w14:paraId="02865DEE" w14:textId="3B29689D" w:rsidR="00BD6456" w:rsidRDefault="00DC3D5A">
      <w:pPr>
        <w:pStyle w:val="TOC1"/>
        <w:rPr>
          <w:rFonts w:asciiTheme="minorHAnsi" w:eastAsiaTheme="minorEastAsia" w:hAnsiTheme="minorHAnsi" w:cstheme="minorBidi"/>
          <w:b w:val="0"/>
          <w:spacing w:val="0"/>
          <w:sz w:val="22"/>
          <w:szCs w:val="22"/>
        </w:rPr>
      </w:pPr>
      <w:hyperlink w:anchor="_Toc129255702" w:history="1">
        <w:r w:rsidR="00BD6456" w:rsidRPr="00AC52B9">
          <w:rPr>
            <w:rStyle w:val="Hyperlink"/>
          </w:rPr>
          <w:t>Overall policy approach and regulatory environment</w:t>
        </w:r>
        <w:r w:rsidR="00BD6456">
          <w:rPr>
            <w:webHidden/>
          </w:rPr>
          <w:tab/>
        </w:r>
        <w:r w:rsidR="00BD6456">
          <w:rPr>
            <w:webHidden/>
          </w:rPr>
          <w:fldChar w:fldCharType="begin"/>
        </w:r>
        <w:r w:rsidR="00BD6456">
          <w:rPr>
            <w:webHidden/>
          </w:rPr>
          <w:instrText xml:space="preserve"> PAGEREF _Toc129255702 \h </w:instrText>
        </w:r>
        <w:r w:rsidR="00BD6456">
          <w:rPr>
            <w:webHidden/>
          </w:rPr>
        </w:r>
        <w:r w:rsidR="00BD6456">
          <w:rPr>
            <w:webHidden/>
          </w:rPr>
          <w:fldChar w:fldCharType="separate"/>
        </w:r>
        <w:r w:rsidR="00BD6456">
          <w:rPr>
            <w:webHidden/>
          </w:rPr>
          <w:t>5</w:t>
        </w:r>
        <w:r w:rsidR="00BD6456">
          <w:rPr>
            <w:webHidden/>
          </w:rPr>
          <w:fldChar w:fldCharType="end"/>
        </w:r>
      </w:hyperlink>
    </w:p>
    <w:p w14:paraId="77CE152D" w14:textId="1B675D47" w:rsidR="00BD6456" w:rsidRDefault="00DC3D5A">
      <w:pPr>
        <w:pStyle w:val="TOC2"/>
        <w:rPr>
          <w:rFonts w:asciiTheme="minorHAnsi" w:eastAsiaTheme="minorEastAsia" w:hAnsiTheme="minorHAnsi" w:cstheme="minorBidi"/>
          <w:spacing w:val="0"/>
          <w:sz w:val="22"/>
          <w:szCs w:val="22"/>
        </w:rPr>
      </w:pPr>
      <w:hyperlink w:anchor="_Toc129255703" w:history="1">
        <w:r w:rsidR="00BD6456" w:rsidRPr="00AC52B9">
          <w:rPr>
            <w:rStyle w:val="Hyperlink"/>
          </w:rPr>
          <w:t>What stakeholders told us</w:t>
        </w:r>
        <w:r w:rsidR="00BD6456">
          <w:rPr>
            <w:webHidden/>
          </w:rPr>
          <w:tab/>
        </w:r>
        <w:r w:rsidR="00BD6456">
          <w:rPr>
            <w:webHidden/>
          </w:rPr>
          <w:fldChar w:fldCharType="begin"/>
        </w:r>
        <w:r w:rsidR="00BD6456">
          <w:rPr>
            <w:webHidden/>
          </w:rPr>
          <w:instrText xml:space="preserve"> PAGEREF _Toc129255703 \h </w:instrText>
        </w:r>
        <w:r w:rsidR="00BD6456">
          <w:rPr>
            <w:webHidden/>
          </w:rPr>
        </w:r>
        <w:r w:rsidR="00BD6456">
          <w:rPr>
            <w:webHidden/>
          </w:rPr>
          <w:fldChar w:fldCharType="separate"/>
        </w:r>
        <w:r w:rsidR="00BD6456">
          <w:rPr>
            <w:webHidden/>
          </w:rPr>
          <w:t>6</w:t>
        </w:r>
        <w:r w:rsidR="00BD6456">
          <w:rPr>
            <w:webHidden/>
          </w:rPr>
          <w:fldChar w:fldCharType="end"/>
        </w:r>
      </w:hyperlink>
    </w:p>
    <w:p w14:paraId="380F5583" w14:textId="66F4D7B5" w:rsidR="00BD6456" w:rsidRDefault="00DC3D5A">
      <w:pPr>
        <w:pStyle w:val="TOC2"/>
        <w:rPr>
          <w:rFonts w:asciiTheme="minorHAnsi" w:eastAsiaTheme="minorEastAsia" w:hAnsiTheme="minorHAnsi" w:cstheme="minorBidi"/>
          <w:spacing w:val="0"/>
          <w:sz w:val="22"/>
          <w:szCs w:val="22"/>
        </w:rPr>
      </w:pPr>
      <w:hyperlink w:anchor="_Toc129255704" w:history="1">
        <w:r w:rsidR="00BD6456" w:rsidRPr="00AC52B9">
          <w:rPr>
            <w:rStyle w:val="Hyperlink"/>
          </w:rPr>
          <w:t>Our response</w:t>
        </w:r>
        <w:r w:rsidR="00BD6456">
          <w:rPr>
            <w:webHidden/>
          </w:rPr>
          <w:tab/>
        </w:r>
        <w:r w:rsidR="00BD6456">
          <w:rPr>
            <w:webHidden/>
          </w:rPr>
          <w:fldChar w:fldCharType="begin"/>
        </w:r>
        <w:r w:rsidR="00BD6456">
          <w:rPr>
            <w:webHidden/>
          </w:rPr>
          <w:instrText xml:space="preserve"> PAGEREF _Toc129255704 \h </w:instrText>
        </w:r>
        <w:r w:rsidR="00BD6456">
          <w:rPr>
            <w:webHidden/>
          </w:rPr>
        </w:r>
        <w:r w:rsidR="00BD6456">
          <w:rPr>
            <w:webHidden/>
          </w:rPr>
          <w:fldChar w:fldCharType="separate"/>
        </w:r>
        <w:r w:rsidR="00BD6456">
          <w:rPr>
            <w:webHidden/>
          </w:rPr>
          <w:t>6</w:t>
        </w:r>
        <w:r w:rsidR="00BD6456">
          <w:rPr>
            <w:webHidden/>
          </w:rPr>
          <w:fldChar w:fldCharType="end"/>
        </w:r>
      </w:hyperlink>
    </w:p>
    <w:p w14:paraId="3F505E3A" w14:textId="2500BDF6" w:rsidR="00BD6456" w:rsidRDefault="00DC3D5A">
      <w:pPr>
        <w:pStyle w:val="TOC1"/>
        <w:rPr>
          <w:rFonts w:asciiTheme="minorHAnsi" w:eastAsiaTheme="minorEastAsia" w:hAnsiTheme="minorHAnsi" w:cstheme="minorBidi"/>
          <w:b w:val="0"/>
          <w:spacing w:val="0"/>
          <w:sz w:val="22"/>
          <w:szCs w:val="22"/>
        </w:rPr>
      </w:pPr>
      <w:hyperlink w:anchor="_Toc129255705" w:history="1">
        <w:r w:rsidR="00BD6456" w:rsidRPr="00AC52B9">
          <w:rPr>
            <w:rStyle w:val="Hyperlink"/>
          </w:rPr>
          <w:t>Scope and operation of permanent bans</w:t>
        </w:r>
        <w:r w:rsidR="00BD6456">
          <w:rPr>
            <w:webHidden/>
          </w:rPr>
          <w:tab/>
        </w:r>
        <w:r w:rsidR="00BD6456">
          <w:rPr>
            <w:webHidden/>
          </w:rPr>
          <w:fldChar w:fldCharType="begin"/>
        </w:r>
        <w:r w:rsidR="00BD6456">
          <w:rPr>
            <w:webHidden/>
          </w:rPr>
          <w:instrText xml:space="preserve"> PAGEREF _Toc129255705 \h </w:instrText>
        </w:r>
        <w:r w:rsidR="00BD6456">
          <w:rPr>
            <w:webHidden/>
          </w:rPr>
        </w:r>
        <w:r w:rsidR="00BD6456">
          <w:rPr>
            <w:webHidden/>
          </w:rPr>
          <w:fldChar w:fldCharType="separate"/>
        </w:r>
        <w:r w:rsidR="00BD6456">
          <w:rPr>
            <w:webHidden/>
          </w:rPr>
          <w:t>8</w:t>
        </w:r>
        <w:r w:rsidR="00BD6456">
          <w:rPr>
            <w:webHidden/>
          </w:rPr>
          <w:fldChar w:fldCharType="end"/>
        </w:r>
      </w:hyperlink>
    </w:p>
    <w:p w14:paraId="093BB688" w14:textId="28FF3CC9" w:rsidR="00BD6456" w:rsidRDefault="00DC3D5A">
      <w:pPr>
        <w:pStyle w:val="TOC2"/>
        <w:rPr>
          <w:rFonts w:asciiTheme="minorHAnsi" w:eastAsiaTheme="minorEastAsia" w:hAnsiTheme="minorHAnsi" w:cstheme="minorBidi"/>
          <w:spacing w:val="0"/>
          <w:sz w:val="22"/>
          <w:szCs w:val="22"/>
        </w:rPr>
      </w:pPr>
      <w:hyperlink w:anchor="_Toc129255706" w:history="1">
        <w:r w:rsidR="00BD6456" w:rsidRPr="00AC52B9">
          <w:rPr>
            <w:rStyle w:val="Hyperlink"/>
          </w:rPr>
          <w:t>What stakeholders told us</w:t>
        </w:r>
        <w:r w:rsidR="00BD6456">
          <w:rPr>
            <w:webHidden/>
          </w:rPr>
          <w:tab/>
        </w:r>
        <w:r w:rsidR="00BD6456">
          <w:rPr>
            <w:webHidden/>
          </w:rPr>
          <w:fldChar w:fldCharType="begin"/>
        </w:r>
        <w:r w:rsidR="00BD6456">
          <w:rPr>
            <w:webHidden/>
          </w:rPr>
          <w:instrText xml:space="preserve"> PAGEREF _Toc129255706 \h </w:instrText>
        </w:r>
        <w:r w:rsidR="00BD6456">
          <w:rPr>
            <w:webHidden/>
          </w:rPr>
        </w:r>
        <w:r w:rsidR="00BD6456">
          <w:rPr>
            <w:webHidden/>
          </w:rPr>
          <w:fldChar w:fldCharType="separate"/>
        </w:r>
        <w:r w:rsidR="00BD6456">
          <w:rPr>
            <w:webHidden/>
          </w:rPr>
          <w:t>9</w:t>
        </w:r>
        <w:r w:rsidR="00BD6456">
          <w:rPr>
            <w:webHidden/>
          </w:rPr>
          <w:fldChar w:fldCharType="end"/>
        </w:r>
      </w:hyperlink>
    </w:p>
    <w:p w14:paraId="52D6429E" w14:textId="7AA0AD38" w:rsidR="00BD6456" w:rsidRDefault="00DC3D5A">
      <w:pPr>
        <w:pStyle w:val="TOC2"/>
        <w:rPr>
          <w:rFonts w:asciiTheme="minorHAnsi" w:eastAsiaTheme="minorEastAsia" w:hAnsiTheme="minorHAnsi" w:cstheme="minorBidi"/>
          <w:spacing w:val="0"/>
          <w:sz w:val="22"/>
          <w:szCs w:val="22"/>
        </w:rPr>
      </w:pPr>
      <w:hyperlink w:anchor="_Toc129255707" w:history="1">
        <w:r w:rsidR="00BD6456" w:rsidRPr="00AC52B9">
          <w:rPr>
            <w:rStyle w:val="Hyperlink"/>
          </w:rPr>
          <w:t>Our response</w:t>
        </w:r>
        <w:r w:rsidR="00BD6456">
          <w:rPr>
            <w:webHidden/>
          </w:rPr>
          <w:tab/>
        </w:r>
        <w:r w:rsidR="00BD6456">
          <w:rPr>
            <w:webHidden/>
          </w:rPr>
          <w:fldChar w:fldCharType="begin"/>
        </w:r>
        <w:r w:rsidR="00BD6456">
          <w:rPr>
            <w:webHidden/>
          </w:rPr>
          <w:instrText xml:space="preserve"> PAGEREF _Toc129255707 \h </w:instrText>
        </w:r>
        <w:r w:rsidR="00BD6456">
          <w:rPr>
            <w:webHidden/>
          </w:rPr>
        </w:r>
        <w:r w:rsidR="00BD6456">
          <w:rPr>
            <w:webHidden/>
          </w:rPr>
          <w:fldChar w:fldCharType="separate"/>
        </w:r>
        <w:r w:rsidR="00BD6456">
          <w:rPr>
            <w:webHidden/>
          </w:rPr>
          <w:t>10</w:t>
        </w:r>
        <w:r w:rsidR="00BD6456">
          <w:rPr>
            <w:webHidden/>
          </w:rPr>
          <w:fldChar w:fldCharType="end"/>
        </w:r>
      </w:hyperlink>
    </w:p>
    <w:p w14:paraId="00C67E9F" w14:textId="43CAC376" w:rsidR="00BD6456" w:rsidRDefault="00DC3D5A">
      <w:pPr>
        <w:pStyle w:val="TOC2"/>
        <w:rPr>
          <w:rFonts w:asciiTheme="minorHAnsi" w:eastAsiaTheme="minorEastAsia" w:hAnsiTheme="minorHAnsi" w:cstheme="minorBidi"/>
          <w:spacing w:val="0"/>
          <w:sz w:val="22"/>
          <w:szCs w:val="22"/>
        </w:rPr>
      </w:pPr>
      <w:hyperlink w:anchor="_Toc129255708" w:history="1">
        <w:r w:rsidR="00BD6456" w:rsidRPr="00AC52B9">
          <w:rPr>
            <w:rStyle w:val="Hyperlink"/>
          </w:rPr>
          <w:t>Outcomes</w:t>
        </w:r>
        <w:r w:rsidR="00BD6456">
          <w:rPr>
            <w:webHidden/>
          </w:rPr>
          <w:tab/>
        </w:r>
        <w:r w:rsidR="00BD6456">
          <w:rPr>
            <w:webHidden/>
          </w:rPr>
          <w:fldChar w:fldCharType="begin"/>
        </w:r>
        <w:r w:rsidR="00BD6456">
          <w:rPr>
            <w:webHidden/>
          </w:rPr>
          <w:instrText xml:space="preserve"> PAGEREF _Toc129255708 \h </w:instrText>
        </w:r>
        <w:r w:rsidR="00BD6456">
          <w:rPr>
            <w:webHidden/>
          </w:rPr>
        </w:r>
        <w:r w:rsidR="00BD6456">
          <w:rPr>
            <w:webHidden/>
          </w:rPr>
          <w:fldChar w:fldCharType="separate"/>
        </w:r>
        <w:r w:rsidR="00BD6456">
          <w:rPr>
            <w:webHidden/>
          </w:rPr>
          <w:t>12</w:t>
        </w:r>
        <w:r w:rsidR="00BD6456">
          <w:rPr>
            <w:webHidden/>
          </w:rPr>
          <w:fldChar w:fldCharType="end"/>
        </w:r>
      </w:hyperlink>
    </w:p>
    <w:p w14:paraId="59F4375B" w14:textId="182DEBF8" w:rsidR="00BD6456" w:rsidRDefault="00DC3D5A">
      <w:pPr>
        <w:pStyle w:val="TOC1"/>
        <w:rPr>
          <w:rFonts w:asciiTheme="minorHAnsi" w:eastAsiaTheme="minorEastAsia" w:hAnsiTheme="minorHAnsi" w:cstheme="minorBidi"/>
          <w:b w:val="0"/>
          <w:spacing w:val="0"/>
          <w:sz w:val="22"/>
          <w:szCs w:val="22"/>
        </w:rPr>
      </w:pPr>
      <w:hyperlink w:anchor="_Toc129255709" w:history="1">
        <w:r w:rsidR="00BD6456" w:rsidRPr="00AC52B9">
          <w:rPr>
            <w:rStyle w:val="Hyperlink"/>
          </w:rPr>
          <w:t>Scope and operation of exemptions</w:t>
        </w:r>
        <w:r w:rsidR="00BD6456">
          <w:rPr>
            <w:webHidden/>
          </w:rPr>
          <w:tab/>
        </w:r>
        <w:r w:rsidR="00BD6456">
          <w:rPr>
            <w:webHidden/>
          </w:rPr>
          <w:fldChar w:fldCharType="begin"/>
        </w:r>
        <w:r w:rsidR="00BD6456">
          <w:rPr>
            <w:webHidden/>
          </w:rPr>
          <w:instrText xml:space="preserve"> PAGEREF _Toc129255709 \h </w:instrText>
        </w:r>
        <w:r w:rsidR="00BD6456">
          <w:rPr>
            <w:webHidden/>
          </w:rPr>
        </w:r>
        <w:r w:rsidR="00BD6456">
          <w:rPr>
            <w:webHidden/>
          </w:rPr>
          <w:fldChar w:fldCharType="separate"/>
        </w:r>
        <w:r w:rsidR="00BD6456">
          <w:rPr>
            <w:webHidden/>
          </w:rPr>
          <w:t>14</w:t>
        </w:r>
        <w:r w:rsidR="00BD6456">
          <w:rPr>
            <w:webHidden/>
          </w:rPr>
          <w:fldChar w:fldCharType="end"/>
        </w:r>
      </w:hyperlink>
    </w:p>
    <w:p w14:paraId="08FC949A" w14:textId="629A70EC" w:rsidR="00BD6456" w:rsidRDefault="00DC3D5A">
      <w:pPr>
        <w:pStyle w:val="TOC2"/>
        <w:rPr>
          <w:rFonts w:asciiTheme="minorHAnsi" w:eastAsiaTheme="minorEastAsia" w:hAnsiTheme="minorHAnsi" w:cstheme="minorBidi"/>
          <w:spacing w:val="0"/>
          <w:sz w:val="22"/>
          <w:szCs w:val="22"/>
        </w:rPr>
      </w:pPr>
      <w:hyperlink w:anchor="_Toc129255710" w:history="1">
        <w:r w:rsidR="00BD6456" w:rsidRPr="00AC52B9">
          <w:rPr>
            <w:rStyle w:val="Hyperlink"/>
          </w:rPr>
          <w:t>What stakeholders told us</w:t>
        </w:r>
        <w:r w:rsidR="00BD6456">
          <w:rPr>
            <w:webHidden/>
          </w:rPr>
          <w:tab/>
        </w:r>
        <w:r w:rsidR="00BD6456">
          <w:rPr>
            <w:webHidden/>
          </w:rPr>
          <w:fldChar w:fldCharType="begin"/>
        </w:r>
        <w:r w:rsidR="00BD6456">
          <w:rPr>
            <w:webHidden/>
          </w:rPr>
          <w:instrText xml:space="preserve"> PAGEREF _Toc129255710 \h </w:instrText>
        </w:r>
        <w:r w:rsidR="00BD6456">
          <w:rPr>
            <w:webHidden/>
          </w:rPr>
        </w:r>
        <w:r w:rsidR="00BD6456">
          <w:rPr>
            <w:webHidden/>
          </w:rPr>
          <w:fldChar w:fldCharType="separate"/>
        </w:r>
        <w:r w:rsidR="00BD6456">
          <w:rPr>
            <w:webHidden/>
          </w:rPr>
          <w:t>17</w:t>
        </w:r>
        <w:r w:rsidR="00BD6456">
          <w:rPr>
            <w:webHidden/>
          </w:rPr>
          <w:fldChar w:fldCharType="end"/>
        </w:r>
      </w:hyperlink>
    </w:p>
    <w:p w14:paraId="5CDD7E28" w14:textId="405093FA" w:rsidR="00BD6456" w:rsidRDefault="00DC3D5A">
      <w:pPr>
        <w:pStyle w:val="TOC2"/>
        <w:rPr>
          <w:rFonts w:asciiTheme="minorHAnsi" w:eastAsiaTheme="minorEastAsia" w:hAnsiTheme="minorHAnsi" w:cstheme="minorBidi"/>
          <w:spacing w:val="0"/>
          <w:sz w:val="22"/>
          <w:szCs w:val="22"/>
        </w:rPr>
      </w:pPr>
      <w:hyperlink w:anchor="_Toc129255711" w:history="1">
        <w:r w:rsidR="00BD6456" w:rsidRPr="00AC52B9">
          <w:rPr>
            <w:rStyle w:val="Hyperlink"/>
          </w:rPr>
          <w:t>Our response</w:t>
        </w:r>
        <w:r w:rsidR="00BD6456">
          <w:rPr>
            <w:webHidden/>
          </w:rPr>
          <w:tab/>
        </w:r>
        <w:r w:rsidR="00BD6456">
          <w:rPr>
            <w:webHidden/>
          </w:rPr>
          <w:fldChar w:fldCharType="begin"/>
        </w:r>
        <w:r w:rsidR="00BD6456">
          <w:rPr>
            <w:webHidden/>
          </w:rPr>
          <w:instrText xml:space="preserve"> PAGEREF _Toc129255711 \h </w:instrText>
        </w:r>
        <w:r w:rsidR="00BD6456">
          <w:rPr>
            <w:webHidden/>
          </w:rPr>
        </w:r>
        <w:r w:rsidR="00BD6456">
          <w:rPr>
            <w:webHidden/>
          </w:rPr>
          <w:fldChar w:fldCharType="separate"/>
        </w:r>
        <w:r w:rsidR="00BD6456">
          <w:rPr>
            <w:webHidden/>
          </w:rPr>
          <w:t>19</w:t>
        </w:r>
        <w:r w:rsidR="00BD6456">
          <w:rPr>
            <w:webHidden/>
          </w:rPr>
          <w:fldChar w:fldCharType="end"/>
        </w:r>
      </w:hyperlink>
    </w:p>
    <w:p w14:paraId="383DB6CC" w14:textId="11A98323" w:rsidR="00BD6456" w:rsidRDefault="00DC3D5A">
      <w:pPr>
        <w:pStyle w:val="TOC2"/>
        <w:rPr>
          <w:rFonts w:asciiTheme="minorHAnsi" w:eastAsiaTheme="minorEastAsia" w:hAnsiTheme="minorHAnsi" w:cstheme="minorBidi"/>
          <w:spacing w:val="0"/>
          <w:sz w:val="22"/>
          <w:szCs w:val="22"/>
        </w:rPr>
      </w:pPr>
      <w:hyperlink w:anchor="_Toc129255712" w:history="1">
        <w:r w:rsidR="00BD6456" w:rsidRPr="00AC52B9">
          <w:rPr>
            <w:rStyle w:val="Hyperlink"/>
          </w:rPr>
          <w:t>Outcomes</w:t>
        </w:r>
        <w:r w:rsidR="00BD6456">
          <w:rPr>
            <w:webHidden/>
          </w:rPr>
          <w:tab/>
        </w:r>
        <w:r w:rsidR="00BD6456">
          <w:rPr>
            <w:webHidden/>
          </w:rPr>
          <w:fldChar w:fldCharType="begin"/>
        </w:r>
        <w:r w:rsidR="00BD6456">
          <w:rPr>
            <w:webHidden/>
          </w:rPr>
          <w:instrText xml:space="preserve"> PAGEREF _Toc129255712 \h </w:instrText>
        </w:r>
        <w:r w:rsidR="00BD6456">
          <w:rPr>
            <w:webHidden/>
          </w:rPr>
        </w:r>
        <w:r w:rsidR="00BD6456">
          <w:rPr>
            <w:webHidden/>
          </w:rPr>
          <w:fldChar w:fldCharType="separate"/>
        </w:r>
        <w:r w:rsidR="00BD6456">
          <w:rPr>
            <w:webHidden/>
          </w:rPr>
          <w:t>19</w:t>
        </w:r>
        <w:r w:rsidR="00BD6456">
          <w:rPr>
            <w:webHidden/>
          </w:rPr>
          <w:fldChar w:fldCharType="end"/>
        </w:r>
      </w:hyperlink>
    </w:p>
    <w:p w14:paraId="329A8A06" w14:textId="6EE40EED" w:rsidR="00BD6456" w:rsidRDefault="00DC3D5A">
      <w:pPr>
        <w:pStyle w:val="TOC1"/>
        <w:rPr>
          <w:rFonts w:asciiTheme="minorHAnsi" w:eastAsiaTheme="minorEastAsia" w:hAnsiTheme="minorHAnsi" w:cstheme="minorBidi"/>
          <w:b w:val="0"/>
          <w:spacing w:val="0"/>
          <w:sz w:val="22"/>
          <w:szCs w:val="22"/>
        </w:rPr>
      </w:pPr>
      <w:hyperlink w:anchor="_Toc129255713" w:history="1">
        <w:r w:rsidR="00BD6456" w:rsidRPr="00AC52B9">
          <w:rPr>
            <w:rStyle w:val="Hyperlink"/>
          </w:rPr>
          <w:t>Summary of review outcomes</w:t>
        </w:r>
        <w:r w:rsidR="00BD6456">
          <w:rPr>
            <w:webHidden/>
          </w:rPr>
          <w:tab/>
        </w:r>
        <w:r w:rsidR="00BD6456">
          <w:rPr>
            <w:webHidden/>
          </w:rPr>
          <w:fldChar w:fldCharType="begin"/>
        </w:r>
        <w:r w:rsidR="00BD6456">
          <w:rPr>
            <w:webHidden/>
          </w:rPr>
          <w:instrText xml:space="preserve"> PAGEREF _Toc129255713 \h </w:instrText>
        </w:r>
        <w:r w:rsidR="00BD6456">
          <w:rPr>
            <w:webHidden/>
          </w:rPr>
        </w:r>
        <w:r w:rsidR="00BD6456">
          <w:rPr>
            <w:webHidden/>
          </w:rPr>
          <w:fldChar w:fldCharType="separate"/>
        </w:r>
        <w:r w:rsidR="00BD6456">
          <w:rPr>
            <w:webHidden/>
          </w:rPr>
          <w:t>21</w:t>
        </w:r>
        <w:r w:rsidR="00BD6456">
          <w:rPr>
            <w:webHidden/>
          </w:rPr>
          <w:fldChar w:fldCharType="end"/>
        </w:r>
      </w:hyperlink>
    </w:p>
    <w:p w14:paraId="6DADE0D1" w14:textId="6B5B482C" w:rsidR="00BD6456" w:rsidRDefault="00DC3D5A">
      <w:pPr>
        <w:pStyle w:val="TOC1"/>
        <w:rPr>
          <w:rFonts w:asciiTheme="minorHAnsi" w:eastAsiaTheme="minorEastAsia" w:hAnsiTheme="minorHAnsi" w:cstheme="minorBidi"/>
          <w:b w:val="0"/>
          <w:spacing w:val="0"/>
          <w:sz w:val="22"/>
          <w:szCs w:val="22"/>
        </w:rPr>
      </w:pPr>
      <w:hyperlink w:anchor="_Toc129255714" w:history="1">
        <w:r w:rsidR="00BD6456" w:rsidRPr="00AC52B9">
          <w:rPr>
            <w:rStyle w:val="Hyperlink"/>
          </w:rPr>
          <w:t>Next steps</w:t>
        </w:r>
        <w:r w:rsidR="00BD6456">
          <w:rPr>
            <w:webHidden/>
          </w:rPr>
          <w:tab/>
        </w:r>
        <w:r w:rsidR="00BD6456">
          <w:rPr>
            <w:webHidden/>
          </w:rPr>
          <w:fldChar w:fldCharType="begin"/>
        </w:r>
        <w:r w:rsidR="00BD6456">
          <w:rPr>
            <w:webHidden/>
          </w:rPr>
          <w:instrText xml:space="preserve"> PAGEREF _Toc129255714 \h </w:instrText>
        </w:r>
        <w:r w:rsidR="00BD6456">
          <w:rPr>
            <w:webHidden/>
          </w:rPr>
        </w:r>
        <w:r w:rsidR="00BD6456">
          <w:rPr>
            <w:webHidden/>
          </w:rPr>
          <w:fldChar w:fldCharType="separate"/>
        </w:r>
        <w:r w:rsidR="00BD6456">
          <w:rPr>
            <w:webHidden/>
          </w:rPr>
          <w:t>22</w:t>
        </w:r>
        <w:r w:rsidR="00BD6456">
          <w:rPr>
            <w:webHidden/>
          </w:rPr>
          <w:fldChar w:fldCharType="end"/>
        </w:r>
      </w:hyperlink>
    </w:p>
    <w:p w14:paraId="73AD6212" w14:textId="4296AD8F"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5D983F7A" w14:textId="77777777" w:rsidR="009D6C71" w:rsidRPr="00E162C4" w:rsidRDefault="009D6C71" w:rsidP="009174F3">
      <w:pPr>
        <w:pStyle w:val="Execsummaryheading"/>
      </w:pPr>
      <w:bookmarkStart w:id="0" w:name="_Toc129255699"/>
      <w:r w:rsidRPr="00E162C4">
        <w:lastRenderedPageBreak/>
        <w:t>Executive summary</w:t>
      </w:r>
      <w:bookmarkEnd w:id="0"/>
    </w:p>
    <w:p w14:paraId="76AB96BA" w14:textId="7075A7F1" w:rsidR="00A438CB" w:rsidRDefault="005B6B4F" w:rsidP="005B6B4F">
      <w:pPr>
        <w:pStyle w:val="Paragraph"/>
      </w:pPr>
      <w:bookmarkStart w:id="1" w:name="_Toc433122125"/>
      <w:r>
        <w:t>In May 2020, we initiated</w:t>
      </w:r>
      <w:r w:rsidRPr="008974E2">
        <w:t xml:space="preserve"> a review of the banned equipment and exemption</w:t>
      </w:r>
      <w:r>
        <w:t>s</w:t>
      </w:r>
      <w:r w:rsidRPr="008974E2">
        <w:t xml:space="preserve"> framework under the </w:t>
      </w:r>
      <w:r w:rsidRPr="00306EA3">
        <w:t>Radiocommunications Act</w:t>
      </w:r>
      <w:r w:rsidRPr="00C76D91">
        <w:rPr>
          <w:i/>
          <w:iCs/>
        </w:rPr>
        <w:t xml:space="preserve"> </w:t>
      </w:r>
      <w:r w:rsidRPr="00306EA3">
        <w:t>1992</w:t>
      </w:r>
      <w:r w:rsidRPr="008974E2">
        <w:t>.</w:t>
      </w:r>
      <w:r w:rsidRPr="00F86D29">
        <w:rPr>
          <w:rStyle w:val="FootnoteReference"/>
        </w:rPr>
        <w:footnoteReference w:id="2"/>
      </w:r>
      <w:r>
        <w:t xml:space="preserve"> </w:t>
      </w:r>
    </w:p>
    <w:p w14:paraId="5AB69A87" w14:textId="090F9455" w:rsidR="005B6B4F" w:rsidRDefault="005B6B4F" w:rsidP="005B6B4F">
      <w:pPr>
        <w:pStyle w:val="Paragraph"/>
      </w:pPr>
      <w:r w:rsidRPr="008974E2">
        <w:t xml:space="preserve">The framework involves </w:t>
      </w:r>
      <w:r w:rsidR="001A5072">
        <w:t>the ACMA</w:t>
      </w:r>
      <w:r>
        <w:t xml:space="preserve"> </w:t>
      </w:r>
      <w:r w:rsidRPr="008974E2">
        <w:t xml:space="preserve">exercising statutory powers to ban </w:t>
      </w:r>
      <w:r>
        <w:t>specified</w:t>
      </w:r>
      <w:r w:rsidRPr="008974E2">
        <w:t xml:space="preserve"> types of equipment, and to define circumstances where </w:t>
      </w:r>
      <w:r w:rsidR="00A438CB">
        <w:t>certain</w:t>
      </w:r>
      <w:r w:rsidR="00DF4545">
        <w:t xml:space="preserve"> </w:t>
      </w:r>
      <w:r>
        <w:t xml:space="preserve">sections of the </w:t>
      </w:r>
      <w:r w:rsidR="00DF4545">
        <w:t xml:space="preserve">Radiocommunications </w:t>
      </w:r>
      <w:r w:rsidRPr="008974E2">
        <w:t>Act</w:t>
      </w:r>
      <w:r>
        <w:t xml:space="preserve"> do not </w:t>
      </w:r>
      <w:r w:rsidRPr="008974E2">
        <w:t xml:space="preserve">apply. </w:t>
      </w:r>
      <w:r w:rsidR="00335D7D">
        <w:t>The ACMA</w:t>
      </w:r>
      <w:r w:rsidRPr="008974E2">
        <w:t xml:space="preserve"> do</w:t>
      </w:r>
      <w:r w:rsidR="00335D7D">
        <w:t>es</w:t>
      </w:r>
      <w:r w:rsidRPr="008974E2">
        <w:t xml:space="preserve"> so by making permanent bans under section 172, and by making exemption determinations under sections 27 </w:t>
      </w:r>
      <w:r>
        <w:t>and</w:t>
      </w:r>
      <w:r w:rsidRPr="008974E2">
        <w:t xml:space="preserve"> 302. </w:t>
      </w:r>
    </w:p>
    <w:p w14:paraId="2A5313C5" w14:textId="77777777" w:rsidR="005B6B4F" w:rsidRDefault="005B6B4F" w:rsidP="005B6B4F">
      <w:pPr>
        <w:pStyle w:val="Paragraphbeforelist"/>
      </w:pPr>
      <w:r>
        <w:t>A review of the framework was timely for several reasons:</w:t>
      </w:r>
    </w:p>
    <w:p w14:paraId="502A4787" w14:textId="77777777" w:rsidR="005B6B4F" w:rsidRDefault="005B6B4F" w:rsidP="005B6B4F">
      <w:pPr>
        <w:pStyle w:val="Bulletlevel1"/>
      </w:pPr>
      <w:r>
        <w:t>We were encountering more instances where permanent bans were over-inclusive (and were precluding use of beneficial technologies) or under-inclusive (and were not optimally regulating certain types of jamming equipment).</w:t>
      </w:r>
    </w:p>
    <w:p w14:paraId="0106F384" w14:textId="35BA2BE4" w:rsidR="005B6B4F" w:rsidRDefault="005B6B4F" w:rsidP="005B6B4F">
      <w:pPr>
        <w:pStyle w:val="Bulletlevel1"/>
      </w:pPr>
      <w:r>
        <w:t xml:space="preserve">Five of the </w:t>
      </w:r>
      <w:r w:rsidR="00863E73">
        <w:t>10</w:t>
      </w:r>
      <w:r>
        <w:t xml:space="preserve"> instruments in the framework </w:t>
      </w:r>
      <w:r w:rsidR="0077336B">
        <w:t xml:space="preserve">were </w:t>
      </w:r>
      <w:r>
        <w:t>due to sunset in 2023, with further instruments sunsetting in 2025.</w:t>
      </w:r>
    </w:p>
    <w:p w14:paraId="02B8D0E5" w14:textId="277F19AE" w:rsidR="005B6B4F" w:rsidRDefault="00DF4545" w:rsidP="005B6B4F">
      <w:pPr>
        <w:pStyle w:val="Bulletlevel1last"/>
      </w:pPr>
      <w:r>
        <w:t>T</w:t>
      </w:r>
      <w:r w:rsidR="005B6B4F">
        <w:t>he Department of Infrastructure, Transport, Regional Development, Communications</w:t>
      </w:r>
      <w:r w:rsidR="00CE4672">
        <w:t xml:space="preserve"> and the Arts</w:t>
      </w:r>
      <w:r w:rsidR="005B6B4F">
        <w:t xml:space="preserve"> was progressing consideration of legislative reforms to the </w:t>
      </w:r>
      <w:r>
        <w:t xml:space="preserve">Radiocommunications </w:t>
      </w:r>
      <w:r w:rsidR="005B6B4F">
        <w:t xml:space="preserve">Act through development of the </w:t>
      </w:r>
      <w:r w:rsidR="005B6B4F" w:rsidRPr="0016046E">
        <w:t>Radiocommunications Legislation Amendment (Reform and Modernisation) Act 2020</w:t>
      </w:r>
      <w:r w:rsidR="005B6B4F">
        <w:t xml:space="preserve"> (the Modernisation Act) and was considering proposals that could introduce significant reforms to the exemption regime.</w:t>
      </w:r>
    </w:p>
    <w:p w14:paraId="1F02258A" w14:textId="03364DDD" w:rsidR="005B6B4F" w:rsidRDefault="00CE4672" w:rsidP="005B6B4F">
      <w:pPr>
        <w:pStyle w:val="Paragraph"/>
      </w:pPr>
      <w:r>
        <w:t>In May 2020, w</w:t>
      </w:r>
      <w:r w:rsidR="005B6B4F">
        <w:t xml:space="preserve">e released a </w:t>
      </w:r>
      <w:hyperlink r:id="rId24" w:history="1">
        <w:r w:rsidR="005B6B4F" w:rsidRPr="007C1E6D">
          <w:rPr>
            <w:rStyle w:val="Hyperlink"/>
          </w:rPr>
          <w:t>consultation paper</w:t>
        </w:r>
      </w:hyperlink>
      <w:r w:rsidR="005B6B4F">
        <w:t xml:space="preserve"> that identified high-level scoping and operational issues, and invited </w:t>
      </w:r>
      <w:r w:rsidR="005B6B4F" w:rsidRPr="00830E78">
        <w:t xml:space="preserve">submissions </w:t>
      </w:r>
      <w:r w:rsidR="005B6B4F">
        <w:t xml:space="preserve">to help </w:t>
      </w:r>
      <w:r w:rsidR="005B6B4F" w:rsidRPr="00830E78">
        <w:t xml:space="preserve">us build an evidence base, understand </w:t>
      </w:r>
      <w:r w:rsidR="005B6B4F">
        <w:t xml:space="preserve">technology and industry developments, </w:t>
      </w:r>
      <w:r w:rsidR="005B6B4F" w:rsidRPr="00830E78">
        <w:t>and inform our next steps.</w:t>
      </w:r>
      <w:r w:rsidR="005B6B4F">
        <w:t xml:space="preserve"> </w:t>
      </w:r>
      <w:r w:rsidR="005B6B4F" w:rsidRPr="00C144AC">
        <w:t xml:space="preserve">We received 20 submissions to the consultation, and </w:t>
      </w:r>
      <w:r w:rsidR="00BE38BE">
        <w:t>then</w:t>
      </w:r>
      <w:r w:rsidR="005B6B4F" w:rsidRPr="00C144AC">
        <w:t xml:space="preserve"> hel</w:t>
      </w:r>
      <w:r w:rsidR="005B6B4F">
        <w:t>d</w:t>
      </w:r>
      <w:r w:rsidR="005B6B4F" w:rsidRPr="00C144AC">
        <w:t xml:space="preserve"> a number of meetings and workshops with stakeholders</w:t>
      </w:r>
      <w:r w:rsidR="005B6B4F">
        <w:t>.</w:t>
      </w:r>
      <w:r w:rsidR="00095541">
        <w:t xml:space="preserve"> </w:t>
      </w:r>
    </w:p>
    <w:p w14:paraId="1338E4B0" w14:textId="7C0DAFC4" w:rsidR="005B6B4F" w:rsidRDefault="005B6B4F" w:rsidP="005B6B4F">
      <w:pPr>
        <w:pStyle w:val="Paragraph"/>
      </w:pPr>
      <w:r>
        <w:t>In July 2022, we released</w:t>
      </w:r>
      <w:r w:rsidR="002B3BA4">
        <w:t xml:space="preserve"> a</w:t>
      </w:r>
      <w:r>
        <w:t xml:space="preserve"> </w:t>
      </w:r>
      <w:hyperlink r:id="rId25" w:history="1">
        <w:r w:rsidR="002B3BA4">
          <w:rPr>
            <w:rStyle w:val="Hyperlink"/>
          </w:rPr>
          <w:t>consultation paper</w:t>
        </w:r>
      </w:hyperlink>
      <w:r w:rsidR="002503D7">
        <w:t xml:space="preserve"> </w:t>
      </w:r>
      <w:r w:rsidR="006D497A">
        <w:t xml:space="preserve">that described our </w:t>
      </w:r>
      <w:r w:rsidR="00967008">
        <w:t xml:space="preserve">proposed outcomes for </w:t>
      </w:r>
      <w:r w:rsidR="006D497A">
        <w:t xml:space="preserve">the review, and sought views on instruments and arrangements that </w:t>
      </w:r>
      <w:r w:rsidR="00DF4545">
        <w:t xml:space="preserve">would </w:t>
      </w:r>
      <w:r w:rsidR="006D497A">
        <w:t>complete the review.</w:t>
      </w:r>
      <w:r w:rsidR="00DF1B69">
        <w:t xml:space="preserve"> We received 8 submissions to </w:t>
      </w:r>
      <w:r w:rsidR="00597410">
        <w:t>that consultation.</w:t>
      </w:r>
    </w:p>
    <w:p w14:paraId="26A8C81E" w14:textId="14E7B8D3" w:rsidR="006D497A" w:rsidRPr="00C144AC" w:rsidRDefault="00597410" w:rsidP="005B6B4F">
      <w:pPr>
        <w:pStyle w:val="Paragraph"/>
      </w:pPr>
      <w:r>
        <w:t xml:space="preserve">In this paper, we summarise submissions </w:t>
      </w:r>
      <w:r w:rsidR="00327D11">
        <w:t>received</w:t>
      </w:r>
      <w:r w:rsidR="002B3F9B">
        <w:t xml:space="preserve"> to the July </w:t>
      </w:r>
      <w:r w:rsidR="00BE38BE">
        <w:t xml:space="preserve">2022 </w:t>
      </w:r>
      <w:r w:rsidR="002B3F9B">
        <w:t>consultation paper,</w:t>
      </w:r>
      <w:r w:rsidR="00327D11">
        <w:t xml:space="preserve"> respond to submissions </w:t>
      </w:r>
      <w:r w:rsidR="00DE441D">
        <w:t>that offered views on instruments and arrangements</w:t>
      </w:r>
      <w:r w:rsidR="00364E3C">
        <w:t>, and note changes made to the instruments</w:t>
      </w:r>
      <w:r w:rsidR="00DF2A3B">
        <w:t>.</w:t>
      </w:r>
      <w:r w:rsidR="00BE531F">
        <w:t xml:space="preserve"> </w:t>
      </w:r>
      <w:r w:rsidR="007C47F0">
        <w:t xml:space="preserve">The outcomes of the review are </w:t>
      </w:r>
      <w:r w:rsidR="007A6B36">
        <w:t>also summarise</w:t>
      </w:r>
      <w:r w:rsidR="007C47F0">
        <w:t>d.</w:t>
      </w:r>
    </w:p>
    <w:p w14:paraId="672F9C91" w14:textId="77777777" w:rsidR="005B6B4F" w:rsidRDefault="005B6B4F" w:rsidP="003253EE">
      <w:pPr>
        <w:pStyle w:val="Paragraph"/>
      </w:pPr>
    </w:p>
    <w:p w14:paraId="46BEEBC1" w14:textId="23AABB88" w:rsidR="004D14B1" w:rsidRDefault="00FF616D" w:rsidP="002B3F9B">
      <w:pPr>
        <w:pStyle w:val="Heading1"/>
      </w:pPr>
      <w:bookmarkStart w:id="2" w:name="_Toc129255700"/>
      <w:bookmarkEnd w:id="1"/>
      <w:r>
        <w:lastRenderedPageBreak/>
        <w:t>Background:</w:t>
      </w:r>
      <w:r w:rsidR="0077336B">
        <w:t xml:space="preserve"> </w:t>
      </w:r>
      <w:r w:rsidR="004D14B1">
        <w:t>2020 consultation</w:t>
      </w:r>
      <w:bookmarkEnd w:id="2"/>
      <w:r w:rsidR="004D14B1">
        <w:t xml:space="preserve"> </w:t>
      </w:r>
    </w:p>
    <w:p w14:paraId="4DE532C2" w14:textId="23B878EF" w:rsidR="0068438C" w:rsidRPr="001E2862" w:rsidRDefault="0068438C" w:rsidP="001E2862">
      <w:pPr>
        <w:pStyle w:val="Paragraphbeforelist"/>
      </w:pPr>
      <w:r w:rsidRPr="001E2862">
        <w:t>We received 2</w:t>
      </w:r>
      <w:r w:rsidR="00247235">
        <w:t>6</w:t>
      </w:r>
      <w:r w:rsidRPr="001E2862">
        <w:t xml:space="preserve"> submissions to the issues paper we released in May 2020</w:t>
      </w:r>
      <w:r w:rsidR="0077336B">
        <w:t>,</w:t>
      </w:r>
      <w:r w:rsidRPr="001E2862">
        <w:t xml:space="preserve"> from:</w:t>
      </w:r>
    </w:p>
    <w:p w14:paraId="6CD90887" w14:textId="77777777" w:rsidR="0068438C" w:rsidRPr="0044660E" w:rsidRDefault="0068438C" w:rsidP="0068438C">
      <w:pPr>
        <w:pStyle w:val="ListBullet"/>
        <w:keepNext/>
        <w:keepLines/>
      </w:pPr>
      <w:r w:rsidRPr="0044660E">
        <w:t>Aeromobile</w:t>
      </w:r>
    </w:p>
    <w:p w14:paraId="5D290AE4" w14:textId="77777777" w:rsidR="0068438C" w:rsidRPr="0044660E" w:rsidRDefault="0068438C" w:rsidP="0068438C">
      <w:pPr>
        <w:pStyle w:val="ListBullet"/>
        <w:keepNext/>
        <w:keepLines/>
      </w:pPr>
      <w:r w:rsidRPr="0044660E">
        <w:t xml:space="preserve">Australian Border Force </w:t>
      </w:r>
    </w:p>
    <w:p w14:paraId="0A93C3BE" w14:textId="1DD64EA4" w:rsidR="0068438C" w:rsidRPr="0044660E" w:rsidRDefault="0068438C" w:rsidP="0068438C">
      <w:pPr>
        <w:pStyle w:val="ListBullet"/>
        <w:keepNext/>
        <w:keepLines/>
      </w:pPr>
      <w:r w:rsidRPr="0044660E">
        <w:t>Australian Federal Police</w:t>
      </w:r>
      <w:r w:rsidR="0077336B">
        <w:t xml:space="preserve"> (AFP)</w:t>
      </w:r>
    </w:p>
    <w:p w14:paraId="61C90D9D" w14:textId="77777777" w:rsidR="0068438C" w:rsidRPr="0044660E" w:rsidRDefault="0068438C" w:rsidP="0068438C">
      <w:pPr>
        <w:pStyle w:val="ListBullet"/>
        <w:keepNext/>
        <w:keepLines/>
      </w:pPr>
      <w:r w:rsidRPr="0044660E">
        <w:t>Australian Maritime Safety Authority</w:t>
      </w:r>
    </w:p>
    <w:p w14:paraId="791C25B6" w14:textId="10565111" w:rsidR="0068438C" w:rsidRPr="0044660E" w:rsidRDefault="0068438C" w:rsidP="0068438C">
      <w:pPr>
        <w:pStyle w:val="ListBullet"/>
        <w:keepNext/>
        <w:keepLines/>
      </w:pPr>
      <w:r w:rsidRPr="0044660E">
        <w:t>Australian Mobile Telecommunications Association</w:t>
      </w:r>
      <w:r w:rsidR="0077336B">
        <w:t xml:space="preserve"> (AMTA)</w:t>
      </w:r>
      <w:r w:rsidRPr="0044660E">
        <w:t>/Communications Alliance (joint</w:t>
      </w:r>
      <w:r w:rsidR="00BE531F">
        <w:t> </w:t>
      </w:r>
      <w:r w:rsidRPr="0044660E">
        <w:t>submission)</w:t>
      </w:r>
    </w:p>
    <w:p w14:paraId="47DFA39D" w14:textId="77777777" w:rsidR="0068438C" w:rsidRPr="0044660E" w:rsidRDefault="0068438C" w:rsidP="0068438C">
      <w:pPr>
        <w:pStyle w:val="ListBullet"/>
      </w:pPr>
      <w:r w:rsidRPr="0044660E">
        <w:t>Australia-New Zealand Counter-Terrorism Committee</w:t>
      </w:r>
    </w:p>
    <w:p w14:paraId="69949879" w14:textId="77777777" w:rsidR="0068438C" w:rsidRPr="0044660E" w:rsidRDefault="0068438C" w:rsidP="0068438C">
      <w:pPr>
        <w:pStyle w:val="ListBullet"/>
      </w:pPr>
      <w:r w:rsidRPr="0044660E">
        <w:t>Australian Radio Communications Industry Association</w:t>
      </w:r>
    </w:p>
    <w:p w14:paraId="04AA3D04" w14:textId="77777777" w:rsidR="0068438C" w:rsidRDefault="0068438C" w:rsidP="0068438C">
      <w:pPr>
        <w:pStyle w:val="ListBullet"/>
      </w:pPr>
      <w:r w:rsidRPr="0044660E">
        <w:t>Australian Railway Association</w:t>
      </w:r>
    </w:p>
    <w:p w14:paraId="0562EFE3" w14:textId="1B29B612" w:rsidR="00C478C6" w:rsidRDefault="00C478C6" w:rsidP="0068438C">
      <w:pPr>
        <w:pStyle w:val="ListBullet"/>
      </w:pPr>
      <w:r>
        <w:t>Austroads</w:t>
      </w:r>
    </w:p>
    <w:p w14:paraId="7F8041F5" w14:textId="4B61EFEA" w:rsidR="00C478C6" w:rsidRPr="0044660E" w:rsidRDefault="00C478C6" w:rsidP="0068438C">
      <w:pPr>
        <w:pStyle w:val="ListBullet"/>
      </w:pPr>
      <w:proofErr w:type="spellStart"/>
      <w:r>
        <w:t>ConnectEast</w:t>
      </w:r>
      <w:proofErr w:type="spellEnd"/>
    </w:p>
    <w:p w14:paraId="11F37AE1" w14:textId="77777777" w:rsidR="0068438C" w:rsidRPr="0044660E" w:rsidRDefault="0068438C" w:rsidP="0068438C">
      <w:pPr>
        <w:pStyle w:val="ListBullet"/>
      </w:pPr>
      <w:r w:rsidRPr="0044660E">
        <w:t>Corrective Services New South Wales</w:t>
      </w:r>
    </w:p>
    <w:p w14:paraId="44BDB499" w14:textId="77777777" w:rsidR="0068438C" w:rsidRPr="0044660E" w:rsidRDefault="0068438C" w:rsidP="0068438C">
      <w:pPr>
        <w:pStyle w:val="ListBullet"/>
      </w:pPr>
      <w:r w:rsidRPr="0044660E">
        <w:t>Department of Defence</w:t>
      </w:r>
    </w:p>
    <w:p w14:paraId="3CC62786" w14:textId="77777777" w:rsidR="0068438C" w:rsidRPr="0044660E" w:rsidRDefault="0068438C" w:rsidP="0068438C">
      <w:pPr>
        <w:pStyle w:val="ListBullet"/>
      </w:pPr>
      <w:r w:rsidRPr="0044660E">
        <w:t>DroneShield</w:t>
      </w:r>
    </w:p>
    <w:p w14:paraId="18E726A2" w14:textId="77777777" w:rsidR="0068438C" w:rsidRDefault="0068438C" w:rsidP="0068438C">
      <w:pPr>
        <w:pStyle w:val="ListBullet"/>
      </w:pPr>
      <w:r w:rsidRPr="0044660E">
        <w:t>Fire and Rescue New South Wales</w:t>
      </w:r>
    </w:p>
    <w:p w14:paraId="70230C3D" w14:textId="15C8E218" w:rsidR="00C1421E" w:rsidRDefault="00C1421E" w:rsidP="0068438C">
      <w:pPr>
        <w:pStyle w:val="ListBullet"/>
      </w:pPr>
      <w:r>
        <w:t>ITS Australia</w:t>
      </w:r>
    </w:p>
    <w:p w14:paraId="472E8ACA" w14:textId="1281835F" w:rsidR="00247235" w:rsidRPr="0044660E" w:rsidRDefault="00247235" w:rsidP="0068438C">
      <w:pPr>
        <w:pStyle w:val="ListBullet"/>
      </w:pPr>
      <w:r>
        <w:t>NSW Police Force</w:t>
      </w:r>
    </w:p>
    <w:p w14:paraId="76C1DE5A" w14:textId="77777777" w:rsidR="0068438C" w:rsidRDefault="0068438C" w:rsidP="0068438C">
      <w:pPr>
        <w:pStyle w:val="ListBullet"/>
      </w:pPr>
      <w:r w:rsidRPr="0044660E">
        <w:t xml:space="preserve">NSW Telco Authority </w:t>
      </w:r>
    </w:p>
    <w:p w14:paraId="0C4D405C" w14:textId="1185CA88" w:rsidR="00C1421E" w:rsidRPr="0044660E" w:rsidRDefault="00C1421E" w:rsidP="0068438C">
      <w:pPr>
        <w:pStyle w:val="ListBullet"/>
      </w:pPr>
      <w:r>
        <w:t>North East Link Project</w:t>
      </w:r>
    </w:p>
    <w:p w14:paraId="067C2A2B" w14:textId="77777777" w:rsidR="0068438C" w:rsidRPr="0044660E" w:rsidRDefault="0068438C" w:rsidP="0068438C">
      <w:pPr>
        <w:pStyle w:val="ListBullet"/>
      </w:pPr>
      <w:r w:rsidRPr="0044660E">
        <w:t>Optus</w:t>
      </w:r>
    </w:p>
    <w:p w14:paraId="646A76AE" w14:textId="77777777" w:rsidR="0068438C" w:rsidRPr="0044660E" w:rsidRDefault="0068438C" w:rsidP="0068438C">
      <w:pPr>
        <w:pStyle w:val="ListBullet"/>
      </w:pPr>
      <w:r w:rsidRPr="0044660E">
        <w:t>RFI</w:t>
      </w:r>
    </w:p>
    <w:p w14:paraId="6357E0DA" w14:textId="77777777" w:rsidR="0068438C" w:rsidRDefault="0068438C" w:rsidP="0068438C">
      <w:pPr>
        <w:pStyle w:val="ListBullet"/>
      </w:pPr>
      <w:r w:rsidRPr="0044660E">
        <w:t>Step Global</w:t>
      </w:r>
    </w:p>
    <w:p w14:paraId="5CF07A38" w14:textId="7B1D3F4D" w:rsidR="00247235" w:rsidRPr="0044660E" w:rsidRDefault="00247235" w:rsidP="0068438C">
      <w:pPr>
        <w:pStyle w:val="ListBullet"/>
      </w:pPr>
      <w:r>
        <w:t>Telstra</w:t>
      </w:r>
    </w:p>
    <w:p w14:paraId="3D59FDC3" w14:textId="77777777" w:rsidR="0068438C" w:rsidRPr="0044660E" w:rsidRDefault="0068438C" w:rsidP="0068438C">
      <w:pPr>
        <w:pStyle w:val="ListBullet"/>
      </w:pPr>
      <w:r w:rsidRPr="0044660E">
        <w:t>Transport for New South Wales</w:t>
      </w:r>
    </w:p>
    <w:p w14:paraId="4068F144" w14:textId="77777777" w:rsidR="0068438C" w:rsidRPr="0044660E" w:rsidRDefault="0068438C" w:rsidP="0068438C">
      <w:pPr>
        <w:pStyle w:val="ListBullet"/>
      </w:pPr>
      <w:r w:rsidRPr="0044660E">
        <w:t>Transurban</w:t>
      </w:r>
    </w:p>
    <w:p w14:paraId="14FC85DD" w14:textId="77777777" w:rsidR="0068438C" w:rsidRPr="0044660E" w:rsidRDefault="0068438C" w:rsidP="0068438C">
      <w:pPr>
        <w:pStyle w:val="ListBullet"/>
      </w:pPr>
      <w:r w:rsidRPr="0044660E">
        <w:t>University of Melbourne</w:t>
      </w:r>
    </w:p>
    <w:p w14:paraId="7BB073BC" w14:textId="48A06EE7" w:rsidR="00095541" w:rsidRDefault="0068438C" w:rsidP="003253EE">
      <w:pPr>
        <w:pStyle w:val="ListBulletLast"/>
      </w:pPr>
      <w:proofErr w:type="spellStart"/>
      <w:r w:rsidRPr="0044660E">
        <w:t>Vicom</w:t>
      </w:r>
      <w:proofErr w:type="spellEnd"/>
      <w:r w:rsidRPr="0044660E">
        <w:t>.</w:t>
      </w:r>
      <w:bookmarkStart w:id="3" w:name="_Hlk26868779"/>
    </w:p>
    <w:p w14:paraId="43FC58A1" w14:textId="69D9C39C" w:rsidR="00095541" w:rsidRDefault="00095541" w:rsidP="00095541">
      <w:pPr>
        <w:pStyle w:val="Paragraph"/>
      </w:pPr>
      <w:r>
        <w:t xml:space="preserve">Stakeholders broadly agreed that the framework </w:t>
      </w:r>
      <w:r w:rsidR="0076458E">
        <w:t xml:space="preserve">was </w:t>
      </w:r>
      <w:r>
        <w:t xml:space="preserve">essential and performing well. </w:t>
      </w:r>
      <w:r w:rsidR="00C07049">
        <w:t>They</w:t>
      </w:r>
      <w:r w:rsidR="00443E61">
        <w:t xml:space="preserve"> recognised that exemptions play an important role in the overall radiocommunications regulatory framework and enable policy outcomes in other portfolios. </w:t>
      </w:r>
      <w:r>
        <w:t xml:space="preserve">Most submissions expressed the view that the framework could be more flexible and facilitate a wider range of devices and activities by the public and private sectors. </w:t>
      </w:r>
    </w:p>
    <w:p w14:paraId="42E0DF5F" w14:textId="77777777" w:rsidR="00095541" w:rsidRDefault="00095541" w:rsidP="00095541">
      <w:pPr>
        <w:pStyle w:val="Paragraph"/>
      </w:pPr>
      <w:r>
        <w:t xml:space="preserve">Some stakeholders noted that the existing permanent bans were precluding use of some devices that should not be banned. However, stakeholders also reinforced that the banned equipment regime is very important in keeping disruptive equipment out of the supply chain. They urged that any changes should be carefully considered. </w:t>
      </w:r>
    </w:p>
    <w:p w14:paraId="49601976" w14:textId="71B006DF" w:rsidR="00E30A2C" w:rsidRDefault="00095541" w:rsidP="00095541">
      <w:pPr>
        <w:pStyle w:val="Paragraph"/>
      </w:pPr>
      <w:r>
        <w:t xml:space="preserve">Some stakeholders </w:t>
      </w:r>
      <w:r w:rsidR="006C51B2">
        <w:t>submitted</w:t>
      </w:r>
      <w:r>
        <w:t xml:space="preserve"> that exemptions can be rigid in their construction, and that the legislative instrument-making process does not allow for new exemptions, or changes to existing exemptions, to be made in a timely manner. </w:t>
      </w:r>
    </w:p>
    <w:p w14:paraId="3357FA6D" w14:textId="3BD87B13" w:rsidR="00E30A2C" w:rsidRDefault="00095541" w:rsidP="00095541">
      <w:pPr>
        <w:pStyle w:val="Paragraph"/>
      </w:pPr>
      <w:r>
        <w:lastRenderedPageBreak/>
        <w:t xml:space="preserve">Some stakeholders suggested that permanent bans could remain more or less as they are. They believed we could instead use exemptions more frequently to facilitate specific uses of </w:t>
      </w:r>
      <w:r w:rsidR="00ED581F">
        <w:t xml:space="preserve">radiocommunications devices </w:t>
      </w:r>
      <w:r>
        <w:t xml:space="preserve">that could notionally be authorised under the </w:t>
      </w:r>
      <w:r w:rsidR="00ED581F">
        <w:t>Radiocommunications</w:t>
      </w:r>
      <w:r w:rsidR="00BC5CAA">
        <w:t xml:space="preserve"> Act’s </w:t>
      </w:r>
      <w:r>
        <w:t xml:space="preserve">licensing </w:t>
      </w:r>
      <w:r w:rsidR="00BC5CAA">
        <w:t xml:space="preserve">regime </w:t>
      </w:r>
      <w:r>
        <w:t xml:space="preserve">but would be better off overall remaining banned. </w:t>
      </w:r>
    </w:p>
    <w:p w14:paraId="455EC3A0" w14:textId="0C62052B" w:rsidR="002B3F9B" w:rsidRDefault="00095541" w:rsidP="00DD6ACF">
      <w:pPr>
        <w:pStyle w:val="Paragraph"/>
      </w:pPr>
      <w:r>
        <w:t>Other stakeholders submitted that exemptions should be used sparingly and, where they are used, contain a high level of transparency.</w:t>
      </w:r>
      <w:r w:rsidR="00DD6ACF">
        <w:t xml:space="preserve"> </w:t>
      </w:r>
      <w:r>
        <w:t xml:space="preserve">These submissions informed our </w:t>
      </w:r>
      <w:r w:rsidR="00DC1F3E">
        <w:t>policy approach and preparation of draft instruments.</w:t>
      </w:r>
    </w:p>
    <w:p w14:paraId="54C4FDFB" w14:textId="77777777" w:rsidR="00BC4F32" w:rsidRDefault="00BC4F32" w:rsidP="00BC4F32"/>
    <w:p w14:paraId="24618553" w14:textId="77777777" w:rsidR="00BC4F32" w:rsidRDefault="00BC4F32" w:rsidP="00BC4F32"/>
    <w:p w14:paraId="173BE14A" w14:textId="0266A38B" w:rsidR="00BC4F32" w:rsidRDefault="00BC4F32" w:rsidP="00BC4F32">
      <w:pPr>
        <w:pStyle w:val="Heading1"/>
      </w:pPr>
      <w:bookmarkStart w:id="4" w:name="_Toc129255701"/>
      <w:r w:rsidRPr="00BC4F32">
        <w:lastRenderedPageBreak/>
        <w:t>Response to submissions to the July 2022 consultation</w:t>
      </w:r>
      <w:bookmarkEnd w:id="4"/>
    </w:p>
    <w:p w14:paraId="0E9E1D57" w14:textId="529E7C05" w:rsidR="0086559B" w:rsidRDefault="0086559B" w:rsidP="001E2862">
      <w:pPr>
        <w:pStyle w:val="Paragraphbeforelist"/>
      </w:pPr>
      <w:r>
        <w:t xml:space="preserve">We received </w:t>
      </w:r>
      <w:r w:rsidR="00D96505">
        <w:t xml:space="preserve">8 </w:t>
      </w:r>
      <w:r>
        <w:t xml:space="preserve">submissions </w:t>
      </w:r>
      <w:r w:rsidR="00D96505">
        <w:t>to our July</w:t>
      </w:r>
      <w:r w:rsidR="00E06C79">
        <w:t xml:space="preserve"> 2022 consultation paper on draft instruments and </w:t>
      </w:r>
      <w:r w:rsidR="000236BA">
        <w:t xml:space="preserve">proposed </w:t>
      </w:r>
      <w:r w:rsidR="00E06C79">
        <w:t>new arrangements for the framework.</w:t>
      </w:r>
      <w:r w:rsidR="001E2862">
        <w:t xml:space="preserve"> </w:t>
      </w:r>
      <w:r w:rsidR="00E06C79">
        <w:t>We received submissions</w:t>
      </w:r>
      <w:r w:rsidR="00D96505">
        <w:t xml:space="preserve"> </w:t>
      </w:r>
      <w:r>
        <w:t>from</w:t>
      </w:r>
      <w:r w:rsidR="00A928DF">
        <w:t>:</w:t>
      </w:r>
    </w:p>
    <w:p w14:paraId="4F847935" w14:textId="27AABEB3" w:rsidR="0086559B" w:rsidRDefault="0038201F" w:rsidP="0063398B">
      <w:pPr>
        <w:pStyle w:val="Bulletlevel1"/>
      </w:pPr>
      <w:r>
        <w:t xml:space="preserve">Airservices Australia </w:t>
      </w:r>
    </w:p>
    <w:p w14:paraId="6FFF2A4F" w14:textId="2508B757" w:rsidR="0063398B" w:rsidRDefault="00BC5CAA" w:rsidP="0063398B">
      <w:pPr>
        <w:pStyle w:val="Bulletlevel1"/>
      </w:pPr>
      <w:r>
        <w:t>AFP</w:t>
      </w:r>
    </w:p>
    <w:p w14:paraId="1440E7CA" w14:textId="552D43FA" w:rsidR="0063398B" w:rsidRDefault="0063398B" w:rsidP="0063398B">
      <w:pPr>
        <w:pStyle w:val="Bulletlevel1"/>
      </w:pPr>
      <w:r>
        <w:t>A</w:t>
      </w:r>
      <w:r w:rsidR="00BC5CAA">
        <w:t>MTA</w:t>
      </w:r>
    </w:p>
    <w:p w14:paraId="38CF9782" w14:textId="0824F07A" w:rsidR="0063398B" w:rsidRDefault="0063398B" w:rsidP="0063398B">
      <w:pPr>
        <w:pStyle w:val="Bulletlevel1"/>
      </w:pPr>
      <w:r>
        <w:t>Department 13</w:t>
      </w:r>
    </w:p>
    <w:p w14:paraId="47A890C0" w14:textId="4A6D5D08" w:rsidR="0063398B" w:rsidRDefault="0063398B" w:rsidP="0063398B">
      <w:pPr>
        <w:pStyle w:val="Bulletlevel1"/>
      </w:pPr>
      <w:r>
        <w:t>DroneShield</w:t>
      </w:r>
    </w:p>
    <w:p w14:paraId="39155909" w14:textId="518712F7" w:rsidR="0063398B" w:rsidRDefault="0063398B" w:rsidP="0063398B">
      <w:pPr>
        <w:pStyle w:val="Bulletlevel1"/>
      </w:pPr>
      <w:r>
        <w:t>Optus</w:t>
      </w:r>
    </w:p>
    <w:p w14:paraId="0CE0B827" w14:textId="2BCF1458" w:rsidR="0063398B" w:rsidRDefault="0063398B" w:rsidP="0063398B">
      <w:pPr>
        <w:pStyle w:val="Bulletlevel1"/>
      </w:pPr>
      <w:r>
        <w:t>Telstra</w:t>
      </w:r>
    </w:p>
    <w:p w14:paraId="0104B5E6" w14:textId="1CFEDF87" w:rsidR="0063398B" w:rsidRDefault="0063398B" w:rsidP="00717CC2">
      <w:pPr>
        <w:pStyle w:val="ListBulletLast"/>
      </w:pPr>
      <w:r>
        <w:t>TPG Telecom</w:t>
      </w:r>
      <w:r w:rsidR="00A928DF">
        <w:t>.</w:t>
      </w:r>
    </w:p>
    <w:p w14:paraId="43EA63FA" w14:textId="03EE0662" w:rsidR="00E71796" w:rsidRDefault="00F74CF1" w:rsidP="00F74CF1">
      <w:pPr>
        <w:pStyle w:val="Paragraph"/>
      </w:pPr>
      <w:r>
        <w:t>S</w:t>
      </w:r>
      <w:r w:rsidR="00F80039">
        <w:t>ubmissions that were not made in confidence are published on our website.</w:t>
      </w:r>
    </w:p>
    <w:p w14:paraId="64DAB340" w14:textId="3C537588" w:rsidR="000236BA" w:rsidRDefault="000236BA" w:rsidP="00F74CF1">
      <w:pPr>
        <w:pStyle w:val="Paragraph"/>
      </w:pPr>
      <w:r>
        <w:t xml:space="preserve">The following chapters </w:t>
      </w:r>
      <w:r w:rsidR="009A0AE7">
        <w:t>summarise and respond to submissions received to the</w:t>
      </w:r>
      <w:r w:rsidR="0012564C">
        <w:t xml:space="preserve"> July</w:t>
      </w:r>
      <w:r w:rsidR="009A0AE7">
        <w:t xml:space="preserve"> 2022 </w:t>
      </w:r>
      <w:r w:rsidR="0034653C">
        <w:t>consultation</w:t>
      </w:r>
      <w:r w:rsidR="009A0AE7">
        <w:t>.</w:t>
      </w:r>
    </w:p>
    <w:p w14:paraId="66752DA4" w14:textId="6C3FD259" w:rsidR="00F80039" w:rsidRDefault="00F80039" w:rsidP="00F74CF1">
      <w:pPr>
        <w:pStyle w:val="Paragraph"/>
      </w:pPr>
    </w:p>
    <w:p w14:paraId="5D493F38" w14:textId="09C12CF1" w:rsidR="009A00ED" w:rsidRDefault="009A00ED" w:rsidP="00CE2715">
      <w:pPr>
        <w:pStyle w:val="Heading1"/>
      </w:pPr>
      <w:bookmarkStart w:id="5" w:name="_Toc129255702"/>
      <w:r>
        <w:lastRenderedPageBreak/>
        <w:t>O</w:t>
      </w:r>
      <w:r w:rsidRPr="001867F1">
        <w:t>verall policy approach and regulatory environment</w:t>
      </w:r>
      <w:bookmarkEnd w:id="5"/>
    </w:p>
    <w:p w14:paraId="7F78FF88" w14:textId="3453B275" w:rsidR="009A00ED" w:rsidRDefault="00F519E4" w:rsidP="009A00ED">
      <w:r>
        <w:rPr>
          <w:rFonts w:cs="Arial"/>
        </w:rPr>
        <w:t>P</w:t>
      </w:r>
      <w:r w:rsidR="009A00ED">
        <w:rPr>
          <w:rFonts w:cs="Arial"/>
        </w:rPr>
        <w:t xml:space="preserve">ermanent bans protect consumers, businesses, and network and service providers from the </w:t>
      </w:r>
      <w:r w:rsidR="009A00ED" w:rsidRPr="00A76E90">
        <w:rPr>
          <w:rFonts w:cs="Arial"/>
        </w:rPr>
        <w:t xml:space="preserve">potentially adverse effects of </w:t>
      </w:r>
      <w:r w:rsidR="009A00ED">
        <w:rPr>
          <w:rFonts w:cs="Arial"/>
        </w:rPr>
        <w:t>equipment</w:t>
      </w:r>
      <w:r w:rsidR="009A00ED" w:rsidRPr="00A76E90">
        <w:rPr>
          <w:rFonts w:cs="Arial"/>
        </w:rPr>
        <w:t xml:space="preserve"> designed to cause interference to radiocommunications</w:t>
      </w:r>
      <w:r w:rsidR="009A00ED">
        <w:rPr>
          <w:rFonts w:cs="Arial"/>
        </w:rPr>
        <w:t xml:space="preserve">. </w:t>
      </w:r>
    </w:p>
    <w:p w14:paraId="5FEFF911" w14:textId="77777777" w:rsidR="009A00ED" w:rsidRPr="008556D2" w:rsidRDefault="009A00ED" w:rsidP="009A00ED">
      <w:pPr>
        <w:rPr>
          <w:rFonts w:cs="Arial"/>
        </w:rPr>
      </w:pPr>
      <w:r w:rsidRPr="008556D2">
        <w:rPr>
          <w:rFonts w:cs="Arial"/>
        </w:rPr>
        <w:t xml:space="preserve">In approaching the review, we </w:t>
      </w:r>
      <w:r>
        <w:rPr>
          <w:rFonts w:cs="Arial"/>
        </w:rPr>
        <w:t xml:space="preserve">considered </w:t>
      </w:r>
      <w:r w:rsidRPr="008556D2">
        <w:rPr>
          <w:rFonts w:cs="Arial"/>
        </w:rPr>
        <w:t xml:space="preserve">the object of the Act. We </w:t>
      </w:r>
      <w:r>
        <w:rPr>
          <w:rFonts w:cs="Arial"/>
        </w:rPr>
        <w:t>looked at</w:t>
      </w:r>
      <w:r w:rsidRPr="008556D2">
        <w:rPr>
          <w:rFonts w:cs="Arial"/>
        </w:rPr>
        <w:t xml:space="preserve"> how the framework and specific instruments could promote the long</w:t>
      </w:r>
      <w:r w:rsidRPr="008556D2">
        <w:rPr>
          <w:rFonts w:cs="Arial"/>
        </w:rPr>
        <w:noBreakHyphen/>
        <w:t>term public interest from use of the spectrum.</w:t>
      </w:r>
    </w:p>
    <w:p w14:paraId="1432FA56" w14:textId="6B3BC639" w:rsidR="009A00ED" w:rsidRDefault="00407D4A" w:rsidP="009A00ED">
      <w:pPr>
        <w:rPr>
          <w:rFonts w:cs="Arial"/>
        </w:rPr>
      </w:pPr>
      <w:r>
        <w:rPr>
          <w:rFonts w:cs="Arial"/>
        </w:rPr>
        <w:t>For</w:t>
      </w:r>
      <w:r w:rsidR="009A00ED">
        <w:rPr>
          <w:rFonts w:cs="Arial"/>
        </w:rPr>
        <w:t xml:space="preserve"> banned equipment, we considered that</w:t>
      </w:r>
      <w:r w:rsidR="0051712B">
        <w:rPr>
          <w:rFonts w:cs="Arial"/>
        </w:rPr>
        <w:t>,</w:t>
      </w:r>
      <w:r w:rsidR="009A00ED">
        <w:rPr>
          <w:rFonts w:cs="Arial"/>
        </w:rPr>
        <w:t xml:space="preserve"> a</w:t>
      </w:r>
      <w:r w:rsidR="009A00ED" w:rsidRPr="008556D2">
        <w:rPr>
          <w:rFonts w:cs="Arial"/>
        </w:rPr>
        <w:t xml:space="preserve">lthough access to and operation of banned </w:t>
      </w:r>
      <w:r w:rsidR="009A00ED">
        <w:rPr>
          <w:rFonts w:cs="Arial"/>
        </w:rPr>
        <w:t xml:space="preserve">equipment </w:t>
      </w:r>
      <w:r w:rsidR="009A00ED" w:rsidRPr="008556D2">
        <w:rPr>
          <w:rFonts w:cs="Arial"/>
        </w:rPr>
        <w:t xml:space="preserve">is incompatible with many aspects of the Act, it </w:t>
      </w:r>
      <w:r w:rsidR="009A00ED">
        <w:rPr>
          <w:rFonts w:cs="Arial"/>
        </w:rPr>
        <w:t>facilitates</w:t>
      </w:r>
      <w:r w:rsidR="009A00ED" w:rsidRPr="008556D2">
        <w:rPr>
          <w:rFonts w:cs="Arial"/>
        </w:rPr>
        <w:t xml:space="preserve"> use of the spectrum for non-commercial purposes</w:t>
      </w:r>
      <w:r w:rsidR="00203019">
        <w:rPr>
          <w:rFonts w:cs="Arial"/>
        </w:rPr>
        <w:t>. These include</w:t>
      </w:r>
      <w:r w:rsidR="009A00ED">
        <w:rPr>
          <w:rFonts w:cs="Arial"/>
        </w:rPr>
        <w:t xml:space="preserve"> </w:t>
      </w:r>
      <w:r w:rsidR="009A00ED" w:rsidRPr="008556D2">
        <w:rPr>
          <w:rFonts w:cs="Arial"/>
        </w:rPr>
        <w:t xml:space="preserve">defence, national security </w:t>
      </w:r>
      <w:r w:rsidR="009A00ED">
        <w:rPr>
          <w:rFonts w:cs="Arial"/>
        </w:rPr>
        <w:t xml:space="preserve">and </w:t>
      </w:r>
      <w:r w:rsidR="009A00ED" w:rsidRPr="008556D2">
        <w:rPr>
          <w:rFonts w:cs="Arial"/>
        </w:rPr>
        <w:t xml:space="preserve">public safety. </w:t>
      </w:r>
      <w:r w:rsidR="009A00ED">
        <w:rPr>
          <w:rFonts w:cs="Arial"/>
        </w:rPr>
        <w:t>We also considered how access to banned equipment could promote commercial use of the spectrum, which has historically not been a feature of the framework.</w:t>
      </w:r>
    </w:p>
    <w:p w14:paraId="02BA8412" w14:textId="77777777" w:rsidR="009A00ED" w:rsidRPr="008556D2" w:rsidRDefault="009A00ED" w:rsidP="009A00ED">
      <w:pPr>
        <w:rPr>
          <w:rFonts w:cs="Arial"/>
        </w:rPr>
      </w:pPr>
      <w:r>
        <w:rPr>
          <w:rFonts w:cs="Arial"/>
        </w:rPr>
        <w:t>We noted that e</w:t>
      </w:r>
      <w:r w:rsidRPr="008556D2">
        <w:rPr>
          <w:rFonts w:cs="Arial"/>
        </w:rPr>
        <w:t>xemptions that support law enforcement facilitate use of the spectrum for non-commercial, publicly beneficial outcomes</w:t>
      </w:r>
      <w:r>
        <w:rPr>
          <w:rFonts w:cs="Arial"/>
        </w:rPr>
        <w:t>. We weighed up how we could enhance the exemptions regime in ways that would assist law enforcement in delivering those outcomes.</w:t>
      </w:r>
      <w:r w:rsidRPr="008556D2">
        <w:rPr>
          <w:rFonts w:cs="Arial"/>
        </w:rPr>
        <w:t xml:space="preserve"> </w:t>
      </w:r>
    </w:p>
    <w:p w14:paraId="48695D50" w14:textId="6C203C7B" w:rsidR="009A00ED" w:rsidRDefault="009A00ED" w:rsidP="009A00ED">
      <w:pPr>
        <w:rPr>
          <w:rFonts w:cs="Arial"/>
        </w:rPr>
      </w:pPr>
      <w:r>
        <w:rPr>
          <w:rFonts w:cs="Arial"/>
        </w:rPr>
        <w:t>We also considered that, w</w:t>
      </w:r>
      <w:r w:rsidRPr="008556D2">
        <w:rPr>
          <w:rFonts w:cs="Arial"/>
        </w:rPr>
        <w:t xml:space="preserve">here possible, </w:t>
      </w:r>
      <w:r>
        <w:rPr>
          <w:rFonts w:cs="Arial"/>
        </w:rPr>
        <w:t>the framework should help promote national innovation and industry development</w:t>
      </w:r>
      <w:r w:rsidR="002B3DF4">
        <w:rPr>
          <w:rFonts w:cs="Arial"/>
        </w:rPr>
        <w:t>,</w:t>
      </w:r>
      <w:r>
        <w:rPr>
          <w:rFonts w:cs="Arial"/>
        </w:rPr>
        <w:t xml:space="preserve"> and </w:t>
      </w:r>
      <w:r w:rsidRPr="008556D2">
        <w:rPr>
          <w:rFonts w:cs="Arial"/>
        </w:rPr>
        <w:t xml:space="preserve">align </w:t>
      </w:r>
      <w:r>
        <w:rPr>
          <w:rFonts w:cs="Arial"/>
        </w:rPr>
        <w:t>with national priorities relating to domestic manufacturing and exports</w:t>
      </w:r>
      <w:r w:rsidRPr="008556D2">
        <w:rPr>
          <w:rFonts w:cs="Arial"/>
        </w:rPr>
        <w:t>.</w:t>
      </w:r>
    </w:p>
    <w:p w14:paraId="3B62589F" w14:textId="4E003E61" w:rsidR="001E3598" w:rsidRPr="00AF3549" w:rsidRDefault="001E3598" w:rsidP="00AF3549">
      <w:pPr>
        <w:pStyle w:val="Paragraphbeforelist"/>
      </w:pPr>
      <w:r w:rsidRPr="00AF3549">
        <w:t xml:space="preserve">Our overall approach to implementing the </w:t>
      </w:r>
      <w:r w:rsidR="00E21862" w:rsidRPr="00AF3549">
        <w:t xml:space="preserve">reviewed </w:t>
      </w:r>
      <w:r w:rsidRPr="00AF3549">
        <w:t>permanent ban regime has been to:</w:t>
      </w:r>
    </w:p>
    <w:p w14:paraId="46EE8E4C" w14:textId="156A918E" w:rsidR="001E3598" w:rsidRPr="00661182" w:rsidRDefault="001E3598" w:rsidP="001E3598">
      <w:pPr>
        <w:pStyle w:val="ListBullet"/>
        <w:rPr>
          <w:bCs/>
          <w:color w:val="000000" w:themeColor="text1"/>
        </w:rPr>
      </w:pPr>
      <w:r>
        <w:t xml:space="preserve">continue to ban equipment that is designed to interfere with socially, economically and strategically critical radiocommunications services – </w:t>
      </w:r>
      <w:r w:rsidR="00633E52">
        <w:t>that is</w:t>
      </w:r>
      <w:r>
        <w:t xml:space="preserve">, </w:t>
      </w:r>
      <w:r w:rsidR="00BB07DB">
        <w:t>publ</w:t>
      </w:r>
      <w:r w:rsidR="00D44591">
        <w:t>ic mobile telecommunications service</w:t>
      </w:r>
      <w:r w:rsidR="002D73B5">
        <w:t>s</w:t>
      </w:r>
      <w:r w:rsidR="00D44591">
        <w:t xml:space="preserve"> (</w:t>
      </w:r>
      <w:r>
        <w:t>PMTS</w:t>
      </w:r>
      <w:r w:rsidR="00D44591">
        <w:t>)</w:t>
      </w:r>
      <w:r>
        <w:t xml:space="preserve"> and </w:t>
      </w:r>
      <w:r w:rsidR="00D44591">
        <w:t>the radionavigation-satellite service (</w:t>
      </w:r>
      <w:r>
        <w:t>RNSS</w:t>
      </w:r>
      <w:r w:rsidR="00D44591">
        <w:t>)</w:t>
      </w:r>
    </w:p>
    <w:p w14:paraId="48D5DED6" w14:textId="5A73145E" w:rsidR="001E3598" w:rsidRPr="00C43D40" w:rsidRDefault="001E3598" w:rsidP="001E3598">
      <w:pPr>
        <w:pStyle w:val="ListBullet"/>
        <w:rPr>
          <w:bCs/>
          <w:color w:val="000000" w:themeColor="text1"/>
        </w:rPr>
      </w:pPr>
      <w:r>
        <w:t xml:space="preserve">respond to and anticipate the prevalence of, and demand for, a new class of equipment designed to cause interference to </w:t>
      </w:r>
      <w:r w:rsidR="00C030F4">
        <w:t>w</w:t>
      </w:r>
      <w:r>
        <w:t>i-</w:t>
      </w:r>
      <w:r w:rsidR="00C030F4">
        <w:t>f</w:t>
      </w:r>
      <w:r>
        <w:t>i services and drones</w:t>
      </w:r>
    </w:p>
    <w:p w14:paraId="4FD2A0CA" w14:textId="46716073" w:rsidR="001E3598" w:rsidRPr="00351C3E" w:rsidRDefault="001E3598" w:rsidP="001E3598">
      <w:pPr>
        <w:pStyle w:val="ListBulletLast"/>
        <w:rPr>
          <w:bCs/>
          <w:color w:val="000000" w:themeColor="text1"/>
        </w:rPr>
      </w:pPr>
      <w:r>
        <w:t>target permanent bans towards equipment that is expressly designed to</w:t>
      </w:r>
      <w:r w:rsidR="009B3E11">
        <w:t xml:space="preserve"> </w:t>
      </w:r>
      <w:r w:rsidR="00D82E6F">
        <w:t>caus</w:t>
      </w:r>
      <w:r w:rsidR="00B625AE">
        <w:t>e</w:t>
      </w:r>
      <w:r>
        <w:t xml:space="preserve"> interference, rather than equipment that might only potentially cause interference if used inappropriately or in a certain context.</w:t>
      </w:r>
    </w:p>
    <w:p w14:paraId="5E6F588C" w14:textId="6661B1C9" w:rsidR="001E3598" w:rsidRDefault="001E3598" w:rsidP="001E3598">
      <w:pPr>
        <w:pStyle w:val="Paragraphbeforelist"/>
      </w:pPr>
      <w:r>
        <w:t xml:space="preserve">Our overall approach to implementing the </w:t>
      </w:r>
      <w:r w:rsidR="00E21862">
        <w:t xml:space="preserve">reviewed </w:t>
      </w:r>
      <w:r>
        <w:t>exemption regime has been to:</w:t>
      </w:r>
    </w:p>
    <w:p w14:paraId="70A4D3AA" w14:textId="0DD8FC76" w:rsidR="001E3598" w:rsidRPr="00BE6C69" w:rsidRDefault="001E3598" w:rsidP="001E3598">
      <w:pPr>
        <w:pStyle w:val="ListBullet"/>
      </w:pPr>
      <w:r>
        <w:t xml:space="preserve">use administrative powers creatively and proportionately, by making exemptions that provide for delegated decisions on operational matters, or </w:t>
      </w:r>
      <w:r w:rsidR="002D73B5">
        <w:t xml:space="preserve">by </w:t>
      </w:r>
      <w:r>
        <w:t xml:space="preserve">creating permit-like administrative arrangements </w:t>
      </w:r>
    </w:p>
    <w:p w14:paraId="7E5914AB" w14:textId="15EC5EE7" w:rsidR="001E3598" w:rsidRDefault="001E3598" w:rsidP="001E3598">
      <w:pPr>
        <w:pStyle w:val="ListBullet"/>
      </w:pPr>
      <w:r>
        <w:t xml:space="preserve">simplify conditions that have become overly complex over time, or </w:t>
      </w:r>
      <w:r w:rsidR="008D565D">
        <w:t xml:space="preserve">that </w:t>
      </w:r>
      <w:r>
        <w:t>no longer serve a practical regulatory outcome</w:t>
      </w:r>
    </w:p>
    <w:p w14:paraId="3A7AE453" w14:textId="77777777" w:rsidR="001E3598" w:rsidRDefault="001E3598" w:rsidP="001E3598">
      <w:pPr>
        <w:pStyle w:val="ListBullet"/>
      </w:pPr>
      <w:r>
        <w:t xml:space="preserve">take a risk-based approach that recognises agency expertise with banned equipment, and that closely regulates private sector access to banned equipment </w:t>
      </w:r>
    </w:p>
    <w:p w14:paraId="179615E7" w14:textId="77777777" w:rsidR="001E3598" w:rsidRDefault="001E3598" w:rsidP="001E3598">
      <w:pPr>
        <w:pStyle w:val="ListBullet"/>
      </w:pPr>
      <w:r>
        <w:t>implement standardised record-keeping obligations on exempted persons, as appropriate</w:t>
      </w:r>
    </w:p>
    <w:p w14:paraId="70FE4074" w14:textId="73D2F8E9" w:rsidR="009A00ED" w:rsidRDefault="001E3598" w:rsidP="001E3598">
      <w:pPr>
        <w:pStyle w:val="ListBulletLast"/>
      </w:pPr>
      <w:r>
        <w:t>have all new exemptions expire after 5 years, to facilitate bulk review and remaking.</w:t>
      </w:r>
    </w:p>
    <w:p w14:paraId="27BF9352" w14:textId="262468A2" w:rsidR="00F80039" w:rsidRPr="001867F1" w:rsidRDefault="00F80039" w:rsidP="00CE2715">
      <w:pPr>
        <w:pStyle w:val="Heading2"/>
      </w:pPr>
      <w:bookmarkStart w:id="6" w:name="_Toc129255703"/>
      <w:r w:rsidRPr="001867F1">
        <w:lastRenderedPageBreak/>
        <w:t>What stakeholders told us</w:t>
      </w:r>
      <w:bookmarkEnd w:id="6"/>
      <w:r w:rsidRPr="001867F1">
        <w:t xml:space="preserve"> </w:t>
      </w:r>
    </w:p>
    <w:p w14:paraId="0AFEFEBB" w14:textId="2F7F75BD" w:rsidR="004A33AF" w:rsidRPr="001867F1" w:rsidRDefault="00681979" w:rsidP="001867F1">
      <w:pPr>
        <w:pStyle w:val="Paragraph"/>
      </w:pPr>
      <w:r w:rsidRPr="001867F1">
        <w:t>Stakeholders agreed that the banned equipment and exemption</w:t>
      </w:r>
      <w:r w:rsidR="006551E9">
        <w:t>s</w:t>
      </w:r>
      <w:r w:rsidRPr="001867F1">
        <w:t xml:space="preserve"> framework plays </w:t>
      </w:r>
      <w:r w:rsidR="009E207A">
        <w:t>an</w:t>
      </w:r>
      <w:r w:rsidRPr="001867F1">
        <w:t xml:space="preserve"> important role </w:t>
      </w:r>
      <w:r w:rsidR="004A33AF" w:rsidRPr="001867F1">
        <w:t>in their industry sector or policy portfolio.</w:t>
      </w:r>
    </w:p>
    <w:p w14:paraId="74D29254" w14:textId="54EBFB95" w:rsidR="00A06B36" w:rsidRDefault="00A06B36" w:rsidP="00681979">
      <w:pPr>
        <w:pStyle w:val="Paragraph"/>
      </w:pPr>
      <w:r>
        <w:t xml:space="preserve">Stakeholders uniformly conveyed that the banned equipment regime was critical to, or assisted </w:t>
      </w:r>
      <w:r w:rsidR="002F29C5">
        <w:t>in</w:t>
      </w:r>
      <w:r>
        <w:t xml:space="preserve">, </w:t>
      </w:r>
      <w:r w:rsidR="00681979">
        <w:t>managing the risk of serious</w:t>
      </w:r>
      <w:r w:rsidR="004A33AF">
        <w:t xml:space="preserve"> interference to radiocommunications</w:t>
      </w:r>
      <w:r>
        <w:t>.</w:t>
      </w:r>
    </w:p>
    <w:p w14:paraId="2D76A75C" w14:textId="23E4D8D1" w:rsidR="00EE24AE" w:rsidRPr="00B02505" w:rsidRDefault="00EE24AE" w:rsidP="00EE24AE">
      <w:pPr>
        <w:pStyle w:val="Paragraph"/>
        <w:rPr>
          <w:b/>
          <w:bCs/>
        </w:rPr>
      </w:pPr>
      <w:r>
        <w:t xml:space="preserve">For example, aviation stakeholders highlighted that the international aviation sector has adopted RNSS as the enabling technology to support safety, efficient and accessible aeronautical navigation. </w:t>
      </w:r>
      <w:r w:rsidR="007E4CCB">
        <w:t>They submitted that r</w:t>
      </w:r>
      <w:r>
        <w:t xml:space="preserve">adiofrequency transmissions that deny access to RNSS through jamming, or </w:t>
      </w:r>
      <w:r w:rsidR="00C671A9">
        <w:t xml:space="preserve">that </w:t>
      </w:r>
      <w:r>
        <w:t>create signals through repeaters, translators, simulators or spoofers</w:t>
      </w:r>
      <w:r w:rsidR="00C975E5">
        <w:t>,</w:t>
      </w:r>
      <w:r>
        <w:t xml:space="preserve"> can be very dangerous, and </w:t>
      </w:r>
      <w:r w:rsidR="0063537C">
        <w:t xml:space="preserve">can </w:t>
      </w:r>
      <w:r>
        <w:t>adversely affect aviation operations.</w:t>
      </w:r>
    </w:p>
    <w:p w14:paraId="3A327A25" w14:textId="76B665BE" w:rsidR="00B061E4" w:rsidRPr="00BD1DC7" w:rsidRDefault="002F29C5" w:rsidP="00B061E4">
      <w:pPr>
        <w:pStyle w:val="Paragraph"/>
      </w:pPr>
      <w:r>
        <w:t>S</w:t>
      </w:r>
      <w:r w:rsidR="00EE24AE">
        <w:t xml:space="preserve">ome </w:t>
      </w:r>
      <w:r w:rsidR="00465F76">
        <w:t xml:space="preserve">stakeholders </w:t>
      </w:r>
      <w:r w:rsidR="00F25276">
        <w:t>conveyed that</w:t>
      </w:r>
      <w:r w:rsidR="00EE24AE">
        <w:t xml:space="preserve"> </w:t>
      </w:r>
      <w:r w:rsidR="00A06B36">
        <w:t xml:space="preserve">the exemption regime </w:t>
      </w:r>
      <w:r w:rsidR="00EE24AE">
        <w:t>is</w:t>
      </w:r>
      <w:r w:rsidR="00B007C9">
        <w:t xml:space="preserve"> a key enabler for their business</w:t>
      </w:r>
      <w:r w:rsidR="00414059">
        <w:t>,</w:t>
      </w:r>
      <w:r w:rsidR="00B007C9">
        <w:t xml:space="preserve"> function</w:t>
      </w:r>
      <w:r w:rsidR="00D10226">
        <w:t xml:space="preserve"> or duty</w:t>
      </w:r>
      <w:r w:rsidR="00C01113">
        <w:t>.</w:t>
      </w:r>
      <w:r w:rsidR="00BB51AD">
        <w:t xml:space="preserve"> </w:t>
      </w:r>
      <w:r w:rsidR="00B061E4">
        <w:t>Some of these stakeholders noted that</w:t>
      </w:r>
      <w:r w:rsidR="003E4DFB">
        <w:t xml:space="preserve">, although exemptions are typically used to authorise use of equipment that is banned, and therefore </w:t>
      </w:r>
      <w:r w:rsidR="00783E92">
        <w:t xml:space="preserve">involve some inherent risk, conditions in which banned equipment is actually operated typically mean that the public benefit </w:t>
      </w:r>
      <w:r w:rsidR="007F4BCD">
        <w:t>associated with that use is significantly greater to any actual risks incurred.</w:t>
      </w:r>
    </w:p>
    <w:p w14:paraId="1460D5FA" w14:textId="2EF6942D" w:rsidR="00681979" w:rsidRDefault="00EE24AE" w:rsidP="00681979">
      <w:pPr>
        <w:pStyle w:val="Paragraph"/>
      </w:pPr>
      <w:r>
        <w:t xml:space="preserve">Stakeholders that do not rely on the exemption regime in this way </w:t>
      </w:r>
      <w:r w:rsidR="00BA09F8">
        <w:t>recognised that, where the risks of using banned equipment under an exemption can be sufficiently managed, the use of that equipment to deal with threats to safety and security delivers significant public benefit.</w:t>
      </w:r>
      <w:r w:rsidR="004A33AF">
        <w:t xml:space="preserve"> </w:t>
      </w:r>
    </w:p>
    <w:p w14:paraId="4B20E607" w14:textId="596FC9FD" w:rsidR="00463211" w:rsidRPr="005111E3" w:rsidRDefault="00F86F53" w:rsidP="00463211">
      <w:pPr>
        <w:pStyle w:val="Paragraph"/>
      </w:pPr>
      <w:r>
        <w:t xml:space="preserve">In </w:t>
      </w:r>
      <w:r w:rsidR="00414059">
        <w:t xml:space="preserve">terms </w:t>
      </w:r>
      <w:r>
        <w:t>of our approach to</w:t>
      </w:r>
      <w:r w:rsidR="001D112B">
        <w:t xml:space="preserve"> the</w:t>
      </w:r>
      <w:r>
        <w:t xml:space="preserve"> review, stakeholders </w:t>
      </w:r>
      <w:r w:rsidR="00C13E22">
        <w:t>e</w:t>
      </w:r>
      <w:r w:rsidR="00463211">
        <w:t xml:space="preserve">xpressed support for the principles we used to develop the new arrangements for the framework, including the general objectives of harmonisation and the use of powers incorporated into the </w:t>
      </w:r>
      <w:r w:rsidR="00414059">
        <w:t xml:space="preserve">Radiocommunications </w:t>
      </w:r>
      <w:r w:rsidR="00463211">
        <w:t xml:space="preserve">Act by </w:t>
      </w:r>
      <w:r w:rsidR="0044055D">
        <w:t>the Modernisation Act.</w:t>
      </w:r>
    </w:p>
    <w:p w14:paraId="3A1E2C7D" w14:textId="032607EA" w:rsidR="00385C9C" w:rsidRDefault="002617DE" w:rsidP="00385C9C">
      <w:pPr>
        <w:pStyle w:val="Paragraph"/>
      </w:pPr>
      <w:r>
        <w:t xml:space="preserve">Telecommunications </w:t>
      </w:r>
      <w:r w:rsidR="00357457">
        <w:t>stakeholders</w:t>
      </w:r>
      <w:r w:rsidR="00385C9C">
        <w:t xml:space="preserve"> </w:t>
      </w:r>
      <w:r w:rsidR="00357457">
        <w:t xml:space="preserve">conveyed that the </w:t>
      </w:r>
      <w:r w:rsidR="00385C9C">
        <w:t>banned equipment regime remains crucial to the operation of licensed radiocommunications</w:t>
      </w:r>
      <w:r w:rsidR="00357457">
        <w:t>,</w:t>
      </w:r>
      <w:r w:rsidR="00385C9C">
        <w:t xml:space="preserve"> and fundament</w:t>
      </w:r>
      <w:r w:rsidR="00364C24">
        <w:t>al</w:t>
      </w:r>
      <w:r w:rsidR="00385C9C">
        <w:t xml:space="preserve"> to ensuring the complian</w:t>
      </w:r>
      <w:r w:rsidR="00484969">
        <w:t xml:space="preserve">t operation </w:t>
      </w:r>
      <w:r w:rsidR="00385C9C">
        <w:t xml:space="preserve">of radiocommunications devices and equipment across Australia. </w:t>
      </w:r>
      <w:r w:rsidR="00357457">
        <w:t>Those stakeholders</w:t>
      </w:r>
      <w:r w:rsidR="00A474DF">
        <w:t xml:space="preserve"> </w:t>
      </w:r>
      <w:r w:rsidR="00EF4E48">
        <w:t xml:space="preserve">highlighted that mobile network operators are tasked with a range of responsibilities to protect national critical infrastructure, ensure network security and integrity, </w:t>
      </w:r>
      <w:r w:rsidR="002A3A0A">
        <w:t xml:space="preserve">and provide </w:t>
      </w:r>
      <w:r w:rsidR="00EF4E48">
        <w:t>access to emergency services, and SMS-based emergency alerts under the National Emergency Warning System (NEWS)</w:t>
      </w:r>
      <w:r w:rsidR="00BF775D">
        <w:t>. Those stakeholder</w:t>
      </w:r>
      <w:r w:rsidR="00603B1E">
        <w:t>s</w:t>
      </w:r>
      <w:r w:rsidR="00BF775D">
        <w:t xml:space="preserve"> noted that </w:t>
      </w:r>
      <w:r w:rsidR="00EF4E48">
        <w:t xml:space="preserve">devices that cause interference </w:t>
      </w:r>
      <w:r w:rsidR="00E75475">
        <w:t xml:space="preserve">can </w:t>
      </w:r>
      <w:r w:rsidR="00EF4E48">
        <w:t xml:space="preserve">jeopardise </w:t>
      </w:r>
      <w:r w:rsidR="00E75475">
        <w:t xml:space="preserve">their </w:t>
      </w:r>
      <w:r w:rsidR="00EF4E48">
        <w:t xml:space="preserve">ability to </w:t>
      </w:r>
      <w:r w:rsidR="002A3A0A">
        <w:t xml:space="preserve">meet </w:t>
      </w:r>
      <w:r w:rsidR="00EF4E48">
        <w:t>these responsibilities</w:t>
      </w:r>
      <w:r w:rsidR="00BF775D">
        <w:t xml:space="preserve"> and</w:t>
      </w:r>
      <w:r w:rsidR="002A3A0A">
        <w:t>,</w:t>
      </w:r>
      <w:r w:rsidR="00BF775D">
        <w:t xml:space="preserve"> that </w:t>
      </w:r>
      <w:r w:rsidR="00A474DF">
        <w:t xml:space="preserve">in extreme cases, </w:t>
      </w:r>
      <w:r w:rsidR="00385C9C">
        <w:t>disruption to mobile networks can cause financial</w:t>
      </w:r>
      <w:r w:rsidR="00A474DF">
        <w:t>, health</w:t>
      </w:r>
      <w:r w:rsidR="00385C9C">
        <w:t xml:space="preserve"> and security harms.</w:t>
      </w:r>
    </w:p>
    <w:p w14:paraId="7E844A03" w14:textId="77777777" w:rsidR="00F80039" w:rsidRDefault="00F80039" w:rsidP="000237A2">
      <w:pPr>
        <w:pStyle w:val="Heading2"/>
      </w:pPr>
      <w:bookmarkStart w:id="7" w:name="_Toc129255704"/>
      <w:r w:rsidRPr="00276ED8">
        <w:t>Our response</w:t>
      </w:r>
      <w:bookmarkEnd w:id="7"/>
    </w:p>
    <w:p w14:paraId="18123C5A" w14:textId="3D62F6C2" w:rsidR="0073323A" w:rsidRDefault="00B56A3E" w:rsidP="000237A2">
      <w:pPr>
        <w:pStyle w:val="Paragraph"/>
      </w:pPr>
      <w:r>
        <w:t>We consider the banned equipment and exemption</w:t>
      </w:r>
      <w:r w:rsidR="006D51A0">
        <w:t>s</w:t>
      </w:r>
      <w:r>
        <w:t xml:space="preserve"> framework to be a key element of the overall </w:t>
      </w:r>
      <w:r w:rsidR="0073323A">
        <w:t xml:space="preserve">radiocommunications regulatory framework. </w:t>
      </w:r>
      <w:r w:rsidR="00FE1150">
        <w:t xml:space="preserve">Our management of the </w:t>
      </w:r>
      <w:r w:rsidR="006254F1">
        <w:t>banned equipment and exemption regime</w:t>
      </w:r>
      <w:r w:rsidR="00F211C5">
        <w:t>s</w:t>
      </w:r>
      <w:r w:rsidR="006254F1">
        <w:t xml:space="preserve"> </w:t>
      </w:r>
      <w:r w:rsidR="00FE1150">
        <w:t>is guided by the object of the Act</w:t>
      </w:r>
      <w:r w:rsidR="00817F6F">
        <w:t>, and our review has focused on ways that both regimes can promote the long-term use of the spectrum for commercial and non-commercial uses.</w:t>
      </w:r>
    </w:p>
    <w:p w14:paraId="32F8F91E" w14:textId="7417759C" w:rsidR="009375DB" w:rsidRDefault="0039624C" w:rsidP="00EB7C6F">
      <w:pPr>
        <w:pStyle w:val="Paragraph"/>
      </w:pPr>
      <w:r>
        <w:t>Stakeholders place different levels of importan</w:t>
      </w:r>
      <w:r w:rsidR="004861A0">
        <w:t>ce</w:t>
      </w:r>
      <w:r>
        <w:t xml:space="preserve"> on the banned equipment regime or the exemption regime, depending on their industry or policy portfolio</w:t>
      </w:r>
      <w:r w:rsidR="004861A0">
        <w:t xml:space="preserve">, and </w:t>
      </w:r>
      <w:r w:rsidR="00BD5247">
        <w:t xml:space="preserve">there are often </w:t>
      </w:r>
      <w:r w:rsidR="00385707">
        <w:t xml:space="preserve">strong, and sometimes </w:t>
      </w:r>
      <w:r w:rsidR="00BD5247">
        <w:t>competing</w:t>
      </w:r>
      <w:r w:rsidR="00385707">
        <w:t>,</w:t>
      </w:r>
      <w:r w:rsidR="00BD5247">
        <w:t xml:space="preserve"> </w:t>
      </w:r>
      <w:r w:rsidR="00215562">
        <w:t>views</w:t>
      </w:r>
      <w:r w:rsidR="00BD5247">
        <w:t xml:space="preserve"> </w:t>
      </w:r>
      <w:r w:rsidR="00C50CD4">
        <w:t xml:space="preserve">about how the ACMA should regulate specific parts of the overall framework. </w:t>
      </w:r>
    </w:p>
    <w:p w14:paraId="1E0F29D0" w14:textId="290F5808" w:rsidR="006E2CC1" w:rsidRDefault="009E7BD5" w:rsidP="00EB7C6F">
      <w:pPr>
        <w:pStyle w:val="Paragraph"/>
      </w:pPr>
      <w:proofErr w:type="gramStart"/>
      <w:r>
        <w:lastRenderedPageBreak/>
        <w:t xml:space="preserve">In promoting the object </w:t>
      </w:r>
      <w:r w:rsidR="00A86D12">
        <w:t xml:space="preserve">of </w:t>
      </w:r>
      <w:r>
        <w:t>the Act, there</w:t>
      </w:r>
      <w:proofErr w:type="gramEnd"/>
      <w:r>
        <w:t xml:space="preserve"> is a need for us to </w:t>
      </w:r>
      <w:r w:rsidR="0019438F">
        <w:t xml:space="preserve">strike a balance between these views, and to ensure that both regimes </w:t>
      </w:r>
      <w:r w:rsidR="006E2CC1">
        <w:t>operate optimally in managing the risk of interference</w:t>
      </w:r>
      <w:r w:rsidR="005C6582">
        <w:t xml:space="preserve"> while facilitating beneficial technologies</w:t>
      </w:r>
      <w:r w:rsidR="006E2CC1">
        <w:t>.</w:t>
      </w:r>
    </w:p>
    <w:p w14:paraId="5FB1DA85" w14:textId="5DDFC097" w:rsidR="003374E8" w:rsidRDefault="00D1197F" w:rsidP="00EB7C6F">
      <w:pPr>
        <w:pStyle w:val="Paragraph"/>
      </w:pPr>
      <w:r>
        <w:t xml:space="preserve">In reviewing the framework, we have also developed a set of principles and an approach that guides our management of the overall framework, which has not been attempted previously. </w:t>
      </w:r>
      <w:r w:rsidR="00E32BAE">
        <w:t>We see these principles as an enduring part of the framework t</w:t>
      </w:r>
      <w:r w:rsidR="0063537C">
        <w:t xml:space="preserve">o which </w:t>
      </w:r>
      <w:r w:rsidR="00E32BAE">
        <w:t xml:space="preserve">we can return when </w:t>
      </w:r>
      <w:r w:rsidR="00DE3504">
        <w:t xml:space="preserve">considering new proposed exemptions, </w:t>
      </w:r>
      <w:r w:rsidR="00A053E5">
        <w:t>and new technologies</w:t>
      </w:r>
      <w:r w:rsidR="00DE3504">
        <w:t>.</w:t>
      </w:r>
    </w:p>
    <w:p w14:paraId="292CAB5E" w14:textId="5F3A2D9F" w:rsidR="00AE03B8" w:rsidRDefault="00695CA1" w:rsidP="00EB7C6F">
      <w:pPr>
        <w:pStyle w:val="Paragraph"/>
      </w:pPr>
      <w:r>
        <w:t xml:space="preserve">Our review has sought to ensure that the framework continues to provide regulatory </w:t>
      </w:r>
      <w:r w:rsidR="004362B3">
        <w:t xml:space="preserve">certainty for </w:t>
      </w:r>
      <w:r w:rsidR="00994029">
        <w:t>those</w:t>
      </w:r>
      <w:r w:rsidR="00D71A95">
        <w:t xml:space="preserve"> </w:t>
      </w:r>
      <w:r w:rsidR="004362B3">
        <w:t>who rely on permanent bans to keep dangerous equipment out of the supply chain</w:t>
      </w:r>
      <w:r w:rsidR="00AE03B8">
        <w:t xml:space="preserve">, and </w:t>
      </w:r>
      <w:r w:rsidR="00E65A12">
        <w:t>that it can</w:t>
      </w:r>
      <w:r w:rsidR="00AE03B8">
        <w:t xml:space="preserve"> anticipate future developments</w:t>
      </w:r>
      <w:r w:rsidR="009A010F">
        <w:t xml:space="preserve"> in technology and policy</w:t>
      </w:r>
      <w:r w:rsidR="00AE03B8">
        <w:t>.</w:t>
      </w:r>
      <w:r w:rsidR="00D1197F">
        <w:t xml:space="preserve"> </w:t>
      </w:r>
    </w:p>
    <w:p w14:paraId="41A9B742" w14:textId="2F1B899E" w:rsidR="007D0004" w:rsidRDefault="007D0004" w:rsidP="00EB7C6F">
      <w:pPr>
        <w:pStyle w:val="Paragraph"/>
      </w:pPr>
      <w:r>
        <w:t>Exemptions continue to play an important role in facilitating pub</w:t>
      </w:r>
      <w:r w:rsidR="00215562">
        <w:t>l</w:t>
      </w:r>
      <w:r>
        <w:t>ic safety outcomes, and are also being relied on to deal with emerging threats</w:t>
      </w:r>
      <w:r w:rsidR="00A77ADB">
        <w:t xml:space="preserve">, such as </w:t>
      </w:r>
      <w:r w:rsidR="003269CB">
        <w:t>those posed by drones</w:t>
      </w:r>
      <w:r>
        <w:t>.</w:t>
      </w:r>
      <w:r w:rsidR="00E478D4">
        <w:t xml:space="preserve"> COVID-</w:t>
      </w:r>
      <w:r w:rsidR="00722736">
        <w:t xml:space="preserve">19 </w:t>
      </w:r>
      <w:r w:rsidR="00E478D4">
        <w:t xml:space="preserve">related disruptions to supply chains </w:t>
      </w:r>
      <w:r w:rsidR="00A77ADB">
        <w:t>have also place</w:t>
      </w:r>
      <w:r w:rsidR="00154317">
        <w:t>d</w:t>
      </w:r>
      <w:r w:rsidR="00A77ADB">
        <w:t xml:space="preserve"> a renewed focus on domestic capability development, and the new </w:t>
      </w:r>
      <w:hyperlink r:id="rId26" w:history="1">
        <w:r w:rsidR="00554F23">
          <w:rPr>
            <w:rStyle w:val="Hyperlink"/>
          </w:rPr>
          <w:t>innovation and industry development framework</w:t>
        </w:r>
      </w:hyperlink>
      <w:r w:rsidR="00A77ADB">
        <w:t xml:space="preserve"> is already playing an </w:t>
      </w:r>
      <w:r w:rsidR="003269CB">
        <w:t xml:space="preserve">important role in assisting Australian businesses. </w:t>
      </w:r>
    </w:p>
    <w:p w14:paraId="737348C0" w14:textId="43264F1C" w:rsidR="00324106" w:rsidRPr="00615427" w:rsidRDefault="00324106" w:rsidP="00554F23">
      <w:pPr>
        <w:pStyle w:val="Heading1"/>
      </w:pPr>
      <w:bookmarkStart w:id="8" w:name="_Toc129255705"/>
      <w:r w:rsidRPr="00615427">
        <w:lastRenderedPageBreak/>
        <w:t>Scope and operation of permanent bans</w:t>
      </w:r>
      <w:bookmarkEnd w:id="8"/>
      <w:r w:rsidRPr="00615427">
        <w:t xml:space="preserve"> </w:t>
      </w:r>
    </w:p>
    <w:p w14:paraId="6A47C019" w14:textId="23A3F10B" w:rsidR="00324106" w:rsidRPr="00E13A7E" w:rsidRDefault="00324106" w:rsidP="00324106">
      <w:pPr>
        <w:pStyle w:val="Paragraph"/>
        <w:keepNext/>
        <w:keepLines/>
      </w:pPr>
      <w:r w:rsidRPr="00E13A7E">
        <w:t>In</w:t>
      </w:r>
      <w:r w:rsidR="001D28FB">
        <w:t xml:space="preserve"> our July 2022 consultation paper, we conveyed t</w:t>
      </w:r>
      <w:r w:rsidR="00F419CC">
        <w:t xml:space="preserve">hat, </w:t>
      </w:r>
      <w:r w:rsidR="00CE0ABC">
        <w:t xml:space="preserve">when </w:t>
      </w:r>
      <w:r w:rsidR="00F3634E">
        <w:t>imposing</w:t>
      </w:r>
      <w:r w:rsidR="00CE0ABC">
        <w:t xml:space="preserve"> </w:t>
      </w:r>
      <w:r w:rsidR="00CC26BB">
        <w:t>permanent</w:t>
      </w:r>
      <w:r w:rsidRPr="00E13A7E">
        <w:t xml:space="preserve"> bans on equipment, it is </w:t>
      </w:r>
      <w:r>
        <w:t>desirable</w:t>
      </w:r>
      <w:r w:rsidRPr="00E13A7E">
        <w:t xml:space="preserve"> that the equipment is clearly defined in a way that applies consistently and anticipates changes</w:t>
      </w:r>
      <w:r>
        <w:t xml:space="preserve"> in technology</w:t>
      </w:r>
      <w:r w:rsidRPr="00E13A7E">
        <w:t>.</w:t>
      </w:r>
      <w:r w:rsidR="00CE0ABC">
        <w:t xml:space="preserve"> O</w:t>
      </w:r>
      <w:r w:rsidRPr="00E13A7E">
        <w:t xml:space="preserve">ver the last </w:t>
      </w:r>
      <w:r>
        <w:t>10</w:t>
      </w:r>
      <w:r w:rsidRPr="00E13A7E">
        <w:t xml:space="preserve"> years, </w:t>
      </w:r>
      <w:r w:rsidR="00CD09CF">
        <w:t xml:space="preserve">the existing </w:t>
      </w:r>
      <w:r w:rsidRPr="00E13A7E">
        <w:t>bans ha</w:t>
      </w:r>
      <w:r w:rsidR="00D82A16">
        <w:t>d</w:t>
      </w:r>
      <w:r w:rsidRPr="00E13A7E">
        <w:t xml:space="preserve"> come to apply to a range of devices tha</w:t>
      </w:r>
      <w:r>
        <w:t>t</w:t>
      </w:r>
      <w:r w:rsidRPr="00E13A7E">
        <w:t xml:space="preserve"> were not necessarily contemplated as being appropriate to ban</w:t>
      </w:r>
      <w:r>
        <w:t>. Changes in technology and operational needs have seen us and some stakeholders form the view that certain equipment should no longer be banned</w:t>
      </w:r>
      <w:r w:rsidRPr="00E13A7E">
        <w:t xml:space="preserve">. </w:t>
      </w:r>
    </w:p>
    <w:p w14:paraId="1F505B44" w14:textId="43F9715E" w:rsidR="002170B9" w:rsidRDefault="002170B9" w:rsidP="002170B9">
      <w:pPr>
        <w:pStyle w:val="Paragraphbeforelist"/>
      </w:pPr>
      <w:r>
        <w:t>When we initiated the review, t</w:t>
      </w:r>
      <w:r w:rsidRPr="0047318E">
        <w:t xml:space="preserve">here </w:t>
      </w:r>
      <w:r w:rsidR="00FE692D">
        <w:t>were</w:t>
      </w:r>
      <w:r w:rsidRPr="0047318E">
        <w:t xml:space="preserve"> </w:t>
      </w:r>
      <w:r>
        <w:t>2</w:t>
      </w:r>
      <w:r w:rsidRPr="0047318E">
        <w:t xml:space="preserve"> </w:t>
      </w:r>
      <w:r>
        <w:t>existing</w:t>
      </w:r>
      <w:r w:rsidRPr="0047318E">
        <w:t xml:space="preserve"> permanent bans:</w:t>
      </w:r>
    </w:p>
    <w:p w14:paraId="68C9FF2A" w14:textId="3772D16E" w:rsidR="002170B9" w:rsidRDefault="001A5587" w:rsidP="002170B9">
      <w:pPr>
        <w:pStyle w:val="Bulletlevel1"/>
      </w:pPr>
      <w:r>
        <w:t>t</w:t>
      </w:r>
      <w:r w:rsidR="002170B9" w:rsidRPr="0047318E">
        <w:t xml:space="preserve">he </w:t>
      </w:r>
      <w:r w:rsidR="002170B9" w:rsidRPr="00D87AFD">
        <w:t>Radiocommunications (Prohibition of PMTS Jamming Devices) Declaration 2011</w:t>
      </w:r>
      <w:r w:rsidR="00BB0100">
        <w:rPr>
          <w:i/>
          <w:iCs/>
        </w:rPr>
        <w:t xml:space="preserve"> </w:t>
      </w:r>
      <w:r w:rsidR="00BB0100">
        <w:t>(the PMTS jammer ban)</w:t>
      </w:r>
      <w:r w:rsidR="002170B9">
        <w:t>, w</w:t>
      </w:r>
      <w:r w:rsidR="002170B9" w:rsidRPr="0047318E">
        <w:t>hich is intended to manage the risks associated with public mobile telecommunications service (</w:t>
      </w:r>
      <w:r w:rsidR="002170B9">
        <w:t>PMTS</w:t>
      </w:r>
      <w:r w:rsidR="00C16B26">
        <w:t>, that is</w:t>
      </w:r>
      <w:r w:rsidR="002170B9" w:rsidRPr="0047318E">
        <w:t xml:space="preserve">, mobile phone) jamming </w:t>
      </w:r>
      <w:r w:rsidR="002170B9">
        <w:t>equipment</w:t>
      </w:r>
    </w:p>
    <w:p w14:paraId="284EE8B1" w14:textId="5F52EDED" w:rsidR="002170B9" w:rsidRDefault="002170B9" w:rsidP="002170B9">
      <w:pPr>
        <w:pStyle w:val="Bulletlevel1last"/>
      </w:pPr>
      <w:r w:rsidRPr="0047318E">
        <w:t xml:space="preserve">the </w:t>
      </w:r>
      <w:r w:rsidRPr="00D87AFD">
        <w:t>Radiocommunications (Prohibited Devices) (RNSS Jamming Devices) Declaration 2014</w:t>
      </w:r>
      <w:r w:rsidR="00BB0100">
        <w:rPr>
          <w:i/>
          <w:iCs/>
        </w:rPr>
        <w:t xml:space="preserve"> </w:t>
      </w:r>
      <w:r w:rsidR="00BB0100">
        <w:t>(the RNSS jammer ban)</w:t>
      </w:r>
      <w:r>
        <w:t xml:space="preserve">, </w:t>
      </w:r>
      <w:r w:rsidRPr="0047318E">
        <w:t>which is intended to manage the risks associated with radionavigation-satellite service (RNSS</w:t>
      </w:r>
      <w:r w:rsidR="00C16B26">
        <w:t>, that is,</w:t>
      </w:r>
      <w:r w:rsidRPr="0047318E">
        <w:t xml:space="preserve"> GPS) jamming </w:t>
      </w:r>
      <w:r>
        <w:t>equipment</w:t>
      </w:r>
      <w:r w:rsidRPr="0047318E">
        <w:t>.</w:t>
      </w:r>
      <w:r>
        <w:t xml:space="preserve"> </w:t>
      </w:r>
    </w:p>
    <w:p w14:paraId="7641A07E" w14:textId="6D915A71" w:rsidR="002170B9" w:rsidRPr="0047318E" w:rsidRDefault="002170B9" w:rsidP="002170B9">
      <w:pPr>
        <w:pStyle w:val="Paragraph"/>
      </w:pPr>
      <w:r w:rsidRPr="0047318E">
        <w:t>Th</w:t>
      </w:r>
      <w:r w:rsidR="00D82A16">
        <w:t>o</w:t>
      </w:r>
      <w:r w:rsidRPr="0047318E">
        <w:t xml:space="preserve">se bans </w:t>
      </w:r>
      <w:r w:rsidR="00D82A16">
        <w:t xml:space="preserve">were </w:t>
      </w:r>
      <w:r w:rsidRPr="0047318E">
        <w:t xml:space="preserve">in force for approximately </w:t>
      </w:r>
      <w:r>
        <w:t>10</w:t>
      </w:r>
      <w:r w:rsidRPr="0047318E">
        <w:t xml:space="preserve"> years and, at the time they were made, did not depart widely from their precursor instruments. </w:t>
      </w:r>
    </w:p>
    <w:p w14:paraId="4EB70BF1" w14:textId="40424075" w:rsidR="002170B9" w:rsidRPr="0047318E" w:rsidRDefault="002170B9" w:rsidP="002170B9">
      <w:pPr>
        <w:pStyle w:val="Paragraph"/>
      </w:pPr>
      <w:r>
        <w:t xml:space="preserve">We </w:t>
      </w:r>
      <w:r w:rsidR="00A34325">
        <w:t>consider that</w:t>
      </w:r>
      <w:r>
        <w:t xml:space="preserve"> the permanent bans have been successful in managing the risks associated with equipment that is dangerous or could cause a nuisance to users of the spectrum. However, in recent years, </w:t>
      </w:r>
      <w:r w:rsidRPr="0047318E">
        <w:t>we encounter</w:t>
      </w:r>
      <w:r w:rsidR="00BE3336">
        <w:t>ed</w:t>
      </w:r>
      <w:r w:rsidRPr="0047318E">
        <w:t xml:space="preserve"> more devices that are captured by the bans in an incidental way</w:t>
      </w:r>
      <w:r>
        <w:t>.</w:t>
      </w:r>
      <w:r w:rsidRPr="0047318E">
        <w:t xml:space="preserve"> </w:t>
      </w:r>
      <w:r>
        <w:t>We also encounter</w:t>
      </w:r>
      <w:r w:rsidR="00BE3336">
        <w:t>ed</w:t>
      </w:r>
      <w:r>
        <w:t xml:space="preserve"> </w:t>
      </w:r>
      <w:r w:rsidRPr="0047318E">
        <w:t xml:space="preserve">a class of </w:t>
      </w:r>
      <w:r>
        <w:t xml:space="preserve">equipment </w:t>
      </w:r>
      <w:r w:rsidRPr="0047318E">
        <w:t xml:space="preserve">designed to cause interference </w:t>
      </w:r>
      <w:r>
        <w:t xml:space="preserve">that is </w:t>
      </w:r>
      <w:r w:rsidRPr="0047318E">
        <w:t>sub</w:t>
      </w:r>
      <w:r>
        <w:t>-</w:t>
      </w:r>
      <w:r w:rsidRPr="0047318E">
        <w:t>optimally regulated.</w:t>
      </w:r>
    </w:p>
    <w:p w14:paraId="7B9453C9" w14:textId="77777777" w:rsidR="00750C2F" w:rsidRDefault="002170B9" w:rsidP="00750C2F">
      <w:pPr>
        <w:pStyle w:val="Paragraph"/>
      </w:pPr>
      <w:r w:rsidRPr="0047318E">
        <w:t xml:space="preserve">Both permanent bans </w:t>
      </w:r>
      <w:r w:rsidR="003F3492">
        <w:t>were due to sunset</w:t>
      </w:r>
      <w:r w:rsidRPr="0047318E">
        <w:t xml:space="preserve">, and </w:t>
      </w:r>
      <w:r w:rsidR="00367483">
        <w:t xml:space="preserve">the review presented us with the </w:t>
      </w:r>
      <w:r w:rsidRPr="0047318E">
        <w:t xml:space="preserve">opportunity to reconfigure them </w:t>
      </w:r>
      <w:r>
        <w:t xml:space="preserve">to be </w:t>
      </w:r>
      <w:r w:rsidRPr="0047318E">
        <w:t xml:space="preserve">fit-for-purpose now and </w:t>
      </w:r>
      <w:r>
        <w:t>into the future</w:t>
      </w:r>
      <w:r w:rsidRPr="0047318E">
        <w:t>.</w:t>
      </w:r>
      <w:r w:rsidR="00750C2F">
        <w:t xml:space="preserve"> </w:t>
      </w:r>
    </w:p>
    <w:p w14:paraId="7AA3E17E" w14:textId="54A5E6CE" w:rsidR="00BB0100" w:rsidRPr="00BB0100" w:rsidRDefault="00BB0100" w:rsidP="00750C2F">
      <w:pPr>
        <w:pStyle w:val="Paragraph"/>
      </w:pPr>
      <w:r w:rsidRPr="00BB0100">
        <w:t xml:space="preserve">Our review found that the definition of the equipment subject to the </w:t>
      </w:r>
      <w:r>
        <w:t xml:space="preserve">RNSS jammer </w:t>
      </w:r>
      <w:r w:rsidRPr="00BB0100">
        <w:t>ban was inadvertently applying to range of beneficial technologies designed to retransmit, or generate simulated, RNSS signals in areas of low-to-no RNSS coverage.</w:t>
      </w:r>
    </w:p>
    <w:p w14:paraId="7E4191DE" w14:textId="3A85BC78" w:rsidR="00EF7601" w:rsidRPr="00351C3E" w:rsidRDefault="00EF7601" w:rsidP="00EF7601">
      <w:pPr>
        <w:pStyle w:val="Paragraph"/>
        <w:rPr>
          <w:bCs/>
          <w:color w:val="000000" w:themeColor="text1"/>
        </w:rPr>
      </w:pPr>
      <w:r>
        <w:t xml:space="preserve">One of the key changes that we proposed to make to the permanent ban regime was </w:t>
      </w:r>
      <w:r w:rsidR="00486920">
        <w:t xml:space="preserve">to </w:t>
      </w:r>
      <w:r>
        <w:t xml:space="preserve">target permanent bans towards equipment that is expressly designed to </w:t>
      </w:r>
      <w:r w:rsidR="00750C2F">
        <w:t xml:space="preserve">have an adverse effect on radiocommunications and </w:t>
      </w:r>
      <w:r>
        <w:t>cause interference, rather than equipment that might only potentially cause interference if used inappropriately or in a certain context.</w:t>
      </w:r>
    </w:p>
    <w:p w14:paraId="3485E99C" w14:textId="5304C66B" w:rsidR="00EF7601" w:rsidRDefault="00EF7601" w:rsidP="00EF7601">
      <w:pPr>
        <w:pStyle w:val="Paragraph"/>
      </w:pPr>
      <w:r>
        <w:t xml:space="preserve">We proposed that this would reduce instances of </w:t>
      </w:r>
      <w:r w:rsidRPr="00F25E1E">
        <w:t>‘false positives’ (</w:t>
      </w:r>
      <w:r w:rsidR="007652AB">
        <w:t>that is</w:t>
      </w:r>
      <w:r w:rsidRPr="00F25E1E">
        <w:t xml:space="preserve">, fewer ‘legitimate’ devices </w:t>
      </w:r>
      <w:r w:rsidR="007652AB">
        <w:t xml:space="preserve">would </w:t>
      </w:r>
      <w:r>
        <w:t xml:space="preserve">be </w:t>
      </w:r>
      <w:r w:rsidRPr="00F25E1E">
        <w:t>caught by bans)</w:t>
      </w:r>
      <w:r>
        <w:t xml:space="preserve"> and would allow us to unambiguously exclude a range of publicly beneficial technologies from the scope of the permanent ban regime.</w:t>
      </w:r>
    </w:p>
    <w:p w14:paraId="5B598A80" w14:textId="1983CF1A" w:rsidR="00B86280" w:rsidRDefault="00C93A28" w:rsidP="00EF7601">
      <w:pPr>
        <w:pStyle w:val="Paragraph"/>
      </w:pPr>
      <w:r>
        <w:t>We proposed that t</w:t>
      </w:r>
      <w:r w:rsidR="00B86280" w:rsidRPr="00072F75">
        <w:t xml:space="preserve">he definition of RNSS jamming equipment </w:t>
      </w:r>
      <w:r>
        <w:t xml:space="preserve">be </w:t>
      </w:r>
      <w:r w:rsidR="00B86280" w:rsidRPr="00072F75">
        <w:t xml:space="preserve">reconfigured to ensure that the ban </w:t>
      </w:r>
      <w:r>
        <w:t>would not</w:t>
      </w:r>
      <w:r w:rsidR="00B86280" w:rsidRPr="00072F75">
        <w:t xml:space="preserve"> apply to a class of RNSS retransmission and transmission equipment, variously called repeaters, simulators and pseudolites. In excluding them from the ban, </w:t>
      </w:r>
      <w:r w:rsidR="00410205">
        <w:t xml:space="preserve">it is possible for </w:t>
      </w:r>
      <w:r w:rsidR="00B86280" w:rsidRPr="00072F75">
        <w:t xml:space="preserve">these devices </w:t>
      </w:r>
      <w:r w:rsidR="00410205">
        <w:t xml:space="preserve">to </w:t>
      </w:r>
      <w:r w:rsidR="00B86280" w:rsidRPr="00072F75">
        <w:t>be regulated under the licensing system</w:t>
      </w:r>
    </w:p>
    <w:p w14:paraId="105FD82C" w14:textId="37135201" w:rsidR="00EF7601" w:rsidRPr="00C43D40" w:rsidRDefault="00C93A28" w:rsidP="00EF7601">
      <w:pPr>
        <w:pStyle w:val="Paragraph"/>
        <w:rPr>
          <w:bCs/>
          <w:color w:val="000000" w:themeColor="text1"/>
        </w:rPr>
      </w:pPr>
      <w:r>
        <w:lastRenderedPageBreak/>
        <w:t xml:space="preserve">Taking this approach </w:t>
      </w:r>
      <w:r w:rsidR="00EF7601">
        <w:t xml:space="preserve">would also allow us to construct permanent bans that respond to and anticipate the prevalence of, and demand for, a new class of equipment designed to cause interference to </w:t>
      </w:r>
      <w:r w:rsidR="00622E53">
        <w:t>w</w:t>
      </w:r>
      <w:r w:rsidR="00EF7601">
        <w:t>i-</w:t>
      </w:r>
      <w:r w:rsidR="00622E53">
        <w:t>f</w:t>
      </w:r>
      <w:r w:rsidR="00EF7601">
        <w:t xml:space="preserve">i services and drones, without incidentally banning </w:t>
      </w:r>
      <w:r w:rsidR="00C3375E">
        <w:t>low interference potential devices (LIPDs)</w:t>
      </w:r>
      <w:r w:rsidR="00C3375E">
        <w:rPr>
          <w:rStyle w:val="FootnoteReference"/>
        </w:rPr>
        <w:footnoteReference w:id="3"/>
      </w:r>
      <w:r w:rsidR="00C905E8">
        <w:t xml:space="preserve"> </w:t>
      </w:r>
      <w:r w:rsidR="00EF7601">
        <w:t>that might inadvertently cause interference when operating in parts of the spectrum that are highly shared, and are generally subject to our ‘no</w:t>
      </w:r>
      <w:r w:rsidR="00343803">
        <w:t> </w:t>
      </w:r>
      <w:r w:rsidR="00EF7601">
        <w:t>interference, no protection’ policy</w:t>
      </w:r>
      <w:r w:rsidR="0041563E">
        <w:t>.</w:t>
      </w:r>
      <w:r w:rsidR="00C20927">
        <w:rPr>
          <w:rStyle w:val="FootnoteReference"/>
        </w:rPr>
        <w:footnoteReference w:id="4"/>
      </w:r>
      <w:r w:rsidR="00EF7601">
        <w:t xml:space="preserve"> </w:t>
      </w:r>
    </w:p>
    <w:p w14:paraId="7A7F5CAC" w14:textId="7DE22554" w:rsidR="002B6649" w:rsidRDefault="00730314" w:rsidP="002170B9">
      <w:pPr>
        <w:pStyle w:val="Paragraph"/>
      </w:pPr>
      <w:r>
        <w:t xml:space="preserve">We proposed to repeal the </w:t>
      </w:r>
      <w:r w:rsidR="00D147FA">
        <w:t xml:space="preserve">2 </w:t>
      </w:r>
      <w:r>
        <w:t xml:space="preserve">existing permanent bans, and replace </w:t>
      </w:r>
      <w:r w:rsidR="00A21047">
        <w:t xml:space="preserve">them </w:t>
      </w:r>
      <w:r>
        <w:t xml:space="preserve">with </w:t>
      </w:r>
      <w:r w:rsidR="004527FB">
        <w:t xml:space="preserve">more targeted instruments that continued to ban devices designed to cause interference to PMTS and RNSS. We also proposed to make a new ban applying to equipment designed to cause interference to </w:t>
      </w:r>
      <w:r w:rsidR="00A21047">
        <w:t>radio local area network (</w:t>
      </w:r>
      <w:r w:rsidR="004527FB">
        <w:t>RLAN</w:t>
      </w:r>
      <w:r w:rsidR="00A21047">
        <w:t>)</w:t>
      </w:r>
      <w:r w:rsidR="004527FB">
        <w:t xml:space="preserve"> </w:t>
      </w:r>
      <w:r w:rsidR="00A21047">
        <w:t xml:space="preserve">devices </w:t>
      </w:r>
      <w:r w:rsidR="004527FB">
        <w:t xml:space="preserve">and </w:t>
      </w:r>
      <w:r w:rsidR="00153FD0">
        <w:t>drones (or Remotely Piloted Aircraft Systems or RPAS</w:t>
      </w:r>
      <w:r w:rsidR="001D389F">
        <w:t>).</w:t>
      </w:r>
      <w:r w:rsidR="00AA2F01">
        <w:t xml:space="preserve"> </w:t>
      </w:r>
      <w:r w:rsidR="002B6649">
        <w:t xml:space="preserve">We were also careful to ensure that </w:t>
      </w:r>
      <w:r w:rsidR="0082344F">
        <w:t>a permanent ban on RLAN and RPAS</w:t>
      </w:r>
      <w:r w:rsidR="00970904">
        <w:t xml:space="preserve"> jamming</w:t>
      </w:r>
      <w:r w:rsidR="0082344F">
        <w:t xml:space="preserve"> equipment </w:t>
      </w:r>
      <w:r w:rsidR="004063A4">
        <w:t xml:space="preserve">would </w:t>
      </w:r>
      <w:r w:rsidR="004063A4" w:rsidRPr="00072F75">
        <w:t>not apply to industrial, scientific, medical and domestic equipment</w:t>
      </w:r>
      <w:r w:rsidR="00A67CAA">
        <w:t>,</w:t>
      </w:r>
      <w:r w:rsidR="004063A4" w:rsidRPr="00072F75">
        <w:t xml:space="preserve"> such as microwave ovens</w:t>
      </w:r>
      <w:r w:rsidR="00A67CAA">
        <w:t>,</w:t>
      </w:r>
      <w:r w:rsidR="004063A4" w:rsidRPr="00072F75">
        <w:t xml:space="preserve"> that share the spectrum with </w:t>
      </w:r>
      <w:r w:rsidR="004063A4">
        <w:t>RLANs and RPAS.</w:t>
      </w:r>
    </w:p>
    <w:p w14:paraId="76150C5D" w14:textId="2E8D0DFC" w:rsidR="00EF7601" w:rsidRPr="0047318E" w:rsidRDefault="00970904" w:rsidP="002170B9">
      <w:pPr>
        <w:pStyle w:val="Paragraph"/>
      </w:pPr>
      <w:r>
        <w:t xml:space="preserve">In July 2022, we consulted on 3 separate draft permanent ban instruments. </w:t>
      </w:r>
      <w:r w:rsidR="00AA2F01">
        <w:t xml:space="preserve">Since consulting on those instruments, we have considered that it would be </w:t>
      </w:r>
      <w:r w:rsidR="00EE4D11">
        <w:t>easier for stakeholders if there was a single instrument imposing a permanent ban on PMTS jamming equipment, RNSS jamming equipment, and RLAN and RPAS jamming equipment.</w:t>
      </w:r>
    </w:p>
    <w:p w14:paraId="343F0652" w14:textId="70C798BD" w:rsidR="00F80039" w:rsidRDefault="00F80039" w:rsidP="00306EA3">
      <w:pPr>
        <w:pStyle w:val="Heading2"/>
      </w:pPr>
      <w:bookmarkStart w:id="9" w:name="_Toc129255706"/>
      <w:r>
        <w:t>What stakeholders told us</w:t>
      </w:r>
      <w:bookmarkEnd w:id="9"/>
    </w:p>
    <w:p w14:paraId="6F5400AD" w14:textId="318DDC6D" w:rsidR="00045C43" w:rsidRPr="009A0096" w:rsidRDefault="00045C43" w:rsidP="009A0096">
      <w:pPr>
        <w:rPr>
          <w:rFonts w:cs="Arial"/>
        </w:rPr>
      </w:pPr>
      <w:r w:rsidRPr="00B16A69">
        <w:rPr>
          <w:rFonts w:cs="Arial"/>
        </w:rPr>
        <w:t xml:space="preserve">In submissions to our consultation paper, stakeholders expressed the view that there was an ongoing need </w:t>
      </w:r>
      <w:r w:rsidR="00B16A69" w:rsidRPr="00B16A69">
        <w:rPr>
          <w:rFonts w:cs="Arial"/>
        </w:rPr>
        <w:t>for both the PMTS jammer ban and the RNSS jammer ban to remain in force.</w:t>
      </w:r>
    </w:p>
    <w:p w14:paraId="1CB9042E" w14:textId="2A99F4E0" w:rsidR="00D7041C" w:rsidRDefault="004F4742" w:rsidP="004A3C48">
      <w:pPr>
        <w:pStyle w:val="Paragraph"/>
      </w:pPr>
      <w:r>
        <w:t xml:space="preserve">We received diverse, and often competing, views about </w:t>
      </w:r>
      <w:r w:rsidR="001C4114">
        <w:t>the scope and operation of permanent bans</w:t>
      </w:r>
      <w:r w:rsidR="00523788">
        <w:t>.</w:t>
      </w:r>
      <w:r>
        <w:t xml:space="preserve"> </w:t>
      </w:r>
    </w:p>
    <w:p w14:paraId="1D66CC61" w14:textId="2A7CCEB6" w:rsidR="009E3E33" w:rsidRPr="00FE33C6" w:rsidRDefault="00666901" w:rsidP="009E3E33">
      <w:pPr>
        <w:pStyle w:val="Paragraph"/>
      </w:pPr>
      <w:r>
        <w:t>Some stakeholders submitted that bans in general, or some bans in particular should be defined very precisely to exclude devices that have lower risk profiles, and that permanent bans could contemplate software or selective targeting technologies that can reduce interference risk.</w:t>
      </w:r>
    </w:p>
    <w:p w14:paraId="7D9D3C43" w14:textId="1393D779" w:rsidR="00666901" w:rsidRDefault="00666901" w:rsidP="00666901">
      <w:pPr>
        <w:pStyle w:val="Paragraph"/>
      </w:pPr>
      <w:r>
        <w:t>Several stakeholders expressed the view that permanent bans should not be refined in the manner proposed, but should instead continue to apply to equipment that may not necessarily be designed to cause interference, but might still be inadvertently capable or likely to cause interference, or anything that may be likely to have the effect of jamming communications.</w:t>
      </w:r>
      <w:r w:rsidR="00FA2615">
        <w:t xml:space="preserve"> </w:t>
      </w:r>
      <w:r>
        <w:t xml:space="preserve">Stakeholders </w:t>
      </w:r>
      <w:r w:rsidR="003F0396">
        <w:t>gave</w:t>
      </w:r>
      <w:r>
        <w:t xml:space="preserve"> different reasons for holding this view.</w:t>
      </w:r>
    </w:p>
    <w:p w14:paraId="141DCF21" w14:textId="0F85CB46" w:rsidR="00666901" w:rsidRDefault="00666901" w:rsidP="00666901">
      <w:pPr>
        <w:pStyle w:val="Paragraph"/>
      </w:pPr>
      <w:r>
        <w:t>Some stakeholders conveyed that i</w:t>
      </w:r>
      <w:r w:rsidR="003C10BF">
        <w:t>t</w:t>
      </w:r>
      <w:r>
        <w:t xml:space="preserve"> would be preferable </w:t>
      </w:r>
      <w:r w:rsidR="00E274F2">
        <w:t xml:space="preserve">for </w:t>
      </w:r>
      <w:r>
        <w:t xml:space="preserve">permanent bans </w:t>
      </w:r>
      <w:r w:rsidR="00E274F2">
        <w:t xml:space="preserve">to </w:t>
      </w:r>
      <w:r>
        <w:t>remain broad in the</w:t>
      </w:r>
      <w:r w:rsidR="008414FE">
        <w:t>ir</w:t>
      </w:r>
      <w:r>
        <w:t xml:space="preserve"> scope, and that individual devices could be carved out </w:t>
      </w:r>
      <w:r w:rsidR="00BE51BD">
        <w:t xml:space="preserve">of bans </w:t>
      </w:r>
      <w:r>
        <w:t xml:space="preserve">as needed, or individually authorised </w:t>
      </w:r>
      <w:r w:rsidR="00BE51BD">
        <w:t xml:space="preserve">by exemptions </w:t>
      </w:r>
      <w:r>
        <w:t xml:space="preserve">on a case-by-case basis. One stakeholder submitted that certain devices should only be carved out of bans after they had been subject to rigorous operational testing (and noted that use of PMTS jamming equipment in NSW correctional </w:t>
      </w:r>
      <w:r w:rsidR="0045159E">
        <w:t xml:space="preserve">centres </w:t>
      </w:r>
      <w:r>
        <w:t xml:space="preserve">was authorised on an ongoing basis after going through multiple trials covered by </w:t>
      </w:r>
      <w:r w:rsidR="00E72A60">
        <w:t xml:space="preserve">successive </w:t>
      </w:r>
      <w:r>
        <w:t xml:space="preserve">exemption determinations). There was a view that, in narrowing the scope of the permanent bans, those </w:t>
      </w:r>
      <w:r>
        <w:lastRenderedPageBreak/>
        <w:t>instruments would no longer apply to devices like garage door openers and sensor lights that, while not designed to cause interference, can do so in some cases.</w:t>
      </w:r>
    </w:p>
    <w:p w14:paraId="49F20C12" w14:textId="512B777E" w:rsidR="00666901" w:rsidRDefault="00666901" w:rsidP="00666901">
      <w:pPr>
        <w:pStyle w:val="Paragraph"/>
      </w:pPr>
      <w:r>
        <w:t xml:space="preserve">There was also a view that narrowing the scope of the permanent bans to only apply to equipment designed to cause interference would remove incentives for manufacturers, </w:t>
      </w:r>
      <w:r w:rsidR="0045159E">
        <w:t xml:space="preserve">designers </w:t>
      </w:r>
      <w:r>
        <w:t>and importers to ensure that equipment will not inadvertently cause interference.</w:t>
      </w:r>
    </w:p>
    <w:p w14:paraId="569FD0F8" w14:textId="7CB315EA" w:rsidR="00666901" w:rsidRDefault="00666901" w:rsidP="00666901">
      <w:pPr>
        <w:pStyle w:val="Paragraph"/>
      </w:pPr>
      <w:r>
        <w:t>Telecommunications stakeholders</w:t>
      </w:r>
      <w:r w:rsidR="001D752B">
        <w:t xml:space="preserve"> </w:t>
      </w:r>
      <w:r>
        <w:t>expressed the concern that narrower bans could place greater burden on industry, should there be a proliferation of devices that inadvertently cause interference, and that the narrowed scope could prompt the ACMA to licen</w:t>
      </w:r>
      <w:r w:rsidR="008414FE">
        <w:t>s</w:t>
      </w:r>
      <w:r>
        <w:t xml:space="preserve">e such devices, potentially placing significant </w:t>
      </w:r>
      <w:r w:rsidR="003D3B64">
        <w:t>burden on</w:t>
      </w:r>
      <w:r>
        <w:t xml:space="preserve"> the ACMA’s interference management operations. Those stakeholders also submitted that, from a compliance perspective, is more difficult to prove that a device is designed to cause interference, and easier to prove that it is likely to cause interference.</w:t>
      </w:r>
    </w:p>
    <w:p w14:paraId="4C20ABD6" w14:textId="25A28401" w:rsidR="00666901" w:rsidRDefault="00666901" w:rsidP="00666901">
      <w:pPr>
        <w:pStyle w:val="Paragraph"/>
      </w:pPr>
      <w:r>
        <w:t>Some stakeholders</w:t>
      </w:r>
      <w:r w:rsidR="001D752B">
        <w:t xml:space="preserve"> </w:t>
      </w:r>
      <w:r>
        <w:t xml:space="preserve">also conveyed a concern that </w:t>
      </w:r>
      <w:r w:rsidR="00DE1641">
        <w:t xml:space="preserve">the drafting of some of the permanent bans </w:t>
      </w:r>
      <w:r w:rsidR="00344CC4">
        <w:t xml:space="preserve">might have unintended consequences. In our draft permanent bans, we proposed that </w:t>
      </w:r>
      <w:r>
        <w:t xml:space="preserve">an item of equipment </w:t>
      </w:r>
      <w:r w:rsidR="005F3AA0">
        <w:t xml:space="preserve">could not </w:t>
      </w:r>
      <w:r>
        <w:t xml:space="preserve">be </w:t>
      </w:r>
      <w:r w:rsidR="00344CC4">
        <w:t xml:space="preserve">PMTS jamming equipment or RLAN </w:t>
      </w:r>
      <w:r w:rsidR="005F3AA0">
        <w:t xml:space="preserve">and RPAS jamming equipment </w:t>
      </w:r>
      <w:r>
        <w:t>if it</w:t>
      </w:r>
      <w:r w:rsidR="00DD6443">
        <w:t xml:space="preserve">s principal purpose </w:t>
      </w:r>
      <w:r w:rsidR="005F3AA0">
        <w:t>was</w:t>
      </w:r>
      <w:r w:rsidR="008D52A1">
        <w:t xml:space="preserve"> to allow </w:t>
      </w:r>
      <w:r>
        <w:t xml:space="preserve">a person to use or access a carriage service </w:t>
      </w:r>
      <w:r w:rsidR="003B518E" w:rsidRPr="008D52A1">
        <w:t>to be supplied to the public</w:t>
      </w:r>
      <w:r w:rsidR="005F3AA0">
        <w:t>. S</w:t>
      </w:r>
      <w:r w:rsidR="00284293">
        <w:t>ome stakeholders submitted that</w:t>
      </w:r>
      <w:r w:rsidR="003B518E">
        <w:t xml:space="preserve"> </w:t>
      </w:r>
      <w:r w:rsidR="00284293">
        <w:t xml:space="preserve">this drafting </w:t>
      </w:r>
      <w:r>
        <w:t xml:space="preserve">could </w:t>
      </w:r>
      <w:r w:rsidR="006121B5">
        <w:t>enable</w:t>
      </w:r>
      <w:r>
        <w:t xml:space="preserve"> </w:t>
      </w:r>
      <w:r w:rsidR="005935C5">
        <w:t>someone</w:t>
      </w:r>
      <w:r>
        <w:t xml:space="preserve"> </w:t>
      </w:r>
      <w:r w:rsidR="00F772FD">
        <w:t>to seek</w:t>
      </w:r>
      <w:r w:rsidR="00B42736">
        <w:t xml:space="preserve"> </w:t>
      </w:r>
      <w:r>
        <w:t>to provide a communications network while simultaneously causing interference.</w:t>
      </w:r>
    </w:p>
    <w:p w14:paraId="31207341" w14:textId="2874F285" w:rsidR="00C3375E" w:rsidRPr="007E6676" w:rsidRDefault="00E0023E" w:rsidP="00C3375E">
      <w:pPr>
        <w:pStyle w:val="Paragraph"/>
        <w:rPr>
          <w:highlight w:val="yellow"/>
        </w:rPr>
      </w:pPr>
      <w:r>
        <w:t>We received diverse views about our proposal to impose a ban on RLAN and RPAS jamming equipment.</w:t>
      </w:r>
      <w:r w:rsidR="009403E2">
        <w:t xml:space="preserve"> </w:t>
      </w:r>
      <w:r w:rsidR="00BA47A1">
        <w:t xml:space="preserve">There was a view that </w:t>
      </w:r>
      <w:r w:rsidR="00D935AE">
        <w:t>a ban on this equipment would need to be careful not to inadvertently apply to devic</w:t>
      </w:r>
      <w:r w:rsidR="008D1D02">
        <w:t>es that might cause interference to devices operating in shared, ‘no interference, no protection’ spectrum,</w:t>
      </w:r>
      <w:r w:rsidR="00116FB5">
        <w:t xml:space="preserve"> but </w:t>
      </w:r>
      <w:r w:rsidR="0059071C">
        <w:t>are</w:t>
      </w:r>
      <w:r w:rsidR="00116FB5">
        <w:t xml:space="preserve"> not actually be designed to </w:t>
      </w:r>
      <w:r w:rsidR="009D21D6">
        <w:t>cause interference</w:t>
      </w:r>
      <w:r w:rsidR="00116FB5">
        <w:t xml:space="preserve">. </w:t>
      </w:r>
      <w:r w:rsidR="00202C77">
        <w:t xml:space="preserve">There was also a view </w:t>
      </w:r>
      <w:r w:rsidR="00202C77" w:rsidRPr="00367BA4">
        <w:t xml:space="preserve">that </w:t>
      </w:r>
      <w:r w:rsidR="00C80BBA" w:rsidRPr="00367BA4">
        <w:t xml:space="preserve">imposing a permanent ban on equipment designed to cause interference to RLAN and RPAS could also limit access to that equipment </w:t>
      </w:r>
      <w:r w:rsidR="00367BA4" w:rsidRPr="00367BA4">
        <w:t xml:space="preserve">for </w:t>
      </w:r>
      <w:r w:rsidR="00D6443F" w:rsidRPr="00367BA4">
        <w:t xml:space="preserve">publicly beneficial uses, and that a licensing </w:t>
      </w:r>
      <w:r w:rsidR="0059071C">
        <w:t>framework</w:t>
      </w:r>
      <w:r w:rsidR="00D6443F" w:rsidRPr="00367BA4">
        <w:t xml:space="preserve"> </w:t>
      </w:r>
      <w:r w:rsidR="00367BA4" w:rsidRPr="00367BA4">
        <w:t xml:space="preserve">applying to that equipment would </w:t>
      </w:r>
      <w:r w:rsidR="00D6443F" w:rsidRPr="00367BA4">
        <w:t xml:space="preserve">be a better regulatory </w:t>
      </w:r>
      <w:r w:rsidR="00367BA4" w:rsidRPr="00367BA4">
        <w:t>approach</w:t>
      </w:r>
      <w:r w:rsidR="00D6443F" w:rsidRPr="00367BA4">
        <w:t>.</w:t>
      </w:r>
    </w:p>
    <w:p w14:paraId="2FA4D332" w14:textId="776A70C7" w:rsidR="003C10BF" w:rsidRDefault="003C10BF" w:rsidP="003C10BF">
      <w:pPr>
        <w:pStyle w:val="Paragraph"/>
      </w:pPr>
      <w:r>
        <w:t>There was a view that devices used to provide RNSS coverage in tunnels and areas with low-to-no RNSS coverage are publicly beneficial, and while they should continue to be banned in a general sense, their use would be unlikely to cause interference to aviation services.</w:t>
      </w:r>
    </w:p>
    <w:p w14:paraId="2146E668" w14:textId="77777777" w:rsidR="00F80039" w:rsidRDefault="00F80039" w:rsidP="00306EA3">
      <w:pPr>
        <w:pStyle w:val="Heading2"/>
      </w:pPr>
      <w:bookmarkStart w:id="10" w:name="_Toc129255707"/>
      <w:r>
        <w:t>Our response</w:t>
      </w:r>
      <w:bookmarkEnd w:id="10"/>
    </w:p>
    <w:p w14:paraId="230B5E89" w14:textId="3A80A662" w:rsidR="00F04738" w:rsidRDefault="00856502" w:rsidP="00FD74F5">
      <w:pPr>
        <w:pStyle w:val="Paragraph"/>
      </w:pPr>
      <w:r>
        <w:t xml:space="preserve">We note stakeholder </w:t>
      </w:r>
      <w:r w:rsidR="00F04738">
        <w:t xml:space="preserve">views </w:t>
      </w:r>
      <w:r>
        <w:t xml:space="preserve">that </w:t>
      </w:r>
      <w:r w:rsidR="00F04738">
        <w:t xml:space="preserve">permanent bans should be drafted to exclude </w:t>
      </w:r>
      <w:r w:rsidR="004F6F67">
        <w:t>‘</w:t>
      </w:r>
      <w:r w:rsidR="00F04738">
        <w:t>low</w:t>
      </w:r>
      <w:r w:rsidR="006A0076">
        <w:t> </w:t>
      </w:r>
      <w:r w:rsidR="00F04738">
        <w:t>risk</w:t>
      </w:r>
      <w:r w:rsidR="004F6F67">
        <w:t>’</w:t>
      </w:r>
      <w:r w:rsidR="00F04738">
        <w:t xml:space="preserve"> jamming devices, or jamming devices used by law enforcement and related </w:t>
      </w:r>
      <w:r w:rsidR="00636667">
        <w:t xml:space="preserve">entities </w:t>
      </w:r>
      <w:r w:rsidR="00F04738">
        <w:t>to counter threats, rather than to cause them.</w:t>
      </w:r>
      <w:r w:rsidR="00E45E2F">
        <w:t xml:space="preserve"> </w:t>
      </w:r>
      <w:r w:rsidR="00760B1B">
        <w:t xml:space="preserve">From a regulatory perspective, it is </w:t>
      </w:r>
      <w:r w:rsidR="0059071C">
        <w:t>usually</w:t>
      </w:r>
      <w:r w:rsidR="00760B1B">
        <w:t xml:space="preserve"> easy to identify </w:t>
      </w:r>
      <w:r w:rsidR="00636667">
        <w:t xml:space="preserve">when </w:t>
      </w:r>
      <w:r w:rsidR="00760B1B">
        <w:t>a device is designed to cause interference; it is, however, very difficult to</w:t>
      </w:r>
      <w:r w:rsidR="008F7493">
        <w:t xml:space="preserve"> distinguish between jamming </w:t>
      </w:r>
      <w:r w:rsidR="0059071C">
        <w:t xml:space="preserve">equipment </w:t>
      </w:r>
      <w:r w:rsidR="008F7493">
        <w:t>intended for law</w:t>
      </w:r>
      <w:r w:rsidR="006E3085">
        <w:t> </w:t>
      </w:r>
      <w:r w:rsidR="008F7493">
        <w:t xml:space="preserve">enforcement purposes and jamming </w:t>
      </w:r>
      <w:r w:rsidR="0059071C">
        <w:t xml:space="preserve">equipment </w:t>
      </w:r>
      <w:r w:rsidR="008F7493">
        <w:t xml:space="preserve">intended </w:t>
      </w:r>
      <w:r w:rsidR="00B445D8">
        <w:t>to be used to cause mischief or harm</w:t>
      </w:r>
      <w:r w:rsidR="003C39EB">
        <w:t>.</w:t>
      </w:r>
      <w:r w:rsidR="00665DA6">
        <w:t xml:space="preserve"> For</w:t>
      </w:r>
      <w:r w:rsidR="006E3085">
        <w:t> </w:t>
      </w:r>
      <w:r w:rsidR="00665DA6">
        <w:t>example,</w:t>
      </w:r>
      <w:r w:rsidR="003C39EB">
        <w:t xml:space="preserve"> </w:t>
      </w:r>
      <w:r w:rsidR="00665DA6">
        <w:t>s</w:t>
      </w:r>
      <w:r w:rsidR="003C39EB">
        <w:t xml:space="preserve">ome banned equipment </w:t>
      </w:r>
      <w:r w:rsidR="00BD6B4B">
        <w:t xml:space="preserve">would be considered to be electronic warfare equipment, and in that context, both sides of a conflict may be using the same or similar </w:t>
      </w:r>
      <w:r w:rsidR="00B60FBE">
        <w:t xml:space="preserve">jamming </w:t>
      </w:r>
      <w:r w:rsidR="00BD6B4B">
        <w:t>equipment</w:t>
      </w:r>
      <w:r w:rsidR="0092327D">
        <w:t xml:space="preserve">. While we have narrowed the scope of the permanent bans to focus on </w:t>
      </w:r>
      <w:r w:rsidR="00E04938">
        <w:t xml:space="preserve">equipment that is expressly </w:t>
      </w:r>
      <w:r w:rsidR="007B1055">
        <w:t xml:space="preserve">designed </w:t>
      </w:r>
      <w:r w:rsidR="00E04938">
        <w:t xml:space="preserve">to cause interference, it would </w:t>
      </w:r>
      <w:r w:rsidR="00F97A36">
        <w:t xml:space="preserve">be </w:t>
      </w:r>
      <w:r w:rsidR="00E04938">
        <w:t xml:space="preserve">very difficult to craft a permanent ban </w:t>
      </w:r>
      <w:r w:rsidR="008C6812">
        <w:t xml:space="preserve">that distinguished </w:t>
      </w:r>
      <w:r w:rsidR="00E04938">
        <w:t xml:space="preserve">between </w:t>
      </w:r>
      <w:r w:rsidR="00F856DC">
        <w:t xml:space="preserve">highly context-based </w:t>
      </w:r>
      <w:r w:rsidR="00E04938">
        <w:t xml:space="preserve">users or uses of the banned equipment, and such a ban would likely </w:t>
      </w:r>
      <w:r w:rsidR="00A656DC">
        <w:t>be very ineffective.</w:t>
      </w:r>
    </w:p>
    <w:p w14:paraId="267867AD" w14:textId="38384468" w:rsidR="002763CD" w:rsidRDefault="002763CD" w:rsidP="00FD74F5">
      <w:pPr>
        <w:pStyle w:val="Paragraph"/>
      </w:pPr>
      <w:r>
        <w:t xml:space="preserve">Even if such </w:t>
      </w:r>
      <w:r w:rsidR="004707B7">
        <w:t>‘</w:t>
      </w:r>
      <w:r>
        <w:t>low risk</w:t>
      </w:r>
      <w:r w:rsidR="006F71B7">
        <w:t>’</w:t>
      </w:r>
      <w:r>
        <w:t xml:space="preserve"> jamming equipment were not banned, it would still be difficult to use that equipment without breaching the Act</w:t>
      </w:r>
      <w:r w:rsidR="007E4865">
        <w:t xml:space="preserve">, which also does generally not distinguish between </w:t>
      </w:r>
      <w:r w:rsidR="003D381E">
        <w:t>‘</w:t>
      </w:r>
      <w:r w:rsidR="007E4865">
        <w:t>good</w:t>
      </w:r>
      <w:r w:rsidR="006F71B7">
        <w:t>’</w:t>
      </w:r>
      <w:r w:rsidR="007E4865">
        <w:t xml:space="preserve"> and </w:t>
      </w:r>
      <w:r w:rsidR="006F71B7">
        <w:t>‘</w:t>
      </w:r>
      <w:r w:rsidR="007E4865">
        <w:t>bad</w:t>
      </w:r>
      <w:r w:rsidR="006F71B7">
        <w:t>’</w:t>
      </w:r>
      <w:r w:rsidR="007E4865">
        <w:t xml:space="preserve"> interference. </w:t>
      </w:r>
    </w:p>
    <w:p w14:paraId="1AEBDDD0" w14:textId="0878B55C" w:rsidR="002D3ABC" w:rsidRDefault="002D3ABC" w:rsidP="00FD74F5">
      <w:pPr>
        <w:pStyle w:val="Paragraph"/>
      </w:pPr>
      <w:r>
        <w:lastRenderedPageBreak/>
        <w:t>We note that</w:t>
      </w:r>
      <w:r w:rsidR="005372F4">
        <w:t>, while bans continue to be comprehensive and, for some stakeholders, render some of their desired commercial operations illegal, there are</w:t>
      </w:r>
      <w:r w:rsidR="006E7848">
        <w:t xml:space="preserve"> now</w:t>
      </w:r>
      <w:r w:rsidR="005372F4">
        <w:t xml:space="preserve"> more opportunities </w:t>
      </w:r>
      <w:r w:rsidR="006E7848">
        <w:t>for industry</w:t>
      </w:r>
      <w:r w:rsidR="00410681">
        <w:t xml:space="preserve"> and other</w:t>
      </w:r>
      <w:r w:rsidR="00171C3C">
        <w:t>s</w:t>
      </w:r>
      <w:r w:rsidR="006E7848">
        <w:t xml:space="preserve"> to access banned equipment under the innovation and industry development framework.</w:t>
      </w:r>
    </w:p>
    <w:p w14:paraId="0AE2D8F3" w14:textId="1C9CE4BE" w:rsidR="002D21C7" w:rsidRDefault="00342B70" w:rsidP="00C233F2">
      <w:pPr>
        <w:pStyle w:val="Paragraph"/>
      </w:pPr>
      <w:r>
        <w:t xml:space="preserve">We note stakeholder views </w:t>
      </w:r>
      <w:r w:rsidR="00DA081D">
        <w:t>that it is a valid regulatory approach to impose a very broad ban</w:t>
      </w:r>
      <w:r w:rsidR="002D21C7">
        <w:t>, from which individual types of device</w:t>
      </w:r>
      <w:r w:rsidR="00C957CE">
        <w:t>s</w:t>
      </w:r>
      <w:r w:rsidR="002D21C7">
        <w:t xml:space="preserve"> might </w:t>
      </w:r>
      <w:r w:rsidR="00C52304">
        <w:t xml:space="preserve">be </w:t>
      </w:r>
      <w:r w:rsidR="002D21C7">
        <w:t>carved out on a case-by-case basis</w:t>
      </w:r>
      <w:r w:rsidR="00EC7CF5">
        <w:t>. This is</w:t>
      </w:r>
      <w:r w:rsidR="007F71EE">
        <w:t xml:space="preserve"> </w:t>
      </w:r>
      <w:r w:rsidR="00BD4CFB">
        <w:t>broadly the approach that has been taken over the last decade (by carving out certain devices used on aircraft from the PMTS jamm</w:t>
      </w:r>
      <w:r w:rsidR="00F80298">
        <w:t>er ban</w:t>
      </w:r>
      <w:r w:rsidR="00BD4CFB">
        <w:t xml:space="preserve">, and carving RNSS repeaters out of the RNSS </w:t>
      </w:r>
      <w:r w:rsidR="00F80298">
        <w:t>jammer ban</w:t>
      </w:r>
      <w:r w:rsidR="00BD4CFB">
        <w:t>).</w:t>
      </w:r>
      <w:r w:rsidR="00B16D94">
        <w:t xml:space="preserve"> Our view is that </w:t>
      </w:r>
      <w:r w:rsidR="00F80298">
        <w:t xml:space="preserve">continued use of </w:t>
      </w:r>
      <w:r w:rsidR="00B16D94">
        <w:t xml:space="preserve">this approach </w:t>
      </w:r>
      <w:r w:rsidR="008558F8">
        <w:t xml:space="preserve">is likely to </w:t>
      </w:r>
      <w:r w:rsidR="00714664">
        <w:t xml:space="preserve">result in bans that </w:t>
      </w:r>
      <w:r w:rsidR="00A85C21">
        <w:t xml:space="preserve">are </w:t>
      </w:r>
      <w:r w:rsidR="00714664">
        <w:t xml:space="preserve">overly complex, and </w:t>
      </w:r>
      <w:r w:rsidR="00A85C21">
        <w:t>could</w:t>
      </w:r>
      <w:r w:rsidR="007A4513">
        <w:t xml:space="preserve"> produce situations where </w:t>
      </w:r>
      <w:r w:rsidR="00AB0D09">
        <w:t xml:space="preserve">devices that </w:t>
      </w:r>
      <w:r w:rsidR="008935BA">
        <w:t>de</w:t>
      </w:r>
      <w:r w:rsidR="00AB0D09">
        <w:t xml:space="preserve">part in </w:t>
      </w:r>
      <w:r w:rsidR="008935BA">
        <w:t xml:space="preserve">very </w:t>
      </w:r>
      <w:r w:rsidR="007A4513">
        <w:t xml:space="preserve">minor ways from a </w:t>
      </w:r>
      <w:r w:rsidR="00C957CE">
        <w:t>carved-out</w:t>
      </w:r>
      <w:r w:rsidR="007A4513">
        <w:t xml:space="preserve"> device </w:t>
      </w:r>
      <w:r w:rsidR="008935BA">
        <w:t>without posing any serious risk of interference can be inadvertently banned.</w:t>
      </w:r>
      <w:r w:rsidR="007A4513">
        <w:t xml:space="preserve"> </w:t>
      </w:r>
      <w:r w:rsidR="00D30609">
        <w:t xml:space="preserve">Our view is that it is preferable to adopt a regulatory approach based on the principle that if a device is not </w:t>
      </w:r>
      <w:r w:rsidR="00946BC3">
        <w:t xml:space="preserve">designed to cause interference, </w:t>
      </w:r>
      <w:r w:rsidR="00AF4947">
        <w:t xml:space="preserve">ordinarily </w:t>
      </w:r>
      <w:r w:rsidR="00946BC3">
        <w:t>it should not be banned.</w:t>
      </w:r>
    </w:p>
    <w:p w14:paraId="4E6DD2B5" w14:textId="3FD31AA3" w:rsidR="009A1E73" w:rsidRDefault="00D7604E" w:rsidP="00C233F2">
      <w:pPr>
        <w:pStyle w:val="Paragraph"/>
      </w:pPr>
      <w:r>
        <w:t xml:space="preserve">We </w:t>
      </w:r>
      <w:r w:rsidR="00C25274">
        <w:t xml:space="preserve">do </w:t>
      </w:r>
      <w:r>
        <w:t xml:space="preserve">not expect that day-to-day incidents of interference will increase as a result of </w:t>
      </w:r>
      <w:r w:rsidR="0056765B">
        <w:t>refining the scope of permanent bans. Firstly</w:t>
      </w:r>
      <w:r w:rsidR="002C6660">
        <w:t>,</w:t>
      </w:r>
      <w:r w:rsidR="0056765B">
        <w:t xml:space="preserve"> </w:t>
      </w:r>
      <w:r w:rsidR="00833A2A">
        <w:t>the class of devices that would be excluded from the bans are not designed to cause interference</w:t>
      </w:r>
      <w:r w:rsidR="005F4720">
        <w:t>.</w:t>
      </w:r>
      <w:r w:rsidR="00833A2A">
        <w:t xml:space="preserve"> </w:t>
      </w:r>
      <w:r w:rsidR="00F037A8">
        <w:t xml:space="preserve">Second, and relatedly, we are proposing that </w:t>
      </w:r>
      <w:r w:rsidR="00833A2A">
        <w:t xml:space="preserve">any interference risk posed by </w:t>
      </w:r>
      <w:r w:rsidR="00B44FB7">
        <w:t xml:space="preserve">such radiocommunications </w:t>
      </w:r>
      <w:r w:rsidR="00833A2A">
        <w:t>devices would be managed by the licensin</w:t>
      </w:r>
      <w:r w:rsidR="008B0886">
        <w:t>g system</w:t>
      </w:r>
      <w:r w:rsidR="00D02546">
        <w:t xml:space="preserve">. </w:t>
      </w:r>
      <w:r w:rsidR="00B44FB7">
        <w:t>Radiocommunications d</w:t>
      </w:r>
      <w:r w:rsidR="00D02546">
        <w:t xml:space="preserve">evices that are </w:t>
      </w:r>
      <w:r w:rsidR="00355357">
        <w:t xml:space="preserve">not </w:t>
      </w:r>
      <w:r w:rsidR="00D02546">
        <w:t xml:space="preserve">designed to cause interference (but, like any transmitter, may potentially cause interference in certain contexts) </w:t>
      </w:r>
      <w:r w:rsidR="00355357">
        <w:t>can be appropriately managed by the licensing system (and, in cases similar to our proposed regularisation of RNSS repeaters, by reliance on specific standards).</w:t>
      </w:r>
    </w:p>
    <w:p w14:paraId="502B2629" w14:textId="63DD1E7F" w:rsidR="009A464C" w:rsidRDefault="005A70BD" w:rsidP="009C7785">
      <w:pPr>
        <w:pStyle w:val="Paragraph"/>
      </w:pPr>
      <w:r>
        <w:t xml:space="preserve">From a compliance perspective, </w:t>
      </w:r>
      <w:r w:rsidR="00D23398">
        <w:t>and in our experience, it is usually not difficult to identify whether a device is designed to cause interference</w:t>
      </w:r>
      <w:r w:rsidR="00F44AF4">
        <w:t xml:space="preserve">. </w:t>
      </w:r>
      <w:r w:rsidR="00EE5123">
        <w:t>For example, such devices often do not communicate any data</w:t>
      </w:r>
      <w:r w:rsidR="00DC6B68">
        <w:t xml:space="preserve"> on bands that are </w:t>
      </w:r>
      <w:r w:rsidR="009A464C">
        <w:t>used for communication (such as PMTS bands)</w:t>
      </w:r>
      <w:r w:rsidR="00EE5123">
        <w:t xml:space="preserve">, </w:t>
      </w:r>
      <w:r w:rsidR="003D381E">
        <w:t xml:space="preserve">do not establish a two-way </w:t>
      </w:r>
      <w:r w:rsidR="00472F0C">
        <w:t xml:space="preserve">link with external devices, </w:t>
      </w:r>
      <w:r w:rsidR="002A104E">
        <w:t>operate at high</w:t>
      </w:r>
      <w:r w:rsidR="00F44AF4">
        <w:t>er</w:t>
      </w:r>
      <w:r w:rsidR="002A104E">
        <w:t xml:space="preserve"> powers than is useful or </w:t>
      </w:r>
      <w:r w:rsidR="008F652B">
        <w:t xml:space="preserve">necessary </w:t>
      </w:r>
      <w:r w:rsidR="002A104E">
        <w:t xml:space="preserve">in most contexts, </w:t>
      </w:r>
      <w:r w:rsidR="009A464C">
        <w:t xml:space="preserve">or do not incorporate a radiocommunications receiver. By contrast, </w:t>
      </w:r>
      <w:r w:rsidR="00652594">
        <w:t xml:space="preserve">whether a device is </w:t>
      </w:r>
      <w:r w:rsidR="00652594">
        <w:rPr>
          <w:i/>
          <w:iCs/>
        </w:rPr>
        <w:t xml:space="preserve">likely </w:t>
      </w:r>
      <w:r w:rsidR="00652594">
        <w:t>to cause interference is often dependent on operational contex</w:t>
      </w:r>
      <w:r w:rsidR="00B20B30">
        <w:t>t</w:t>
      </w:r>
      <w:r w:rsidR="00172974">
        <w:t xml:space="preserve">: </w:t>
      </w:r>
      <w:r w:rsidR="00A738F7">
        <w:t xml:space="preserve">almost any </w:t>
      </w:r>
      <w:r w:rsidR="00F44AF4">
        <w:t xml:space="preserve">device </w:t>
      </w:r>
      <w:r w:rsidR="00172974">
        <w:t>used to communicate information in one context could very easily cause interference if operated in another</w:t>
      </w:r>
      <w:r w:rsidR="00CF133D">
        <w:t xml:space="preserve"> context</w:t>
      </w:r>
      <w:r w:rsidR="00172974">
        <w:t>.</w:t>
      </w:r>
    </w:p>
    <w:p w14:paraId="12F1CE8B" w14:textId="4A2365B9" w:rsidR="00F44AF4" w:rsidRDefault="00F44AF4" w:rsidP="00F44AF4">
      <w:pPr>
        <w:pStyle w:val="Paragraph"/>
        <w:rPr>
          <w:color w:val="000000" w:themeColor="text1"/>
        </w:rPr>
      </w:pPr>
      <w:r w:rsidRPr="002D2088">
        <w:rPr>
          <w:color w:val="000000" w:themeColor="text1"/>
        </w:rPr>
        <w:t xml:space="preserve">A specific concern was raised that more targeted bans would cease to apply to devices like garage door openers or sensor lights (which could inadvertently cause interference if they do not comply with ACMA equipment rules, or operate on frequencies </w:t>
      </w:r>
      <w:r w:rsidR="00CF133D">
        <w:rPr>
          <w:color w:val="000000" w:themeColor="text1"/>
        </w:rPr>
        <w:t xml:space="preserve">not </w:t>
      </w:r>
      <w:r w:rsidRPr="002D2088">
        <w:rPr>
          <w:color w:val="000000" w:themeColor="text1"/>
        </w:rPr>
        <w:t xml:space="preserve">allocated </w:t>
      </w:r>
      <w:r w:rsidR="00B43121">
        <w:rPr>
          <w:color w:val="000000" w:themeColor="text1"/>
        </w:rPr>
        <w:t>for their use in Australia</w:t>
      </w:r>
      <w:r w:rsidRPr="002D2088">
        <w:rPr>
          <w:color w:val="000000" w:themeColor="text1"/>
        </w:rPr>
        <w:t xml:space="preserve">). The ACMA does not currently intend that the existing permanent bans apply to these devices, and would be very unlikely to take compliance action on the basis that these were </w:t>
      </w:r>
      <w:r w:rsidR="004458E0">
        <w:rPr>
          <w:color w:val="000000" w:themeColor="text1"/>
        </w:rPr>
        <w:t xml:space="preserve">items of </w:t>
      </w:r>
      <w:r w:rsidRPr="002D2088">
        <w:rPr>
          <w:color w:val="000000" w:themeColor="text1"/>
        </w:rPr>
        <w:t>banned</w:t>
      </w:r>
      <w:r w:rsidR="002D298E">
        <w:rPr>
          <w:color w:val="000000" w:themeColor="text1"/>
        </w:rPr>
        <w:t> </w:t>
      </w:r>
      <w:r w:rsidRPr="002D2088">
        <w:rPr>
          <w:color w:val="000000" w:themeColor="text1"/>
        </w:rPr>
        <w:t xml:space="preserve">equipment. It is intended, and preferable, that such devices are managed by the </w:t>
      </w:r>
      <w:r w:rsidRPr="001343C2">
        <w:rPr>
          <w:color w:val="000000" w:themeColor="text1"/>
        </w:rPr>
        <w:t>Radiocommunications Equipment (General) Rules 2021</w:t>
      </w:r>
      <w:r w:rsidRPr="002D2088">
        <w:rPr>
          <w:color w:val="000000" w:themeColor="text1"/>
        </w:rPr>
        <w:t xml:space="preserve">, and by sections 46 and 47 of the </w:t>
      </w:r>
      <w:r w:rsidR="00BB1358">
        <w:rPr>
          <w:color w:val="000000" w:themeColor="text1"/>
        </w:rPr>
        <w:t xml:space="preserve">Radiocommunications </w:t>
      </w:r>
      <w:r w:rsidRPr="002D2088">
        <w:rPr>
          <w:color w:val="000000" w:themeColor="text1"/>
        </w:rPr>
        <w:t xml:space="preserve">Act (operation, and possession for the purpose of operation, of an unlicensed radiocommunications device) and compliance </w:t>
      </w:r>
      <w:r w:rsidR="008B7FF8">
        <w:rPr>
          <w:color w:val="000000" w:themeColor="text1"/>
        </w:rPr>
        <w:t>levers</w:t>
      </w:r>
      <w:r w:rsidRPr="002D2088">
        <w:rPr>
          <w:color w:val="000000" w:themeColor="text1"/>
        </w:rPr>
        <w:t xml:space="preserve"> relating to interference in Part 4.2. We </w:t>
      </w:r>
      <w:r w:rsidR="00A641DC">
        <w:rPr>
          <w:color w:val="000000" w:themeColor="text1"/>
        </w:rPr>
        <w:t>consider</w:t>
      </w:r>
      <w:r w:rsidR="00A641DC" w:rsidRPr="002D2088">
        <w:rPr>
          <w:color w:val="000000" w:themeColor="text1"/>
        </w:rPr>
        <w:t xml:space="preserve"> </w:t>
      </w:r>
      <w:r w:rsidRPr="002D2088">
        <w:rPr>
          <w:color w:val="000000" w:themeColor="text1"/>
        </w:rPr>
        <w:t xml:space="preserve">the express exclusion of such devices from the potential scope of a permanent ban beneficially </w:t>
      </w:r>
      <w:r w:rsidR="00A641DC" w:rsidRPr="002D2088">
        <w:rPr>
          <w:color w:val="000000" w:themeColor="text1"/>
        </w:rPr>
        <w:t>focus</w:t>
      </w:r>
      <w:r w:rsidR="00A641DC">
        <w:rPr>
          <w:color w:val="000000" w:themeColor="text1"/>
        </w:rPr>
        <w:t>es</w:t>
      </w:r>
      <w:r w:rsidR="00A641DC" w:rsidRPr="002D2088">
        <w:rPr>
          <w:color w:val="000000" w:themeColor="text1"/>
        </w:rPr>
        <w:t xml:space="preserve"> </w:t>
      </w:r>
      <w:r w:rsidRPr="002D2088">
        <w:rPr>
          <w:color w:val="000000" w:themeColor="text1"/>
        </w:rPr>
        <w:t xml:space="preserve">the permanent ban regime on devices that are specifically designed to cause interference. </w:t>
      </w:r>
    </w:p>
    <w:p w14:paraId="5F485D5D" w14:textId="44093DC6" w:rsidR="005A70BD" w:rsidRDefault="00172974" w:rsidP="000A54E6">
      <w:pPr>
        <w:pStyle w:val="Paragraph"/>
      </w:pPr>
      <w:r>
        <w:t xml:space="preserve">We do not </w:t>
      </w:r>
      <w:r w:rsidR="00B80E11">
        <w:t>consider</w:t>
      </w:r>
      <w:r>
        <w:t xml:space="preserve"> that </w:t>
      </w:r>
      <w:r w:rsidR="005B69C9">
        <w:t xml:space="preserve">more targeted bans will remove incentives to build high-quality equipment: our device supply regulations </w:t>
      </w:r>
      <w:r w:rsidR="000C18E0">
        <w:t xml:space="preserve">are the principal way that we regulate device quality, and we do not rely on the banned equipment regime to </w:t>
      </w:r>
      <w:r w:rsidR="00391F9A">
        <w:t xml:space="preserve">manage things like electromagnetic </w:t>
      </w:r>
      <w:r w:rsidR="002536CC">
        <w:t>compat</w:t>
      </w:r>
      <w:r w:rsidR="001C6593">
        <w:t>ibility</w:t>
      </w:r>
      <w:r w:rsidR="00391F9A">
        <w:t>, out-of-band emissions or compliance with standards.</w:t>
      </w:r>
    </w:p>
    <w:p w14:paraId="7848266C" w14:textId="0E72DF95" w:rsidR="009875C3" w:rsidRDefault="00D27583" w:rsidP="000A54E6">
      <w:pPr>
        <w:pStyle w:val="Paragraph"/>
      </w:pPr>
      <w:r>
        <w:lastRenderedPageBreak/>
        <w:t xml:space="preserve">Non-compliant devices that cause interference could also be appropriately managed </w:t>
      </w:r>
      <w:r w:rsidR="007F13E1">
        <w:t>by impos</w:t>
      </w:r>
      <w:r w:rsidR="00F8589A">
        <w:t>ing</w:t>
      </w:r>
      <w:r w:rsidR="007F13E1">
        <w:t xml:space="preserve"> an interim ban under section 167, or by a </w:t>
      </w:r>
      <w:r w:rsidR="00420475">
        <w:t xml:space="preserve">compulsory </w:t>
      </w:r>
      <w:r w:rsidR="007F13E1">
        <w:t xml:space="preserve">recall of equipment </w:t>
      </w:r>
      <w:r w:rsidR="00420475">
        <w:t>under a recall notice made under section 183</w:t>
      </w:r>
      <w:r w:rsidR="001A7862">
        <w:t>.</w:t>
      </w:r>
    </w:p>
    <w:p w14:paraId="6AC0975F" w14:textId="064F3319" w:rsidR="007275C9" w:rsidRDefault="008E4A4F" w:rsidP="00FD74F5">
      <w:pPr>
        <w:pStyle w:val="Paragraph"/>
      </w:pPr>
      <w:r w:rsidRPr="007A5AE5">
        <w:t xml:space="preserve">We have considered </w:t>
      </w:r>
      <w:r w:rsidR="00340419" w:rsidRPr="007A5AE5">
        <w:t>the concern expressed by stakeholders</w:t>
      </w:r>
      <w:r w:rsidR="00E55368" w:rsidRPr="007A5AE5">
        <w:t xml:space="preserve"> about</w:t>
      </w:r>
      <w:r w:rsidR="00340419" w:rsidRPr="007A5AE5">
        <w:t xml:space="preserve"> </w:t>
      </w:r>
      <w:r w:rsidR="00F50E4D" w:rsidRPr="007A5AE5">
        <w:t xml:space="preserve">the </w:t>
      </w:r>
      <w:r w:rsidR="008572CC" w:rsidRPr="007A5AE5">
        <w:t xml:space="preserve">potential </w:t>
      </w:r>
      <w:r w:rsidR="00F50E4D" w:rsidRPr="007A5AE5">
        <w:t xml:space="preserve">unintended </w:t>
      </w:r>
      <w:r w:rsidR="008572CC" w:rsidRPr="007A5AE5">
        <w:t xml:space="preserve">consequences associated with </w:t>
      </w:r>
      <w:r w:rsidRPr="007A5AE5">
        <w:t>permanent bans that provide that an item of equipment cannot be banned equipment if it allows a person to use or access a carriage service</w:t>
      </w:r>
      <w:r w:rsidR="008572CC" w:rsidRPr="007A5AE5">
        <w:t>, and the specific concern that</w:t>
      </w:r>
      <w:r w:rsidR="00D80FB4" w:rsidRPr="007A5AE5">
        <w:t xml:space="preserve"> this could </w:t>
      </w:r>
      <w:r w:rsidR="00EF180C">
        <w:t xml:space="preserve">be </w:t>
      </w:r>
      <w:r w:rsidRPr="007A5AE5">
        <w:t xml:space="preserve">exploited by </w:t>
      </w:r>
      <w:r w:rsidR="00D80FB4" w:rsidRPr="007A5AE5">
        <w:t xml:space="preserve">those </w:t>
      </w:r>
      <w:r w:rsidRPr="007A5AE5">
        <w:t xml:space="preserve">seeking to provide a communications </w:t>
      </w:r>
      <w:r w:rsidR="0053632E" w:rsidRPr="007A5AE5">
        <w:t>service</w:t>
      </w:r>
      <w:r w:rsidRPr="007A5AE5">
        <w:t xml:space="preserve"> while simultaneously causing interference.</w:t>
      </w:r>
      <w:r w:rsidR="00F503C7" w:rsidRPr="007A5AE5">
        <w:t xml:space="preserve"> </w:t>
      </w:r>
      <w:r w:rsidR="00D80FB4" w:rsidRPr="007A5AE5">
        <w:t>We note that a</w:t>
      </w:r>
      <w:r w:rsidR="00013D2F" w:rsidRPr="007A5AE5">
        <w:t xml:space="preserve"> device operated in this way would still be </w:t>
      </w:r>
      <w:r w:rsidR="00D9551F" w:rsidRPr="007A5AE5">
        <w:t xml:space="preserve">causing interference to radiocommunications and, </w:t>
      </w:r>
      <w:r w:rsidR="00D80FB4" w:rsidRPr="007A5AE5">
        <w:t>therefore</w:t>
      </w:r>
      <w:r w:rsidR="00D9551F" w:rsidRPr="007A5AE5">
        <w:t>, it does not matter whether the item of equipment is or is not banned equipment</w:t>
      </w:r>
      <w:r w:rsidR="00D41783" w:rsidRPr="007A5AE5">
        <w:t xml:space="preserve">. </w:t>
      </w:r>
      <w:r w:rsidR="007205DF" w:rsidRPr="007A5AE5">
        <w:t xml:space="preserve">However, we </w:t>
      </w:r>
      <w:r w:rsidR="007F2BAF" w:rsidRPr="007A5AE5">
        <w:t xml:space="preserve">note stakeholder concerns </w:t>
      </w:r>
      <w:r w:rsidR="004C071C" w:rsidRPr="007A5AE5">
        <w:t xml:space="preserve">that there may be unintended consequences </w:t>
      </w:r>
      <w:r w:rsidR="006A12AF" w:rsidRPr="007A5AE5">
        <w:t xml:space="preserve">associated with the initial drafting. </w:t>
      </w:r>
      <w:r w:rsidR="00A72ECB" w:rsidRPr="007A5AE5">
        <w:t xml:space="preserve">We have </w:t>
      </w:r>
      <w:r w:rsidR="007205DF" w:rsidRPr="007A5AE5">
        <w:t xml:space="preserve">amended the definitions of </w:t>
      </w:r>
      <w:r w:rsidR="00A72ECB" w:rsidRPr="007A5AE5">
        <w:t xml:space="preserve">PMTS and RLAN and RPAS jamming </w:t>
      </w:r>
      <w:r w:rsidR="007205DF" w:rsidRPr="007A5AE5">
        <w:t xml:space="preserve">equipment to </w:t>
      </w:r>
      <w:r w:rsidR="001D0D1F" w:rsidRPr="007A5AE5">
        <w:t>provide that the bans will not apply to two-way communication equipment</w:t>
      </w:r>
      <w:r w:rsidR="005A5A1D" w:rsidRPr="007A5AE5">
        <w:t>.</w:t>
      </w:r>
      <w:r w:rsidR="0070096D" w:rsidRPr="00306EA3">
        <w:rPr>
          <w:rStyle w:val="FootnoteReference"/>
        </w:rPr>
        <w:footnoteReference w:id="5"/>
      </w:r>
      <w:r w:rsidR="00C906D8" w:rsidRPr="00306EA3">
        <w:t xml:space="preserve"> This is </w:t>
      </w:r>
      <w:r w:rsidR="00F554E7" w:rsidRPr="00306EA3">
        <w:t>intend</w:t>
      </w:r>
      <w:r w:rsidR="007B751C" w:rsidRPr="00306EA3">
        <w:t>ed</w:t>
      </w:r>
      <w:r w:rsidR="00F554E7" w:rsidRPr="00306EA3">
        <w:t xml:space="preserve"> to ensure that </w:t>
      </w:r>
      <w:r w:rsidR="002C3C1E" w:rsidRPr="00306EA3">
        <w:t xml:space="preserve">equipment </w:t>
      </w:r>
      <w:r w:rsidR="00A5646F" w:rsidRPr="00306EA3">
        <w:t xml:space="preserve">that is </w:t>
      </w:r>
      <w:r w:rsidR="00EA3DEF" w:rsidRPr="00306EA3">
        <w:t xml:space="preserve">intended to provide a licensed service </w:t>
      </w:r>
      <w:r w:rsidR="00365CC8" w:rsidRPr="00306EA3">
        <w:t xml:space="preserve">that facilitates </w:t>
      </w:r>
      <w:r w:rsidR="00F9797F" w:rsidRPr="00306EA3">
        <w:t>two-way communication with a user</w:t>
      </w:r>
      <w:r w:rsidR="00061A0B" w:rsidRPr="00306EA3">
        <w:t>’s device c</w:t>
      </w:r>
      <w:r w:rsidR="00EA3DEF" w:rsidRPr="00306EA3">
        <w:t>an provide that service under a licence in circumstances where it will not cause interference.</w:t>
      </w:r>
      <w:r w:rsidR="00C229C0" w:rsidRPr="00306EA3">
        <w:t xml:space="preserve"> This approach provides regulatory certainty for </w:t>
      </w:r>
      <w:r w:rsidR="00007099" w:rsidRPr="00306EA3">
        <w:t xml:space="preserve">the ACMA and for </w:t>
      </w:r>
      <w:r w:rsidR="00314895" w:rsidRPr="00306EA3">
        <w:t xml:space="preserve">those </w:t>
      </w:r>
      <w:r w:rsidR="00C229C0" w:rsidRPr="00306EA3">
        <w:t>seeking to deploy such equipment</w:t>
      </w:r>
      <w:r w:rsidR="00007099" w:rsidRPr="00306EA3">
        <w:t>, where it may be otherwise</w:t>
      </w:r>
      <w:r w:rsidR="00314895" w:rsidRPr="00306EA3">
        <w:t xml:space="preserve"> be</w:t>
      </w:r>
      <w:r w:rsidR="00007099" w:rsidRPr="00306EA3">
        <w:t xml:space="preserve"> ambiguous as to whether a permanent ban applies.</w:t>
      </w:r>
      <w:r w:rsidR="00F714D0" w:rsidRPr="00270E4C">
        <w:t xml:space="preserve"> </w:t>
      </w:r>
      <w:r w:rsidR="005B304B" w:rsidRPr="00270E4C">
        <w:t xml:space="preserve">It will also ensure that such equipment is not </w:t>
      </w:r>
      <w:r w:rsidR="00B52854" w:rsidRPr="00270E4C">
        <w:t xml:space="preserve">automatically </w:t>
      </w:r>
      <w:r w:rsidR="005B304B" w:rsidRPr="00270E4C">
        <w:t xml:space="preserve">prevented from being imported into </w:t>
      </w:r>
      <w:r w:rsidR="00B52854" w:rsidRPr="00270E4C">
        <w:t>Australia</w:t>
      </w:r>
      <w:r w:rsidR="005B304B" w:rsidRPr="00270E4C">
        <w:t>.</w:t>
      </w:r>
    </w:p>
    <w:p w14:paraId="00C49CF9" w14:textId="276800FA" w:rsidR="008E4A4F" w:rsidRDefault="00360F9E" w:rsidP="00FD74F5">
      <w:pPr>
        <w:pStyle w:val="Paragraph"/>
      </w:pPr>
      <w:r>
        <w:t>A licence</w:t>
      </w:r>
      <w:r w:rsidR="007A5E36">
        <w:t xml:space="preserve"> </w:t>
      </w:r>
      <w:r w:rsidR="00415038">
        <w:t xml:space="preserve">under the Act </w:t>
      </w:r>
      <w:r w:rsidR="00C26FA2">
        <w:t>cannot generally be used as a direct substitute for an exemption.</w:t>
      </w:r>
      <w:r w:rsidR="007A5E36">
        <w:t xml:space="preserve"> A licence</w:t>
      </w:r>
      <w:r>
        <w:t xml:space="preserve"> cannot exempt a person from causing interference to radiocommunications</w:t>
      </w:r>
      <w:r w:rsidR="00681389">
        <w:t>,</w:t>
      </w:r>
      <w:r w:rsidR="007275C9">
        <w:t xml:space="preserve"> and a licence cannot be used to authorise possession, operation, supply </w:t>
      </w:r>
      <w:r w:rsidR="007A5E36">
        <w:t>or offer of supply of banned equipment.</w:t>
      </w:r>
    </w:p>
    <w:p w14:paraId="1B888D16" w14:textId="1C815601" w:rsidR="00321508" w:rsidRDefault="00644E39" w:rsidP="00772124">
      <w:pPr>
        <w:pStyle w:val="Paragraph"/>
        <w:rPr>
          <w:i/>
          <w:iCs/>
          <w:color w:val="000000" w:themeColor="text1"/>
        </w:rPr>
      </w:pPr>
      <w:r>
        <w:t xml:space="preserve">We also note that the innovation and industry development framework can </w:t>
      </w:r>
      <w:r w:rsidRPr="00472F0C">
        <w:rPr>
          <w:i/>
          <w:iCs/>
        </w:rPr>
        <w:t>only</w:t>
      </w:r>
      <w:r>
        <w:t xml:space="preserve"> facilitate access to jamming equipment that is subject to a permanent ban</w:t>
      </w:r>
      <w:r w:rsidR="00472F0C">
        <w:t>; it</w:t>
      </w:r>
      <w:r w:rsidR="00E048BE">
        <w:t xml:space="preserve"> </w:t>
      </w:r>
      <w:r w:rsidR="00E048BE" w:rsidRPr="00472F0C">
        <w:rPr>
          <w:i/>
          <w:iCs/>
        </w:rPr>
        <w:t>cannot</w:t>
      </w:r>
      <w:r w:rsidR="00E048BE">
        <w:t xml:space="preserve"> facilitate access to devices that are designed to cause interference, but are not captured by a ban</w:t>
      </w:r>
      <w:r w:rsidR="00BB163D">
        <w:t xml:space="preserve">. </w:t>
      </w:r>
      <w:r w:rsidR="001D1B72">
        <w:t>Imposing</w:t>
      </w:r>
      <w:r w:rsidR="00BB163D">
        <w:t xml:space="preserve"> a permanent ban on RPAS and RLAN jamming equipment therefore has the secondary</w:t>
      </w:r>
      <w:r w:rsidR="00FD01F4">
        <w:t xml:space="preserve"> and beneficial</w:t>
      </w:r>
      <w:r w:rsidR="00BB163D">
        <w:t xml:space="preserve"> effect</w:t>
      </w:r>
      <w:r w:rsidR="001D1B72">
        <w:t xml:space="preserve"> of</w:t>
      </w:r>
      <w:r w:rsidR="00BB163D">
        <w:t xml:space="preserve"> facilitating lawful access to equipment </w:t>
      </w:r>
      <w:r w:rsidR="00B455F4">
        <w:t xml:space="preserve">under the innovation and industry development framework </w:t>
      </w:r>
      <w:r w:rsidR="00BB163D">
        <w:t>that would otherwise be entirely inaccessible.</w:t>
      </w:r>
    </w:p>
    <w:p w14:paraId="7F1264C5" w14:textId="48B6A2B5" w:rsidR="007B751C" w:rsidRDefault="007B751C" w:rsidP="003C5408">
      <w:pPr>
        <w:pStyle w:val="Heading2"/>
      </w:pPr>
      <w:bookmarkStart w:id="11" w:name="_Toc129255708"/>
      <w:r w:rsidRPr="003C5408">
        <w:t>Outcome</w:t>
      </w:r>
      <w:r w:rsidR="00D56928">
        <w:t>s</w:t>
      </w:r>
      <w:bookmarkEnd w:id="11"/>
    </w:p>
    <w:p w14:paraId="4B5AFC65" w14:textId="0421569D" w:rsidR="003D2994" w:rsidRPr="003D2994" w:rsidRDefault="003D2994" w:rsidP="003C5408">
      <w:pPr>
        <w:rPr>
          <w:rFonts w:cs="Arial"/>
        </w:rPr>
      </w:pPr>
      <w:r w:rsidRPr="003D2994">
        <w:rPr>
          <w:rFonts w:cs="Arial"/>
        </w:rPr>
        <w:t xml:space="preserve">The </w:t>
      </w:r>
      <w:r w:rsidRPr="00A11FE6">
        <w:rPr>
          <w:rFonts w:cs="Arial"/>
        </w:rPr>
        <w:t>Radiocommunications (Jamming Equipment) Permanent Ban 2023</w:t>
      </w:r>
      <w:r w:rsidRPr="003D2994">
        <w:rPr>
          <w:rFonts w:cs="Arial"/>
        </w:rPr>
        <w:t xml:space="preserve"> (the permanent ban) will repeal and replace the current </w:t>
      </w:r>
      <w:r>
        <w:rPr>
          <w:rFonts w:cs="Arial"/>
        </w:rPr>
        <w:t>PMTS jammer ban and the RNSS jammer ban</w:t>
      </w:r>
      <w:r w:rsidRPr="003D2994">
        <w:rPr>
          <w:rFonts w:cs="Arial"/>
        </w:rPr>
        <w:t xml:space="preserve">, and will also impose a new ban on </w:t>
      </w:r>
      <w:r>
        <w:rPr>
          <w:rFonts w:cs="Arial"/>
        </w:rPr>
        <w:t xml:space="preserve">RLAN and RPAS jamming </w:t>
      </w:r>
      <w:r w:rsidRPr="003D2994">
        <w:rPr>
          <w:rFonts w:cs="Arial"/>
        </w:rPr>
        <w:t>equipment.</w:t>
      </w:r>
    </w:p>
    <w:p w14:paraId="3D142209" w14:textId="44F6B546" w:rsidR="007B751C" w:rsidRDefault="004A137D" w:rsidP="007B751C">
      <w:r>
        <w:t>The definitions of RNSS jamming equipment will exclude a range of RNSS transmission and retransmission technologies from the ban. We</w:t>
      </w:r>
      <w:r w:rsidR="00F23034">
        <w:t xml:space="preserve"> note stakeholder interest in the wider use and regulation of such technologies, and our next steps are set out </w:t>
      </w:r>
      <w:r w:rsidR="00E749DD">
        <w:t>at the end of this document.</w:t>
      </w:r>
    </w:p>
    <w:p w14:paraId="75021EEC" w14:textId="4A37BB10" w:rsidR="00A7611B" w:rsidRDefault="00A7611B" w:rsidP="007B751C">
      <w:r>
        <w:t>We carefully considered stakeholder views about the scope and operation of permanent bans</w:t>
      </w:r>
      <w:r w:rsidR="00E97923">
        <w:t>.</w:t>
      </w:r>
    </w:p>
    <w:p w14:paraId="1EAE7BF1" w14:textId="42209B2C" w:rsidR="00E97923" w:rsidRDefault="00E97923" w:rsidP="007B751C">
      <w:r>
        <w:t xml:space="preserve">We formed the view that the equipment specified in the permanent ban will continue to ensure that high-risk jamming equipment </w:t>
      </w:r>
      <w:r w:rsidR="00174482">
        <w:t>that is specifically designed to</w:t>
      </w:r>
      <w:r w:rsidR="0035141F">
        <w:t xml:space="preserve"> have </w:t>
      </w:r>
      <w:r w:rsidR="0021387F">
        <w:t xml:space="preserve">an adverse effect on radiocommunications and </w:t>
      </w:r>
      <w:r w:rsidR="00174482">
        <w:t xml:space="preserve">cause interference </w:t>
      </w:r>
      <w:r>
        <w:t>remains banned</w:t>
      </w:r>
      <w:r w:rsidR="00FC073C">
        <w:t xml:space="preserve">, and </w:t>
      </w:r>
      <w:r w:rsidR="00FC073C">
        <w:lastRenderedPageBreak/>
        <w:t xml:space="preserve">that the ban on RLAN and RPAS jamming equipment will clarify the </w:t>
      </w:r>
      <w:r w:rsidR="006C498F">
        <w:t>regulatory status of this equipment.</w:t>
      </w:r>
    </w:p>
    <w:p w14:paraId="299F058B" w14:textId="388AFE84" w:rsidR="006C498F" w:rsidRPr="00306EA3" w:rsidRDefault="0085409B" w:rsidP="00306EA3">
      <w:r>
        <w:t xml:space="preserve">The exclusion of two-way communication equipment from the bans on PMTS jamming equipment and RLAN and RPAS jamming equipment </w:t>
      </w:r>
      <w:r w:rsidR="00946302">
        <w:t xml:space="preserve">will ensure that devices </w:t>
      </w:r>
      <w:r w:rsidR="008771A1">
        <w:t>principally intended</w:t>
      </w:r>
      <w:r w:rsidR="00946302">
        <w:t xml:space="preserve"> to provide a usable communications link are not incidentally caught by the ban</w:t>
      </w:r>
      <w:r w:rsidR="00A152AE">
        <w:t xml:space="preserve">. Any such equipment would still require a licence </w:t>
      </w:r>
      <w:r w:rsidR="00CE5E84">
        <w:t xml:space="preserve">to be legally operated or possessed for the purpose of operation. Similarly, the exclusion of industrial, scientific and medical equipment from the scope of the ban on RLAN and RPAS jamming equipment will ensure that </w:t>
      </w:r>
      <w:r w:rsidR="00F6128B">
        <w:t>equipment that shares the spectrum with RLANs and RPAS</w:t>
      </w:r>
      <w:r w:rsidR="00F16C71">
        <w:t>, but which is not used for radiocommunications, is not inadvertently subject to the ban.</w:t>
      </w:r>
    </w:p>
    <w:p w14:paraId="5C0DC780" w14:textId="4FFB9885" w:rsidR="00BF1CDA" w:rsidRDefault="00DC6A58" w:rsidP="00FE415E">
      <w:pPr>
        <w:pStyle w:val="Heading1"/>
      </w:pPr>
      <w:bookmarkStart w:id="12" w:name="_Toc129255709"/>
      <w:r>
        <w:lastRenderedPageBreak/>
        <w:t>S</w:t>
      </w:r>
      <w:r w:rsidR="00BF1CDA">
        <w:t>cope and operation of exemptions</w:t>
      </w:r>
      <w:bookmarkEnd w:id="12"/>
    </w:p>
    <w:p w14:paraId="18720E65" w14:textId="51C8A37D" w:rsidR="009D72EE" w:rsidRDefault="00DC55E3" w:rsidP="00DC55E3">
      <w:pPr>
        <w:pStyle w:val="Paragraph"/>
      </w:pPr>
      <w:r>
        <w:t>In our July 2022</w:t>
      </w:r>
      <w:r w:rsidR="00DA0054">
        <w:t xml:space="preserve"> consultation</w:t>
      </w:r>
      <w:r w:rsidR="00220FFD">
        <w:t xml:space="preserve">, we noted that </w:t>
      </w:r>
      <w:r w:rsidR="004B4139">
        <w:t>e</w:t>
      </w:r>
      <w:r w:rsidR="004B4139" w:rsidRPr="008556D2">
        <w:t xml:space="preserve">xemptions that support law enforcement </w:t>
      </w:r>
      <w:r w:rsidR="00CE2DE9">
        <w:t>enable</w:t>
      </w:r>
      <w:r w:rsidR="00CE2DE9" w:rsidRPr="008556D2">
        <w:t xml:space="preserve"> </w:t>
      </w:r>
      <w:r w:rsidR="004B4139" w:rsidRPr="008556D2">
        <w:t>use of the spectrum for non-commercial, publicly beneficial outcomes</w:t>
      </w:r>
      <w:r w:rsidR="004B4139">
        <w:t xml:space="preserve">. We </w:t>
      </w:r>
      <w:r w:rsidR="004654A6">
        <w:t xml:space="preserve">considered </w:t>
      </w:r>
      <w:r w:rsidR="004B4139">
        <w:t xml:space="preserve">how we could enhance the exemptions regime </w:t>
      </w:r>
      <w:r w:rsidR="004654A6">
        <w:t xml:space="preserve">to </w:t>
      </w:r>
      <w:r w:rsidR="004B4139">
        <w:t>assist law enforcement in delivering those outcomes.</w:t>
      </w:r>
    </w:p>
    <w:p w14:paraId="7D60240D" w14:textId="1C8C0265" w:rsidR="002078E0" w:rsidRPr="00E13A7E" w:rsidRDefault="000A15B8" w:rsidP="002078E0">
      <w:pPr>
        <w:pStyle w:val="Paragraph"/>
      </w:pPr>
      <w:r>
        <w:t>Historically, d</w:t>
      </w:r>
      <w:r w:rsidR="002078E0" w:rsidRPr="00E13A7E">
        <w:t xml:space="preserve">ecision-making </w:t>
      </w:r>
      <w:r w:rsidR="004654A6">
        <w:t xml:space="preserve">for </w:t>
      </w:r>
      <w:r w:rsidR="002078E0" w:rsidRPr="00E13A7E">
        <w:t xml:space="preserve">exemptions and permanent bans has been made via legislative instrument alone. This means a </w:t>
      </w:r>
      <w:proofErr w:type="gramStart"/>
      <w:r w:rsidR="002078E0" w:rsidRPr="00E13A7E">
        <w:t>narrowly</w:t>
      </w:r>
      <w:r w:rsidR="002078E0">
        <w:t>-</w:t>
      </w:r>
      <w:r w:rsidR="002078E0" w:rsidRPr="00E13A7E">
        <w:t>drafted</w:t>
      </w:r>
      <w:proofErr w:type="gramEnd"/>
      <w:r w:rsidR="002078E0" w:rsidRPr="00E13A7E">
        <w:t xml:space="preserve"> </w:t>
      </w:r>
      <w:r w:rsidR="002078E0">
        <w:t>exemption</w:t>
      </w:r>
      <w:r w:rsidR="002078E0" w:rsidRPr="00E13A7E">
        <w:t xml:space="preserve"> cannot </w:t>
      </w:r>
      <w:r w:rsidR="002078E0">
        <w:t xml:space="preserve">readily </w:t>
      </w:r>
      <w:r w:rsidR="002078E0" w:rsidRPr="00E13A7E">
        <w:t>accommodate changes in technology or the operating environment. For</w:t>
      </w:r>
      <w:r w:rsidR="00B96E64">
        <w:t> </w:t>
      </w:r>
      <w:r w:rsidR="002078E0" w:rsidRPr="00E13A7E">
        <w:t>exemptions in particular, this means that instruments need to strike the right balance</w:t>
      </w:r>
      <w:r w:rsidR="002078E0">
        <w:t xml:space="preserve">. They need to be </w:t>
      </w:r>
      <w:r w:rsidR="002078E0" w:rsidRPr="00E13A7E">
        <w:t xml:space="preserve">broad enough for </w:t>
      </w:r>
      <w:r w:rsidR="004654A6">
        <w:t xml:space="preserve">those </w:t>
      </w:r>
      <w:r w:rsidR="002078E0" w:rsidRPr="00E13A7E">
        <w:t>operating under them to use their judgement and discretion, yet narrow enough to clearly define the scope of the legal relief</w:t>
      </w:r>
      <w:r w:rsidR="00975488">
        <w:t xml:space="preserve"> from the Act</w:t>
      </w:r>
      <w:r w:rsidR="002078E0" w:rsidRPr="00E13A7E">
        <w:t xml:space="preserve">. The instrument-making process, as opposed to administrative decision-making processes, is </w:t>
      </w:r>
      <w:r w:rsidR="002078E0">
        <w:t xml:space="preserve">less </w:t>
      </w:r>
      <w:r w:rsidR="002078E0" w:rsidRPr="00E13A7E">
        <w:t xml:space="preserve">geared towards facilitating frequent or </w:t>
      </w:r>
      <w:r w:rsidR="002078E0">
        <w:t>rapid</w:t>
      </w:r>
      <w:r w:rsidR="002078E0" w:rsidRPr="00E13A7E">
        <w:t xml:space="preserve"> changes.</w:t>
      </w:r>
    </w:p>
    <w:p w14:paraId="6E7DC523" w14:textId="42449BEE" w:rsidR="002078E0" w:rsidRPr="00E13A7E" w:rsidRDefault="002078E0" w:rsidP="002078E0">
      <w:pPr>
        <w:pStyle w:val="Paragraphbeforelist"/>
      </w:pPr>
      <w:r w:rsidRPr="00E13A7E">
        <w:t>Another challenge that we and stakeholders identified was that</w:t>
      </w:r>
      <w:r>
        <w:t>, before the Modernisation Act,</w:t>
      </w:r>
      <w:r w:rsidRPr="00E13A7E">
        <w:t xml:space="preserve"> the exemption powers available to the ACMA applied to a narrow </w:t>
      </w:r>
      <w:r w:rsidR="002C4667">
        <w:t>group of users</w:t>
      </w:r>
      <w:r w:rsidRPr="00E13A7E">
        <w:t xml:space="preserve">. Under section 27 of the Act, </w:t>
      </w:r>
      <w:r>
        <w:t>we</w:t>
      </w:r>
      <w:r w:rsidRPr="00E13A7E">
        <w:t xml:space="preserve"> c</w:t>
      </w:r>
      <w:r>
        <w:t>an</w:t>
      </w:r>
      <w:r w:rsidRPr="00E13A7E">
        <w:t xml:space="preserve"> only provide exemptions by legislative instruments for</w:t>
      </w:r>
      <w:r w:rsidR="00172115" w:rsidRPr="00172115">
        <w:t xml:space="preserve"> </w:t>
      </w:r>
      <w:r w:rsidR="00172115" w:rsidRPr="00E13A7E">
        <w:t>people performing certain functions or duties in relation to</w:t>
      </w:r>
      <w:r w:rsidRPr="00E13A7E">
        <w:t>:</w:t>
      </w:r>
    </w:p>
    <w:p w14:paraId="6A00B2FE" w14:textId="6F109B7E" w:rsidR="002078E0" w:rsidRPr="00E13A7E" w:rsidRDefault="002078E0" w:rsidP="002078E0">
      <w:pPr>
        <w:pStyle w:val="ListBullet"/>
      </w:pPr>
      <w:r w:rsidRPr="00E13A7E">
        <w:t>the defence, security or international relations of Australia</w:t>
      </w:r>
    </w:p>
    <w:p w14:paraId="37DFAE0A" w14:textId="4CC83704" w:rsidR="002078E0" w:rsidRPr="003D73D6" w:rsidRDefault="002078E0" w:rsidP="002078E0">
      <w:pPr>
        <w:pStyle w:val="ListBulletLast"/>
      </w:pPr>
      <w:r w:rsidRPr="003D73D6">
        <w:t>a limited number of specified bodies, broadly concerned with defence, law</w:t>
      </w:r>
      <w:r w:rsidR="00FA7F96">
        <w:t> </w:t>
      </w:r>
      <w:r w:rsidRPr="003D73D6">
        <w:t>enforcement and emergency services.</w:t>
      </w:r>
    </w:p>
    <w:p w14:paraId="1B248176" w14:textId="593F110E" w:rsidR="002078E0" w:rsidRPr="00E13A7E" w:rsidRDefault="00687AA4" w:rsidP="002078E0">
      <w:pPr>
        <w:pStyle w:val="Paragraph"/>
      </w:pPr>
      <w:r>
        <w:t>O</w:t>
      </w:r>
      <w:r w:rsidR="002078E0" w:rsidRPr="00E13A7E">
        <w:t xml:space="preserve">ver the last </w:t>
      </w:r>
      <w:r w:rsidR="002078E0">
        <w:t>few</w:t>
      </w:r>
      <w:r w:rsidR="002078E0" w:rsidRPr="00E13A7E">
        <w:t xml:space="preserve"> years, we have encountered instances where it might </w:t>
      </w:r>
      <w:r w:rsidR="002078E0">
        <w:t xml:space="preserve">have </w:t>
      </w:r>
      <w:r w:rsidR="002078E0" w:rsidRPr="00E13A7E">
        <w:t>be</w:t>
      </w:r>
      <w:r w:rsidR="002078E0">
        <w:t>en</w:t>
      </w:r>
      <w:r w:rsidR="002078E0" w:rsidRPr="00E13A7E">
        <w:t xml:space="preserve"> desirable to make an exemption to facilitate access to banned equipment </w:t>
      </w:r>
      <w:r w:rsidR="00CB1143">
        <w:t xml:space="preserve">where </w:t>
      </w:r>
      <w:r w:rsidR="002078E0" w:rsidRPr="00E13A7E">
        <w:t xml:space="preserve">section 27 does not apply. In most cases, </w:t>
      </w:r>
      <w:r w:rsidR="00C518D0">
        <w:t xml:space="preserve">the </w:t>
      </w:r>
      <w:r w:rsidR="002078E0" w:rsidRPr="00E13A7E">
        <w:t xml:space="preserve">interest </w:t>
      </w:r>
      <w:r w:rsidR="00C518D0">
        <w:t xml:space="preserve">expressed </w:t>
      </w:r>
      <w:r w:rsidR="002078E0" w:rsidRPr="00E13A7E">
        <w:t xml:space="preserve">in accessing banned equipment </w:t>
      </w:r>
      <w:r w:rsidR="00C518D0">
        <w:t xml:space="preserve">has been </w:t>
      </w:r>
      <w:r w:rsidR="002078E0" w:rsidRPr="00E13A7E">
        <w:t xml:space="preserve">for the purpose of domestic manufacturing, </w:t>
      </w:r>
      <w:r w:rsidR="002078E0">
        <w:t>research and development (</w:t>
      </w:r>
      <w:r w:rsidR="002078E0" w:rsidRPr="00E13A7E">
        <w:t>R&amp;D</w:t>
      </w:r>
      <w:r w:rsidR="002078E0">
        <w:t>)</w:t>
      </w:r>
      <w:r w:rsidR="002078E0" w:rsidRPr="00E13A7E">
        <w:t>, or trialling a new technology</w:t>
      </w:r>
      <w:r w:rsidR="002078E0">
        <w:t xml:space="preserve"> that was banned</w:t>
      </w:r>
      <w:r w:rsidR="00884786" w:rsidRPr="00884786">
        <w:t xml:space="preserve"> </w:t>
      </w:r>
      <w:r w:rsidR="00884786">
        <w:t xml:space="preserve">– </w:t>
      </w:r>
      <w:r w:rsidR="00884786" w:rsidRPr="00B95C4D">
        <w:t xml:space="preserve">something that the exemption regime could not </w:t>
      </w:r>
      <w:r w:rsidR="00884786">
        <w:t xml:space="preserve">easily </w:t>
      </w:r>
      <w:r w:rsidR="00884786" w:rsidRPr="00B95C4D">
        <w:t>facilitate</w:t>
      </w:r>
      <w:r w:rsidR="00884786">
        <w:t xml:space="preserve"> before the Modernisation Act</w:t>
      </w:r>
      <w:r w:rsidR="00884786" w:rsidRPr="00B95C4D">
        <w:t>.</w:t>
      </w:r>
    </w:p>
    <w:p w14:paraId="3671AFA7" w14:textId="11678D18" w:rsidR="001A325D" w:rsidRPr="00B95C4D" w:rsidRDefault="001A325D" w:rsidP="001A325D">
      <w:pPr>
        <w:pStyle w:val="Paragraph"/>
      </w:pPr>
      <w:r>
        <w:t>G</w:t>
      </w:r>
      <w:r w:rsidRPr="00B95C4D">
        <w:t xml:space="preserve">radual changes in technology have seen law enforcement, and a </w:t>
      </w:r>
      <w:r>
        <w:t xml:space="preserve">widening range of </w:t>
      </w:r>
      <w:r w:rsidRPr="00B95C4D">
        <w:t xml:space="preserve">public and private entities, approach </w:t>
      </w:r>
      <w:r>
        <w:t xml:space="preserve">us </w:t>
      </w:r>
      <w:r w:rsidR="00A06E23">
        <w:t xml:space="preserve">to use </w:t>
      </w:r>
      <w:r>
        <w:t>banned equipment under exemptions</w:t>
      </w:r>
      <w:r w:rsidRPr="00B95C4D">
        <w:t>.</w:t>
      </w:r>
      <w:r>
        <w:t xml:space="preserve"> </w:t>
      </w:r>
      <w:r w:rsidRPr="00B95C4D">
        <w:t>For example, drones have historically been a military</w:t>
      </w:r>
      <w:r w:rsidR="00A06E23">
        <w:t xml:space="preserve"> (</w:t>
      </w:r>
      <w:r w:rsidRPr="00B95C4D">
        <w:t>rather than commercial or consumer</w:t>
      </w:r>
      <w:r w:rsidR="00A06E23">
        <w:t>)</w:t>
      </w:r>
      <w:r>
        <w:t xml:space="preserve"> </w:t>
      </w:r>
      <w:r w:rsidRPr="00B95C4D">
        <w:t>technology, as has the electronic means to counter</w:t>
      </w:r>
      <w:r>
        <w:t xml:space="preserve"> </w:t>
      </w:r>
      <w:r w:rsidRPr="00B95C4D">
        <w:t>them. Counter-drone equipment is increasingly being sought by</w:t>
      </w:r>
      <w:r>
        <w:t xml:space="preserve"> public and </w:t>
      </w:r>
      <w:r w:rsidRPr="00B95C4D">
        <w:t>private entities</w:t>
      </w:r>
      <w:r>
        <w:t>, and we are aware that it is becoming more prevalent</w:t>
      </w:r>
      <w:r w:rsidRPr="00B95C4D">
        <w:t xml:space="preserve">. Similarly, </w:t>
      </w:r>
      <w:r>
        <w:t>RNSS</w:t>
      </w:r>
      <w:r w:rsidRPr="00B95C4D">
        <w:t xml:space="preserve"> retransmission devices and similar technologies have historically not been of general interest to non</w:t>
      </w:r>
      <w:r w:rsidR="00782540">
        <w:noBreakHyphen/>
      </w:r>
      <w:r w:rsidRPr="00B95C4D">
        <w:t xml:space="preserve">Defence entities. </w:t>
      </w:r>
    </w:p>
    <w:p w14:paraId="4F609C4C" w14:textId="77777777" w:rsidR="00437A9C" w:rsidRDefault="00B86DB8" w:rsidP="00B86DB8">
      <w:pPr>
        <w:pStyle w:val="Paragraph"/>
      </w:pPr>
      <w:r w:rsidRPr="00B95C4D">
        <w:t xml:space="preserve">The changes to the </w:t>
      </w:r>
      <w:r w:rsidR="00A06E23">
        <w:t>Radiocommunication</w:t>
      </w:r>
      <w:r w:rsidR="004A6E97">
        <w:t>s</w:t>
      </w:r>
      <w:r w:rsidR="00A06E23">
        <w:t xml:space="preserve"> </w:t>
      </w:r>
      <w:r w:rsidRPr="00B95C4D">
        <w:t xml:space="preserve">Act introduced by the Modernisation Act have created opportunities for </w:t>
      </w:r>
      <w:r>
        <w:t>us</w:t>
      </w:r>
      <w:r w:rsidRPr="00B95C4D">
        <w:t xml:space="preserve"> to make the exemption</w:t>
      </w:r>
      <w:r>
        <w:t>s</w:t>
      </w:r>
      <w:r w:rsidRPr="00B95C4D">
        <w:t xml:space="preserve"> </w:t>
      </w:r>
      <w:r>
        <w:t>regime</w:t>
      </w:r>
      <w:r w:rsidRPr="00B95C4D">
        <w:t xml:space="preserve"> more flexible</w:t>
      </w:r>
      <w:r w:rsidR="0023625B">
        <w:t>. The regime can apply to a wider range of users</w:t>
      </w:r>
      <w:r w:rsidRPr="00B95C4D">
        <w:t xml:space="preserve">, and </w:t>
      </w:r>
      <w:r w:rsidR="0023625B">
        <w:t xml:space="preserve">we </w:t>
      </w:r>
      <w:r w:rsidR="00CE25BC">
        <w:t xml:space="preserve">can be </w:t>
      </w:r>
      <w:r w:rsidRPr="00B95C4D">
        <w:t xml:space="preserve">more responsive in </w:t>
      </w:r>
      <w:r w:rsidR="00CE25BC">
        <w:t xml:space="preserve">our </w:t>
      </w:r>
      <w:r w:rsidRPr="00B95C4D">
        <w:t>decision</w:t>
      </w:r>
      <w:r w:rsidR="00604DA4">
        <w:noBreakHyphen/>
      </w:r>
      <w:r w:rsidRPr="00B95C4D">
        <w:t xml:space="preserve">making. </w:t>
      </w:r>
    </w:p>
    <w:p w14:paraId="3EC7DB35" w14:textId="7D08A2F5" w:rsidR="00B86DB8" w:rsidRDefault="00B86DB8" w:rsidP="00B86DB8">
      <w:pPr>
        <w:pStyle w:val="Paragraph"/>
      </w:pPr>
      <w:r>
        <w:t>T</w:t>
      </w:r>
      <w:r w:rsidRPr="00B95C4D">
        <w:t xml:space="preserve">he insertion of subsection 27(2A) into the </w:t>
      </w:r>
      <w:r w:rsidR="004A6E97">
        <w:t xml:space="preserve">Radiocommunications </w:t>
      </w:r>
      <w:r w:rsidRPr="00B95C4D">
        <w:t xml:space="preserve">Act expressly provides for exemptions to confer a power to make an administrative decision on the ACMA </w:t>
      </w:r>
      <w:r w:rsidR="00CE25BC">
        <w:t>(</w:t>
      </w:r>
      <w:r w:rsidRPr="00B95C4D">
        <w:t>or another person</w:t>
      </w:r>
      <w:r w:rsidR="00CE25BC">
        <w:t>)</w:t>
      </w:r>
      <w:r w:rsidRPr="00B95C4D">
        <w:t xml:space="preserve">. Administrative decisions can be made more rapidly than legislative decisions and provide greater flexibility for the ACMA and </w:t>
      </w:r>
      <w:r w:rsidR="00C20F67">
        <w:t xml:space="preserve">users of </w:t>
      </w:r>
      <w:r w:rsidRPr="00B95C4D">
        <w:t xml:space="preserve">exemptions. </w:t>
      </w:r>
    </w:p>
    <w:p w14:paraId="14314E55" w14:textId="366F1805" w:rsidR="00B86DB8" w:rsidRPr="00B95C4D" w:rsidRDefault="00B86DB8" w:rsidP="00B86DB8">
      <w:pPr>
        <w:pStyle w:val="Paragraph"/>
      </w:pPr>
      <w:r w:rsidRPr="00B95C4D">
        <w:lastRenderedPageBreak/>
        <w:t>The new exemption power at section 302 of the</w:t>
      </w:r>
      <w:r w:rsidR="002D714D">
        <w:t xml:space="preserve"> Radiocommunications</w:t>
      </w:r>
      <w:r w:rsidRPr="00B95C4D">
        <w:t xml:space="preserve"> Act creates a new type of exemption from criminal offences and civil penalties associated with access to</w:t>
      </w:r>
      <w:r>
        <w:t>,</w:t>
      </w:r>
      <w:r w:rsidRPr="00B95C4D">
        <w:t xml:space="preserve"> and operation of</w:t>
      </w:r>
      <w:r>
        <w:t>,</w:t>
      </w:r>
      <w:r w:rsidRPr="00B95C4D">
        <w:t xml:space="preserve"> banned equipment. Unlike section 27 exemptions, these exemptions can apply </w:t>
      </w:r>
      <w:r w:rsidR="002D714D">
        <w:t>widely</w:t>
      </w:r>
      <w:r w:rsidRPr="00B95C4D">
        <w:t>, and are principally intended to facilitate innovation and industry development opportunities</w:t>
      </w:r>
      <w:r>
        <w:t xml:space="preserve">. These </w:t>
      </w:r>
      <w:r w:rsidRPr="00B95C4D">
        <w:t>are likely to involve manufacturing, R&amp;D and product development activities.</w:t>
      </w:r>
    </w:p>
    <w:p w14:paraId="66D6B15C" w14:textId="360A6952" w:rsidR="00884786" w:rsidRDefault="00884786" w:rsidP="00884786">
      <w:pPr>
        <w:pStyle w:val="Paragraphbeforelist"/>
      </w:pPr>
      <w:r>
        <w:t xml:space="preserve">Our overall approach to implementing the </w:t>
      </w:r>
      <w:r w:rsidR="00A754E2">
        <w:t xml:space="preserve">reviewed </w:t>
      </w:r>
      <w:r>
        <w:t>exemption regime has been to:</w:t>
      </w:r>
    </w:p>
    <w:p w14:paraId="555F0ED5" w14:textId="77777777" w:rsidR="00884786" w:rsidRPr="00BE6C69" w:rsidRDefault="00884786" w:rsidP="00884786">
      <w:pPr>
        <w:pStyle w:val="ListBullet"/>
      </w:pPr>
      <w:r>
        <w:t xml:space="preserve">use administrative powers creatively and proportionately, by making exemptions that provide for delegated decisions on operational matters, or creating permit-like administrative arrangements </w:t>
      </w:r>
    </w:p>
    <w:p w14:paraId="3AC8D73F" w14:textId="77777777" w:rsidR="00884786" w:rsidRDefault="00884786" w:rsidP="00884786">
      <w:pPr>
        <w:pStyle w:val="ListBullet"/>
      </w:pPr>
      <w:r>
        <w:t>simplify conditions that have become overly complex over time, or which no longer serve a practical regulatory outcome</w:t>
      </w:r>
    </w:p>
    <w:p w14:paraId="45F66BDF" w14:textId="77777777" w:rsidR="00884786" w:rsidRDefault="00884786" w:rsidP="00884786">
      <w:pPr>
        <w:pStyle w:val="ListBullet"/>
      </w:pPr>
      <w:r>
        <w:t xml:space="preserve">take a risk-based approach that recognises agency expertise with banned equipment, and that closely regulates private sector access to banned equipment </w:t>
      </w:r>
    </w:p>
    <w:p w14:paraId="199517A4" w14:textId="77777777" w:rsidR="00884786" w:rsidRDefault="00884786" w:rsidP="00884786">
      <w:pPr>
        <w:pStyle w:val="ListBullet"/>
      </w:pPr>
      <w:r>
        <w:t>implement standardised record-keeping obligations on exempted persons, as appropriate</w:t>
      </w:r>
    </w:p>
    <w:p w14:paraId="23C174BD" w14:textId="77777777" w:rsidR="00C53C2B" w:rsidRDefault="00884786" w:rsidP="00C53C2B">
      <w:pPr>
        <w:pStyle w:val="ListBulletLast"/>
      </w:pPr>
      <w:r>
        <w:t>have all new exemptions expire after 5 years, to facilitate bulk review and remaking.</w:t>
      </w:r>
    </w:p>
    <w:p w14:paraId="2E9955A4" w14:textId="1A3BFD95" w:rsidR="00B53FAA" w:rsidRDefault="00C53C2B" w:rsidP="00C67A8D">
      <w:pPr>
        <w:pStyle w:val="Paragraph"/>
      </w:pPr>
      <w:r>
        <w:t xml:space="preserve">When we initiated the review in </w:t>
      </w:r>
      <w:r w:rsidR="00FE692D">
        <w:t>20</w:t>
      </w:r>
      <w:r w:rsidR="00C90414">
        <w:t>2</w:t>
      </w:r>
      <w:r w:rsidR="00FE692D">
        <w:t xml:space="preserve">0, there were 8 exemption determinations </w:t>
      </w:r>
      <w:r w:rsidR="00373F87">
        <w:t>made under section 27 of the Act</w:t>
      </w:r>
      <w:r w:rsidR="00FE692D">
        <w:t>.</w:t>
      </w:r>
      <w:r w:rsidR="00C67A8D">
        <w:t xml:space="preserve"> The reviewed framework we proposed would </w:t>
      </w:r>
      <w:r w:rsidR="00991216">
        <w:t>comprise</w:t>
      </w:r>
      <w:r w:rsidR="00C67A8D">
        <w:t xml:space="preserve"> </w:t>
      </w:r>
      <w:r w:rsidR="00373F87">
        <w:t xml:space="preserve">4 exemptions made under section 27, </w:t>
      </w:r>
      <w:r w:rsidR="0069300D" w:rsidRPr="0069300D">
        <w:t>a new permit-based system for manufacturing and R&amp;D (the innovation and industry development framework)</w:t>
      </w:r>
      <w:r w:rsidR="0069300D">
        <w:t xml:space="preserve"> facilitated by an exemption made under section 302</w:t>
      </w:r>
      <w:r w:rsidR="00FF4D52">
        <w:t>, and an information document on exemptions for law enforcement and stakeholders</w:t>
      </w:r>
      <w:r w:rsidR="00EF3F17">
        <w:t>.</w:t>
      </w:r>
      <w:r w:rsidR="007227B6">
        <w:t xml:space="preserve"> </w:t>
      </w:r>
    </w:p>
    <w:p w14:paraId="7D1CFBCE" w14:textId="5B852622" w:rsidR="005F1AF1" w:rsidRDefault="00CE31E1" w:rsidP="00C67A8D">
      <w:pPr>
        <w:pStyle w:val="Paragraph"/>
      </w:pPr>
      <w:r>
        <w:t>In July 2022, w</w:t>
      </w:r>
      <w:r w:rsidR="000232CE">
        <w:t xml:space="preserve">e sought view on </w:t>
      </w:r>
      <w:r w:rsidR="005F1AF1">
        <w:t>drafts of the:</w:t>
      </w:r>
    </w:p>
    <w:p w14:paraId="37BAAE5D" w14:textId="223F7BDB" w:rsidR="005F1AF1" w:rsidRPr="00F329E9" w:rsidRDefault="005F1AF1" w:rsidP="00F329E9">
      <w:pPr>
        <w:pStyle w:val="ListBullet"/>
      </w:pPr>
      <w:r w:rsidRPr="00F329E9">
        <w:t xml:space="preserve">Radiocommunications (Exemption – Bomb Disposal Electronic Counter Measures) Determination 2023 </w:t>
      </w:r>
      <w:r w:rsidR="00C7098E" w:rsidRPr="00F329E9">
        <w:t>(the ECM exemption)</w:t>
      </w:r>
    </w:p>
    <w:p w14:paraId="14048F29" w14:textId="1F3AC203" w:rsidR="00522C0C" w:rsidRPr="00F329E9" w:rsidRDefault="00522C0C" w:rsidP="00F329E9">
      <w:pPr>
        <w:pStyle w:val="ListBullet"/>
      </w:pPr>
      <w:r w:rsidRPr="00F329E9">
        <w:t>Radiocommunications (Exemption – Visiting Dignitaries) Determination 2023</w:t>
      </w:r>
      <w:r w:rsidR="00C7098E" w:rsidRPr="00F329E9">
        <w:t xml:space="preserve"> (the visiting dignitaries exemption)</w:t>
      </w:r>
    </w:p>
    <w:p w14:paraId="32F76CEB" w14:textId="383E4540" w:rsidR="00CE31E1" w:rsidRPr="00F329E9" w:rsidRDefault="00CE31E1" w:rsidP="00F329E9">
      <w:pPr>
        <w:pStyle w:val="ListBullet"/>
      </w:pPr>
      <w:r w:rsidRPr="00F329E9">
        <w:t>Radiocommunications (Exemptions) Amendment Determination 2023 (No.1)</w:t>
      </w:r>
      <w:r w:rsidR="00C7098E" w:rsidRPr="00F329E9">
        <w:t xml:space="preserve"> (the amendment exemption)</w:t>
      </w:r>
    </w:p>
    <w:p w14:paraId="7A9AF8CB" w14:textId="24B8CFC7" w:rsidR="00CE31E1" w:rsidRPr="00730C2F" w:rsidRDefault="00CE31E1" w:rsidP="00F329E9">
      <w:pPr>
        <w:pStyle w:val="ListBullet"/>
      </w:pPr>
      <w:r w:rsidRPr="00F329E9">
        <w:t xml:space="preserve">Radiocommunications (Exemption – Remotely Piloted Aircraft Disruption) Determination 2022 </w:t>
      </w:r>
      <w:r w:rsidRPr="00730C2F">
        <w:t>(</w:t>
      </w:r>
      <w:r w:rsidR="00C7098E" w:rsidRPr="00730C2F">
        <w:t xml:space="preserve">the </w:t>
      </w:r>
      <w:r w:rsidRPr="00730C2F">
        <w:t xml:space="preserve">RPAS </w:t>
      </w:r>
      <w:r w:rsidR="00C7098E" w:rsidRPr="00730C2F">
        <w:t>d</w:t>
      </w:r>
      <w:r w:rsidRPr="00730C2F">
        <w:t xml:space="preserve">isruption </w:t>
      </w:r>
      <w:r w:rsidR="00C7098E" w:rsidRPr="00730C2F">
        <w:t>e</w:t>
      </w:r>
      <w:r w:rsidRPr="00730C2F">
        <w:t xml:space="preserve">xemption) </w:t>
      </w:r>
    </w:p>
    <w:p w14:paraId="33397304" w14:textId="4D3E9741" w:rsidR="00CE31E1" w:rsidRDefault="00C7098E" w:rsidP="00F329E9">
      <w:pPr>
        <w:pStyle w:val="ListBullet"/>
      </w:pPr>
      <w:r w:rsidRPr="00730C2F">
        <w:rPr>
          <w:i/>
          <w:iCs/>
        </w:rPr>
        <w:t>Use of banned equipment under the Radiocommunications Act 1992 by law enforcement and related persons – Information for users and stakeholders</w:t>
      </w:r>
      <w:r w:rsidRPr="00F329E9">
        <w:t xml:space="preserve"> </w:t>
      </w:r>
      <w:r>
        <w:t xml:space="preserve">(the </w:t>
      </w:r>
      <w:r w:rsidRPr="00730C2F">
        <w:rPr>
          <w:i/>
          <w:iCs/>
        </w:rPr>
        <w:t>Information for users</w:t>
      </w:r>
      <w:r w:rsidRPr="00F329E9">
        <w:t xml:space="preserve"> </w:t>
      </w:r>
      <w:r>
        <w:t>document)</w:t>
      </w:r>
      <w:r w:rsidR="00A0731B">
        <w:t>.</w:t>
      </w:r>
    </w:p>
    <w:p w14:paraId="6238C4BD" w14:textId="110AE960" w:rsidR="00A0731B" w:rsidRDefault="00A0731B" w:rsidP="00306EA3">
      <w:pPr>
        <w:pStyle w:val="Heading3"/>
      </w:pPr>
      <w:r>
        <w:t>The ECM exemption</w:t>
      </w:r>
    </w:p>
    <w:p w14:paraId="43C6AC40" w14:textId="423A4F2E" w:rsidR="00A0731B" w:rsidRDefault="0063010D" w:rsidP="00387181">
      <w:pPr>
        <w:pStyle w:val="Paragraph"/>
      </w:pPr>
      <w:r>
        <w:t>We proposed that t</w:t>
      </w:r>
      <w:r w:rsidR="00DA006E">
        <w:t xml:space="preserve">he ECM exemption </w:t>
      </w:r>
      <w:r>
        <w:t xml:space="preserve">repeal and replace </w:t>
      </w:r>
      <w:r w:rsidR="000C6F27">
        <w:t xml:space="preserve">the </w:t>
      </w:r>
      <w:r w:rsidR="000C6F27" w:rsidRPr="00306EA3">
        <w:t>Radiocommunications (Prohibited Devices) (Use of Electronic Counter Measures for Bomb Disposal) Exemption Determination 2010</w:t>
      </w:r>
      <w:r w:rsidR="00DC627A">
        <w:rPr>
          <w:i/>
          <w:iCs/>
        </w:rPr>
        <w:t xml:space="preserve"> </w:t>
      </w:r>
      <w:r w:rsidR="00DC627A">
        <w:t>(the 2010 exemption)</w:t>
      </w:r>
      <w:r w:rsidR="006E1D76">
        <w:t xml:space="preserve">, </w:t>
      </w:r>
      <w:r w:rsidR="00F40B15">
        <w:t xml:space="preserve">which </w:t>
      </w:r>
      <w:r w:rsidR="00F40B15" w:rsidRPr="00BC0FB8">
        <w:t>facilitate</w:t>
      </w:r>
      <w:r w:rsidR="00F40B15">
        <w:t>s</w:t>
      </w:r>
      <w:r w:rsidR="00F40B15" w:rsidRPr="00BC0FB8">
        <w:t xml:space="preserve"> access to, and use of, ECM capability by Australian law enforcement</w:t>
      </w:r>
      <w:r w:rsidR="0000782E">
        <w:t xml:space="preserve"> in order to deal with </w:t>
      </w:r>
      <w:r w:rsidR="003F314B" w:rsidRPr="00BC0FB8">
        <w:t>Improvised Explosive Devices (IEDs)</w:t>
      </w:r>
      <w:r w:rsidR="003F314B">
        <w:t>.</w:t>
      </w:r>
      <w:r w:rsidR="00437A9C" w:rsidRPr="00437A9C">
        <w:rPr>
          <w:rStyle w:val="FootnoteReference"/>
        </w:rPr>
        <w:t xml:space="preserve"> </w:t>
      </w:r>
      <w:r w:rsidR="00437A9C">
        <w:rPr>
          <w:rStyle w:val="FootnoteReference"/>
        </w:rPr>
        <w:footnoteReference w:id="6"/>
      </w:r>
      <w:r w:rsidR="003F314B">
        <w:t xml:space="preserve"> IEDs</w:t>
      </w:r>
      <w:r w:rsidR="003F314B" w:rsidRPr="00BC0FB8">
        <w:t xml:space="preserve"> are a serious threat to the safety and security of the public and can be detonated remotely via radiocommunications transmitters.</w:t>
      </w:r>
      <w:r w:rsidR="00A0731B">
        <w:t xml:space="preserve"> </w:t>
      </w:r>
    </w:p>
    <w:p w14:paraId="65D5FEDE" w14:textId="12C1AAC6" w:rsidR="00387181" w:rsidRDefault="00387181" w:rsidP="00387181">
      <w:pPr>
        <w:pStyle w:val="Paragraph"/>
      </w:pPr>
      <w:r>
        <w:lastRenderedPageBreak/>
        <w:t xml:space="preserve">In reviewing the 2010 exemption, we proposed to remove outdated, unnecessary and overly complex requirements with a view to making it easier for police to conduct their operations and to comply with the exemption. However, we </w:t>
      </w:r>
      <w:r w:rsidR="00937BFA">
        <w:t xml:space="preserve">proposed to </w:t>
      </w:r>
      <w:r>
        <w:t>insert new conditions that would require police and other persons relying on the exemption to create and maintain records relating to their activities, and to make those records available to the ACMA upon request. We proposed similar record-keeping requirements for the RPAS disruption exemption.</w:t>
      </w:r>
    </w:p>
    <w:p w14:paraId="3928BBBD" w14:textId="1A3E78A6" w:rsidR="00E5402F" w:rsidRPr="00090126" w:rsidRDefault="00E5402F" w:rsidP="00C67A8D">
      <w:pPr>
        <w:pStyle w:val="Paragraph"/>
      </w:pPr>
      <w:r>
        <w:t xml:space="preserve">We also proposed that </w:t>
      </w:r>
      <w:r w:rsidR="000A6EED">
        <w:t xml:space="preserve">the </w:t>
      </w:r>
      <w:r w:rsidR="00DC627A">
        <w:t xml:space="preserve">interference management </w:t>
      </w:r>
      <w:r w:rsidR="00DC627A" w:rsidRPr="00BC0FB8">
        <w:t xml:space="preserve">procedures </w:t>
      </w:r>
      <w:r w:rsidR="00DC627A">
        <w:t>relating to</w:t>
      </w:r>
      <w:r w:rsidR="00AE5742">
        <w:t xml:space="preserve"> the 2010 exemption, </w:t>
      </w:r>
      <w:r w:rsidR="00DC627A" w:rsidRPr="00BF7E28">
        <w:t xml:space="preserve">the </w:t>
      </w:r>
      <w:r w:rsidR="00DC627A" w:rsidRPr="00937BFA">
        <w:t>Radiocommunications Advisory Guidelines (Use of Electronic Counter Measures for Bomb Disposal Activities 2010</w:t>
      </w:r>
      <w:r w:rsidR="00DC627A" w:rsidRPr="00BC0FB8">
        <w:t xml:space="preserve"> (ECM RAG) made under section 262 of the Act</w:t>
      </w:r>
      <w:r w:rsidR="00AE5742">
        <w:t xml:space="preserve">, be made more generally </w:t>
      </w:r>
      <w:r w:rsidR="00CC42CC">
        <w:t>applicable across section 27 exemptions. We updated the content of the ECM RAG</w:t>
      </w:r>
      <w:r w:rsidR="0053081C">
        <w:t xml:space="preserve">, prepared new content, and collated this content in the </w:t>
      </w:r>
      <w:r w:rsidR="00090126">
        <w:rPr>
          <w:i/>
          <w:iCs/>
        </w:rPr>
        <w:t>Information for users</w:t>
      </w:r>
      <w:r w:rsidR="00090126">
        <w:t xml:space="preserve"> document.</w:t>
      </w:r>
    </w:p>
    <w:p w14:paraId="11CC43CE" w14:textId="33B5B791" w:rsidR="0087322B" w:rsidRDefault="0087322B" w:rsidP="00230354">
      <w:pPr>
        <w:pStyle w:val="Heading3"/>
      </w:pPr>
      <w:r>
        <w:t>The visiting dignitary exemption</w:t>
      </w:r>
    </w:p>
    <w:p w14:paraId="549EC542" w14:textId="51F05C31" w:rsidR="003406EA" w:rsidRDefault="003406EA" w:rsidP="003406EA">
      <w:r>
        <w:t>When visiting dignitaries come to Australia, they are sometimes accompanied by a security delegation with ECM capability.</w:t>
      </w:r>
      <w:r w:rsidR="00BD75DD">
        <w:t xml:space="preserve"> </w:t>
      </w:r>
      <w:r>
        <w:t>The AFP and other state and territory police are involved in providing security for visiting dignitaries and working with the relevant visiting security teams.</w:t>
      </w:r>
    </w:p>
    <w:p w14:paraId="6A024DEA" w14:textId="43BA2950" w:rsidR="003406EA" w:rsidRDefault="003406EA" w:rsidP="003406EA">
      <w:r>
        <w:t xml:space="preserve">In 2016, 2017 and 2018, we made the </w:t>
      </w:r>
      <w:r w:rsidRPr="00BF7E28">
        <w:t>Radiocommunications (Australian Federal Police - Visiting Dignitary) Exemption Determination 2016, the Radiocommunications (Australian Federal Police – Visiting Dignitary) Exemption Determination 2017</w:t>
      </w:r>
      <w:r w:rsidR="00026BBF">
        <w:t>,</w:t>
      </w:r>
      <w:r w:rsidRPr="00BF7E28">
        <w:t xml:space="preserve"> and the Radiocommunications (Australian Federal Police – Visiting Dignitary) Exemption Determination 2018</w:t>
      </w:r>
      <w:r>
        <w:t xml:space="preserve"> under section 27 of the Act </w:t>
      </w:r>
    </w:p>
    <w:p w14:paraId="267A40CD" w14:textId="77777777" w:rsidR="003406EA" w:rsidRDefault="003406EA" w:rsidP="003406EA">
      <w:r>
        <w:t>We proposed that the visiting dignitary exemption would take advantage of the new flexibility available to the ACMA under subsection 27(2A) of the Act, to put into place exemption arrangements that will make visiting dignitary operations more efficient for both the ACMA and the AFP.</w:t>
      </w:r>
    </w:p>
    <w:p w14:paraId="507B4B53" w14:textId="662227E9" w:rsidR="003406EA" w:rsidRDefault="003406EA" w:rsidP="003406EA">
      <w:r>
        <w:t>Unlike the previous visiting dignitary exemptions</w:t>
      </w:r>
      <w:r w:rsidR="008A04AD">
        <w:t xml:space="preserve"> in 2016, 2017 and 2018, </w:t>
      </w:r>
      <w:r>
        <w:t xml:space="preserve">the visiting dignitary exemption would be a standing exemption and would be in force for 5 years. However, the legal relief provided by the exemption would only be </w:t>
      </w:r>
      <w:r w:rsidR="00437A9C">
        <w:t>triggered</w:t>
      </w:r>
      <w:r>
        <w:t xml:space="preserve"> by the making of an administrative decision by the ACMA in the form of a notifiable instrument. In practical terms, this would mean that, when the AFP (or the police force of a state or territory, or a person performing a function or duty in relation to the defence, security or international relations of Australia) becomes aware of a need to rely on the exemption (</w:t>
      </w:r>
      <w:r w:rsidR="0021588B">
        <w:t>that is,</w:t>
      </w:r>
      <w:r>
        <w:t xml:space="preserve"> a visit to Australia by a visiting dignitary) it can approach the ACMA, which could then </w:t>
      </w:r>
      <w:r w:rsidR="00437A9C">
        <w:t>trigger</w:t>
      </w:r>
      <w:r>
        <w:t xml:space="preserve"> the exemption by making a notifiable instrument. </w:t>
      </w:r>
    </w:p>
    <w:p w14:paraId="250585D9" w14:textId="4761FE66" w:rsidR="003406EA" w:rsidRDefault="003406EA" w:rsidP="003406EA">
      <w:r>
        <w:t xml:space="preserve">We proposed that </w:t>
      </w:r>
      <w:r w:rsidR="00836505">
        <w:t xml:space="preserve">a </w:t>
      </w:r>
      <w:r>
        <w:t xml:space="preserve">notifiable </w:t>
      </w:r>
      <w:r w:rsidR="00836505">
        <w:t xml:space="preserve">instrument </w:t>
      </w:r>
      <w:r>
        <w:t>would specify the relevant visiting dignitary</w:t>
      </w:r>
      <w:r w:rsidR="00D90211">
        <w:t>,</w:t>
      </w:r>
      <w:r>
        <w:t xml:space="preserve"> and a period of no more than 14 days for which the notifiable instrument applies. Registration of a notifiable instrument on the Federal Register of Legislation</w:t>
      </w:r>
      <w:r w:rsidR="007F6D04">
        <w:t xml:space="preserve"> (FRL)</w:t>
      </w:r>
      <w:r>
        <w:t xml:space="preserve"> would provide transparency for stakeholders.</w:t>
      </w:r>
    </w:p>
    <w:p w14:paraId="5FEC8F60" w14:textId="53F2EC43" w:rsidR="003406EA" w:rsidRDefault="000E0E5F" w:rsidP="003406EA">
      <w:r>
        <w:t>In our review, we considered that o</w:t>
      </w:r>
      <w:r w:rsidR="003406EA">
        <w:t>ne of the issues with the previous visiting dignitary exemptions has been that the timeframes and processes associated with instrument-making greatly reduce the amount of time available for consultation with stakeholders that may be strategically or operationally affected by the use of ECM devices, which include mobile network operators. The new process would give the ACMA and stakeholders more time to confer on the proposed notifiable instrument and take any appropriate operational steps prior to its making and registration.</w:t>
      </w:r>
    </w:p>
    <w:p w14:paraId="73D36CAB" w14:textId="4FC212EE" w:rsidR="000E0E5F" w:rsidRDefault="0021465B" w:rsidP="006735A5">
      <w:pPr>
        <w:pStyle w:val="Heading3"/>
      </w:pPr>
      <w:r>
        <w:lastRenderedPageBreak/>
        <w:t xml:space="preserve">The amendment </w:t>
      </w:r>
      <w:r w:rsidR="0084360C">
        <w:t>exemption</w:t>
      </w:r>
    </w:p>
    <w:p w14:paraId="1B6DC861" w14:textId="156956FD" w:rsidR="001E111B" w:rsidRDefault="001E111B" w:rsidP="001E111B">
      <w:r w:rsidRPr="001E111B">
        <w:t>This instrument effects minor amendments to 2 instruments that are being allowed to sunset</w:t>
      </w:r>
      <w:r>
        <w:t xml:space="preserve"> </w:t>
      </w:r>
      <w:r w:rsidRPr="00483F78">
        <w:t>(the</w:t>
      </w:r>
      <w:r w:rsidR="007B511E" w:rsidRPr="00483F78">
        <w:t xml:space="preserve"> Radiocommunications (PMTS Jamming Devices – Visiting Forces and Suppliers</w:t>
      </w:r>
      <w:r w:rsidR="00D90211">
        <w:t>)</w:t>
      </w:r>
      <w:r w:rsidR="007B511E" w:rsidRPr="00483F78">
        <w:t xml:space="preserve"> Exemption Determination 2011 and the </w:t>
      </w:r>
      <w:r w:rsidR="00E342C2" w:rsidRPr="00483F78">
        <w:t>Radiocommunications (Prohibited Device) (RNSS Jamming Device) Exemption Determination 2014</w:t>
      </w:r>
      <w:r w:rsidRPr="00483F78">
        <w:t>, and one other instrument in the framework</w:t>
      </w:r>
      <w:r w:rsidR="00DA2484" w:rsidRPr="00483F78">
        <w:t xml:space="preserve"> (the</w:t>
      </w:r>
      <w:r w:rsidR="00DA2484" w:rsidRPr="006735A5">
        <w:rPr>
          <w:rFonts w:cs="Arial"/>
        </w:rPr>
        <w:t xml:space="preserve"> Radiocommunications (Exemption – Corrective Services NSW) Determination 2021</w:t>
      </w:r>
      <w:r w:rsidR="00DA2484" w:rsidRPr="00483F78">
        <w:rPr>
          <w:rFonts w:cs="Arial"/>
        </w:rPr>
        <w:t>)</w:t>
      </w:r>
      <w:r w:rsidRPr="00483F78">
        <w:t>.</w:t>
      </w:r>
      <w:r w:rsidRPr="001E111B">
        <w:t xml:space="preserve"> The amendments ensure legal operation of these instruments by updating terminology.</w:t>
      </w:r>
    </w:p>
    <w:p w14:paraId="225CE61C" w14:textId="0EA83C0D" w:rsidR="00583935" w:rsidRDefault="00DA2484" w:rsidP="005A38CA">
      <w:pPr>
        <w:pStyle w:val="Heading3"/>
      </w:pPr>
      <w:r>
        <w:t>The RPAS disruption exemption</w:t>
      </w:r>
    </w:p>
    <w:p w14:paraId="3FD7929C" w14:textId="7AEB8686" w:rsidR="00DA2484" w:rsidRPr="00220ACE" w:rsidRDefault="005A38CA" w:rsidP="00DA2484">
      <w:pPr>
        <w:pStyle w:val="Paragraph"/>
        <w:rPr>
          <w:szCs w:val="20"/>
        </w:rPr>
      </w:pPr>
      <w:r>
        <w:rPr>
          <w:szCs w:val="20"/>
        </w:rPr>
        <w:t>We</w:t>
      </w:r>
      <w:r w:rsidR="00DA2484" w:rsidRPr="00220ACE">
        <w:rPr>
          <w:szCs w:val="20"/>
        </w:rPr>
        <w:t xml:space="preserve"> made this exemption in September 2022, and provided a response to </w:t>
      </w:r>
      <w:r>
        <w:rPr>
          <w:szCs w:val="20"/>
        </w:rPr>
        <w:t xml:space="preserve">stakeholder </w:t>
      </w:r>
      <w:r w:rsidR="00AA30CF">
        <w:rPr>
          <w:szCs w:val="20"/>
        </w:rPr>
        <w:t xml:space="preserve">views </w:t>
      </w:r>
      <w:r>
        <w:rPr>
          <w:szCs w:val="20"/>
        </w:rPr>
        <w:t xml:space="preserve">on </w:t>
      </w:r>
      <w:r w:rsidR="00AA30CF">
        <w:rPr>
          <w:szCs w:val="20"/>
        </w:rPr>
        <w:t xml:space="preserve">the instrument </w:t>
      </w:r>
      <w:r w:rsidR="00DA2484" w:rsidRPr="00220ACE">
        <w:rPr>
          <w:szCs w:val="20"/>
        </w:rPr>
        <w:t xml:space="preserve">in the </w:t>
      </w:r>
      <w:hyperlink r:id="rId27" w:history="1">
        <w:r w:rsidR="00DA2484" w:rsidRPr="00220ACE">
          <w:rPr>
            <w:rStyle w:val="Hyperlink"/>
            <w:szCs w:val="20"/>
          </w:rPr>
          <w:t xml:space="preserve">outcomes statement published on </w:t>
        </w:r>
        <w:r w:rsidR="00DA2484">
          <w:rPr>
            <w:rStyle w:val="Hyperlink"/>
            <w:szCs w:val="20"/>
          </w:rPr>
          <w:t>our</w:t>
        </w:r>
        <w:r w:rsidR="00DA2484" w:rsidRPr="00220ACE">
          <w:rPr>
            <w:rStyle w:val="Hyperlink"/>
            <w:szCs w:val="20"/>
          </w:rPr>
          <w:t xml:space="preserve"> website</w:t>
        </w:r>
      </w:hyperlink>
    </w:p>
    <w:p w14:paraId="0FC031CC" w14:textId="24755948" w:rsidR="00DA2484" w:rsidRDefault="00DA2484" w:rsidP="00F61663">
      <w:pPr>
        <w:pStyle w:val="Heading3"/>
      </w:pPr>
      <w:r>
        <w:t>The Information for users document</w:t>
      </w:r>
    </w:p>
    <w:p w14:paraId="52B10F22" w14:textId="76406D6D" w:rsidR="007E2CA8" w:rsidRDefault="007E2CA8" w:rsidP="007E2CA8">
      <w:r>
        <w:t xml:space="preserve">Over the course of the review, stakeholders </w:t>
      </w:r>
      <w:proofErr w:type="gramStart"/>
      <w:r>
        <w:t>whose</w:t>
      </w:r>
      <w:proofErr w:type="gramEnd"/>
      <w:r>
        <w:t xml:space="preserve"> licensed radiocommunications may be adversely affected by use of banned equipment under exemptions, indicated that the ECM RAG is a useful document, from both operational and transparency perspectives. Some stakeholders suggested that all exemptions should be supported by similar arrangements. </w:t>
      </w:r>
    </w:p>
    <w:p w14:paraId="6D9E7556" w14:textId="62D3D9A2" w:rsidR="007E2CA8" w:rsidRDefault="007E2CA8" w:rsidP="007E2CA8">
      <w:r>
        <w:t>We also noted in our May 2020 consultation paper that some stakeholders eligible for exemptions under section 27 conveyed that they are unsure how to engage with the ACMA on proposed exemptions.</w:t>
      </w:r>
    </w:p>
    <w:p w14:paraId="20BDC0B9" w14:textId="7DD04EAC" w:rsidR="007E2CA8" w:rsidRDefault="007E2CA8" w:rsidP="004D1A38">
      <w:r>
        <w:t xml:space="preserve">Taking into consideration stakeholder comments, </w:t>
      </w:r>
      <w:r w:rsidR="004D1A38">
        <w:t xml:space="preserve">we proposed that the </w:t>
      </w:r>
      <w:r w:rsidRPr="00A27C22">
        <w:rPr>
          <w:i/>
          <w:iCs/>
        </w:rPr>
        <w:t>Information for users</w:t>
      </w:r>
      <w:r>
        <w:t xml:space="preserve"> </w:t>
      </w:r>
      <w:r w:rsidR="004D1A38">
        <w:t xml:space="preserve">document </w:t>
      </w:r>
      <w:r>
        <w:t xml:space="preserve">draw on the content in the ECM RAG and make it more generally applicable to exemptions made under section 27 of the Act. It </w:t>
      </w:r>
      <w:r w:rsidR="004D1A38">
        <w:t>would also</w:t>
      </w:r>
      <w:r>
        <w:t xml:space="preserve"> provide information for law enforcement operating under exemptions, and transparency for stakeholders on how the risks associated with the use of banned equipment can be managed under exemptions. </w:t>
      </w:r>
    </w:p>
    <w:p w14:paraId="2A973646" w14:textId="1E2AFD5D" w:rsidR="007E2CA8" w:rsidRDefault="007E2CA8" w:rsidP="007E2CA8">
      <w:r>
        <w:t xml:space="preserve">The document could also be used by persons seeking a section 27 exemption to better understand the expectations of the ACMA </w:t>
      </w:r>
      <w:r w:rsidR="00092963">
        <w:t xml:space="preserve">about </w:t>
      </w:r>
      <w:r>
        <w:t xml:space="preserve">how risks associated with banned equipment should be managed. This document could assist police forces in ensuring that activities involving banned equipment have minimal adverse impact on licensed radiocommunications devices without unduly compromising their operational objectives. </w:t>
      </w:r>
    </w:p>
    <w:p w14:paraId="38145DDE" w14:textId="612CE14D" w:rsidR="009C1D3C" w:rsidRDefault="009C1D3C" w:rsidP="00A27C22">
      <w:pPr>
        <w:pStyle w:val="Heading2"/>
      </w:pPr>
      <w:bookmarkStart w:id="13" w:name="_Toc129255710"/>
      <w:r>
        <w:t>What stakeholders told us</w:t>
      </w:r>
      <w:bookmarkEnd w:id="13"/>
    </w:p>
    <w:p w14:paraId="2776B77E" w14:textId="1B16A053" w:rsidR="00207B58" w:rsidRPr="00207B58" w:rsidRDefault="00207B58" w:rsidP="009D72EE">
      <w:pPr>
        <w:pStyle w:val="Paragraph"/>
      </w:pPr>
      <w:r w:rsidRPr="00207B58">
        <w:t>We received views on proposed exemptions to be made under section 27 of the Act, and also on the innovation and industry development framework.</w:t>
      </w:r>
    </w:p>
    <w:p w14:paraId="3C499A65" w14:textId="6D732372" w:rsidR="000D35FA" w:rsidRDefault="0079383D" w:rsidP="0084166E">
      <w:pPr>
        <w:pStyle w:val="Paragraph"/>
      </w:pPr>
      <w:r>
        <w:t xml:space="preserve">We received some specific comments on the </w:t>
      </w:r>
      <w:r>
        <w:rPr>
          <w:i/>
          <w:iCs/>
        </w:rPr>
        <w:t xml:space="preserve">Information for users </w:t>
      </w:r>
      <w:r>
        <w:t>document.</w:t>
      </w:r>
      <w:r>
        <w:rPr>
          <w:i/>
          <w:iCs/>
        </w:rPr>
        <w:t xml:space="preserve"> </w:t>
      </w:r>
      <w:r w:rsidR="00FD2C60">
        <w:t>Telecommunications stakeholders</w:t>
      </w:r>
      <w:r w:rsidR="003E7510">
        <w:t xml:space="preserve"> supported </w:t>
      </w:r>
      <w:r w:rsidR="00F94020">
        <w:t>the document,</w:t>
      </w:r>
      <w:r w:rsidR="003F33DE">
        <w:t xml:space="preserve"> especially the information it contains about notification procedures</w:t>
      </w:r>
      <w:r w:rsidR="00C950B6">
        <w:t xml:space="preserve"> (whereby law enforcement share operational information with certain radiocommunications licensees)</w:t>
      </w:r>
      <w:r w:rsidR="003F33DE">
        <w:t>.</w:t>
      </w:r>
      <w:r w:rsidR="00F94020">
        <w:t xml:space="preserve"> </w:t>
      </w:r>
      <w:r w:rsidR="003F33DE">
        <w:t xml:space="preserve">Those stakeholders </w:t>
      </w:r>
      <w:r w:rsidR="00F94020">
        <w:t>noted that</w:t>
      </w:r>
      <w:r w:rsidR="008214BB">
        <w:t xml:space="preserve">, while </w:t>
      </w:r>
      <w:r w:rsidR="003F33DE">
        <w:t>the document would</w:t>
      </w:r>
      <w:r w:rsidR="008214BB">
        <w:t xml:space="preserve"> not be enforceable</w:t>
      </w:r>
      <w:r w:rsidR="00033B24">
        <w:t xml:space="preserve">, </w:t>
      </w:r>
      <w:r w:rsidR="001060ED">
        <w:t xml:space="preserve">it could still </w:t>
      </w:r>
      <w:r w:rsidR="00D562CF">
        <w:t>be effective if it was formally issued as a radiocommunications advisory guideline under section 262 of the Act</w:t>
      </w:r>
      <w:r w:rsidR="00F5258C">
        <w:t>. In</w:t>
      </w:r>
      <w:r w:rsidR="00141E3F">
        <w:t xml:space="preserve"> this</w:t>
      </w:r>
      <w:r w:rsidR="0085046A">
        <w:t xml:space="preserve"> case</w:t>
      </w:r>
      <w:r w:rsidR="00141E3F">
        <w:t>,</w:t>
      </w:r>
      <w:r w:rsidR="0085046A">
        <w:t xml:space="preserve"> </w:t>
      </w:r>
      <w:r w:rsidR="001521DB">
        <w:t>it</w:t>
      </w:r>
      <w:r w:rsidR="0085046A">
        <w:t xml:space="preserve"> could </w:t>
      </w:r>
      <w:r w:rsidR="0085046A" w:rsidRPr="0085046A">
        <w:t xml:space="preserve">serve to support the ACMA in its decision-making </w:t>
      </w:r>
      <w:r w:rsidR="00DB2B72">
        <w:t>for</w:t>
      </w:r>
      <w:r w:rsidR="0085046A" w:rsidRPr="0085046A">
        <w:t xml:space="preserve"> any dispute about radiocommunications interference to </w:t>
      </w:r>
      <w:r w:rsidR="00141E3F">
        <w:t xml:space="preserve">help </w:t>
      </w:r>
      <w:r w:rsidR="0085046A" w:rsidRPr="0085046A">
        <w:t>determine who may be at fault.</w:t>
      </w:r>
      <w:r w:rsidR="00F22E0E">
        <w:t xml:space="preserve"> </w:t>
      </w:r>
    </w:p>
    <w:p w14:paraId="672FAF8A" w14:textId="30B4B05C" w:rsidR="000D35FA" w:rsidRPr="0058113E" w:rsidRDefault="0058113E" w:rsidP="009F7FEA">
      <w:pPr>
        <w:pStyle w:val="Paragraph"/>
      </w:pPr>
      <w:r>
        <w:t xml:space="preserve">We </w:t>
      </w:r>
      <w:r w:rsidR="00A75426">
        <w:t>received some specific comments about the proposed standardised record</w:t>
      </w:r>
      <w:r w:rsidR="006E048E">
        <w:noBreakHyphen/>
      </w:r>
      <w:r w:rsidR="00A75426">
        <w:t xml:space="preserve">keeping obligations </w:t>
      </w:r>
      <w:r w:rsidR="00DB01DB">
        <w:t>for those</w:t>
      </w:r>
      <w:r w:rsidR="00A75426">
        <w:t xml:space="preserve"> operating under exemptions.</w:t>
      </w:r>
      <w:r w:rsidR="007F3EC4">
        <w:t xml:space="preserve"> There was a view  that exempted </w:t>
      </w:r>
      <w:r w:rsidR="00862B6B">
        <w:t xml:space="preserve">persons should be required to collect more detailed information than </w:t>
      </w:r>
      <w:r w:rsidR="00862B6B">
        <w:lastRenderedPageBreak/>
        <w:t xml:space="preserve">was proposed, that the reasons for </w:t>
      </w:r>
      <w:r w:rsidR="00AE6B06">
        <w:t xml:space="preserve">the ACMA requesting records should be </w:t>
      </w:r>
      <w:r w:rsidR="0060166B">
        <w:t xml:space="preserve">specified, and </w:t>
      </w:r>
      <w:r w:rsidR="00D9586F">
        <w:t xml:space="preserve">information </w:t>
      </w:r>
      <w:r w:rsidR="00F03FBC">
        <w:t xml:space="preserve">collected by the ACMA under </w:t>
      </w:r>
      <w:r w:rsidR="0060166B">
        <w:t>power</w:t>
      </w:r>
      <w:r w:rsidR="00F03FBC">
        <w:t>s</w:t>
      </w:r>
      <w:r w:rsidR="0060166B">
        <w:t xml:space="preserve"> to request records of law enforcement bodies relying on exemptions </w:t>
      </w:r>
      <w:r w:rsidR="00F03FBC">
        <w:t>could be made available to licensees</w:t>
      </w:r>
      <w:r w:rsidR="0060166B">
        <w:t>.</w:t>
      </w:r>
    </w:p>
    <w:p w14:paraId="45C93E0B" w14:textId="74965C6E" w:rsidR="00207B58" w:rsidRDefault="00207B58" w:rsidP="00207B58">
      <w:pPr>
        <w:pStyle w:val="Paragraph"/>
      </w:pPr>
      <w:r>
        <w:t xml:space="preserve">Several submissions offered views on the innovation and industry development framework. Stakeholders expressed support for the framework and supported the </w:t>
      </w:r>
      <w:r w:rsidR="004B20F6">
        <w:t>current methods used to</w:t>
      </w:r>
      <w:r>
        <w:t xml:space="preserve"> manage risks associated with operation of banned equipment. One stakeholder noted that it was important that </w:t>
      </w:r>
      <w:r w:rsidR="00B448D7">
        <w:t>anyone</w:t>
      </w:r>
      <w:r>
        <w:t xml:space="preserve"> </w:t>
      </w:r>
      <w:r w:rsidR="00175796">
        <w:t xml:space="preserve">supplying </w:t>
      </w:r>
      <w:r>
        <w:t>banned equipment to law enforcement and Defence ha</w:t>
      </w:r>
      <w:r w:rsidR="00454FF3">
        <w:t>s</w:t>
      </w:r>
      <w:r>
        <w:t xml:space="preserve"> a clear and accessible path to acquiring an exemption, and also that the ACMA specifically provide for R&amp;D and innovation of </w:t>
      </w:r>
      <w:r w:rsidR="00454FF3">
        <w:t xml:space="preserve">equipment </w:t>
      </w:r>
      <w:r>
        <w:t xml:space="preserve">intended for </w:t>
      </w:r>
      <w:r w:rsidR="00454FF3">
        <w:t xml:space="preserve">those </w:t>
      </w:r>
      <w:r>
        <w:t xml:space="preserve">users. However, there was also a view that </w:t>
      </w:r>
      <w:r w:rsidR="00620A3E">
        <w:t>anyone</w:t>
      </w:r>
      <w:r>
        <w:t xml:space="preserve"> unable to access the full legal relief available under section 27 of the </w:t>
      </w:r>
      <w:r w:rsidR="00620A3E">
        <w:t xml:space="preserve">Radiocommunications </w:t>
      </w:r>
      <w:r>
        <w:t>Act would need</w:t>
      </w:r>
      <w:r w:rsidR="00454FF3">
        <w:t xml:space="preserve"> instead</w:t>
      </w:r>
      <w:r>
        <w:t xml:space="preserve"> to rely on the </w:t>
      </w:r>
      <w:r w:rsidR="00092963">
        <w:t xml:space="preserve">innovation and industry development </w:t>
      </w:r>
      <w:r>
        <w:t xml:space="preserve">framework, which can </w:t>
      </w:r>
      <w:r w:rsidR="003E071A">
        <w:t xml:space="preserve">only </w:t>
      </w:r>
      <w:r>
        <w:t>facilitate operational/open-air testing of banned equipment in specific circumstances.</w:t>
      </w:r>
      <w:r>
        <w:rPr>
          <w:rStyle w:val="FootnoteReference"/>
        </w:rPr>
        <w:footnoteReference w:id="7"/>
      </w:r>
      <w:r>
        <w:t xml:space="preserve"> </w:t>
      </w:r>
    </w:p>
    <w:p w14:paraId="1DB497F3" w14:textId="7B9EE6B6" w:rsidR="00442935" w:rsidRDefault="00A7443A" w:rsidP="009F7FEA">
      <w:pPr>
        <w:pStyle w:val="Paragraph"/>
      </w:pPr>
      <w:r>
        <w:t xml:space="preserve">Stakeholders offered </w:t>
      </w:r>
      <w:r w:rsidR="002242E3">
        <w:t>comments on information sharing between exempted persons and radiocommunications licen</w:t>
      </w:r>
      <w:r w:rsidR="009523EA">
        <w:t>se</w:t>
      </w:r>
      <w:r w:rsidR="002242E3">
        <w:t xml:space="preserve">es who may be adversely affected by the operation of banned equipment under exemptions. </w:t>
      </w:r>
      <w:r w:rsidR="0032037C">
        <w:t>Specific views were offered on notification arrangements, where</w:t>
      </w:r>
      <w:r w:rsidR="009523EA">
        <w:t xml:space="preserve">by exempted persons make the ACMA and licensees aware of </w:t>
      </w:r>
      <w:r w:rsidR="00092963">
        <w:t>certain</w:t>
      </w:r>
      <w:r w:rsidR="009523EA">
        <w:t xml:space="preserve"> activities involving banned equipment</w:t>
      </w:r>
      <w:r w:rsidR="00970673">
        <w:t xml:space="preserve"> (such as when and where banned equipment may be operating</w:t>
      </w:r>
      <w:r w:rsidR="0076257C">
        <w:t>, and additional technical and operational information</w:t>
      </w:r>
      <w:r w:rsidR="00970673">
        <w:t>).</w:t>
      </w:r>
    </w:p>
    <w:p w14:paraId="2DFE6FA5" w14:textId="5ADC8F8D" w:rsidR="006406BB" w:rsidRPr="00220ACE" w:rsidRDefault="00220E48" w:rsidP="00220ACE">
      <w:pPr>
        <w:pStyle w:val="Paragraph"/>
      </w:pPr>
      <w:r>
        <w:t>Stakeholders conveyed that notification arrangements played an important role in interference management</w:t>
      </w:r>
      <w:r w:rsidR="00841D40">
        <w:t xml:space="preserve">, and that </w:t>
      </w:r>
      <w:r w:rsidR="0049316A">
        <w:t xml:space="preserve">real-time </w:t>
      </w:r>
      <w:r w:rsidR="009C4DFD">
        <w:t>communication (wherever possible) is desirable.</w:t>
      </w:r>
      <w:r w:rsidR="0084663E">
        <w:t xml:space="preserve"> </w:t>
      </w:r>
      <w:r w:rsidR="0084663E" w:rsidRPr="0084663E">
        <w:t xml:space="preserve">There </w:t>
      </w:r>
      <w:r w:rsidR="0084663E">
        <w:t>was a view</w:t>
      </w:r>
      <w:r w:rsidR="00092963">
        <w:t xml:space="preserve"> that</w:t>
      </w:r>
      <w:r w:rsidR="0084663E">
        <w:t xml:space="preserve">, where </w:t>
      </w:r>
      <w:r w:rsidR="00BE2682">
        <w:t xml:space="preserve">notification arrangements </w:t>
      </w:r>
      <w:r w:rsidR="005D2EA1">
        <w:t xml:space="preserve">exist </w:t>
      </w:r>
      <w:r w:rsidR="00943DAA">
        <w:t>on an inter-agency basis</w:t>
      </w:r>
      <w:r w:rsidR="00BE2682">
        <w:t>, they are very effective</w:t>
      </w:r>
      <w:r w:rsidR="0060173A">
        <w:t>, and should be extended to authorisation of operational/open-air testing under the innovation and industry development framework.</w:t>
      </w:r>
    </w:p>
    <w:p w14:paraId="3CDE2963" w14:textId="62B8A755" w:rsidR="009C5C48" w:rsidRPr="00220ACE" w:rsidRDefault="009C5C48" w:rsidP="00220ACE">
      <w:pPr>
        <w:pStyle w:val="Paragraph"/>
        <w:rPr>
          <w:szCs w:val="20"/>
        </w:rPr>
      </w:pPr>
      <w:r w:rsidRPr="00220ACE">
        <w:rPr>
          <w:szCs w:val="20"/>
        </w:rPr>
        <w:t>One stakeholder indicated that further authorisation of RNSS retransmission technologies should be accompanied by a consultation process.</w:t>
      </w:r>
    </w:p>
    <w:p w14:paraId="31E69B2D" w14:textId="30B5CDBB" w:rsidR="009C5C48" w:rsidRPr="00220ACE" w:rsidRDefault="009C5C48" w:rsidP="00220ACE">
      <w:pPr>
        <w:pStyle w:val="Paragraph"/>
        <w:rPr>
          <w:szCs w:val="20"/>
        </w:rPr>
      </w:pPr>
      <w:r w:rsidRPr="00220ACE">
        <w:rPr>
          <w:szCs w:val="20"/>
        </w:rPr>
        <w:t xml:space="preserve">A stakeholder noted our </w:t>
      </w:r>
      <w:r w:rsidR="00842DC0">
        <w:rPr>
          <w:szCs w:val="20"/>
        </w:rPr>
        <w:t>intention</w:t>
      </w:r>
      <w:r w:rsidR="00842DC0" w:rsidRPr="00220ACE">
        <w:rPr>
          <w:szCs w:val="20"/>
        </w:rPr>
        <w:t xml:space="preserve"> </w:t>
      </w:r>
      <w:r w:rsidRPr="00220ACE">
        <w:rPr>
          <w:szCs w:val="20"/>
        </w:rPr>
        <w:t xml:space="preserve">to consult with relevant stakeholders before making a notifiable instrument to trigger the </w:t>
      </w:r>
      <w:r w:rsidR="00842DC0">
        <w:rPr>
          <w:szCs w:val="20"/>
        </w:rPr>
        <w:t xml:space="preserve">effect </w:t>
      </w:r>
      <w:r w:rsidRPr="00220ACE">
        <w:rPr>
          <w:szCs w:val="20"/>
        </w:rPr>
        <w:t xml:space="preserve">of the </w:t>
      </w:r>
      <w:r w:rsidR="00952B8E" w:rsidRPr="00092963">
        <w:rPr>
          <w:szCs w:val="20"/>
        </w:rPr>
        <w:t>v</w:t>
      </w:r>
      <w:r w:rsidR="00E3523C" w:rsidRPr="00092963">
        <w:rPr>
          <w:szCs w:val="20"/>
        </w:rPr>
        <w:t>is</w:t>
      </w:r>
      <w:r w:rsidR="00E3523C">
        <w:rPr>
          <w:szCs w:val="20"/>
        </w:rPr>
        <w:t xml:space="preserve">iting </w:t>
      </w:r>
      <w:r w:rsidR="00952B8E">
        <w:rPr>
          <w:szCs w:val="20"/>
        </w:rPr>
        <w:t>d</w:t>
      </w:r>
      <w:r w:rsidR="00E3523C">
        <w:rPr>
          <w:szCs w:val="20"/>
        </w:rPr>
        <w:t>ignitar</w:t>
      </w:r>
      <w:r w:rsidR="0059504E">
        <w:rPr>
          <w:szCs w:val="20"/>
        </w:rPr>
        <w:t>ies</w:t>
      </w:r>
      <w:r w:rsidR="00E3523C">
        <w:rPr>
          <w:szCs w:val="20"/>
        </w:rPr>
        <w:t xml:space="preserve"> </w:t>
      </w:r>
      <w:r w:rsidR="00952B8E">
        <w:rPr>
          <w:szCs w:val="20"/>
        </w:rPr>
        <w:t>e</w:t>
      </w:r>
      <w:r w:rsidR="00E3523C">
        <w:rPr>
          <w:szCs w:val="20"/>
        </w:rPr>
        <w:t>xemption</w:t>
      </w:r>
      <w:r w:rsidR="004E7D8F">
        <w:rPr>
          <w:szCs w:val="20"/>
        </w:rPr>
        <w:t xml:space="preserve"> </w:t>
      </w:r>
      <w:r w:rsidRPr="00220ACE">
        <w:rPr>
          <w:szCs w:val="20"/>
        </w:rPr>
        <w:t>and sought clarification of how long we intended to consult.</w:t>
      </w:r>
    </w:p>
    <w:p w14:paraId="76DBE084" w14:textId="71A23337" w:rsidR="009C5C48" w:rsidRPr="00220ACE" w:rsidRDefault="009C5C48" w:rsidP="00220ACE">
      <w:pPr>
        <w:pStyle w:val="Paragraph"/>
        <w:rPr>
          <w:szCs w:val="20"/>
        </w:rPr>
      </w:pPr>
      <w:r w:rsidRPr="00220ACE">
        <w:rPr>
          <w:szCs w:val="20"/>
        </w:rPr>
        <w:t>A question was also raised as to why the</w:t>
      </w:r>
      <w:r w:rsidR="00952B8E">
        <w:rPr>
          <w:szCs w:val="20"/>
        </w:rPr>
        <w:t xml:space="preserve"> </w:t>
      </w:r>
      <w:r w:rsidR="00270401">
        <w:rPr>
          <w:szCs w:val="20"/>
        </w:rPr>
        <w:t xml:space="preserve">ECM </w:t>
      </w:r>
      <w:r w:rsidR="00C176C1">
        <w:rPr>
          <w:szCs w:val="20"/>
        </w:rPr>
        <w:t>e</w:t>
      </w:r>
      <w:r w:rsidR="00270401">
        <w:rPr>
          <w:szCs w:val="20"/>
        </w:rPr>
        <w:t xml:space="preserve">xemption </w:t>
      </w:r>
      <w:r w:rsidRPr="00220ACE">
        <w:rPr>
          <w:szCs w:val="20"/>
        </w:rPr>
        <w:t>would need to apply to potential contractors to police forces.</w:t>
      </w:r>
    </w:p>
    <w:p w14:paraId="7E728417" w14:textId="1BA1E909" w:rsidR="00C75935" w:rsidRPr="00220ACE" w:rsidRDefault="00C75935" w:rsidP="00220ACE">
      <w:pPr>
        <w:pStyle w:val="Paragraph"/>
        <w:rPr>
          <w:szCs w:val="20"/>
        </w:rPr>
      </w:pPr>
      <w:r w:rsidRPr="00220ACE">
        <w:rPr>
          <w:szCs w:val="20"/>
        </w:rPr>
        <w:t>Some stakeholders cited trials of PMTS jamming devices in NSW</w:t>
      </w:r>
      <w:r w:rsidR="00D9558A">
        <w:rPr>
          <w:szCs w:val="20"/>
        </w:rPr>
        <w:t> </w:t>
      </w:r>
      <w:proofErr w:type="gramStart"/>
      <w:r w:rsidRPr="00220ACE">
        <w:rPr>
          <w:szCs w:val="20"/>
        </w:rPr>
        <w:t>correctional facilities</w:t>
      </w:r>
      <w:proofErr w:type="gramEnd"/>
      <w:r w:rsidRPr="00220ACE">
        <w:rPr>
          <w:szCs w:val="20"/>
        </w:rPr>
        <w:t xml:space="preserve"> as examples of where trials of banned equipment had informed permanent arrangements, and noted that it also provided an example of identifying coexistence between banned equipment and radiocommunications services. </w:t>
      </w:r>
    </w:p>
    <w:p w14:paraId="1880B15F" w14:textId="73EE1032" w:rsidR="009C5C48" w:rsidRPr="00220ACE" w:rsidRDefault="009C5C48" w:rsidP="00220ACE">
      <w:pPr>
        <w:pStyle w:val="Paragraph"/>
        <w:rPr>
          <w:szCs w:val="20"/>
        </w:rPr>
      </w:pPr>
      <w:r w:rsidRPr="00220ACE">
        <w:rPr>
          <w:szCs w:val="20"/>
        </w:rPr>
        <w:t xml:space="preserve">Some stakeholders offered views on the </w:t>
      </w:r>
      <w:r w:rsidR="00435FEA">
        <w:rPr>
          <w:szCs w:val="20"/>
        </w:rPr>
        <w:t xml:space="preserve">RPAS </w:t>
      </w:r>
      <w:r w:rsidR="00DA2484">
        <w:rPr>
          <w:szCs w:val="20"/>
        </w:rPr>
        <w:t>d</w:t>
      </w:r>
      <w:r w:rsidR="00435FEA">
        <w:rPr>
          <w:szCs w:val="20"/>
        </w:rPr>
        <w:t xml:space="preserve">isruption </w:t>
      </w:r>
      <w:r w:rsidR="00DA2484">
        <w:rPr>
          <w:szCs w:val="20"/>
        </w:rPr>
        <w:t>e</w:t>
      </w:r>
      <w:r w:rsidR="00435FEA">
        <w:rPr>
          <w:szCs w:val="20"/>
        </w:rPr>
        <w:t>xemption)</w:t>
      </w:r>
      <w:r w:rsidRPr="00220ACE">
        <w:rPr>
          <w:szCs w:val="20"/>
        </w:rPr>
        <w:t>.</w:t>
      </w:r>
      <w:r w:rsidR="00DA2484">
        <w:rPr>
          <w:szCs w:val="20"/>
        </w:rPr>
        <w:t xml:space="preserve"> Our response to those views is on </w:t>
      </w:r>
      <w:r w:rsidRPr="00220ACE">
        <w:rPr>
          <w:szCs w:val="20"/>
        </w:rPr>
        <w:t xml:space="preserve">the </w:t>
      </w:r>
      <w:hyperlink r:id="rId28" w:history="1">
        <w:r w:rsidRPr="00220ACE">
          <w:rPr>
            <w:rStyle w:val="Hyperlink"/>
            <w:szCs w:val="20"/>
          </w:rPr>
          <w:t xml:space="preserve">outcomes statement published on </w:t>
        </w:r>
        <w:r w:rsidR="00FA71A6">
          <w:rPr>
            <w:rStyle w:val="Hyperlink"/>
            <w:szCs w:val="20"/>
          </w:rPr>
          <w:t>our</w:t>
        </w:r>
        <w:r w:rsidRPr="00220ACE">
          <w:rPr>
            <w:rStyle w:val="Hyperlink"/>
            <w:szCs w:val="20"/>
          </w:rPr>
          <w:t xml:space="preserve"> website</w:t>
        </w:r>
      </w:hyperlink>
      <w:r w:rsidRPr="00220ACE">
        <w:rPr>
          <w:szCs w:val="20"/>
        </w:rPr>
        <w:t>.</w:t>
      </w:r>
    </w:p>
    <w:p w14:paraId="105DD380" w14:textId="4A68F09D" w:rsidR="00207B58" w:rsidRDefault="00207B58" w:rsidP="00220ACE">
      <w:pPr>
        <w:pStyle w:val="Paragraph"/>
      </w:pPr>
    </w:p>
    <w:p w14:paraId="72658535" w14:textId="403EBD4F" w:rsidR="0058794E" w:rsidRDefault="0058794E" w:rsidP="008B5BAD">
      <w:pPr>
        <w:pStyle w:val="Heading2"/>
      </w:pPr>
      <w:bookmarkStart w:id="14" w:name="_Toc129255711"/>
      <w:r>
        <w:lastRenderedPageBreak/>
        <w:t>Our response</w:t>
      </w:r>
      <w:bookmarkEnd w:id="14"/>
    </w:p>
    <w:p w14:paraId="46CE62C3" w14:textId="7FF6E24D" w:rsidR="006406BB" w:rsidRDefault="009879C5" w:rsidP="001A3F5C">
      <w:pPr>
        <w:pStyle w:val="Paragraph"/>
      </w:pPr>
      <w:r>
        <w:t xml:space="preserve">Greater transparency surrounding exemptions was </w:t>
      </w:r>
      <w:r w:rsidR="0099666F">
        <w:t>a key objective for the review, and stakeholders offered commentary</w:t>
      </w:r>
      <w:r w:rsidR="00C24278">
        <w:t xml:space="preserve"> on this issue</w:t>
      </w:r>
      <w:r w:rsidR="0099666F">
        <w:t>.</w:t>
      </w:r>
      <w:r w:rsidR="00CE41FF">
        <w:t xml:space="preserve"> </w:t>
      </w:r>
      <w:r w:rsidR="00E24681">
        <w:t xml:space="preserve">We regard the </w:t>
      </w:r>
      <w:r w:rsidR="00E24681">
        <w:rPr>
          <w:i/>
          <w:iCs/>
        </w:rPr>
        <w:t xml:space="preserve">Information for users </w:t>
      </w:r>
      <w:r w:rsidR="001C7A92">
        <w:t xml:space="preserve">document </w:t>
      </w:r>
      <w:r w:rsidR="00E24681">
        <w:t>as an important addition to the exemption regime</w:t>
      </w:r>
      <w:r w:rsidR="005A071C">
        <w:t>: it provides stakeholders w</w:t>
      </w:r>
      <w:r w:rsidR="00BA267F">
        <w:t>ith</w:t>
      </w:r>
      <w:r w:rsidR="005A071C">
        <w:t xml:space="preserve"> a transparent insight into how we consider exemption proposals, and co</w:t>
      </w:r>
      <w:r w:rsidR="00CF035B">
        <w:t>n</w:t>
      </w:r>
      <w:r w:rsidR="005A071C">
        <w:t>veys our expectations to law enforcement about matters that we will consider when making exemptions.</w:t>
      </w:r>
      <w:r w:rsidR="0099666F">
        <w:t xml:space="preserve"> We have also implemented a similar document to support the innovation and industry development framework, and we note that that framework is performing </w:t>
      </w:r>
      <w:r w:rsidR="00162A4A">
        <w:t xml:space="preserve">as expected (with </w:t>
      </w:r>
      <w:r w:rsidR="00AA45A1">
        <w:t xml:space="preserve">3 </w:t>
      </w:r>
      <w:r w:rsidR="00162A4A">
        <w:t>applications granted since it was implemented in December 2021).</w:t>
      </w:r>
    </w:p>
    <w:p w14:paraId="6D4103F4" w14:textId="44C2799D" w:rsidR="006406BB" w:rsidRDefault="00C51BBB" w:rsidP="00A815DE">
      <w:pPr>
        <w:pStyle w:val="Paragraph"/>
      </w:pPr>
      <w:r>
        <w:t xml:space="preserve">The document does not have </w:t>
      </w:r>
      <w:r w:rsidR="00B00814">
        <w:t>the</w:t>
      </w:r>
      <w:r>
        <w:t xml:space="preserve"> regulatory status </w:t>
      </w:r>
      <w:r w:rsidR="00B00814">
        <w:t xml:space="preserve">of </w:t>
      </w:r>
      <w:r>
        <w:t xml:space="preserve">a legislative instrument, and we regard that the level of flexibility this affords is appropriate for law enforcement operating under exemptions. </w:t>
      </w:r>
      <w:r w:rsidR="00485E9F">
        <w:t>Industry stakeholders relying on the innovation and industry development framework are regulated more closely</w:t>
      </w:r>
      <w:r w:rsidR="00F76AD3">
        <w:t xml:space="preserve">. </w:t>
      </w:r>
      <w:r w:rsidR="001C7A92">
        <w:t>It has been our practice to register radiocommunications advisory guidelines</w:t>
      </w:r>
      <w:r w:rsidR="00337DF9">
        <w:t xml:space="preserve"> made under section 262 of the </w:t>
      </w:r>
      <w:r w:rsidR="00C54089">
        <w:t xml:space="preserve">Radiocommunications </w:t>
      </w:r>
      <w:r w:rsidR="00337DF9">
        <w:t>Act</w:t>
      </w:r>
      <w:r w:rsidR="001C7A92">
        <w:t xml:space="preserve"> on the </w:t>
      </w:r>
      <w:r w:rsidR="003A7A90">
        <w:t>FRL</w:t>
      </w:r>
      <w:r w:rsidR="001C7A92">
        <w:t xml:space="preserve">, although there is no legislative requirement for us to do so. We regard publishing the </w:t>
      </w:r>
      <w:r w:rsidR="001C7A92">
        <w:rPr>
          <w:i/>
          <w:iCs/>
        </w:rPr>
        <w:t xml:space="preserve">Information for users </w:t>
      </w:r>
      <w:r w:rsidR="001C7A92">
        <w:t xml:space="preserve">document on our website as preferable, because we can update it more </w:t>
      </w:r>
      <w:r w:rsidR="00E80637">
        <w:t xml:space="preserve">responsively than if it was published on the FRL, and stakeholders are more likely to </w:t>
      </w:r>
      <w:r w:rsidR="006F7E25">
        <w:t>access the information from our website than on the FRL.</w:t>
      </w:r>
      <w:r w:rsidR="00337DF9">
        <w:t xml:space="preserve"> If </w:t>
      </w:r>
      <w:r w:rsidR="00D6404A">
        <w:t>someone operate</w:t>
      </w:r>
      <w:r w:rsidR="00E735C3">
        <w:t>s</w:t>
      </w:r>
      <w:r w:rsidR="00D6404A">
        <w:t xml:space="preserve"> a device both inconsistently with </w:t>
      </w:r>
      <w:r w:rsidR="00337DF9">
        <w:t>an exemption</w:t>
      </w:r>
      <w:r w:rsidR="00D6404A">
        <w:t xml:space="preserve"> and in breach of the Act</w:t>
      </w:r>
      <w:r w:rsidR="00337DF9">
        <w:t xml:space="preserve">, that the document is not made under section 262 would neither </w:t>
      </w:r>
      <w:r w:rsidR="00052849">
        <w:t xml:space="preserve">help nor </w:t>
      </w:r>
      <w:r w:rsidR="00CA542D">
        <w:t>hinder</w:t>
      </w:r>
      <w:r w:rsidR="00052849">
        <w:t xml:space="preserve"> our compliance efforts. </w:t>
      </w:r>
    </w:p>
    <w:p w14:paraId="6F1AD502" w14:textId="01F14E1F" w:rsidR="00E3523C" w:rsidRDefault="00E3523C" w:rsidP="000F0393">
      <w:pPr>
        <w:pStyle w:val="Paragraph"/>
      </w:pPr>
      <w:r>
        <w:t xml:space="preserve">The </w:t>
      </w:r>
      <w:r w:rsidR="005264AE">
        <w:t>v</w:t>
      </w:r>
      <w:r>
        <w:t xml:space="preserve">isiting </w:t>
      </w:r>
      <w:r w:rsidR="005264AE">
        <w:t>d</w:t>
      </w:r>
      <w:r>
        <w:t>ignitar</w:t>
      </w:r>
      <w:r w:rsidR="005C5D1E">
        <w:t>ies</w:t>
      </w:r>
      <w:r>
        <w:t xml:space="preserve"> </w:t>
      </w:r>
      <w:r w:rsidR="005264AE">
        <w:t>e</w:t>
      </w:r>
      <w:r>
        <w:t xml:space="preserve">xemption facilitates </w:t>
      </w:r>
      <w:r w:rsidR="00350D46">
        <w:t>importation and use of banned equipment by security forces working with Australian law</w:t>
      </w:r>
      <w:r w:rsidR="00C13D33">
        <w:t xml:space="preserve"> enforcement</w:t>
      </w:r>
      <w:r w:rsidR="00350D46">
        <w:t xml:space="preserve">. Often, these visits involve operational and diplomatic </w:t>
      </w:r>
      <w:r w:rsidR="00A55C95">
        <w:t xml:space="preserve">sensitivities, and details can be settled very late. Use of a notifiable instrument to trigger the </w:t>
      </w:r>
      <w:r w:rsidR="005039BE">
        <w:t>effect</w:t>
      </w:r>
      <w:r w:rsidR="00A55C95">
        <w:t xml:space="preserve"> of the exemption will</w:t>
      </w:r>
      <w:r w:rsidR="006E6CF5">
        <w:t xml:space="preserve"> provide the ACMA with more time to consult with relevant stakeholders</w:t>
      </w:r>
      <w:r w:rsidR="006F54E8">
        <w:t xml:space="preserve"> </w:t>
      </w:r>
      <w:r w:rsidR="00D80BF1">
        <w:t>than would be the case were a new legislative instrument (and associated process</w:t>
      </w:r>
      <w:r w:rsidR="00727B67">
        <w:t>es</w:t>
      </w:r>
      <w:r w:rsidR="00D80BF1">
        <w:t>) involved.</w:t>
      </w:r>
    </w:p>
    <w:p w14:paraId="7A2D3E8D" w14:textId="74632DA0" w:rsidR="006406BB" w:rsidRDefault="000F0393" w:rsidP="00B445C2">
      <w:pPr>
        <w:pStyle w:val="Paragraph"/>
      </w:pPr>
      <w:r>
        <w:t xml:space="preserve">The ECM </w:t>
      </w:r>
      <w:r w:rsidR="000374FD">
        <w:t>e</w:t>
      </w:r>
      <w:r>
        <w:t>xemption now applies to potential contractors</w:t>
      </w:r>
      <w:r w:rsidR="00836CDB">
        <w:t xml:space="preserve">, because, as a result of the passage of the Modernisation Act, offer to supply (and not just supply) </w:t>
      </w:r>
      <w:r w:rsidR="00B445C2">
        <w:t>of banned equipment is a breach of the</w:t>
      </w:r>
      <w:r w:rsidR="00D8433F">
        <w:t xml:space="preserve"> Radiocommunications</w:t>
      </w:r>
      <w:r w:rsidR="00B445C2">
        <w:t xml:space="preserve"> Act (see section</w:t>
      </w:r>
      <w:r w:rsidR="00CA542D">
        <w:t>s</w:t>
      </w:r>
      <w:r w:rsidR="00B445C2">
        <w:t xml:space="preserve"> 175 and 176).</w:t>
      </w:r>
    </w:p>
    <w:p w14:paraId="1ED5D369" w14:textId="4B116E3D" w:rsidR="00B445C2" w:rsidRDefault="00B445C2" w:rsidP="00B445C2">
      <w:pPr>
        <w:pStyle w:val="Paragraph"/>
      </w:pPr>
      <w:r>
        <w:t xml:space="preserve">We note that trials of banned equipment at NSW </w:t>
      </w:r>
      <w:proofErr w:type="gramStart"/>
      <w:r>
        <w:t>correctional facilities</w:t>
      </w:r>
      <w:proofErr w:type="gramEnd"/>
      <w:r>
        <w:t xml:space="preserve"> were useful in informing </w:t>
      </w:r>
      <w:r w:rsidR="00650AE7">
        <w:t>longer-term exemption arrangements, and provided an opportunity to conduct coexistence studies.</w:t>
      </w:r>
      <w:r w:rsidR="001367BC">
        <w:t xml:space="preserve"> However, </w:t>
      </w:r>
      <w:r w:rsidR="00FC7C9A">
        <w:t>use of banned equipment in those facilities was unique</w:t>
      </w:r>
      <w:r w:rsidR="00827DA8">
        <w:t xml:space="preserve"> –</w:t>
      </w:r>
      <w:r w:rsidR="00FC7C9A">
        <w:t xml:space="preserve"> the banned equipment is essentially operated continuously</w:t>
      </w:r>
      <w:r w:rsidR="00A26B5D">
        <w:t xml:space="preserve"> at a fixed location</w:t>
      </w:r>
      <w:r w:rsidR="00FC7C9A">
        <w:t xml:space="preserve">, whereas </w:t>
      </w:r>
      <w:r w:rsidR="000D5486">
        <w:t>most banned equipment used by law enforcement under exemptions is used for very short periods of time (</w:t>
      </w:r>
      <w:r w:rsidR="008029AB">
        <w:t>in some cases, as briefly as 30</w:t>
      </w:r>
      <w:r w:rsidR="00A3710E">
        <w:t> </w:t>
      </w:r>
      <w:r w:rsidR="00A26B5D">
        <w:t xml:space="preserve">seconds) on a mobile basis. </w:t>
      </w:r>
      <w:r w:rsidR="00415741">
        <w:t xml:space="preserve">Where an opportunity to conduct a coexistence study arises, and where banned equipment can be operated </w:t>
      </w:r>
      <w:r w:rsidR="009C108D">
        <w:t xml:space="preserve">on a coexistence basis, we will take that opportunity; but in most cases </w:t>
      </w:r>
      <w:r w:rsidR="00CF3D31">
        <w:t xml:space="preserve">this will not be possible. Instead, we rely on the expertise of law enforcement in undertaking practical mitigation measures when deploying banned equipment (both pre-emptively </w:t>
      </w:r>
      <w:r w:rsidR="00C13289">
        <w:t>before a deployment and when using the equipment) and on the risk analysis that we undertake when considering a proposed exemption.</w:t>
      </w:r>
      <w:r w:rsidR="00435FEA">
        <w:t xml:space="preserve"> </w:t>
      </w:r>
    </w:p>
    <w:p w14:paraId="3CA2826B" w14:textId="6A734876" w:rsidR="00A914D3" w:rsidRDefault="004D1A38" w:rsidP="00A85059">
      <w:pPr>
        <w:pStyle w:val="Heading2"/>
      </w:pPr>
      <w:bookmarkStart w:id="15" w:name="_Toc129255712"/>
      <w:r>
        <w:t>Outcomes</w:t>
      </w:r>
      <w:bookmarkEnd w:id="15"/>
    </w:p>
    <w:p w14:paraId="0FC465C2" w14:textId="574A0859" w:rsidR="00967995" w:rsidRPr="00A85059" w:rsidRDefault="000374FD" w:rsidP="000374FD">
      <w:r w:rsidRPr="00A85059">
        <w:t>In addition to making the RPAS disruption exemption in September 2022, we have made the ECM</w:t>
      </w:r>
      <w:r w:rsidR="00FD62AF" w:rsidRPr="00A85059">
        <w:t xml:space="preserve"> exemption, the visiting dignitary exemption, and the amendment exemption. We will also publish the </w:t>
      </w:r>
      <w:r w:rsidR="00FD62AF" w:rsidRPr="00A85059">
        <w:rPr>
          <w:i/>
          <w:iCs/>
        </w:rPr>
        <w:t xml:space="preserve">Information for users </w:t>
      </w:r>
      <w:r w:rsidR="00FD62AF" w:rsidRPr="00A85059">
        <w:t>document on our website.</w:t>
      </w:r>
    </w:p>
    <w:p w14:paraId="758B3A06" w14:textId="3F29B53E" w:rsidR="00EC0876" w:rsidRDefault="00331A2B" w:rsidP="00967995">
      <w:pPr>
        <w:pStyle w:val="Paragraph"/>
      </w:pPr>
      <w:r>
        <w:t xml:space="preserve">We carefully considered stakeholder views about </w:t>
      </w:r>
      <w:r w:rsidR="00A933A8">
        <w:t xml:space="preserve">interference </w:t>
      </w:r>
      <w:r w:rsidR="00E401DC">
        <w:t xml:space="preserve">management </w:t>
      </w:r>
      <w:r w:rsidR="00A933A8">
        <w:t>strategies</w:t>
      </w:r>
      <w:r w:rsidR="00E401DC">
        <w:t>,</w:t>
      </w:r>
      <w:r w:rsidR="00A933A8">
        <w:t xml:space="preserve"> interactions between </w:t>
      </w:r>
      <w:r w:rsidR="00E401DC">
        <w:t xml:space="preserve">licensees </w:t>
      </w:r>
      <w:r w:rsidR="00A933A8">
        <w:t>and law enforcement</w:t>
      </w:r>
      <w:r w:rsidR="002F36A3">
        <w:t xml:space="preserve">, and accountability measures. </w:t>
      </w:r>
      <w:r w:rsidR="002F36A3">
        <w:lastRenderedPageBreak/>
        <w:t>We considered that t</w:t>
      </w:r>
      <w:r w:rsidR="00967995">
        <w:t xml:space="preserve">he standardised record-keeping </w:t>
      </w:r>
      <w:r w:rsidR="00D9034B">
        <w:t xml:space="preserve">requirements </w:t>
      </w:r>
      <w:r w:rsidR="00967995">
        <w:t xml:space="preserve">across the exemption regime (with the exception of the visiting dignitary exemption) </w:t>
      </w:r>
      <w:r w:rsidR="002F36A3">
        <w:t>are sufficient to manage these issues</w:t>
      </w:r>
      <w:r w:rsidR="00EC0876">
        <w:t>, and are also</w:t>
      </w:r>
      <w:r w:rsidR="002F36A3">
        <w:t xml:space="preserve"> </w:t>
      </w:r>
      <w:r w:rsidR="00967995">
        <w:t xml:space="preserve">intended to aid our oversight and management of the framework. The information to be collected by exempt persons relates to the possession, operation and supply of banned equipment, and also specific technical parameters of equipment. </w:t>
      </w:r>
    </w:p>
    <w:p w14:paraId="387DAD58" w14:textId="7D93FBA9" w:rsidR="00967995" w:rsidRDefault="00EC0876" w:rsidP="00967995">
      <w:pPr>
        <w:pStyle w:val="Paragraph"/>
      </w:pPr>
      <w:r>
        <w:t xml:space="preserve">We noted views from stakeholders that </w:t>
      </w:r>
      <w:r w:rsidR="0033474F">
        <w:t xml:space="preserve">information required to be kept by law enforcement should be made available more widely. We do not consider that it is </w:t>
      </w:r>
      <w:r w:rsidR="00967995">
        <w:t xml:space="preserve">appropriate that third parties are provided with </w:t>
      </w:r>
      <w:r w:rsidR="006A5DB5">
        <w:t>that information</w:t>
      </w:r>
      <w:r w:rsidR="00967995">
        <w:t xml:space="preserve"> as a matter of course, given that </w:t>
      </w:r>
      <w:r w:rsidR="006A5DB5">
        <w:t xml:space="preserve">it </w:t>
      </w:r>
      <w:r w:rsidR="00967995">
        <w:t>relate</w:t>
      </w:r>
      <w:r w:rsidR="006A5DB5">
        <w:t>s</w:t>
      </w:r>
      <w:r w:rsidR="00967995">
        <w:t xml:space="preserve"> to law enforcement operations and capability. As set out in the </w:t>
      </w:r>
      <w:r w:rsidR="00967995">
        <w:rPr>
          <w:i/>
          <w:iCs/>
        </w:rPr>
        <w:t xml:space="preserve">Information for users </w:t>
      </w:r>
      <w:r w:rsidR="00967995">
        <w:t>document, we have a policy on information about banned equipment used under exemptions as appropriate. There is also a dedicated information-sharing policy applicable to the innovation and industry development framework.</w:t>
      </w:r>
    </w:p>
    <w:p w14:paraId="68406FC0" w14:textId="0AEBFF98" w:rsidR="00967995" w:rsidRPr="009018F8" w:rsidRDefault="00967995" w:rsidP="009018F8">
      <w:pPr>
        <w:rPr>
          <w:u w:val="single"/>
        </w:rPr>
      </w:pPr>
      <w:r>
        <w:t xml:space="preserve">Record-keeping requirements </w:t>
      </w:r>
      <w:r w:rsidR="0033474F">
        <w:t>will</w:t>
      </w:r>
      <w:r>
        <w:t xml:space="preserve"> allow us to assess whether agreed notification arrangements are working as intended. The security and operational sensitivities surrounding law enforcement activities, and the established use of banned equipment under exemptions by law enforcement for more than a decade, mean that we are comfortable with notification arrangements operating outside of legislative instruments. We receive pre- and post-incident notifications of use of banned equipment, and understand that the arrangements that are in place are working as intended.</w:t>
      </w:r>
    </w:p>
    <w:p w14:paraId="23405CDF" w14:textId="5664A097" w:rsidR="0056747A" w:rsidRDefault="000374FD" w:rsidP="0056747A">
      <w:pPr>
        <w:pStyle w:val="Paragraph"/>
      </w:pPr>
      <w:r>
        <w:t xml:space="preserve">As signalled in our approach to the review, we consider it appropriate to more </w:t>
      </w:r>
      <w:r w:rsidRPr="00382A3A">
        <w:t>closely regulate private sector access to banned equipment</w:t>
      </w:r>
      <w:r w:rsidR="00C75AB2">
        <w:t>.</w:t>
      </w:r>
      <w:r w:rsidR="0056747A">
        <w:t xml:space="preserve"> In consulting and collaborating with stakeholders on arrangements to facilitate operational/open-air testing of banned equipment by private-sector stakeholders under the innovation and industry development framework, we have implemented regulatory requirements around notifications. Persons undertaking operational</w:t>
      </w:r>
      <w:r w:rsidR="00724856">
        <w:t>/open-air</w:t>
      </w:r>
      <w:r w:rsidR="0056747A">
        <w:t xml:space="preserve"> testing will be required to notify specified stakeholders 14 days prior to the activity. </w:t>
      </w:r>
    </w:p>
    <w:p w14:paraId="256DEF3A" w14:textId="02DA359A" w:rsidR="007C20B0" w:rsidRDefault="000374FD" w:rsidP="00181D4C">
      <w:pPr>
        <w:pStyle w:val="Paragraph"/>
      </w:pPr>
      <w:r>
        <w:t>Long-term licensing arrangements for RNSS retransmission technologies are likely to require amendments to legislative instrument</w:t>
      </w:r>
      <w:r w:rsidR="007F1801">
        <w:t>s</w:t>
      </w:r>
      <w:r>
        <w:t>, on which we will consult</w:t>
      </w:r>
      <w:r w:rsidR="00843173">
        <w:t xml:space="preserve"> – see Next Steps below.</w:t>
      </w:r>
    </w:p>
    <w:p w14:paraId="55B37376" w14:textId="73252EF5" w:rsidR="001D67A2" w:rsidRDefault="00A27CFB" w:rsidP="00212CF4">
      <w:pPr>
        <w:pStyle w:val="Heading1"/>
      </w:pPr>
      <w:bookmarkStart w:id="16" w:name="_Toc129255713"/>
      <w:bookmarkEnd w:id="3"/>
      <w:r>
        <w:lastRenderedPageBreak/>
        <w:t xml:space="preserve">Summary of </w:t>
      </w:r>
      <w:r w:rsidR="004335B1">
        <w:t xml:space="preserve">review </w:t>
      </w:r>
      <w:r>
        <w:t>o</w:t>
      </w:r>
      <w:r w:rsidR="00212CF4">
        <w:t>utcomes</w:t>
      </w:r>
      <w:bookmarkEnd w:id="16"/>
    </w:p>
    <w:p w14:paraId="0459C892" w14:textId="11ABFE23" w:rsidR="007C47F0" w:rsidRPr="009B3EA3" w:rsidRDefault="00FD7FB0" w:rsidP="007C47F0">
      <w:pPr>
        <w:pStyle w:val="Paragraph"/>
      </w:pPr>
      <w:r>
        <w:t xml:space="preserve">Overall, </w:t>
      </w:r>
      <w:r w:rsidR="009D500C">
        <w:t xml:space="preserve">our </w:t>
      </w:r>
      <w:r w:rsidR="007C47F0" w:rsidRPr="009B3EA3">
        <w:t xml:space="preserve">review </w:t>
      </w:r>
      <w:r w:rsidR="00DD234F">
        <w:t xml:space="preserve">has enabled a strengthened </w:t>
      </w:r>
      <w:r w:rsidR="007C47F0" w:rsidRPr="009B3EA3">
        <w:t xml:space="preserve">framework </w:t>
      </w:r>
      <w:r w:rsidR="007C47F0">
        <w:t xml:space="preserve">that </w:t>
      </w:r>
      <w:r w:rsidR="007C47F0" w:rsidRPr="009B3EA3">
        <w:t>will be much improved</w:t>
      </w:r>
      <w:r w:rsidR="007C47F0">
        <w:t xml:space="preserve"> for regulated entities, stakeholders</w:t>
      </w:r>
      <w:r w:rsidR="00724856">
        <w:t>,</w:t>
      </w:r>
      <w:r w:rsidR="007C47F0">
        <w:t xml:space="preserve"> and the ACMA</w:t>
      </w:r>
      <w:r w:rsidR="007C47F0" w:rsidRPr="009B3EA3">
        <w:t xml:space="preserve">, and </w:t>
      </w:r>
      <w:r w:rsidR="007C47F0">
        <w:t xml:space="preserve">will </w:t>
      </w:r>
      <w:r w:rsidR="007C47F0" w:rsidRPr="009B3EA3">
        <w:t xml:space="preserve">deliver </w:t>
      </w:r>
      <w:r w:rsidR="00A77B35">
        <w:t>greater</w:t>
      </w:r>
      <w:r w:rsidR="00A77B35" w:rsidRPr="009B3EA3">
        <w:t xml:space="preserve"> </w:t>
      </w:r>
      <w:r w:rsidR="007C47F0" w:rsidRPr="009B3EA3">
        <w:t>public benefit.</w:t>
      </w:r>
    </w:p>
    <w:p w14:paraId="0370310E" w14:textId="1D07A030" w:rsidR="007C47F0" w:rsidRDefault="000E52C7" w:rsidP="007C47F0">
      <w:pPr>
        <w:pStyle w:val="Paragraph"/>
      </w:pPr>
      <w:r>
        <w:t xml:space="preserve">The reviewed framework will </w:t>
      </w:r>
      <w:r w:rsidR="00A11BC6">
        <w:t xml:space="preserve">achieve </w:t>
      </w:r>
      <w:r w:rsidR="00FD7FB0">
        <w:t xml:space="preserve">the </w:t>
      </w:r>
      <w:r w:rsidR="007C47F0" w:rsidRPr="009B3EA3">
        <w:t>following regulatory reform outcomes</w:t>
      </w:r>
      <w:r w:rsidR="00362F56">
        <w:t>:</w:t>
      </w:r>
    </w:p>
    <w:p w14:paraId="0216996A" w14:textId="77777777" w:rsidR="007C47F0" w:rsidRDefault="007C47F0" w:rsidP="007C47F0">
      <w:pPr>
        <w:pStyle w:val="Heading3"/>
        <w:numPr>
          <w:ilvl w:val="0"/>
          <w:numId w:val="24"/>
        </w:numPr>
        <w:tabs>
          <w:tab w:val="num" w:pos="360"/>
        </w:tabs>
        <w:ind w:left="284" w:hanging="284"/>
      </w:pPr>
      <w:r w:rsidRPr="00C95CE1">
        <w:t xml:space="preserve">Equipment designed to cause interference </w:t>
      </w:r>
      <w:r>
        <w:t>will be</w:t>
      </w:r>
      <w:r w:rsidRPr="00C95CE1">
        <w:t xml:space="preserve"> </w:t>
      </w:r>
      <w:r>
        <w:t xml:space="preserve">better </w:t>
      </w:r>
      <w:r w:rsidRPr="00C95CE1">
        <w:t>regulated</w:t>
      </w:r>
    </w:p>
    <w:p w14:paraId="38083B3E" w14:textId="044886E2" w:rsidR="007C47F0" w:rsidRPr="00F25E1E" w:rsidRDefault="007C47F0" w:rsidP="007C47F0">
      <w:pPr>
        <w:pStyle w:val="ListBullet"/>
      </w:pPr>
      <w:r w:rsidRPr="00F25E1E">
        <w:t xml:space="preserve">PMTS </w:t>
      </w:r>
      <w:r w:rsidR="00DD234F">
        <w:t xml:space="preserve">jamming equipment </w:t>
      </w:r>
      <w:r w:rsidRPr="00F25E1E">
        <w:t xml:space="preserve">and RNSS jamming </w:t>
      </w:r>
      <w:r>
        <w:t>equipment</w:t>
      </w:r>
      <w:r w:rsidRPr="00F25E1E">
        <w:t xml:space="preserve"> </w:t>
      </w:r>
      <w:r>
        <w:t xml:space="preserve">will be </w:t>
      </w:r>
      <w:r w:rsidRPr="00F25E1E">
        <w:t>better and more narrowly defined</w:t>
      </w:r>
      <w:r>
        <w:t>.</w:t>
      </w:r>
    </w:p>
    <w:p w14:paraId="2ED59B29" w14:textId="6FE9AFB5" w:rsidR="007C47F0" w:rsidRPr="00F25E1E" w:rsidRDefault="007C47F0" w:rsidP="007C47F0">
      <w:pPr>
        <w:pStyle w:val="ListBullet"/>
      </w:pPr>
      <w:r w:rsidRPr="00F25E1E">
        <w:t xml:space="preserve">Wi-Fi </w:t>
      </w:r>
      <w:r w:rsidR="00DD234F">
        <w:t xml:space="preserve">jamming equipment </w:t>
      </w:r>
      <w:r w:rsidRPr="00F25E1E">
        <w:t xml:space="preserve">and drone jamming </w:t>
      </w:r>
      <w:r>
        <w:t xml:space="preserve">equipment will be </w:t>
      </w:r>
      <w:r w:rsidRPr="00F25E1E">
        <w:t>banned</w:t>
      </w:r>
      <w:r>
        <w:t>.</w:t>
      </w:r>
    </w:p>
    <w:p w14:paraId="53AE3202" w14:textId="4C0F9A32" w:rsidR="007C47F0" w:rsidRDefault="007C47F0" w:rsidP="007C47F0">
      <w:pPr>
        <w:pStyle w:val="ListBulletLast"/>
      </w:pPr>
      <w:r w:rsidRPr="00F25E1E">
        <w:t>Fewer ‘false positives’ (</w:t>
      </w:r>
      <w:r w:rsidR="00DD234F">
        <w:t>that is</w:t>
      </w:r>
      <w:r w:rsidRPr="00F25E1E">
        <w:t xml:space="preserve">, fewer ‘legitimate’ devices </w:t>
      </w:r>
      <w:r>
        <w:t xml:space="preserve">will be </w:t>
      </w:r>
      <w:r w:rsidRPr="00F25E1E">
        <w:t>caught by bans)</w:t>
      </w:r>
      <w:r>
        <w:t>.</w:t>
      </w:r>
    </w:p>
    <w:p w14:paraId="5CC166D1" w14:textId="77777777" w:rsidR="007C47F0" w:rsidRDefault="007C47F0" w:rsidP="007C47F0">
      <w:pPr>
        <w:pStyle w:val="Heading3"/>
        <w:numPr>
          <w:ilvl w:val="0"/>
          <w:numId w:val="24"/>
        </w:numPr>
        <w:tabs>
          <w:tab w:val="num" w:pos="360"/>
        </w:tabs>
        <w:ind w:left="284" w:hanging="284"/>
      </w:pPr>
      <w:r>
        <w:t>N</w:t>
      </w:r>
      <w:r w:rsidRPr="000B42E0">
        <w:t>ew commercial and strategic opportunities for</w:t>
      </w:r>
      <w:r>
        <w:t xml:space="preserve"> industry</w:t>
      </w:r>
    </w:p>
    <w:p w14:paraId="029255F1" w14:textId="77777777" w:rsidR="007C47F0" w:rsidRPr="009C0EC4" w:rsidRDefault="007C47F0" w:rsidP="007C47F0">
      <w:pPr>
        <w:pStyle w:val="ListBullet"/>
      </w:pPr>
      <w:r w:rsidRPr="009C0EC4">
        <w:t>The new innovation and industry development framework will benefit the Australian defence industry and technology sector</w:t>
      </w:r>
      <w:r>
        <w:t>.</w:t>
      </w:r>
      <w:r w:rsidRPr="009C0EC4">
        <w:t xml:space="preserve"> </w:t>
      </w:r>
    </w:p>
    <w:p w14:paraId="42F7B540" w14:textId="77777777" w:rsidR="007C47F0" w:rsidRPr="00C3623D" w:rsidRDefault="007C47F0" w:rsidP="007C47F0">
      <w:pPr>
        <w:pStyle w:val="ListBullet"/>
      </w:pPr>
      <w:r>
        <w:t xml:space="preserve">The </w:t>
      </w:r>
      <w:r w:rsidRPr="00C3623D">
        <w:t xml:space="preserve">permit-based system </w:t>
      </w:r>
      <w:r>
        <w:t xml:space="preserve">provides flexibility for applicants and manages interference risks. </w:t>
      </w:r>
    </w:p>
    <w:p w14:paraId="33F122A8" w14:textId="77777777" w:rsidR="007C47F0" w:rsidRPr="00C3623D" w:rsidRDefault="007C47F0" w:rsidP="007C47F0">
      <w:pPr>
        <w:pStyle w:val="ListBullet"/>
      </w:pPr>
      <w:r w:rsidRPr="00C3623D">
        <w:t>Domestic R&amp;D, manufacturing, international export opportunities</w:t>
      </w:r>
      <w:r>
        <w:t xml:space="preserve"> can be realised.</w:t>
      </w:r>
    </w:p>
    <w:p w14:paraId="44CB5FAC" w14:textId="7AC58171" w:rsidR="007C47F0" w:rsidRPr="00C3623D" w:rsidRDefault="007120AB" w:rsidP="00030844">
      <w:pPr>
        <w:pStyle w:val="ListBulletLast"/>
      </w:pPr>
      <w:r>
        <w:t>A</w:t>
      </w:r>
      <w:r w:rsidR="007C47F0" w:rsidRPr="00C3623D">
        <w:t>ligns with government domestic and defence industry policy</w:t>
      </w:r>
      <w:r w:rsidR="007C47F0">
        <w:t>.</w:t>
      </w:r>
      <w:r w:rsidR="007C47F0" w:rsidRPr="00C3623D">
        <w:t xml:space="preserve"> </w:t>
      </w:r>
    </w:p>
    <w:p w14:paraId="3D02A0B7" w14:textId="1EC4D3F8" w:rsidR="007C47F0" w:rsidRPr="0020690B" w:rsidRDefault="007C47F0" w:rsidP="007C47F0">
      <w:pPr>
        <w:pStyle w:val="Heading3"/>
        <w:numPr>
          <w:ilvl w:val="0"/>
          <w:numId w:val="24"/>
        </w:numPr>
        <w:tabs>
          <w:tab w:val="num" w:pos="360"/>
        </w:tabs>
        <w:ind w:left="284" w:hanging="284"/>
      </w:pPr>
      <w:r w:rsidRPr="0020690B">
        <w:t xml:space="preserve">Exemptions </w:t>
      </w:r>
      <w:r>
        <w:t>will be</w:t>
      </w:r>
      <w:r w:rsidRPr="0020690B">
        <w:t xml:space="preserve"> fewer, simpler, fit-for-purpose and </w:t>
      </w:r>
      <w:r>
        <w:t xml:space="preserve">flexible </w:t>
      </w:r>
    </w:p>
    <w:p w14:paraId="28DC54B7" w14:textId="488C819B" w:rsidR="007C47F0" w:rsidRPr="00E81E04" w:rsidRDefault="003B2BE0" w:rsidP="007C47F0">
      <w:pPr>
        <w:pStyle w:val="ListBullet"/>
      </w:pPr>
      <w:r>
        <w:t>There will be s</w:t>
      </w:r>
      <w:r w:rsidR="007C47F0" w:rsidRPr="00E81E04">
        <w:t xml:space="preserve">treamlined exemption arrangements for </w:t>
      </w:r>
      <w:r w:rsidR="00B15427">
        <w:t xml:space="preserve">specified </w:t>
      </w:r>
      <w:proofErr w:type="gramStart"/>
      <w:r w:rsidR="00606184">
        <w:t>correctional facilities</w:t>
      </w:r>
      <w:proofErr w:type="gramEnd"/>
      <w:r w:rsidR="007C47F0" w:rsidRPr="00E81E04">
        <w:t xml:space="preserve"> </w:t>
      </w:r>
      <w:r w:rsidR="007C47F0">
        <w:t>operated by Corrective Services NSW.</w:t>
      </w:r>
    </w:p>
    <w:p w14:paraId="27AAA7DB" w14:textId="77777777" w:rsidR="007C47F0" w:rsidRPr="00E81E04" w:rsidRDefault="007C47F0" w:rsidP="007C47F0">
      <w:pPr>
        <w:pStyle w:val="ListBullet"/>
      </w:pPr>
      <w:r w:rsidRPr="00E81E04">
        <w:t xml:space="preserve">Instruments </w:t>
      </w:r>
      <w:r>
        <w:t xml:space="preserve">will </w:t>
      </w:r>
      <w:r w:rsidRPr="00E81E04">
        <w:t>provide for delegated operational decisions where appropriate</w:t>
      </w:r>
      <w:r>
        <w:t>.</w:t>
      </w:r>
    </w:p>
    <w:p w14:paraId="58F638F3" w14:textId="7D5B423C" w:rsidR="007C47F0" w:rsidRPr="00E81E04" w:rsidRDefault="007C47F0" w:rsidP="007C47F0">
      <w:pPr>
        <w:pStyle w:val="ListBullet"/>
      </w:pPr>
      <w:r>
        <w:t>A p</w:t>
      </w:r>
      <w:r w:rsidRPr="00E81E04">
        <w:t xml:space="preserve">ermit-based exemption system for the AFP, </w:t>
      </w:r>
      <w:r>
        <w:t>s</w:t>
      </w:r>
      <w:r w:rsidRPr="00E81E04">
        <w:t xml:space="preserve">tate and </w:t>
      </w:r>
      <w:r>
        <w:t>t</w:t>
      </w:r>
      <w:r w:rsidRPr="00E81E04">
        <w:t>erritory police, providing security for visiting dignitaries</w:t>
      </w:r>
      <w:r>
        <w:t>.</w:t>
      </w:r>
    </w:p>
    <w:p w14:paraId="78F3AB8C" w14:textId="6BD86F9A" w:rsidR="007C47F0" w:rsidRDefault="007C47F0" w:rsidP="007C47F0">
      <w:pPr>
        <w:pStyle w:val="ListBulletLast"/>
      </w:pPr>
      <w:r>
        <w:t>Information</w:t>
      </w:r>
      <w:r w:rsidRPr="00E81E04">
        <w:t xml:space="preserve"> for law enforcement and stakeholders </w:t>
      </w:r>
      <w:r>
        <w:t xml:space="preserve">will </w:t>
      </w:r>
      <w:r w:rsidRPr="00E81E04">
        <w:t xml:space="preserve">provide </w:t>
      </w:r>
      <w:r w:rsidR="002F5333">
        <w:t xml:space="preserve">additional </w:t>
      </w:r>
      <w:r w:rsidRPr="00E81E04">
        <w:t xml:space="preserve">transparency and </w:t>
      </w:r>
      <w:r w:rsidR="003B2BE0">
        <w:t>guidance</w:t>
      </w:r>
      <w:r>
        <w:t>.</w:t>
      </w:r>
    </w:p>
    <w:p w14:paraId="370921EE" w14:textId="77777777" w:rsidR="007C47F0" w:rsidRPr="006D6A7B" w:rsidRDefault="007C47F0" w:rsidP="007C47F0">
      <w:pPr>
        <w:pStyle w:val="Heading3"/>
        <w:numPr>
          <w:ilvl w:val="0"/>
          <w:numId w:val="24"/>
        </w:numPr>
        <w:tabs>
          <w:tab w:val="num" w:pos="360"/>
        </w:tabs>
        <w:ind w:left="284" w:hanging="284"/>
      </w:pPr>
      <w:r w:rsidRPr="008F74A6">
        <w:t>P</w:t>
      </w:r>
      <w:r>
        <w:t>reviously banned p</w:t>
      </w:r>
      <w:r w:rsidRPr="008F74A6">
        <w:t xml:space="preserve">ublicly beneficial technologies </w:t>
      </w:r>
      <w:r>
        <w:t>will</w:t>
      </w:r>
      <w:r w:rsidRPr="008F74A6">
        <w:t xml:space="preserve"> be </w:t>
      </w:r>
      <w:r>
        <w:t xml:space="preserve">able to be </w:t>
      </w:r>
      <w:r w:rsidRPr="008F74A6">
        <w:t xml:space="preserve">licensed </w:t>
      </w:r>
    </w:p>
    <w:p w14:paraId="74677BE7" w14:textId="77777777" w:rsidR="007C47F0" w:rsidRPr="00F32A74" w:rsidRDefault="007C47F0" w:rsidP="007C47F0">
      <w:pPr>
        <w:pStyle w:val="ListBullet"/>
        <w:rPr>
          <w:rFonts w:cs="Arial"/>
        </w:rPr>
      </w:pPr>
      <w:r>
        <w:t>Legitimate communications technologies and other p</w:t>
      </w:r>
      <w:r w:rsidRPr="00E81E04">
        <w:t xml:space="preserve">ublicly beneficial technologies that were previously banned </w:t>
      </w:r>
      <w:r>
        <w:t xml:space="preserve">will be able to </w:t>
      </w:r>
      <w:r w:rsidRPr="00E81E04">
        <w:t>be licensed and used</w:t>
      </w:r>
      <w:r>
        <w:t>.</w:t>
      </w:r>
    </w:p>
    <w:p w14:paraId="410941F5" w14:textId="77777777" w:rsidR="007C47F0" w:rsidRPr="0044660E" w:rsidRDefault="007C47F0" w:rsidP="007C47F0">
      <w:pPr>
        <w:pStyle w:val="ListBulletLast"/>
      </w:pPr>
      <w:r>
        <w:t>RNSS</w:t>
      </w:r>
      <w:r w:rsidRPr="00F32A74">
        <w:t xml:space="preserve"> repeaters, </w:t>
      </w:r>
      <w:r>
        <w:t>RNSS</w:t>
      </w:r>
      <w:r w:rsidRPr="00F32A74">
        <w:t xml:space="preserve"> retransmission devices and pseudolites </w:t>
      </w:r>
      <w:r>
        <w:t>will no</w:t>
      </w:r>
      <w:r w:rsidRPr="00F32A74">
        <w:t xml:space="preserve"> longer </w:t>
      </w:r>
      <w:r>
        <w:t xml:space="preserve">be </w:t>
      </w:r>
      <w:r w:rsidRPr="00F32A74">
        <w:t>banned</w:t>
      </w:r>
      <w:r>
        <w:t>.</w:t>
      </w:r>
    </w:p>
    <w:p w14:paraId="1B34235B" w14:textId="77777777" w:rsidR="007C47F0" w:rsidRPr="00C95CE1" w:rsidRDefault="007C47F0" w:rsidP="007C47F0">
      <w:pPr>
        <w:pStyle w:val="Heading3"/>
        <w:numPr>
          <w:ilvl w:val="0"/>
          <w:numId w:val="24"/>
        </w:numPr>
        <w:tabs>
          <w:tab w:val="num" w:pos="360"/>
        </w:tabs>
        <w:ind w:left="284" w:hanging="284"/>
      </w:pPr>
      <w:r w:rsidRPr="00C95CE1">
        <w:t xml:space="preserve">Redundant regulation </w:t>
      </w:r>
      <w:r>
        <w:t>will be</w:t>
      </w:r>
      <w:r w:rsidRPr="00C95CE1">
        <w:t xml:space="preserve"> removed</w:t>
      </w:r>
    </w:p>
    <w:p w14:paraId="3A3D1B3F" w14:textId="77777777" w:rsidR="007C47F0" w:rsidRPr="006D6A7B" w:rsidRDefault="007C47F0" w:rsidP="007C47F0">
      <w:pPr>
        <w:pStyle w:val="ListBullet"/>
      </w:pPr>
      <w:r w:rsidRPr="006D6A7B">
        <w:t xml:space="preserve">Conditions with no policy outcome </w:t>
      </w:r>
      <w:r>
        <w:t xml:space="preserve">will be </w:t>
      </w:r>
      <w:r w:rsidRPr="006D6A7B">
        <w:t>excised</w:t>
      </w:r>
      <w:r>
        <w:t>.</w:t>
      </w:r>
    </w:p>
    <w:p w14:paraId="554B1AC6" w14:textId="69F9C83A" w:rsidR="007C47F0" w:rsidRDefault="007C47F0" w:rsidP="007C47F0">
      <w:pPr>
        <w:pStyle w:val="ListBullet"/>
      </w:pPr>
      <w:r w:rsidRPr="006D6A7B">
        <w:t xml:space="preserve">Provisions for otherwise banned communications systems on </w:t>
      </w:r>
      <w:r w:rsidR="00F50FC1">
        <w:t xml:space="preserve">domestic </w:t>
      </w:r>
      <w:r w:rsidRPr="006D6A7B">
        <w:t xml:space="preserve">aircraft </w:t>
      </w:r>
      <w:r>
        <w:t xml:space="preserve">will be </w:t>
      </w:r>
      <w:r w:rsidRPr="006D6A7B">
        <w:t>removed</w:t>
      </w:r>
      <w:r>
        <w:t>.</w:t>
      </w:r>
    </w:p>
    <w:p w14:paraId="3D4F046F" w14:textId="19139978" w:rsidR="007C47F0" w:rsidRDefault="007C47F0" w:rsidP="007C47F0">
      <w:pPr>
        <w:pStyle w:val="ListBulletLast"/>
      </w:pPr>
      <w:r w:rsidRPr="00090792">
        <w:t xml:space="preserve">Defence and Defence supplier access to banned equipment </w:t>
      </w:r>
      <w:r w:rsidR="00707297">
        <w:t>will be</w:t>
      </w:r>
      <w:r w:rsidR="00707297" w:rsidRPr="00090792">
        <w:t xml:space="preserve"> </w:t>
      </w:r>
      <w:r w:rsidRPr="00090792">
        <w:t>better regulated</w:t>
      </w:r>
      <w:r w:rsidR="00CA104B">
        <w:t>,</w:t>
      </w:r>
      <w:r w:rsidRPr="00090792">
        <w:t xml:space="preserve"> under primary legislation</w:t>
      </w:r>
      <w:r>
        <w:t>.</w:t>
      </w:r>
    </w:p>
    <w:p w14:paraId="4A4BBB6E" w14:textId="05511457" w:rsidR="00A27CFB" w:rsidRDefault="00707297" w:rsidP="00A27CFB">
      <w:pPr>
        <w:spacing w:after="0" w:line="240" w:lineRule="auto"/>
      </w:pPr>
      <w:r>
        <w:t xml:space="preserve">Figures 1 and 2 illustrate </w:t>
      </w:r>
      <w:r w:rsidR="00A27CFB">
        <w:t xml:space="preserve">the framework </w:t>
      </w:r>
      <w:r>
        <w:t>before</w:t>
      </w:r>
      <w:r w:rsidR="00A27CFB">
        <w:t xml:space="preserve"> and after the review.</w:t>
      </w:r>
    </w:p>
    <w:p w14:paraId="452AF18D" w14:textId="77777777" w:rsidR="00FD7FB0" w:rsidRDefault="00FD7FB0" w:rsidP="00202CB2">
      <w:pPr>
        <w:pStyle w:val="Heading1"/>
      </w:pPr>
      <w:bookmarkStart w:id="17" w:name="_Toc129255714"/>
      <w:r>
        <w:lastRenderedPageBreak/>
        <w:t>Next steps</w:t>
      </w:r>
      <w:bookmarkEnd w:id="17"/>
    </w:p>
    <w:p w14:paraId="0246A720" w14:textId="77777777" w:rsidR="00122DCC" w:rsidRDefault="00BD4447" w:rsidP="002F3677">
      <w:r>
        <w:t>We will liaise with entities and people currently operating under exemptions to implement any operational arrangements.</w:t>
      </w:r>
    </w:p>
    <w:p w14:paraId="4E8F3615" w14:textId="77777777" w:rsidR="00FD44D0" w:rsidRDefault="00B92374" w:rsidP="002F3677">
      <w:r>
        <w:t xml:space="preserve">As licensing of a broader range of RNSS retransmission devices is a major outcome of </w:t>
      </w:r>
      <w:r w:rsidRPr="00B92374">
        <w:t xml:space="preserve">the review, we will consider which parts of the radiocommunications framework need to be updated to transition to permanent equipment licensing. </w:t>
      </w:r>
    </w:p>
    <w:p w14:paraId="76BF5ED0" w14:textId="0F91E598" w:rsidR="002F3677" w:rsidRDefault="005B15A9" w:rsidP="002F3677">
      <w:r w:rsidRPr="00BD4447">
        <w:t>Over the course of the review</w:t>
      </w:r>
      <w:r w:rsidR="002F3677" w:rsidRPr="00BD4447">
        <w:t>, stakeholders expressed the view that long-term licensing of these and similar devices should be facilitated by apparatus licences. Our view is that, while the spectral denial characteristics of the devices notionally makes them compatible with a class licensing approach, apparatus licensing is more appropriate.</w:t>
      </w:r>
    </w:p>
    <w:p w14:paraId="728EA62B" w14:textId="77777777" w:rsidR="00FD44D0" w:rsidRPr="00BD4447" w:rsidRDefault="00FD44D0" w:rsidP="00FD44D0">
      <w:r w:rsidRPr="00B92374">
        <w:t>We expect to consult on draft regulatory arrangements – including licen</w:t>
      </w:r>
      <w:r>
        <w:t>ce</w:t>
      </w:r>
      <w:r w:rsidRPr="00B92374">
        <w:t xml:space="preserve"> type, technical </w:t>
      </w:r>
      <w:r w:rsidRPr="00BD4447">
        <w:t>conditions and pricing – for permanent licensing in early 2024.</w:t>
      </w:r>
    </w:p>
    <w:p w14:paraId="26A549C0" w14:textId="77777777" w:rsidR="002F3677" w:rsidRPr="00BD4447" w:rsidRDefault="002F3677" w:rsidP="002F3677">
      <w:r w:rsidRPr="00BD4447">
        <w:t>Assigned scientific licences will continue to be available to support trials in the intervening period.</w:t>
      </w:r>
    </w:p>
    <w:p w14:paraId="5AC06BAA" w14:textId="6EB15C46" w:rsidR="001D67A2" w:rsidRDefault="001D67A2" w:rsidP="00FD7FB0">
      <w:pPr>
        <w:pStyle w:val="Paragraph"/>
        <w:rPr>
          <w:color w:val="323232"/>
          <w:kern w:val="32"/>
          <w:sz w:val="53"/>
          <w:szCs w:val="32"/>
        </w:rPr>
      </w:pPr>
      <w:r>
        <w:br w:type="page"/>
      </w:r>
    </w:p>
    <w:p w14:paraId="1B4B771A" w14:textId="77777777" w:rsidR="00881939" w:rsidRDefault="001D67A2" w:rsidP="001D67A2">
      <w:pPr>
        <w:spacing w:after="0" w:line="240" w:lineRule="auto"/>
        <w:rPr>
          <w:b/>
          <w:bCs/>
        </w:rPr>
      </w:pPr>
      <w:r w:rsidRPr="00A23BBB">
        <w:rPr>
          <w:b/>
          <w:bCs/>
        </w:rPr>
        <w:lastRenderedPageBreak/>
        <w:t>F</w:t>
      </w:r>
      <w:r w:rsidRPr="00766C18">
        <w:t>i</w:t>
      </w:r>
      <w:r w:rsidRPr="00A23BBB">
        <w:rPr>
          <w:b/>
          <w:bCs/>
        </w:rPr>
        <w:t>gure 1</w:t>
      </w:r>
      <w:r>
        <w:rPr>
          <w:b/>
          <w:bCs/>
        </w:rPr>
        <w:t xml:space="preserve">: Exemption regime </w:t>
      </w:r>
    </w:p>
    <w:p w14:paraId="3BB2FE5C" w14:textId="77777777" w:rsidR="00881939" w:rsidRDefault="00881939" w:rsidP="001D67A2">
      <w:pPr>
        <w:spacing w:after="0" w:line="240" w:lineRule="auto"/>
        <w:rPr>
          <w:b/>
          <w:bCs/>
        </w:rPr>
      </w:pPr>
    </w:p>
    <w:p w14:paraId="49D368CC" w14:textId="423F474C" w:rsidR="001D67A2" w:rsidRDefault="001D67A2" w:rsidP="001D67A2">
      <w:pPr>
        <w:spacing w:after="0" w:line="240" w:lineRule="auto"/>
        <w:rPr>
          <w:b/>
          <w:bCs/>
        </w:rPr>
      </w:pPr>
      <w:r>
        <w:rPr>
          <w:b/>
          <w:bCs/>
        </w:rPr>
        <w:t>(</w:t>
      </w:r>
      <w:r w:rsidR="00881939">
        <w:rPr>
          <w:b/>
          <w:bCs/>
        </w:rPr>
        <w:t>Key</w:t>
      </w:r>
      <w:r>
        <w:rPr>
          <w:b/>
          <w:bCs/>
        </w:rPr>
        <w:t>: light grey = old instrument; light green = new instrument; purple</w:t>
      </w:r>
      <w:r w:rsidR="00881939">
        <w:rPr>
          <w:b/>
          <w:bCs/>
        </w:rPr>
        <w:t> </w:t>
      </w:r>
      <w:r>
        <w:rPr>
          <w:b/>
          <w:bCs/>
        </w:rPr>
        <w:t>=</w:t>
      </w:r>
      <w:r w:rsidR="00881939">
        <w:rPr>
          <w:b/>
          <w:bCs/>
        </w:rPr>
        <w:t> </w:t>
      </w:r>
      <w:r>
        <w:rPr>
          <w:b/>
          <w:bCs/>
        </w:rPr>
        <w:t>new</w:t>
      </w:r>
      <w:r w:rsidR="00881939">
        <w:rPr>
          <w:b/>
          <w:bCs/>
        </w:rPr>
        <w:t> </w:t>
      </w:r>
      <w:r>
        <w:rPr>
          <w:b/>
          <w:bCs/>
        </w:rPr>
        <w:t>framework; blue = information document)</w:t>
      </w:r>
    </w:p>
    <w:p w14:paraId="4E682D0E" w14:textId="77777777" w:rsidR="001D67A2" w:rsidRPr="00766C18" w:rsidRDefault="001D67A2" w:rsidP="001D67A2">
      <w:pPr>
        <w:spacing w:after="0" w:line="240" w:lineRule="auto"/>
        <w:rPr>
          <w:b/>
          <w:bCs/>
        </w:rPr>
      </w:pPr>
      <w:r w:rsidRPr="000E77D9">
        <w:rPr>
          <w:rFonts w:eastAsia="Calibri" w:cs="Arial"/>
          <w:noProof/>
          <w:sz w:val="22"/>
          <w:szCs w:val="22"/>
          <w:lang w:eastAsia="en-US"/>
        </w:rPr>
        <mc:AlternateContent>
          <mc:Choice Requires="wpg">
            <w:drawing>
              <wp:anchor distT="0" distB="0" distL="114300" distR="114300" simplePos="0" relativeHeight="251658244" behindDoc="0" locked="0" layoutInCell="1" allowOverlap="1" wp14:anchorId="77647593" wp14:editId="63FF7CEA">
                <wp:simplePos x="0" y="0"/>
                <wp:positionH relativeFrom="margin">
                  <wp:posOffset>54610</wp:posOffset>
                </wp:positionH>
                <wp:positionV relativeFrom="paragraph">
                  <wp:posOffset>136525</wp:posOffset>
                </wp:positionV>
                <wp:extent cx="4514850" cy="8509000"/>
                <wp:effectExtent l="0" t="0" r="19050" b="2540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14850" cy="8509000"/>
                          <a:chOff x="0" y="0"/>
                          <a:chExt cx="4715353" cy="8346091"/>
                        </a:xfrm>
                      </wpg:grpSpPr>
                      <wps:wsp>
                        <wps:cNvPr id="36" name="Straight Arrow Connector 36"/>
                        <wps:cNvCnPr/>
                        <wps:spPr>
                          <a:xfrm flipH="1">
                            <a:off x="1757361" y="7375782"/>
                            <a:ext cx="782695" cy="0"/>
                          </a:xfrm>
                          <a:prstGeom prst="straightConnector1">
                            <a:avLst/>
                          </a:prstGeom>
                          <a:noFill/>
                          <a:ln w="28575" cap="flat" cmpd="sng" algn="ctr">
                            <a:solidFill>
                              <a:srgbClr val="4D4D4F"/>
                            </a:solidFill>
                            <a:prstDash val="solid"/>
                            <a:miter lim="800000"/>
                            <a:tailEnd type="triangle"/>
                          </a:ln>
                          <a:effectLst/>
                        </wps:spPr>
                        <wps:bodyPr/>
                      </wps:wsp>
                      <wps:wsp>
                        <wps:cNvPr id="37" name="Connector: Elbow 37"/>
                        <wps:cNvCnPr/>
                        <wps:spPr>
                          <a:xfrm flipV="1">
                            <a:off x="2095920" y="6713221"/>
                            <a:ext cx="660518" cy="1"/>
                          </a:xfrm>
                          <a:prstGeom prst="bentConnector3">
                            <a:avLst>
                              <a:gd name="adj1" fmla="val 50000"/>
                            </a:avLst>
                          </a:prstGeom>
                          <a:noFill/>
                          <a:ln w="28575" cap="flat" cmpd="sng" algn="ctr">
                            <a:solidFill>
                              <a:srgbClr val="4D4D4F"/>
                            </a:solidFill>
                            <a:prstDash val="solid"/>
                            <a:miter lim="800000"/>
                            <a:tailEnd type="triangle"/>
                          </a:ln>
                          <a:effectLst/>
                        </wps:spPr>
                        <wps:bodyPr/>
                      </wps:wsp>
                      <wps:wsp>
                        <wps:cNvPr id="38" name="Connector: Elbow 38"/>
                        <wps:cNvCnPr/>
                        <wps:spPr>
                          <a:xfrm flipV="1">
                            <a:off x="2274125" y="5728624"/>
                            <a:ext cx="481965" cy="306705"/>
                          </a:xfrm>
                          <a:prstGeom prst="bentConnector3">
                            <a:avLst>
                              <a:gd name="adj1" fmla="val 54184"/>
                            </a:avLst>
                          </a:prstGeom>
                          <a:noFill/>
                          <a:ln w="28575" cap="flat" cmpd="sng" algn="ctr">
                            <a:solidFill>
                              <a:srgbClr val="4D4D4F"/>
                            </a:solidFill>
                            <a:prstDash val="solid"/>
                            <a:miter lim="800000"/>
                            <a:tailEnd type="triangle"/>
                          </a:ln>
                          <a:effectLst/>
                        </wps:spPr>
                        <wps:bodyPr/>
                      </wps:wsp>
                      <wps:wsp>
                        <wps:cNvPr id="39" name="Straight Arrow Connector 39"/>
                        <wps:cNvCnPr/>
                        <wps:spPr>
                          <a:xfrm>
                            <a:off x="1733798" y="4462086"/>
                            <a:ext cx="1010920" cy="0"/>
                          </a:xfrm>
                          <a:prstGeom prst="straightConnector1">
                            <a:avLst/>
                          </a:prstGeom>
                          <a:noFill/>
                          <a:ln w="28575" cap="flat" cmpd="sng" algn="ctr">
                            <a:solidFill>
                              <a:srgbClr val="4D4D4F"/>
                            </a:solidFill>
                            <a:prstDash val="solid"/>
                            <a:miter lim="800000"/>
                            <a:tailEnd type="triangle"/>
                          </a:ln>
                          <a:effectLst/>
                        </wps:spPr>
                        <wps:bodyPr/>
                      </wps:wsp>
                      <wps:wsp>
                        <wps:cNvPr id="40" name="Straight Arrow Connector 40"/>
                        <wps:cNvCnPr/>
                        <wps:spPr>
                          <a:xfrm>
                            <a:off x="1745673" y="3538609"/>
                            <a:ext cx="1010920" cy="0"/>
                          </a:xfrm>
                          <a:prstGeom prst="straightConnector1">
                            <a:avLst/>
                          </a:prstGeom>
                          <a:noFill/>
                          <a:ln w="28575" cap="flat" cmpd="sng" algn="ctr">
                            <a:solidFill>
                              <a:srgbClr val="4D4D4F"/>
                            </a:solidFill>
                            <a:prstDash val="solid"/>
                            <a:miter lim="800000"/>
                            <a:tailEnd type="triangle"/>
                          </a:ln>
                          <a:effectLst/>
                        </wps:spPr>
                        <wps:bodyPr/>
                      </wps:wsp>
                      <wps:wsp>
                        <wps:cNvPr id="41" name="Straight Arrow Connector 41"/>
                        <wps:cNvCnPr/>
                        <wps:spPr>
                          <a:xfrm>
                            <a:off x="1745673" y="687779"/>
                            <a:ext cx="1010920" cy="0"/>
                          </a:xfrm>
                          <a:prstGeom prst="straightConnector1">
                            <a:avLst/>
                          </a:prstGeom>
                          <a:noFill/>
                          <a:ln w="28575" cap="flat" cmpd="sng" algn="ctr">
                            <a:solidFill>
                              <a:srgbClr val="4D4D4F"/>
                            </a:solidFill>
                            <a:prstDash val="solid"/>
                            <a:miter lim="800000"/>
                            <a:tailEnd type="triangle"/>
                          </a:ln>
                          <a:effectLst/>
                        </wps:spPr>
                        <wps:bodyPr/>
                      </wps:wsp>
                      <wps:wsp>
                        <wps:cNvPr id="42" name="Text Box 2"/>
                        <wps:cNvSpPr txBox="1">
                          <a:spLocks noChangeArrowheads="1"/>
                        </wps:cNvSpPr>
                        <wps:spPr bwMode="auto">
                          <a:xfrm>
                            <a:off x="23751" y="298964"/>
                            <a:ext cx="2286000" cy="781300"/>
                          </a:xfrm>
                          <a:prstGeom prst="roundRect">
                            <a:avLst/>
                          </a:prstGeom>
                          <a:solidFill>
                            <a:srgbClr val="E9E9E9"/>
                          </a:solidFill>
                          <a:ln w="12700">
                            <a:solidFill>
                              <a:srgbClr val="4D4D4F"/>
                            </a:solidFill>
                            <a:miter lim="800000"/>
                            <a:headEnd/>
                            <a:tailEnd/>
                          </a:ln>
                        </wps:spPr>
                        <wps:txbx>
                          <w:txbxContent>
                            <w:p w14:paraId="4D83489B" w14:textId="77777777" w:rsidR="001D67A2" w:rsidRPr="00333AC8" w:rsidRDefault="001D67A2" w:rsidP="001D67A2">
                              <w:pPr>
                                <w:jc w:val="center"/>
                                <w:rPr>
                                  <w:rFonts w:cs="Arial"/>
                                  <w:sz w:val="17"/>
                                  <w:szCs w:val="17"/>
                                </w:rPr>
                              </w:pPr>
                              <w:r w:rsidRPr="00333AC8">
                                <w:rPr>
                                  <w:rFonts w:cs="Arial"/>
                                  <w:sz w:val="17"/>
                                  <w:szCs w:val="17"/>
                                </w:rPr>
                                <w:t>Radiocommunications (Australian Federal Police–Visiting Dignita</w:t>
                              </w:r>
                              <w:r w:rsidRPr="00333AC8">
                                <w:rPr>
                                  <w:rFonts w:cs="Arial"/>
                                  <w:sz w:val="17"/>
                                  <w:szCs w:val="17"/>
                                </w:rPr>
                                <w:softHyphen/>
                                <w:t>ry) Exemption Determination 2016/2017/2018/etc.</w:t>
                              </w:r>
                            </w:p>
                            <w:p w14:paraId="40854D75" w14:textId="77777777" w:rsidR="001D67A2" w:rsidRPr="00DF4C6A" w:rsidRDefault="001D67A2" w:rsidP="001D67A2">
                              <w:pPr>
                                <w:rPr>
                                  <w:rFonts w:cs="Arial"/>
                                  <w:sz w:val="18"/>
                                  <w:szCs w:val="18"/>
                                </w:rPr>
                              </w:pPr>
                            </w:p>
                          </w:txbxContent>
                        </wps:txbx>
                        <wps:bodyPr rot="0" vert="horz" wrap="square" lIns="91440" tIns="45720" rIns="91440" bIns="45720" anchor="t" anchorCtr="0">
                          <a:noAutofit/>
                        </wps:bodyPr>
                      </wps:wsp>
                      <wps:wsp>
                        <wps:cNvPr id="43" name="Text Box 43"/>
                        <wps:cNvSpPr txBox="1">
                          <a:spLocks noChangeArrowheads="1"/>
                        </wps:cNvSpPr>
                        <wps:spPr bwMode="auto">
                          <a:xfrm>
                            <a:off x="23751" y="5742609"/>
                            <a:ext cx="2286000" cy="616614"/>
                          </a:xfrm>
                          <a:prstGeom prst="roundRect">
                            <a:avLst/>
                          </a:prstGeom>
                          <a:solidFill>
                            <a:srgbClr val="E9E9E9"/>
                          </a:solidFill>
                          <a:ln w="12700">
                            <a:solidFill>
                              <a:srgbClr val="4D4D4F"/>
                            </a:solidFill>
                            <a:miter lim="800000"/>
                            <a:headEnd/>
                            <a:tailEnd/>
                          </a:ln>
                        </wps:spPr>
                        <wps:txbx>
                          <w:txbxContent>
                            <w:p w14:paraId="7BBC6173" w14:textId="77777777" w:rsidR="001D67A2" w:rsidRPr="00333AC8" w:rsidRDefault="001D67A2" w:rsidP="001D67A2">
                              <w:pPr>
                                <w:jc w:val="center"/>
                                <w:rPr>
                                  <w:rFonts w:cs="Arial"/>
                                  <w:sz w:val="17"/>
                                  <w:szCs w:val="17"/>
                                </w:rPr>
                              </w:pPr>
                              <w:r w:rsidRPr="00333AC8">
                                <w:rPr>
                                  <w:rFonts w:cs="Arial"/>
                                  <w:sz w:val="17"/>
                                  <w:szCs w:val="17"/>
                                </w:rPr>
                                <w:t>Radiocommunications (Police Forces–Disruption of Unmanned Aircraft) Exemption 2020</w:t>
                              </w:r>
                            </w:p>
                          </w:txbxContent>
                        </wps:txbx>
                        <wps:bodyPr rot="0" vert="horz" wrap="square" lIns="91440" tIns="45720" rIns="91440" bIns="45720" anchor="t" anchorCtr="0">
                          <a:noAutofit/>
                        </wps:bodyPr>
                      </wps:wsp>
                      <wps:wsp>
                        <wps:cNvPr id="44" name="Text Box 2"/>
                        <wps:cNvSpPr txBox="1">
                          <a:spLocks noChangeArrowheads="1"/>
                        </wps:cNvSpPr>
                        <wps:spPr bwMode="auto">
                          <a:xfrm>
                            <a:off x="29689" y="4903567"/>
                            <a:ext cx="2279015" cy="752475"/>
                          </a:xfrm>
                          <a:prstGeom prst="roundRect">
                            <a:avLst/>
                          </a:prstGeom>
                          <a:solidFill>
                            <a:srgbClr val="E9E9E9"/>
                          </a:solidFill>
                          <a:ln w="12700">
                            <a:solidFill>
                              <a:srgbClr val="4D4D4F"/>
                            </a:solidFill>
                            <a:miter lim="800000"/>
                            <a:headEnd/>
                            <a:tailEnd/>
                          </a:ln>
                        </wps:spPr>
                        <wps:txbx>
                          <w:txbxContent>
                            <w:p w14:paraId="0B300A0A" w14:textId="77777777" w:rsidR="001D67A2" w:rsidRPr="00333AC8" w:rsidRDefault="001D67A2" w:rsidP="001D67A2">
                              <w:pPr>
                                <w:jc w:val="center"/>
                                <w:rPr>
                                  <w:rFonts w:cs="Arial"/>
                                  <w:sz w:val="17"/>
                                  <w:szCs w:val="17"/>
                                </w:rPr>
                              </w:pPr>
                              <w:r w:rsidRPr="00333AC8">
                                <w:rPr>
                                  <w:rFonts w:cs="Arial"/>
                                  <w:sz w:val="17"/>
                                  <w:szCs w:val="17"/>
                                </w:rPr>
                                <w:t xml:space="preserve">Radiocommunications (Unmanned Aircraft and Unmanned Aircraft Systems) Exemption </w:t>
                              </w:r>
                              <w:r>
                                <w:rPr>
                                  <w:rFonts w:cs="Arial"/>
                                  <w:sz w:val="17"/>
                                  <w:szCs w:val="17"/>
                                </w:rPr>
                                <w:br/>
                              </w:r>
                              <w:r w:rsidRPr="00333AC8">
                                <w:rPr>
                                  <w:rFonts w:cs="Arial"/>
                                  <w:sz w:val="17"/>
                                  <w:szCs w:val="17"/>
                                </w:rPr>
                                <w:t>Determination 2019</w:t>
                              </w:r>
                            </w:p>
                          </w:txbxContent>
                        </wps:txbx>
                        <wps:bodyPr rot="0" vert="horz" wrap="square" lIns="91440" tIns="45720" rIns="91440" bIns="45720" anchor="t" anchorCtr="0">
                          <a:noAutofit/>
                        </wps:bodyPr>
                      </wps:wsp>
                      <wps:wsp>
                        <wps:cNvPr id="45" name="Text Box 2"/>
                        <wps:cNvSpPr txBox="1">
                          <a:spLocks noChangeArrowheads="1"/>
                        </wps:cNvSpPr>
                        <wps:spPr bwMode="auto">
                          <a:xfrm>
                            <a:off x="29689" y="7718961"/>
                            <a:ext cx="2286000" cy="627130"/>
                          </a:xfrm>
                          <a:prstGeom prst="roundRect">
                            <a:avLst/>
                          </a:prstGeom>
                          <a:solidFill>
                            <a:srgbClr val="E9E9E9"/>
                          </a:solidFill>
                          <a:ln w="12700">
                            <a:solidFill>
                              <a:srgbClr val="4D4D4F"/>
                            </a:solidFill>
                            <a:miter lim="800000"/>
                            <a:headEnd/>
                            <a:tailEnd/>
                          </a:ln>
                        </wps:spPr>
                        <wps:txbx>
                          <w:txbxContent>
                            <w:p w14:paraId="3F729587" w14:textId="77777777" w:rsidR="001D67A2" w:rsidRPr="00333AC8" w:rsidRDefault="001D67A2" w:rsidP="001D67A2">
                              <w:pPr>
                                <w:jc w:val="center"/>
                                <w:rPr>
                                  <w:rFonts w:cs="Arial"/>
                                  <w:sz w:val="17"/>
                                  <w:szCs w:val="17"/>
                                </w:rPr>
                              </w:pPr>
                              <w:r w:rsidRPr="00333AC8">
                                <w:rPr>
                                  <w:rFonts w:cs="Arial"/>
                                  <w:sz w:val="17"/>
                                  <w:szCs w:val="17"/>
                                </w:rPr>
                                <w:t>Radiocommunications (Prohibited Device) (RNSS Jamming Device) Exemption Determination 2014</w:t>
                              </w:r>
                            </w:p>
                          </w:txbxContent>
                        </wps:txbx>
                        <wps:bodyPr rot="0" vert="horz" wrap="square" lIns="91440" tIns="45720" rIns="91440" bIns="45720" anchor="t" anchorCtr="0">
                          <a:noAutofit/>
                        </wps:bodyPr>
                      </wps:wsp>
                      <wps:wsp>
                        <wps:cNvPr id="46" name="Text Box 2"/>
                        <wps:cNvSpPr txBox="1">
                          <a:spLocks noChangeArrowheads="1"/>
                        </wps:cNvSpPr>
                        <wps:spPr bwMode="auto">
                          <a:xfrm>
                            <a:off x="23749" y="7051989"/>
                            <a:ext cx="2286000" cy="630302"/>
                          </a:xfrm>
                          <a:prstGeom prst="roundRect">
                            <a:avLst/>
                          </a:prstGeom>
                          <a:solidFill>
                            <a:srgbClr val="E9E9E9"/>
                          </a:solidFill>
                          <a:ln w="12700">
                            <a:solidFill>
                              <a:srgbClr val="4D4D4F"/>
                            </a:solidFill>
                            <a:miter lim="800000"/>
                            <a:headEnd/>
                            <a:tailEnd/>
                          </a:ln>
                        </wps:spPr>
                        <wps:txbx>
                          <w:txbxContent>
                            <w:p w14:paraId="723FDAFD" w14:textId="77777777" w:rsidR="001D67A2" w:rsidRPr="00DF4C6A" w:rsidRDefault="001D67A2" w:rsidP="001D67A2">
                              <w:pPr>
                                <w:jc w:val="center"/>
                                <w:rPr>
                                  <w:rFonts w:cs="Arial"/>
                                  <w:sz w:val="18"/>
                                  <w:szCs w:val="18"/>
                                </w:rPr>
                              </w:pPr>
                              <w:r w:rsidRPr="00333AC8">
                                <w:rPr>
                                  <w:rFonts w:cs="Arial"/>
                                  <w:sz w:val="17"/>
                                  <w:szCs w:val="17"/>
                                </w:rPr>
                                <w:t>Radiocommunications (PMTS Jamming Devices–Visiting Forces and Suppliers Exemption Determination 2011</w:t>
                              </w:r>
                            </w:p>
                          </w:txbxContent>
                        </wps:txbx>
                        <wps:bodyPr rot="0" vert="horz" wrap="square" lIns="91440" tIns="45720" rIns="91440" bIns="45720" anchor="t" anchorCtr="0">
                          <a:noAutofit/>
                        </wps:bodyPr>
                      </wps:wsp>
                      <wps:wsp>
                        <wps:cNvPr id="47" name="Text Box 2"/>
                        <wps:cNvSpPr txBox="1">
                          <a:spLocks noChangeArrowheads="1"/>
                        </wps:cNvSpPr>
                        <wps:spPr bwMode="auto">
                          <a:xfrm>
                            <a:off x="29689" y="6419771"/>
                            <a:ext cx="2279015" cy="587495"/>
                          </a:xfrm>
                          <a:prstGeom prst="roundRect">
                            <a:avLst/>
                          </a:prstGeom>
                          <a:solidFill>
                            <a:srgbClr val="E9E9E9"/>
                          </a:solidFill>
                          <a:ln w="12700">
                            <a:solidFill>
                              <a:srgbClr val="4D4D4F"/>
                            </a:solidFill>
                            <a:miter lim="800000"/>
                            <a:headEnd/>
                            <a:tailEnd/>
                          </a:ln>
                        </wps:spPr>
                        <wps:txbx>
                          <w:txbxContent>
                            <w:p w14:paraId="065B1926" w14:textId="77777777" w:rsidR="001D67A2" w:rsidRPr="00012B92" w:rsidRDefault="001D67A2" w:rsidP="001D67A2">
                              <w:pPr>
                                <w:jc w:val="center"/>
                                <w:rPr>
                                  <w:rFonts w:cs="Arial"/>
                                  <w:sz w:val="18"/>
                                  <w:szCs w:val="18"/>
                                </w:rPr>
                              </w:pPr>
                              <w:r w:rsidRPr="00333AC8">
                                <w:rPr>
                                  <w:rFonts w:cs="Arial"/>
                                  <w:sz w:val="17"/>
                                  <w:szCs w:val="17"/>
                                </w:rPr>
                                <w:t>Radiocommunications (Public Mobile Telecommunications Surveillance Device) Exemption Determination 2011</w:t>
                              </w:r>
                            </w:p>
                          </w:txbxContent>
                        </wps:txbx>
                        <wps:bodyPr rot="0" vert="horz" wrap="square" lIns="91440" tIns="45720" rIns="91440" bIns="45720" anchor="t" anchorCtr="0">
                          <a:noAutofit/>
                        </wps:bodyPr>
                      </wps:wsp>
                      <wps:wsp>
                        <wps:cNvPr id="48" name="Text Box 2"/>
                        <wps:cNvSpPr txBox="1">
                          <a:spLocks noChangeArrowheads="1"/>
                        </wps:cNvSpPr>
                        <wps:spPr bwMode="auto">
                          <a:xfrm>
                            <a:off x="0" y="4011814"/>
                            <a:ext cx="2315210" cy="795020"/>
                          </a:xfrm>
                          <a:prstGeom prst="roundRect">
                            <a:avLst/>
                          </a:prstGeom>
                          <a:solidFill>
                            <a:srgbClr val="E9E9E9"/>
                          </a:solidFill>
                          <a:ln w="12700">
                            <a:solidFill>
                              <a:srgbClr val="4D4D4F"/>
                            </a:solidFill>
                            <a:miter lim="800000"/>
                            <a:headEnd/>
                            <a:tailEnd/>
                          </a:ln>
                        </wps:spPr>
                        <wps:txbx>
                          <w:txbxContent>
                            <w:p w14:paraId="132CFD68" w14:textId="77777777" w:rsidR="001D67A2" w:rsidRPr="00333AC8" w:rsidRDefault="001D67A2" w:rsidP="001D67A2">
                              <w:pPr>
                                <w:shd w:val="clear" w:color="auto" w:fill="E9E9E9"/>
                                <w:jc w:val="center"/>
                                <w:rPr>
                                  <w:rFonts w:cs="Arial"/>
                                  <w:sz w:val="17"/>
                                  <w:szCs w:val="17"/>
                                </w:rPr>
                              </w:pPr>
                              <w:r w:rsidRPr="00333AC8">
                                <w:rPr>
                                  <w:rFonts w:cs="Arial"/>
                                  <w:sz w:val="17"/>
                                  <w:szCs w:val="17"/>
                                </w:rPr>
                                <w:t xml:space="preserve">Radiocommunications Advisory Guidelines (Use of Electronic Counter Measures for Bomb Disposal </w:t>
                              </w:r>
                              <w:r>
                                <w:rPr>
                                  <w:rFonts w:cs="Arial"/>
                                  <w:sz w:val="17"/>
                                  <w:szCs w:val="17"/>
                                </w:rPr>
                                <w:br/>
                              </w:r>
                              <w:r w:rsidRPr="00333AC8">
                                <w:rPr>
                                  <w:rFonts w:cs="Arial"/>
                                  <w:sz w:val="17"/>
                                  <w:szCs w:val="17"/>
                                </w:rPr>
                                <w:t>Activities) 2010</w:t>
                              </w:r>
                            </w:p>
                          </w:txbxContent>
                        </wps:txbx>
                        <wps:bodyPr rot="0" vert="horz" wrap="square" lIns="91440" tIns="45720" rIns="91440" bIns="45720" anchor="t" anchorCtr="0">
                          <a:noAutofit/>
                        </wps:bodyPr>
                      </wps:wsp>
                      <wps:wsp>
                        <wps:cNvPr id="49" name="Text Box 2"/>
                        <wps:cNvSpPr txBox="1">
                          <a:spLocks noChangeArrowheads="1"/>
                        </wps:cNvSpPr>
                        <wps:spPr bwMode="auto">
                          <a:xfrm>
                            <a:off x="2766951" y="346159"/>
                            <a:ext cx="1942465" cy="812328"/>
                          </a:xfrm>
                          <a:prstGeom prst="roundRect">
                            <a:avLst/>
                          </a:prstGeom>
                          <a:solidFill>
                            <a:srgbClr val="B9E2E1"/>
                          </a:solidFill>
                          <a:ln w="12700">
                            <a:solidFill>
                              <a:srgbClr val="4D4D4F"/>
                            </a:solidFill>
                            <a:miter lim="800000"/>
                            <a:headEnd/>
                            <a:tailEnd/>
                          </a:ln>
                        </wps:spPr>
                        <wps:txbx>
                          <w:txbxContent>
                            <w:p w14:paraId="314E88A1" w14:textId="0CDB4515" w:rsidR="001D67A2" w:rsidRPr="00DA24FF" w:rsidRDefault="001D67A2" w:rsidP="001D67A2">
                              <w:pPr>
                                <w:jc w:val="center"/>
                                <w:rPr>
                                  <w:rFonts w:cs="Arial"/>
                                  <w:sz w:val="18"/>
                                  <w:szCs w:val="18"/>
                                </w:rPr>
                              </w:pPr>
                              <w:r w:rsidRPr="00CF4A93">
                                <w:rPr>
                                  <w:rFonts w:cs="Arial"/>
                                  <w:sz w:val="18"/>
                                  <w:szCs w:val="18"/>
                                </w:rPr>
                                <w:t>​</w:t>
                              </w:r>
                              <w:r w:rsidRPr="00DA24FF">
                                <w:rPr>
                                  <w:rFonts w:cs="Arial"/>
                                  <w:sz w:val="18"/>
                                  <w:szCs w:val="18"/>
                                </w:rPr>
                                <w:t>Radiocommunications (Exemption–Visiting Dignitaries) Determination 202</w:t>
                              </w:r>
                              <w:r w:rsidR="007B3A72">
                                <w:rPr>
                                  <w:rFonts w:cs="Arial"/>
                                  <w:sz w:val="18"/>
                                  <w:szCs w:val="18"/>
                                </w:rPr>
                                <w:t>3</w:t>
                              </w:r>
                            </w:p>
                          </w:txbxContent>
                        </wps:txbx>
                        <wps:bodyPr rot="0" vert="horz" wrap="square" lIns="91440" tIns="45720" rIns="91440" bIns="45720" anchor="t" anchorCtr="0">
                          <a:noAutofit/>
                        </wps:bodyPr>
                      </wps:wsp>
                      <wps:wsp>
                        <wps:cNvPr id="50" name="Text Box 2"/>
                        <wps:cNvSpPr txBox="1">
                          <a:spLocks noChangeArrowheads="1"/>
                        </wps:cNvSpPr>
                        <wps:spPr bwMode="auto">
                          <a:xfrm>
                            <a:off x="2766951" y="1743959"/>
                            <a:ext cx="1943100" cy="847066"/>
                          </a:xfrm>
                          <a:prstGeom prst="roundRect">
                            <a:avLst/>
                          </a:prstGeom>
                          <a:solidFill>
                            <a:srgbClr val="B9E2E1"/>
                          </a:solidFill>
                          <a:ln w="12700">
                            <a:solidFill>
                              <a:srgbClr val="4D4D4F"/>
                            </a:solidFill>
                            <a:miter lim="800000"/>
                            <a:headEnd/>
                            <a:tailEnd/>
                          </a:ln>
                        </wps:spPr>
                        <wps:txbx>
                          <w:txbxContent>
                            <w:p w14:paraId="1CF18AFC" w14:textId="77777777" w:rsidR="001D67A2" w:rsidRPr="00CF4A93" w:rsidRDefault="001D67A2" w:rsidP="001D67A2">
                              <w:pPr>
                                <w:jc w:val="center"/>
                                <w:rPr>
                                  <w:rFonts w:cs="Arial"/>
                                  <w:sz w:val="18"/>
                                  <w:szCs w:val="18"/>
                                  <w:lang w:val="en-US"/>
                                </w:rPr>
                              </w:pPr>
                              <w:r w:rsidRPr="00DA24FF">
                                <w:rPr>
                                  <w:rFonts w:cs="Arial"/>
                                  <w:sz w:val="18"/>
                                  <w:szCs w:val="18"/>
                                </w:rPr>
                                <w:t>R</w:t>
                              </w:r>
                              <w:r w:rsidRPr="00CF4A93">
                                <w:rPr>
                                  <w:rFonts w:cs="Arial"/>
                                  <w:sz w:val="18"/>
                                  <w:szCs w:val="18"/>
                                </w:rPr>
                                <w:t>adiocommunications (Exemption–Corrective Services NSW) Determination 2021</w:t>
                              </w:r>
                              <w:r w:rsidRPr="00CF4A93">
                                <w:rPr>
                                  <w:rFonts w:cs="Arial"/>
                                  <w:sz w:val="18"/>
                                  <w:szCs w:val="18"/>
                                  <w:lang w:val="en-US"/>
                                </w:rPr>
                                <w:t>​</w:t>
                              </w:r>
                            </w:p>
                            <w:p w14:paraId="796DA442" w14:textId="77777777" w:rsidR="001D67A2" w:rsidRPr="00C0294A" w:rsidRDefault="001D67A2" w:rsidP="001D67A2">
                              <w:pPr>
                                <w:rPr>
                                  <w:rFonts w:cs="Arial"/>
                                  <w:szCs w:val="20"/>
                                </w:rPr>
                              </w:pPr>
                            </w:p>
                          </w:txbxContent>
                        </wps:txbx>
                        <wps:bodyPr rot="0" vert="horz" wrap="square" lIns="91440" tIns="45720" rIns="91440" bIns="45720" anchor="t" anchorCtr="0">
                          <a:noAutofit/>
                        </wps:bodyPr>
                      </wps:wsp>
                      <wps:wsp>
                        <wps:cNvPr id="51" name="Text Box 2"/>
                        <wps:cNvSpPr txBox="1">
                          <a:spLocks noChangeArrowheads="1"/>
                        </wps:cNvSpPr>
                        <wps:spPr bwMode="auto">
                          <a:xfrm>
                            <a:off x="2772888" y="3236681"/>
                            <a:ext cx="1942465" cy="775074"/>
                          </a:xfrm>
                          <a:prstGeom prst="roundRect">
                            <a:avLst/>
                          </a:prstGeom>
                          <a:solidFill>
                            <a:srgbClr val="B9E2E1"/>
                          </a:solidFill>
                          <a:ln w="12700">
                            <a:solidFill>
                              <a:srgbClr val="4D4D4F"/>
                            </a:solidFill>
                            <a:miter lim="800000"/>
                            <a:headEnd/>
                            <a:tailEnd/>
                          </a:ln>
                        </wps:spPr>
                        <wps:txbx>
                          <w:txbxContent>
                            <w:p w14:paraId="7D972C2E" w14:textId="3F67DC61" w:rsidR="001D67A2" w:rsidRPr="00DA24FF" w:rsidRDefault="001D67A2" w:rsidP="001D67A2">
                              <w:pPr>
                                <w:jc w:val="center"/>
                                <w:rPr>
                                  <w:rFonts w:cs="Arial"/>
                                  <w:sz w:val="18"/>
                                  <w:szCs w:val="18"/>
                                </w:rPr>
                              </w:pPr>
                              <w:r w:rsidRPr="00DA24FF">
                                <w:rPr>
                                  <w:rFonts w:cs="Arial"/>
                                  <w:sz w:val="18"/>
                                  <w:szCs w:val="18"/>
                                </w:rPr>
                                <w:t>Radiocommunications (Exemption–</w:t>
                              </w:r>
                              <w:r>
                                <w:rPr>
                                  <w:rFonts w:cs="Arial"/>
                                  <w:sz w:val="18"/>
                                  <w:szCs w:val="18"/>
                                </w:rPr>
                                <w:t xml:space="preserve">Bomb Disposal </w:t>
                              </w:r>
                              <w:r w:rsidRPr="00DA24FF">
                                <w:rPr>
                                  <w:rFonts w:cs="Arial"/>
                                  <w:sz w:val="18"/>
                                  <w:szCs w:val="18"/>
                                </w:rPr>
                                <w:t>Electronic Counter Measures) Determination 202</w:t>
                              </w:r>
                              <w:r w:rsidR="007B3A72">
                                <w:rPr>
                                  <w:rFonts w:cs="Arial"/>
                                  <w:sz w:val="18"/>
                                  <w:szCs w:val="18"/>
                                </w:rPr>
                                <w:t>3</w:t>
                              </w:r>
                              <w:r w:rsidRPr="00DA24FF">
                                <w:rPr>
                                  <w:rFonts w:cs="Arial"/>
                                  <w:sz w:val="18"/>
                                  <w:szCs w:val="18"/>
                                </w:rPr>
                                <w:t>​</w:t>
                              </w:r>
                            </w:p>
                          </w:txbxContent>
                        </wps:txbx>
                        <wps:bodyPr rot="0" vert="horz" wrap="square" lIns="91440" tIns="45720" rIns="91440" bIns="45720" anchor="t" anchorCtr="0">
                          <a:noAutofit/>
                        </wps:bodyPr>
                      </wps:wsp>
                      <wps:wsp>
                        <wps:cNvPr id="52" name="Text Box 2"/>
                        <wps:cNvSpPr txBox="1">
                          <a:spLocks noChangeArrowheads="1"/>
                        </wps:cNvSpPr>
                        <wps:spPr bwMode="auto">
                          <a:xfrm>
                            <a:off x="2766812" y="5251782"/>
                            <a:ext cx="1936750" cy="914503"/>
                          </a:xfrm>
                          <a:prstGeom prst="roundRect">
                            <a:avLst/>
                          </a:prstGeom>
                          <a:solidFill>
                            <a:srgbClr val="B9E2E1"/>
                          </a:solidFill>
                          <a:ln w="12700">
                            <a:solidFill>
                              <a:srgbClr val="4D4D4F"/>
                            </a:solidFill>
                            <a:miter lim="800000"/>
                            <a:headEnd/>
                            <a:tailEnd/>
                          </a:ln>
                        </wps:spPr>
                        <wps:txbx>
                          <w:txbxContent>
                            <w:p w14:paraId="7160B7E3" w14:textId="77777777" w:rsidR="001D67A2" w:rsidRPr="00DA24FF" w:rsidRDefault="001D67A2" w:rsidP="001D67A2">
                              <w:pPr>
                                <w:jc w:val="center"/>
                                <w:rPr>
                                  <w:rFonts w:cs="Arial"/>
                                  <w:sz w:val="18"/>
                                  <w:szCs w:val="18"/>
                                </w:rPr>
                              </w:pPr>
                              <w:r w:rsidRPr="00F35E9F">
                                <w:rPr>
                                  <w:rFonts w:cs="Arial"/>
                                  <w:sz w:val="18"/>
                                  <w:szCs w:val="18"/>
                                </w:rPr>
                                <w:t>Radiocommunications (Exemption–</w:t>
                              </w:r>
                              <w:r>
                                <w:rPr>
                                  <w:rFonts w:cs="Arial"/>
                                  <w:sz w:val="18"/>
                                  <w:szCs w:val="18"/>
                                </w:rPr>
                                <w:t>Remotely Piloted Aircraft Disruption</w:t>
                              </w:r>
                              <w:r w:rsidRPr="00F35E9F">
                                <w:rPr>
                                  <w:rFonts w:cs="Arial"/>
                                  <w:sz w:val="18"/>
                                  <w:szCs w:val="18"/>
                                </w:rPr>
                                <w:t>) Determination 2022</w:t>
                              </w:r>
                            </w:p>
                          </w:txbxContent>
                        </wps:txbx>
                        <wps:bodyPr rot="0" vert="horz" wrap="square" lIns="91440" tIns="45720" rIns="91440" bIns="45720" anchor="t" anchorCtr="0">
                          <a:noAutofit/>
                        </wps:bodyPr>
                      </wps:wsp>
                      <wps:wsp>
                        <wps:cNvPr id="53" name="Text Box 2"/>
                        <wps:cNvSpPr txBox="1">
                          <a:spLocks noChangeArrowheads="1"/>
                        </wps:cNvSpPr>
                        <wps:spPr bwMode="auto">
                          <a:xfrm>
                            <a:off x="2785366" y="6556381"/>
                            <a:ext cx="1924050" cy="292100"/>
                          </a:xfrm>
                          <a:prstGeom prst="roundRect">
                            <a:avLst/>
                          </a:prstGeom>
                          <a:solidFill>
                            <a:sysClr val="window" lastClr="FFFFFF"/>
                          </a:solidFill>
                          <a:ln w="12700">
                            <a:solidFill>
                              <a:srgbClr val="4D4D4F"/>
                            </a:solidFill>
                            <a:miter lim="800000"/>
                            <a:headEnd/>
                            <a:tailEnd/>
                          </a:ln>
                        </wps:spPr>
                        <wps:txbx>
                          <w:txbxContent>
                            <w:p w14:paraId="6BB52B3E" w14:textId="77777777" w:rsidR="001D67A2" w:rsidRPr="00D92FBE" w:rsidRDefault="001D67A2" w:rsidP="001D67A2">
                              <w:pPr>
                                <w:jc w:val="center"/>
                                <w:rPr>
                                  <w:rFonts w:cs="Arial"/>
                                  <w:sz w:val="18"/>
                                  <w:szCs w:val="18"/>
                                </w:rPr>
                              </w:pPr>
                              <w:r>
                                <w:rPr>
                                  <w:rFonts w:cs="Arial"/>
                                  <w:sz w:val="18"/>
                                  <w:szCs w:val="18"/>
                                </w:rPr>
                                <w:t xml:space="preserve">Allowed to sunset </w:t>
                              </w:r>
                            </w:p>
                          </w:txbxContent>
                        </wps:txbx>
                        <wps:bodyPr rot="0" vert="horz" wrap="square" lIns="91440" tIns="45720" rIns="91440" bIns="45720" anchor="t" anchorCtr="0">
                          <a:noAutofit/>
                        </wps:bodyPr>
                      </wps:wsp>
                      <wps:wsp>
                        <wps:cNvPr id="54" name="Text Box 2"/>
                        <wps:cNvSpPr txBox="1">
                          <a:spLocks noChangeArrowheads="1"/>
                        </wps:cNvSpPr>
                        <wps:spPr bwMode="auto">
                          <a:xfrm>
                            <a:off x="23751" y="0"/>
                            <a:ext cx="2279650" cy="282957"/>
                          </a:xfrm>
                          <a:prstGeom prst="roundRect">
                            <a:avLst/>
                          </a:prstGeom>
                          <a:solidFill>
                            <a:srgbClr val="4D4D4F"/>
                          </a:solidFill>
                          <a:ln w="9525">
                            <a:noFill/>
                            <a:miter lim="800000"/>
                            <a:headEnd/>
                            <a:tailEnd/>
                          </a:ln>
                        </wps:spPr>
                        <wps:txbx>
                          <w:txbxContent>
                            <w:p w14:paraId="242DA515" w14:textId="77777777" w:rsidR="001D67A2" w:rsidRPr="005652C5" w:rsidRDefault="001D67A2" w:rsidP="001D67A2">
                              <w:pPr>
                                <w:jc w:val="center"/>
                                <w:rPr>
                                  <w:rFonts w:cs="Arial"/>
                                  <w:b/>
                                  <w:bCs/>
                                  <w:color w:val="FFFFFF"/>
                                  <w:szCs w:val="20"/>
                                </w:rPr>
                              </w:pPr>
                              <w:r w:rsidRPr="005652C5">
                                <w:rPr>
                                  <w:rFonts w:cs="Arial"/>
                                  <w:b/>
                                  <w:bCs/>
                                  <w:color w:val="FFFFFF"/>
                                  <w:szCs w:val="20"/>
                                </w:rPr>
                                <w:t>T</w:t>
                              </w:r>
                              <w:r>
                                <w:rPr>
                                  <w:rFonts w:cs="Arial"/>
                                  <w:b/>
                                  <w:bCs/>
                                  <w:color w:val="FFFFFF"/>
                                  <w:szCs w:val="20"/>
                                </w:rPr>
                                <w:t>hen</w:t>
                              </w:r>
                              <w:r w:rsidRPr="005652C5">
                                <w:rPr>
                                  <w:rFonts w:cs="Arial"/>
                                  <w:b/>
                                  <w:bCs/>
                                  <w:color w:val="FFFFFF"/>
                                  <w:sz w:val="24"/>
                                </w:rPr>
                                <w:t xml:space="preserve"> </w:t>
                              </w:r>
                              <w:r w:rsidRPr="005652C5">
                                <w:rPr>
                                  <w:rFonts w:cs="Arial"/>
                                  <w:b/>
                                  <w:bCs/>
                                  <w:color w:val="FFFFFF"/>
                                  <w:szCs w:val="20"/>
                                </w:rPr>
                                <w:t>(May 2020)</w:t>
                              </w:r>
                            </w:p>
                          </w:txbxContent>
                        </wps:txbx>
                        <wps:bodyPr rot="0" vert="horz" wrap="square" lIns="91440" tIns="45720" rIns="91440" bIns="45720" anchor="t" anchorCtr="0">
                          <a:noAutofit/>
                        </wps:bodyPr>
                      </wps:wsp>
                      <wps:wsp>
                        <wps:cNvPr id="55" name="Text Box 2"/>
                        <wps:cNvSpPr txBox="1">
                          <a:spLocks noChangeArrowheads="1"/>
                        </wps:cNvSpPr>
                        <wps:spPr bwMode="auto">
                          <a:xfrm>
                            <a:off x="2766950" y="0"/>
                            <a:ext cx="1942465" cy="282961"/>
                          </a:xfrm>
                          <a:prstGeom prst="roundRect">
                            <a:avLst/>
                          </a:prstGeom>
                          <a:solidFill>
                            <a:srgbClr val="4D4D4F"/>
                          </a:solidFill>
                          <a:ln w="9525">
                            <a:noFill/>
                            <a:miter lim="800000"/>
                            <a:headEnd/>
                            <a:tailEnd/>
                          </a:ln>
                        </wps:spPr>
                        <wps:txbx>
                          <w:txbxContent>
                            <w:p w14:paraId="0070D6D2" w14:textId="77777777" w:rsidR="001D67A2" w:rsidRPr="005652C5" w:rsidRDefault="001D67A2" w:rsidP="001D67A2">
                              <w:pPr>
                                <w:jc w:val="center"/>
                                <w:rPr>
                                  <w:rFonts w:cs="Arial"/>
                                  <w:b/>
                                  <w:bCs/>
                                  <w:color w:val="FFFFFF"/>
                                  <w:szCs w:val="20"/>
                                </w:rPr>
                              </w:pPr>
                              <w:r w:rsidRPr="005652C5">
                                <w:rPr>
                                  <w:rFonts w:cs="Arial"/>
                                  <w:b/>
                                  <w:bCs/>
                                  <w:color w:val="FFFFFF"/>
                                  <w:szCs w:val="20"/>
                                </w:rPr>
                                <w:t>N</w:t>
                              </w:r>
                              <w:r>
                                <w:rPr>
                                  <w:rFonts w:cs="Arial"/>
                                  <w:b/>
                                  <w:bCs/>
                                  <w:color w:val="FFFFFF"/>
                                  <w:szCs w:val="20"/>
                                </w:rPr>
                                <w:t>ow</w:t>
                              </w:r>
                              <w:r w:rsidRPr="005652C5">
                                <w:rPr>
                                  <w:rFonts w:cs="Arial"/>
                                  <w:b/>
                                  <w:bCs/>
                                  <w:color w:val="FFFFFF"/>
                                  <w:szCs w:val="20"/>
                                </w:rPr>
                                <w:t xml:space="preserve"> – Section 27 regime</w:t>
                              </w:r>
                            </w:p>
                          </w:txbxContent>
                        </wps:txbx>
                        <wps:bodyPr rot="0" vert="horz" wrap="square" lIns="91440" tIns="45720" rIns="91440" bIns="45720" anchor="t" anchorCtr="0">
                          <a:noAutofit/>
                        </wps:bodyPr>
                      </wps:wsp>
                      <wps:wsp>
                        <wps:cNvPr id="56" name="Connector: Elbow 56"/>
                        <wps:cNvCnPr/>
                        <wps:spPr>
                          <a:xfrm>
                            <a:off x="2274125" y="1717221"/>
                            <a:ext cx="447040" cy="427990"/>
                          </a:xfrm>
                          <a:prstGeom prst="bentConnector3">
                            <a:avLst>
                              <a:gd name="adj1" fmla="val 47910"/>
                            </a:avLst>
                          </a:prstGeom>
                          <a:noFill/>
                          <a:ln w="28575" cap="flat" cmpd="sng" algn="ctr">
                            <a:solidFill>
                              <a:srgbClr val="4D4D4F"/>
                            </a:solidFill>
                            <a:prstDash val="solid"/>
                            <a:miter lim="800000"/>
                            <a:tailEnd type="triangle"/>
                          </a:ln>
                          <a:effectLst/>
                        </wps:spPr>
                        <wps:bodyPr/>
                      </wps:wsp>
                      <wps:wsp>
                        <wps:cNvPr id="57" name="Text Box 2"/>
                        <wps:cNvSpPr txBox="1">
                          <a:spLocks noChangeArrowheads="1"/>
                        </wps:cNvSpPr>
                        <wps:spPr bwMode="auto">
                          <a:xfrm>
                            <a:off x="2763607" y="4110761"/>
                            <a:ext cx="1936115" cy="959178"/>
                          </a:xfrm>
                          <a:prstGeom prst="roundRect">
                            <a:avLst/>
                          </a:prstGeom>
                          <a:solidFill>
                            <a:srgbClr val="39457C"/>
                          </a:solidFill>
                          <a:ln w="12700">
                            <a:solidFill>
                              <a:srgbClr val="4D4D4F"/>
                            </a:solidFill>
                            <a:miter lim="800000"/>
                            <a:headEnd/>
                            <a:tailEnd/>
                          </a:ln>
                        </wps:spPr>
                        <wps:txbx>
                          <w:txbxContent>
                            <w:p w14:paraId="57FA43B6" w14:textId="77777777" w:rsidR="001D67A2" w:rsidRPr="000E77D9" w:rsidRDefault="001D67A2" w:rsidP="001D67A2">
                              <w:pPr>
                                <w:jc w:val="center"/>
                                <w:rPr>
                                  <w:rFonts w:cs="Arial"/>
                                  <w:color w:val="FFFFFF"/>
                                  <w:sz w:val="18"/>
                                  <w:szCs w:val="18"/>
                                </w:rPr>
                              </w:pPr>
                              <w:r w:rsidRPr="000E77D9">
                                <w:rPr>
                                  <w:rFonts w:cs="Arial"/>
                                  <w:color w:val="FFFFFF"/>
                                  <w:sz w:val="18"/>
                                  <w:szCs w:val="18"/>
                                </w:rPr>
                                <w:t xml:space="preserve">Use of banned equipment under the </w:t>
                              </w:r>
                              <w:r w:rsidRPr="00FE1EEC">
                                <w:rPr>
                                  <w:rFonts w:cs="Arial"/>
                                  <w:i/>
                                  <w:iCs/>
                                  <w:color w:val="FFFFFF"/>
                                  <w:sz w:val="18"/>
                                  <w:szCs w:val="18"/>
                                </w:rPr>
                                <w:t>Radiocommunications Act 1992</w:t>
                              </w:r>
                              <w:r w:rsidRPr="000E77D9">
                                <w:rPr>
                                  <w:rFonts w:cs="Arial"/>
                                  <w:color w:val="FFFFFF"/>
                                  <w:sz w:val="18"/>
                                  <w:szCs w:val="18"/>
                                </w:rPr>
                                <w:t xml:space="preserve"> by law enforcement and related persons</w:t>
                              </w:r>
                            </w:p>
                          </w:txbxContent>
                        </wps:txbx>
                        <wps:bodyPr rot="0" vert="horz" wrap="square" lIns="91440" tIns="45720" rIns="91440" bIns="45720" anchor="t" anchorCtr="0">
                          <a:noAutofit/>
                        </wps:bodyPr>
                      </wps:wsp>
                      <wps:wsp>
                        <wps:cNvPr id="58" name="Text Box 2"/>
                        <wps:cNvSpPr txBox="1">
                          <a:spLocks noChangeArrowheads="1"/>
                        </wps:cNvSpPr>
                        <wps:spPr bwMode="auto">
                          <a:xfrm>
                            <a:off x="2766956" y="7400959"/>
                            <a:ext cx="1942465" cy="448641"/>
                          </a:xfrm>
                          <a:prstGeom prst="roundRect">
                            <a:avLst/>
                          </a:prstGeom>
                          <a:solidFill>
                            <a:srgbClr val="7C426F"/>
                          </a:solidFill>
                          <a:ln w="12700">
                            <a:solidFill>
                              <a:srgbClr val="4D4D4F"/>
                            </a:solidFill>
                            <a:miter lim="800000"/>
                            <a:headEnd/>
                            <a:tailEnd/>
                          </a:ln>
                        </wps:spPr>
                        <wps:txbx>
                          <w:txbxContent>
                            <w:p w14:paraId="45D374EA" w14:textId="77777777" w:rsidR="001D67A2" w:rsidRPr="000E77D9" w:rsidRDefault="001D67A2" w:rsidP="001D67A2">
                              <w:pPr>
                                <w:jc w:val="center"/>
                                <w:rPr>
                                  <w:rFonts w:cs="Arial"/>
                                  <w:color w:val="FFFFFF"/>
                                  <w:sz w:val="18"/>
                                  <w:szCs w:val="18"/>
                                </w:rPr>
                              </w:pPr>
                              <w:r>
                                <w:rPr>
                                  <w:rFonts w:cs="Arial"/>
                                  <w:color w:val="FFFFFF"/>
                                  <w:sz w:val="18"/>
                                  <w:szCs w:val="18"/>
                                </w:rPr>
                                <w:t>I</w:t>
                              </w:r>
                              <w:r w:rsidRPr="000E77D9">
                                <w:rPr>
                                  <w:rFonts w:cs="Arial"/>
                                  <w:color w:val="FFFFFF"/>
                                  <w:sz w:val="18"/>
                                  <w:szCs w:val="18"/>
                                </w:rPr>
                                <w:t>nnovation and industry development framework</w:t>
                              </w:r>
                            </w:p>
                          </w:txbxContent>
                        </wps:txbx>
                        <wps:bodyPr rot="0" vert="horz" wrap="square" lIns="91440" tIns="45720" rIns="91440" bIns="45720" anchor="t" anchorCtr="0">
                          <a:noAutofit/>
                        </wps:bodyPr>
                      </wps:wsp>
                      <wps:wsp>
                        <wps:cNvPr id="59" name="Connector: Elbow 59"/>
                        <wps:cNvCnPr/>
                        <wps:spPr>
                          <a:xfrm flipV="1">
                            <a:off x="2308263" y="2146136"/>
                            <a:ext cx="404305" cy="486394"/>
                          </a:xfrm>
                          <a:prstGeom prst="bentConnector3">
                            <a:avLst>
                              <a:gd name="adj1" fmla="val 44361"/>
                            </a:avLst>
                          </a:prstGeom>
                          <a:noFill/>
                          <a:ln w="28575" cap="flat" cmpd="sng" algn="ctr">
                            <a:solidFill>
                              <a:srgbClr val="4D4D4F"/>
                            </a:solidFill>
                            <a:prstDash val="solid"/>
                            <a:miter lim="800000"/>
                            <a:tailEnd type="triangle"/>
                          </a:ln>
                          <a:effectLst/>
                        </wps:spPr>
                        <wps:bodyPr/>
                      </wps:wsp>
                      <wps:wsp>
                        <wps:cNvPr id="60" name="Text Box 2"/>
                        <wps:cNvSpPr txBox="1">
                          <a:spLocks noChangeArrowheads="1"/>
                        </wps:cNvSpPr>
                        <wps:spPr bwMode="auto">
                          <a:xfrm>
                            <a:off x="23751" y="3045700"/>
                            <a:ext cx="2285365" cy="934264"/>
                          </a:xfrm>
                          <a:prstGeom prst="roundRect">
                            <a:avLst/>
                          </a:prstGeom>
                          <a:solidFill>
                            <a:srgbClr val="E9E9E9"/>
                          </a:solidFill>
                          <a:ln w="12700">
                            <a:solidFill>
                              <a:srgbClr val="4D4D4F"/>
                            </a:solidFill>
                            <a:miter lim="800000"/>
                            <a:headEnd/>
                            <a:tailEnd/>
                          </a:ln>
                        </wps:spPr>
                        <wps:txbx>
                          <w:txbxContent>
                            <w:p w14:paraId="1146ABAD" w14:textId="77777777" w:rsidR="001D67A2" w:rsidRPr="00333AC8" w:rsidRDefault="001D67A2" w:rsidP="001D67A2">
                              <w:pPr>
                                <w:shd w:val="clear" w:color="auto" w:fill="E9E9E9"/>
                                <w:jc w:val="center"/>
                                <w:rPr>
                                  <w:rFonts w:cs="Arial"/>
                                  <w:sz w:val="17"/>
                                  <w:szCs w:val="17"/>
                                </w:rPr>
                              </w:pPr>
                              <w:r w:rsidRPr="00333AC8">
                                <w:rPr>
                                  <w:rFonts w:cs="Arial"/>
                                  <w:sz w:val="17"/>
                                  <w:szCs w:val="17"/>
                                </w:rPr>
                                <w:t>Radiocommunications (Prohibited Devices) (Use of Electronic Counter Measures for Bomb Disposal Activities) Exemption Determination 2010</w:t>
                              </w:r>
                            </w:p>
                            <w:p w14:paraId="5F34BA9A" w14:textId="77777777" w:rsidR="001D67A2" w:rsidRPr="00772F11" w:rsidRDefault="001D67A2" w:rsidP="001D67A2">
                              <w:pPr>
                                <w:rPr>
                                  <w:rFonts w:cs="Arial"/>
                                  <w:sz w:val="18"/>
                                  <w:szCs w:val="18"/>
                                </w:rPr>
                              </w:pPr>
                            </w:p>
                          </w:txbxContent>
                        </wps:txbx>
                        <wps:bodyPr rot="0" vert="horz" wrap="square" lIns="91440" tIns="45720" rIns="91440" bIns="45720" anchor="t" anchorCtr="0">
                          <a:noAutofit/>
                        </wps:bodyPr>
                      </wps:wsp>
                      <wps:wsp>
                        <wps:cNvPr id="61" name="Text Box 2"/>
                        <wps:cNvSpPr txBox="1">
                          <a:spLocks noChangeArrowheads="1"/>
                        </wps:cNvSpPr>
                        <wps:spPr bwMode="auto">
                          <a:xfrm>
                            <a:off x="29689" y="2082755"/>
                            <a:ext cx="2286000" cy="912495"/>
                          </a:xfrm>
                          <a:prstGeom prst="roundRect">
                            <a:avLst/>
                          </a:prstGeom>
                          <a:solidFill>
                            <a:srgbClr val="E9E9E9"/>
                          </a:solidFill>
                          <a:ln w="12700">
                            <a:solidFill>
                              <a:srgbClr val="4D4D4F"/>
                            </a:solidFill>
                            <a:miter lim="800000"/>
                            <a:headEnd/>
                            <a:tailEnd/>
                          </a:ln>
                        </wps:spPr>
                        <wps:txbx>
                          <w:txbxContent>
                            <w:p w14:paraId="4217FCEE" w14:textId="77777777" w:rsidR="001D67A2" w:rsidRPr="00333AC8" w:rsidRDefault="001D67A2" w:rsidP="001D67A2">
                              <w:pPr>
                                <w:jc w:val="center"/>
                                <w:rPr>
                                  <w:rFonts w:cs="Arial"/>
                                  <w:sz w:val="17"/>
                                  <w:szCs w:val="17"/>
                                </w:rPr>
                              </w:pPr>
                              <w:r w:rsidRPr="00333AC8">
                                <w:rPr>
                                  <w:rFonts w:cs="Arial"/>
                                  <w:sz w:val="17"/>
                                  <w:szCs w:val="17"/>
                                </w:rPr>
                                <w:t>Radiocommunications (Use by Corrective Services NSW of PMTS Jamming Devices at Lithgow Correctional Centre) Exemption Determination 2018</w:t>
                              </w:r>
                            </w:p>
                          </w:txbxContent>
                        </wps:txbx>
                        <wps:bodyPr rot="0" vert="horz" wrap="square" lIns="91440" tIns="45720" rIns="91440" bIns="45720" anchor="t" anchorCtr="0">
                          <a:noAutofit/>
                        </wps:bodyPr>
                      </wps:wsp>
                      <wps:wsp>
                        <wps:cNvPr id="62" name="Text Box 2"/>
                        <wps:cNvSpPr txBox="1">
                          <a:spLocks noChangeArrowheads="1"/>
                        </wps:cNvSpPr>
                        <wps:spPr bwMode="auto">
                          <a:xfrm>
                            <a:off x="0" y="1120121"/>
                            <a:ext cx="2309495" cy="926511"/>
                          </a:xfrm>
                          <a:prstGeom prst="roundRect">
                            <a:avLst/>
                          </a:prstGeom>
                          <a:solidFill>
                            <a:srgbClr val="E9E9E9"/>
                          </a:solidFill>
                          <a:ln w="12700">
                            <a:solidFill>
                              <a:srgbClr val="4D4D4F"/>
                            </a:solidFill>
                            <a:miter lim="800000"/>
                            <a:headEnd/>
                            <a:tailEnd/>
                          </a:ln>
                        </wps:spPr>
                        <wps:txbx>
                          <w:txbxContent>
                            <w:p w14:paraId="4DA9E636" w14:textId="77777777" w:rsidR="001D67A2" w:rsidRPr="00333AC8" w:rsidRDefault="001D67A2" w:rsidP="001D67A2">
                              <w:pPr>
                                <w:jc w:val="center"/>
                                <w:rPr>
                                  <w:rFonts w:cs="Arial"/>
                                  <w:sz w:val="17"/>
                                  <w:szCs w:val="17"/>
                                </w:rPr>
                              </w:pPr>
                              <w:r w:rsidRPr="00333AC8">
                                <w:rPr>
                                  <w:rFonts w:cs="Arial"/>
                                  <w:sz w:val="17"/>
                                  <w:szCs w:val="17"/>
                                </w:rPr>
                                <w:t>Radiocommunications (Testing and Field Trial by Corrective Services NSW of PMTS Jamming Devices at Goulburn Correctional Complex) Exemption Determination 2016</w:t>
                              </w:r>
                            </w:p>
                          </w:txbxContent>
                        </wps:txbx>
                        <wps:bodyPr rot="0" vert="horz" wrap="square" lIns="91440" tIns="45720" rIns="91440" bIns="45720" anchor="t" anchorCtr="0">
                          <a:noAutofit/>
                        </wps:bodyPr>
                      </wps:wsp>
                      <wps:wsp>
                        <wps:cNvPr id="63" name="Connector: Elbow 63"/>
                        <wps:cNvCnPr/>
                        <wps:spPr>
                          <a:xfrm>
                            <a:off x="2309751" y="5355796"/>
                            <a:ext cx="441102" cy="375788"/>
                          </a:xfrm>
                          <a:prstGeom prst="bentConnector3">
                            <a:avLst>
                              <a:gd name="adj1" fmla="val 51299"/>
                            </a:avLst>
                          </a:prstGeom>
                          <a:noFill/>
                          <a:ln w="28575" cap="flat" cmpd="sng" algn="ctr">
                            <a:solidFill>
                              <a:srgbClr val="4D4D4F"/>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7647593" id="Group 35" o:spid="_x0000_s1026" alt="&quot;&quot;" style="position:absolute;margin-left:4.3pt;margin-top:10.75pt;width:355.5pt;height:670pt;z-index:251658244;mso-position-horizontal-relative:margin;mso-width-relative:margin;mso-height-relative:margin" coordsize="47153,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">
                <v:shapetype id="_x0000_t32" coordsize="21600,21600" o:spt="32" o:oned="t" path="m,l21600,21600e" filled="f">
                  <v:path arrowok="t" fillok="f" o:connecttype="none"/>
                  <o:lock v:ext="edit" shapetype="t"/>
                </v:shapetype>
                <v:shape id="Straight Arrow Connector 36" o:spid="_x0000_s1027" type="#_x0000_t32" style="position:absolute;left:17573;top:73757;width:78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" strokecolor="#4d4d4f" strokeweight="2.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7" o:spid="_x0000_s1028" type="#_x0000_t34" style="position:absolute;left:20959;top:67132;width:6605;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" strokecolor="#4d4d4f" strokeweight="2.25pt">
                  <v:stroke endarrow="block"/>
                </v:shape>
                <v:shape id="Connector: Elbow 38" o:spid="_x0000_s1029" type="#_x0000_t34" style="position:absolute;left:22741;top:57286;width:4819;height:30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" adj="11704" strokecolor="#4d4d4f" strokeweight="2.25pt">
                  <v:stroke endarrow="block"/>
                </v:shape>
                <v:shape id="Straight Arrow Connector 39" o:spid="_x0000_s1030" type="#_x0000_t32" style="position:absolute;left:17337;top:44620;width:10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" strokecolor="#4d4d4f" strokeweight="2.25pt">
                  <v:stroke endarrow="block" joinstyle="miter"/>
                </v:shape>
                <v:shape id="Straight Arrow Connector 40" o:spid="_x0000_s1031" type="#_x0000_t32" style="position:absolute;left:17456;top:35386;width:10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" strokecolor="#4d4d4f" strokeweight="2.25pt">
                  <v:stroke endarrow="block" joinstyle="miter"/>
                </v:shape>
                <v:shape id="Straight Arrow Connector 41" o:spid="_x0000_s1032" type="#_x0000_t32" style="position:absolute;left:17456;top:6877;width:10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" strokecolor="#4d4d4f" strokeweight="2.25pt">
                  <v:stroke endarrow="block" joinstyle="miter"/>
                </v:shape>
                <v:roundrect id="_x0000_s1033" style="position:absolute;left:237;top:2989;width:22860;height:7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" fillcolor="#e9e9e9" strokecolor="#4d4d4f" strokeweight="1pt">
                  <v:stroke joinstyle="miter"/>
                  <v:textbox>
                    <w:txbxContent>
                      <w:p w14:paraId="4D83489B" w14:textId="77777777" w:rsidR="001D67A2" w:rsidRPr="00333AC8" w:rsidRDefault="001D67A2" w:rsidP="001D67A2">
                        <w:pPr>
                          <w:jc w:val="center"/>
                          <w:rPr>
                            <w:rFonts w:cs="Arial"/>
                            <w:sz w:val="17"/>
                            <w:szCs w:val="17"/>
                          </w:rPr>
                        </w:pPr>
                        <w:r w:rsidRPr="00333AC8">
                          <w:rPr>
                            <w:rFonts w:cs="Arial"/>
                            <w:sz w:val="17"/>
                            <w:szCs w:val="17"/>
                          </w:rPr>
                          <w:t>Radiocommunications (Australian Federal Police–Visiting Dignita</w:t>
                        </w:r>
                        <w:r w:rsidRPr="00333AC8">
                          <w:rPr>
                            <w:rFonts w:cs="Arial"/>
                            <w:sz w:val="17"/>
                            <w:szCs w:val="17"/>
                          </w:rPr>
                          <w:softHyphen/>
                          <w:t>ry) Exemption Determination 2016/2017/2018/etc.</w:t>
                        </w:r>
                      </w:p>
                      <w:p w14:paraId="40854D75" w14:textId="77777777" w:rsidR="001D67A2" w:rsidRPr="00DF4C6A" w:rsidRDefault="001D67A2" w:rsidP="001D67A2">
                        <w:pPr>
                          <w:rPr>
                            <w:rFonts w:cs="Arial"/>
                            <w:sz w:val="18"/>
                            <w:szCs w:val="18"/>
                          </w:rPr>
                        </w:pPr>
                      </w:p>
                    </w:txbxContent>
                  </v:textbox>
                </v:roundrect>
                <v:roundrect id="Text Box 43" o:spid="_x0000_s1034" style="position:absolute;left:237;top:57426;width:22860;height:61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" fillcolor="#e9e9e9" strokecolor="#4d4d4f" strokeweight="1pt">
                  <v:stroke joinstyle="miter"/>
                  <v:textbox>
                    <w:txbxContent>
                      <w:p w14:paraId="7BBC6173" w14:textId="77777777" w:rsidR="001D67A2" w:rsidRPr="00333AC8" w:rsidRDefault="001D67A2" w:rsidP="001D67A2">
                        <w:pPr>
                          <w:jc w:val="center"/>
                          <w:rPr>
                            <w:rFonts w:cs="Arial"/>
                            <w:sz w:val="17"/>
                            <w:szCs w:val="17"/>
                          </w:rPr>
                        </w:pPr>
                        <w:r w:rsidRPr="00333AC8">
                          <w:rPr>
                            <w:rFonts w:cs="Arial"/>
                            <w:sz w:val="17"/>
                            <w:szCs w:val="17"/>
                          </w:rPr>
                          <w:t>Radiocommunications (Police Forces–Disruption of Unmanned Aircraft) Exemption 2020</w:t>
                        </w:r>
                      </w:p>
                    </w:txbxContent>
                  </v:textbox>
                </v:roundrect>
                <v:roundrect id="_x0000_s1035" style="position:absolute;left:296;top:49035;width:22791;height:7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" fillcolor="#e9e9e9" strokecolor="#4d4d4f" strokeweight="1pt">
                  <v:stroke joinstyle="miter"/>
                  <v:textbox>
                    <w:txbxContent>
                      <w:p w14:paraId="0B300A0A" w14:textId="77777777" w:rsidR="001D67A2" w:rsidRPr="00333AC8" w:rsidRDefault="001D67A2" w:rsidP="001D67A2">
                        <w:pPr>
                          <w:jc w:val="center"/>
                          <w:rPr>
                            <w:rFonts w:cs="Arial"/>
                            <w:sz w:val="17"/>
                            <w:szCs w:val="17"/>
                          </w:rPr>
                        </w:pPr>
                        <w:r w:rsidRPr="00333AC8">
                          <w:rPr>
                            <w:rFonts w:cs="Arial"/>
                            <w:sz w:val="17"/>
                            <w:szCs w:val="17"/>
                          </w:rPr>
                          <w:t xml:space="preserve">Radiocommunications (Unmanned Aircraft and Unmanned Aircraft Systems) Exemption </w:t>
                        </w:r>
                        <w:r>
                          <w:rPr>
                            <w:rFonts w:cs="Arial"/>
                            <w:sz w:val="17"/>
                            <w:szCs w:val="17"/>
                          </w:rPr>
                          <w:br/>
                        </w:r>
                        <w:r w:rsidRPr="00333AC8">
                          <w:rPr>
                            <w:rFonts w:cs="Arial"/>
                            <w:sz w:val="17"/>
                            <w:szCs w:val="17"/>
                          </w:rPr>
                          <w:t>Determination 2019</w:t>
                        </w:r>
                      </w:p>
                    </w:txbxContent>
                  </v:textbox>
                </v:roundrect>
                <v:roundrect id="_x0000_s1036" style="position:absolute;left:296;top:77189;width:22860;height:62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" fillcolor="#e9e9e9" strokecolor="#4d4d4f" strokeweight="1pt">
                  <v:stroke joinstyle="miter"/>
                  <v:textbox>
                    <w:txbxContent>
                      <w:p w14:paraId="3F729587" w14:textId="77777777" w:rsidR="001D67A2" w:rsidRPr="00333AC8" w:rsidRDefault="001D67A2" w:rsidP="001D67A2">
                        <w:pPr>
                          <w:jc w:val="center"/>
                          <w:rPr>
                            <w:rFonts w:cs="Arial"/>
                            <w:sz w:val="17"/>
                            <w:szCs w:val="17"/>
                          </w:rPr>
                        </w:pPr>
                        <w:r w:rsidRPr="00333AC8">
                          <w:rPr>
                            <w:rFonts w:cs="Arial"/>
                            <w:sz w:val="17"/>
                            <w:szCs w:val="17"/>
                          </w:rPr>
                          <w:t>Radiocommunications (Prohibited Device) (RNSS Jamming Device) Exemption Determination 2014</w:t>
                        </w:r>
                      </w:p>
                    </w:txbxContent>
                  </v:textbox>
                </v:roundrect>
                <v:roundrect id="_x0000_s1037" style="position:absolute;left:237;top:70519;width:22860;height:63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" fillcolor="#e9e9e9" strokecolor="#4d4d4f" strokeweight="1pt">
                  <v:stroke joinstyle="miter"/>
                  <v:textbox>
                    <w:txbxContent>
                      <w:p w14:paraId="723FDAFD" w14:textId="77777777" w:rsidR="001D67A2" w:rsidRPr="00DF4C6A" w:rsidRDefault="001D67A2" w:rsidP="001D67A2">
                        <w:pPr>
                          <w:jc w:val="center"/>
                          <w:rPr>
                            <w:rFonts w:cs="Arial"/>
                            <w:sz w:val="18"/>
                            <w:szCs w:val="18"/>
                          </w:rPr>
                        </w:pPr>
                        <w:r w:rsidRPr="00333AC8">
                          <w:rPr>
                            <w:rFonts w:cs="Arial"/>
                            <w:sz w:val="17"/>
                            <w:szCs w:val="17"/>
                          </w:rPr>
                          <w:t>Radiocommunications (PMTS Jamming Devices–Visiting Forces and Suppliers Exemption Determination 2011</w:t>
                        </w:r>
                      </w:p>
                    </w:txbxContent>
                  </v:textbox>
                </v:roundrect>
                <v:roundrect id="_x0000_s1038" style="position:absolute;left:296;top:64197;width:22791;height:58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" fillcolor="#e9e9e9" strokecolor="#4d4d4f" strokeweight="1pt">
                  <v:stroke joinstyle="miter"/>
                  <v:textbox>
                    <w:txbxContent>
                      <w:p w14:paraId="065B1926" w14:textId="77777777" w:rsidR="001D67A2" w:rsidRPr="00012B92" w:rsidRDefault="001D67A2" w:rsidP="001D67A2">
                        <w:pPr>
                          <w:jc w:val="center"/>
                          <w:rPr>
                            <w:rFonts w:cs="Arial"/>
                            <w:sz w:val="18"/>
                            <w:szCs w:val="18"/>
                          </w:rPr>
                        </w:pPr>
                        <w:r w:rsidRPr="00333AC8">
                          <w:rPr>
                            <w:rFonts w:cs="Arial"/>
                            <w:sz w:val="17"/>
                            <w:szCs w:val="17"/>
                          </w:rPr>
                          <w:t>Radiocommunications (Public Mobile Telecommunications Surveillance Device) Exemption Determination 2011</w:t>
                        </w:r>
                      </w:p>
                    </w:txbxContent>
                  </v:textbox>
                </v:roundrect>
                <v:roundrect id="_x0000_s1039" style="position:absolute;top:40118;width:23152;height:79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" fillcolor="#e9e9e9" strokecolor="#4d4d4f" strokeweight="1pt">
                  <v:stroke joinstyle="miter"/>
                  <v:textbox>
                    <w:txbxContent>
                      <w:p w14:paraId="132CFD68" w14:textId="77777777" w:rsidR="001D67A2" w:rsidRPr="00333AC8" w:rsidRDefault="001D67A2" w:rsidP="001D67A2">
                        <w:pPr>
                          <w:shd w:val="clear" w:color="auto" w:fill="E9E9E9"/>
                          <w:jc w:val="center"/>
                          <w:rPr>
                            <w:rFonts w:cs="Arial"/>
                            <w:sz w:val="17"/>
                            <w:szCs w:val="17"/>
                          </w:rPr>
                        </w:pPr>
                        <w:r w:rsidRPr="00333AC8">
                          <w:rPr>
                            <w:rFonts w:cs="Arial"/>
                            <w:sz w:val="17"/>
                            <w:szCs w:val="17"/>
                          </w:rPr>
                          <w:t xml:space="preserve">Radiocommunications Advisory Guidelines (Use of Electronic Counter Measures for Bomb Disposal </w:t>
                        </w:r>
                        <w:r>
                          <w:rPr>
                            <w:rFonts w:cs="Arial"/>
                            <w:sz w:val="17"/>
                            <w:szCs w:val="17"/>
                          </w:rPr>
                          <w:br/>
                        </w:r>
                        <w:r w:rsidRPr="00333AC8">
                          <w:rPr>
                            <w:rFonts w:cs="Arial"/>
                            <w:sz w:val="17"/>
                            <w:szCs w:val="17"/>
                          </w:rPr>
                          <w:t>Activities) 2010</w:t>
                        </w:r>
                      </w:p>
                    </w:txbxContent>
                  </v:textbox>
                </v:roundrect>
                <v:roundrect id="_x0000_s1040" style="position:absolute;left:27669;top:3461;width:19425;height:81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" fillcolor="#b9e2e1" strokecolor="#4d4d4f" strokeweight="1pt">
                  <v:stroke joinstyle="miter"/>
                  <v:textbox>
                    <w:txbxContent>
                      <w:p w14:paraId="314E88A1" w14:textId="0CDB4515" w:rsidR="001D67A2" w:rsidRPr="00DA24FF" w:rsidRDefault="001D67A2" w:rsidP="001D67A2">
                        <w:pPr>
                          <w:jc w:val="center"/>
                          <w:rPr>
                            <w:rFonts w:cs="Arial"/>
                            <w:sz w:val="18"/>
                            <w:szCs w:val="18"/>
                          </w:rPr>
                        </w:pPr>
                        <w:r w:rsidRPr="00CF4A93">
                          <w:rPr>
                            <w:rFonts w:cs="Arial"/>
                            <w:sz w:val="18"/>
                            <w:szCs w:val="18"/>
                          </w:rPr>
                          <w:t>​</w:t>
                        </w:r>
                        <w:r w:rsidRPr="00DA24FF">
                          <w:rPr>
                            <w:rFonts w:cs="Arial"/>
                            <w:sz w:val="18"/>
                            <w:szCs w:val="18"/>
                          </w:rPr>
                          <w:t>Radiocommunications (Exemption–Visiting Dignitaries) Determination 202</w:t>
                        </w:r>
                        <w:r w:rsidR="007B3A72">
                          <w:rPr>
                            <w:rFonts w:cs="Arial"/>
                            <w:sz w:val="18"/>
                            <w:szCs w:val="18"/>
                          </w:rPr>
                          <w:t>3</w:t>
                        </w:r>
                      </w:p>
                    </w:txbxContent>
                  </v:textbox>
                </v:roundrect>
                <v:roundrect id="_x0000_s1041" style="position:absolute;left:27669;top:17439;width:19431;height:84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" fillcolor="#b9e2e1" strokecolor="#4d4d4f" strokeweight="1pt">
                  <v:stroke joinstyle="miter"/>
                  <v:textbox>
                    <w:txbxContent>
                      <w:p w14:paraId="1CF18AFC" w14:textId="77777777" w:rsidR="001D67A2" w:rsidRPr="00CF4A93" w:rsidRDefault="001D67A2" w:rsidP="001D67A2">
                        <w:pPr>
                          <w:jc w:val="center"/>
                          <w:rPr>
                            <w:rFonts w:cs="Arial"/>
                            <w:sz w:val="18"/>
                            <w:szCs w:val="18"/>
                            <w:lang w:val="en-US"/>
                          </w:rPr>
                        </w:pPr>
                        <w:r w:rsidRPr="00DA24FF">
                          <w:rPr>
                            <w:rFonts w:cs="Arial"/>
                            <w:sz w:val="18"/>
                            <w:szCs w:val="18"/>
                          </w:rPr>
                          <w:t>R</w:t>
                        </w:r>
                        <w:r w:rsidRPr="00CF4A93">
                          <w:rPr>
                            <w:rFonts w:cs="Arial"/>
                            <w:sz w:val="18"/>
                            <w:szCs w:val="18"/>
                          </w:rPr>
                          <w:t>adiocommunications (Exemption–Corrective Services NSW) Determination 2021</w:t>
                        </w:r>
                        <w:r w:rsidRPr="00CF4A93">
                          <w:rPr>
                            <w:rFonts w:cs="Arial"/>
                            <w:sz w:val="18"/>
                            <w:szCs w:val="18"/>
                            <w:lang w:val="en-US"/>
                          </w:rPr>
                          <w:t>​</w:t>
                        </w:r>
                      </w:p>
                      <w:p w14:paraId="796DA442" w14:textId="77777777" w:rsidR="001D67A2" w:rsidRPr="00C0294A" w:rsidRDefault="001D67A2" w:rsidP="001D67A2">
                        <w:pPr>
                          <w:rPr>
                            <w:rFonts w:cs="Arial"/>
                            <w:szCs w:val="20"/>
                          </w:rPr>
                        </w:pPr>
                      </w:p>
                    </w:txbxContent>
                  </v:textbox>
                </v:roundrect>
                <v:roundrect id="_x0000_s1042" style="position:absolute;left:27728;top:32366;width:19425;height:77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" fillcolor="#b9e2e1" strokecolor="#4d4d4f" strokeweight="1pt">
                  <v:stroke joinstyle="miter"/>
                  <v:textbox>
                    <w:txbxContent>
                      <w:p w14:paraId="7D972C2E" w14:textId="3F67DC61" w:rsidR="001D67A2" w:rsidRPr="00DA24FF" w:rsidRDefault="001D67A2" w:rsidP="001D67A2">
                        <w:pPr>
                          <w:jc w:val="center"/>
                          <w:rPr>
                            <w:rFonts w:cs="Arial"/>
                            <w:sz w:val="18"/>
                            <w:szCs w:val="18"/>
                          </w:rPr>
                        </w:pPr>
                        <w:r w:rsidRPr="00DA24FF">
                          <w:rPr>
                            <w:rFonts w:cs="Arial"/>
                            <w:sz w:val="18"/>
                            <w:szCs w:val="18"/>
                          </w:rPr>
                          <w:t>Radiocommunications (Exemption–</w:t>
                        </w:r>
                        <w:r>
                          <w:rPr>
                            <w:rFonts w:cs="Arial"/>
                            <w:sz w:val="18"/>
                            <w:szCs w:val="18"/>
                          </w:rPr>
                          <w:t xml:space="preserve">Bomb Disposal </w:t>
                        </w:r>
                        <w:r w:rsidRPr="00DA24FF">
                          <w:rPr>
                            <w:rFonts w:cs="Arial"/>
                            <w:sz w:val="18"/>
                            <w:szCs w:val="18"/>
                          </w:rPr>
                          <w:t>Electronic Counter Measures) Determination 202</w:t>
                        </w:r>
                        <w:r w:rsidR="007B3A72">
                          <w:rPr>
                            <w:rFonts w:cs="Arial"/>
                            <w:sz w:val="18"/>
                            <w:szCs w:val="18"/>
                          </w:rPr>
                          <w:t>3</w:t>
                        </w:r>
                        <w:r w:rsidRPr="00DA24FF">
                          <w:rPr>
                            <w:rFonts w:cs="Arial"/>
                            <w:sz w:val="18"/>
                            <w:szCs w:val="18"/>
                          </w:rPr>
                          <w:t>​</w:t>
                        </w:r>
                      </w:p>
                    </w:txbxContent>
                  </v:textbox>
                </v:roundrect>
                <v:roundrect id="_x0000_s1043" style="position:absolute;left:27668;top:52517;width:19367;height:91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" fillcolor="#b9e2e1" strokecolor="#4d4d4f" strokeweight="1pt">
                  <v:stroke joinstyle="miter"/>
                  <v:textbox>
                    <w:txbxContent>
                      <w:p w14:paraId="7160B7E3" w14:textId="77777777" w:rsidR="001D67A2" w:rsidRPr="00DA24FF" w:rsidRDefault="001D67A2" w:rsidP="001D67A2">
                        <w:pPr>
                          <w:jc w:val="center"/>
                          <w:rPr>
                            <w:rFonts w:cs="Arial"/>
                            <w:sz w:val="18"/>
                            <w:szCs w:val="18"/>
                          </w:rPr>
                        </w:pPr>
                        <w:r w:rsidRPr="00F35E9F">
                          <w:rPr>
                            <w:rFonts w:cs="Arial"/>
                            <w:sz w:val="18"/>
                            <w:szCs w:val="18"/>
                          </w:rPr>
                          <w:t>Radiocommunications (Exemption–</w:t>
                        </w:r>
                        <w:r>
                          <w:rPr>
                            <w:rFonts w:cs="Arial"/>
                            <w:sz w:val="18"/>
                            <w:szCs w:val="18"/>
                          </w:rPr>
                          <w:t>Remotely Piloted Aircraft Disruption</w:t>
                        </w:r>
                        <w:r w:rsidRPr="00F35E9F">
                          <w:rPr>
                            <w:rFonts w:cs="Arial"/>
                            <w:sz w:val="18"/>
                            <w:szCs w:val="18"/>
                          </w:rPr>
                          <w:t>) Determination 2022</w:t>
                        </w:r>
                      </w:p>
                    </w:txbxContent>
                  </v:textbox>
                </v:roundrect>
                <v:roundrect id="_x0000_s1044" style="position:absolute;left:27853;top:65563;width:19241;height:29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" fillcolor="window" strokecolor="#4d4d4f" strokeweight="1pt">
                  <v:stroke joinstyle="miter"/>
                  <v:textbox>
                    <w:txbxContent>
                      <w:p w14:paraId="6BB52B3E" w14:textId="77777777" w:rsidR="001D67A2" w:rsidRPr="00D92FBE" w:rsidRDefault="001D67A2" w:rsidP="001D67A2">
                        <w:pPr>
                          <w:jc w:val="center"/>
                          <w:rPr>
                            <w:rFonts w:cs="Arial"/>
                            <w:sz w:val="18"/>
                            <w:szCs w:val="18"/>
                          </w:rPr>
                        </w:pPr>
                        <w:r>
                          <w:rPr>
                            <w:rFonts w:cs="Arial"/>
                            <w:sz w:val="18"/>
                            <w:szCs w:val="18"/>
                          </w:rPr>
                          <w:t xml:space="preserve">Allowed to sunset </w:t>
                        </w:r>
                      </w:p>
                    </w:txbxContent>
                  </v:textbox>
                </v:roundrect>
                <v:roundrect id="_x0000_s1045" style="position:absolute;left:237;width:22797;height:2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" fillcolor="#4d4d4f" stroked="f">
                  <v:stroke joinstyle="miter"/>
                  <v:textbox>
                    <w:txbxContent>
                      <w:p w14:paraId="242DA515" w14:textId="77777777" w:rsidR="001D67A2" w:rsidRPr="005652C5" w:rsidRDefault="001D67A2" w:rsidP="001D67A2">
                        <w:pPr>
                          <w:jc w:val="center"/>
                          <w:rPr>
                            <w:rFonts w:cs="Arial"/>
                            <w:b/>
                            <w:bCs/>
                            <w:color w:val="FFFFFF"/>
                            <w:szCs w:val="20"/>
                          </w:rPr>
                        </w:pPr>
                        <w:r w:rsidRPr="005652C5">
                          <w:rPr>
                            <w:rFonts w:cs="Arial"/>
                            <w:b/>
                            <w:bCs/>
                            <w:color w:val="FFFFFF"/>
                            <w:szCs w:val="20"/>
                          </w:rPr>
                          <w:t>T</w:t>
                        </w:r>
                        <w:r>
                          <w:rPr>
                            <w:rFonts w:cs="Arial"/>
                            <w:b/>
                            <w:bCs/>
                            <w:color w:val="FFFFFF"/>
                            <w:szCs w:val="20"/>
                          </w:rPr>
                          <w:t>hen</w:t>
                        </w:r>
                        <w:r w:rsidRPr="005652C5">
                          <w:rPr>
                            <w:rFonts w:cs="Arial"/>
                            <w:b/>
                            <w:bCs/>
                            <w:color w:val="FFFFFF"/>
                            <w:sz w:val="24"/>
                          </w:rPr>
                          <w:t xml:space="preserve"> </w:t>
                        </w:r>
                        <w:r w:rsidRPr="005652C5">
                          <w:rPr>
                            <w:rFonts w:cs="Arial"/>
                            <w:b/>
                            <w:bCs/>
                            <w:color w:val="FFFFFF"/>
                            <w:szCs w:val="20"/>
                          </w:rPr>
                          <w:t>(May 2020)</w:t>
                        </w:r>
                      </w:p>
                    </w:txbxContent>
                  </v:textbox>
                </v:roundrect>
                <v:roundrect id="_x0000_s1046" style="position:absolute;left:27669;width:19425;height:2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" fillcolor="#4d4d4f" stroked="f">
                  <v:stroke joinstyle="miter"/>
                  <v:textbox>
                    <w:txbxContent>
                      <w:p w14:paraId="0070D6D2" w14:textId="77777777" w:rsidR="001D67A2" w:rsidRPr="005652C5" w:rsidRDefault="001D67A2" w:rsidP="001D67A2">
                        <w:pPr>
                          <w:jc w:val="center"/>
                          <w:rPr>
                            <w:rFonts w:cs="Arial"/>
                            <w:b/>
                            <w:bCs/>
                            <w:color w:val="FFFFFF"/>
                            <w:szCs w:val="20"/>
                          </w:rPr>
                        </w:pPr>
                        <w:r w:rsidRPr="005652C5">
                          <w:rPr>
                            <w:rFonts w:cs="Arial"/>
                            <w:b/>
                            <w:bCs/>
                            <w:color w:val="FFFFFF"/>
                            <w:szCs w:val="20"/>
                          </w:rPr>
                          <w:t>N</w:t>
                        </w:r>
                        <w:r>
                          <w:rPr>
                            <w:rFonts w:cs="Arial"/>
                            <w:b/>
                            <w:bCs/>
                            <w:color w:val="FFFFFF"/>
                            <w:szCs w:val="20"/>
                          </w:rPr>
                          <w:t>ow</w:t>
                        </w:r>
                        <w:r w:rsidRPr="005652C5">
                          <w:rPr>
                            <w:rFonts w:cs="Arial"/>
                            <w:b/>
                            <w:bCs/>
                            <w:color w:val="FFFFFF"/>
                            <w:szCs w:val="20"/>
                          </w:rPr>
                          <w:t xml:space="preserve"> – Section 27 regime</w:t>
                        </w:r>
                      </w:p>
                    </w:txbxContent>
                  </v:textbox>
                </v:roundrect>
                <v:shape id="Connector: Elbow 56" o:spid="_x0000_s1047" type="#_x0000_t34" style="position:absolute;left:22741;top:17172;width:4470;height:42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" adj="10349" strokecolor="#4d4d4f" strokeweight="2.25pt">
                  <v:stroke endarrow="block"/>
                </v:shape>
                <v:roundrect id="_x0000_s1048" style="position:absolute;left:27636;top:41107;width:19361;height:95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" fillcolor="#39457c" strokecolor="#4d4d4f" strokeweight="1pt">
                  <v:stroke joinstyle="miter"/>
                  <v:textbox>
                    <w:txbxContent>
                      <w:p w14:paraId="57FA43B6" w14:textId="77777777" w:rsidR="001D67A2" w:rsidRPr="000E77D9" w:rsidRDefault="001D67A2" w:rsidP="001D67A2">
                        <w:pPr>
                          <w:jc w:val="center"/>
                          <w:rPr>
                            <w:rFonts w:cs="Arial"/>
                            <w:color w:val="FFFFFF"/>
                            <w:sz w:val="18"/>
                            <w:szCs w:val="18"/>
                          </w:rPr>
                        </w:pPr>
                        <w:r w:rsidRPr="000E77D9">
                          <w:rPr>
                            <w:rFonts w:cs="Arial"/>
                            <w:color w:val="FFFFFF"/>
                            <w:sz w:val="18"/>
                            <w:szCs w:val="18"/>
                          </w:rPr>
                          <w:t xml:space="preserve">Use of banned equipment under the </w:t>
                        </w:r>
                        <w:r w:rsidRPr="00FE1EEC">
                          <w:rPr>
                            <w:rFonts w:cs="Arial"/>
                            <w:i/>
                            <w:iCs/>
                            <w:color w:val="FFFFFF"/>
                            <w:sz w:val="18"/>
                            <w:szCs w:val="18"/>
                          </w:rPr>
                          <w:t>Radiocommunications Act 1992</w:t>
                        </w:r>
                        <w:r w:rsidRPr="000E77D9">
                          <w:rPr>
                            <w:rFonts w:cs="Arial"/>
                            <w:color w:val="FFFFFF"/>
                            <w:sz w:val="18"/>
                            <w:szCs w:val="18"/>
                          </w:rPr>
                          <w:t xml:space="preserve"> by law enforcement and related persons</w:t>
                        </w:r>
                      </w:p>
                    </w:txbxContent>
                  </v:textbox>
                </v:roundrect>
                <v:roundrect id="_x0000_s1049" style="position:absolute;left:27669;top:74009;width:19425;height:44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" fillcolor="#7c426f" strokecolor="#4d4d4f" strokeweight="1pt">
                  <v:stroke joinstyle="miter"/>
                  <v:textbox>
                    <w:txbxContent>
                      <w:p w14:paraId="45D374EA" w14:textId="77777777" w:rsidR="001D67A2" w:rsidRPr="000E77D9" w:rsidRDefault="001D67A2" w:rsidP="001D67A2">
                        <w:pPr>
                          <w:jc w:val="center"/>
                          <w:rPr>
                            <w:rFonts w:cs="Arial"/>
                            <w:color w:val="FFFFFF"/>
                            <w:sz w:val="18"/>
                            <w:szCs w:val="18"/>
                          </w:rPr>
                        </w:pPr>
                        <w:r>
                          <w:rPr>
                            <w:rFonts w:cs="Arial"/>
                            <w:color w:val="FFFFFF"/>
                            <w:sz w:val="18"/>
                            <w:szCs w:val="18"/>
                          </w:rPr>
                          <w:t>I</w:t>
                        </w:r>
                        <w:r w:rsidRPr="000E77D9">
                          <w:rPr>
                            <w:rFonts w:cs="Arial"/>
                            <w:color w:val="FFFFFF"/>
                            <w:sz w:val="18"/>
                            <w:szCs w:val="18"/>
                          </w:rPr>
                          <w:t>nnovation and industry development framework</w:t>
                        </w:r>
                      </w:p>
                    </w:txbxContent>
                  </v:textbox>
                </v:roundrect>
                <v:shape id="Connector: Elbow 59" o:spid="_x0000_s1050" type="#_x0000_t34" style="position:absolute;left:23082;top:21461;width:4043;height:48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" adj="9582" strokecolor="#4d4d4f" strokeweight="2.25pt">
                  <v:stroke endarrow="block"/>
                </v:shape>
                <v:roundrect id="_x0000_s1051" style="position:absolute;left:237;top:30457;width:22854;height:93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" fillcolor="#e9e9e9" strokecolor="#4d4d4f" strokeweight="1pt">
                  <v:stroke joinstyle="miter"/>
                  <v:textbox>
                    <w:txbxContent>
                      <w:p w14:paraId="1146ABAD" w14:textId="77777777" w:rsidR="001D67A2" w:rsidRPr="00333AC8" w:rsidRDefault="001D67A2" w:rsidP="001D67A2">
                        <w:pPr>
                          <w:shd w:val="clear" w:color="auto" w:fill="E9E9E9"/>
                          <w:jc w:val="center"/>
                          <w:rPr>
                            <w:rFonts w:cs="Arial"/>
                            <w:sz w:val="17"/>
                            <w:szCs w:val="17"/>
                          </w:rPr>
                        </w:pPr>
                        <w:r w:rsidRPr="00333AC8">
                          <w:rPr>
                            <w:rFonts w:cs="Arial"/>
                            <w:sz w:val="17"/>
                            <w:szCs w:val="17"/>
                          </w:rPr>
                          <w:t>Radiocommunications (Prohibited Devices) (Use of Electronic Counter Measures for Bomb Disposal Activities) Exemption Determination 2010</w:t>
                        </w:r>
                      </w:p>
                      <w:p w14:paraId="5F34BA9A" w14:textId="77777777" w:rsidR="001D67A2" w:rsidRPr="00772F11" w:rsidRDefault="001D67A2" w:rsidP="001D67A2">
                        <w:pPr>
                          <w:rPr>
                            <w:rFonts w:cs="Arial"/>
                            <w:sz w:val="18"/>
                            <w:szCs w:val="18"/>
                          </w:rPr>
                        </w:pPr>
                      </w:p>
                    </w:txbxContent>
                  </v:textbox>
                </v:roundrect>
                <v:roundrect id="_x0000_s1052" style="position:absolute;left:296;top:20827;width:22860;height:9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" fillcolor="#e9e9e9" strokecolor="#4d4d4f" strokeweight="1pt">
                  <v:stroke joinstyle="miter"/>
                  <v:textbox>
                    <w:txbxContent>
                      <w:p w14:paraId="4217FCEE" w14:textId="77777777" w:rsidR="001D67A2" w:rsidRPr="00333AC8" w:rsidRDefault="001D67A2" w:rsidP="001D67A2">
                        <w:pPr>
                          <w:jc w:val="center"/>
                          <w:rPr>
                            <w:rFonts w:cs="Arial"/>
                            <w:sz w:val="17"/>
                            <w:szCs w:val="17"/>
                          </w:rPr>
                        </w:pPr>
                        <w:r w:rsidRPr="00333AC8">
                          <w:rPr>
                            <w:rFonts w:cs="Arial"/>
                            <w:sz w:val="17"/>
                            <w:szCs w:val="17"/>
                          </w:rPr>
                          <w:t>Radiocommunications (Use by Corrective Services NSW of PMTS Jamming Devices at Lithgow Correctional Centre) Exemption Determination 2018</w:t>
                        </w:r>
                      </w:p>
                    </w:txbxContent>
                  </v:textbox>
                </v:roundrect>
                <v:roundrect id="_x0000_s1053" style="position:absolute;top:11201;width:23094;height:92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" fillcolor="#e9e9e9" strokecolor="#4d4d4f" strokeweight="1pt">
                  <v:stroke joinstyle="miter"/>
                  <v:textbox>
                    <w:txbxContent>
                      <w:p w14:paraId="4DA9E636" w14:textId="77777777" w:rsidR="001D67A2" w:rsidRPr="00333AC8" w:rsidRDefault="001D67A2" w:rsidP="001D67A2">
                        <w:pPr>
                          <w:jc w:val="center"/>
                          <w:rPr>
                            <w:rFonts w:cs="Arial"/>
                            <w:sz w:val="17"/>
                            <w:szCs w:val="17"/>
                          </w:rPr>
                        </w:pPr>
                        <w:r w:rsidRPr="00333AC8">
                          <w:rPr>
                            <w:rFonts w:cs="Arial"/>
                            <w:sz w:val="17"/>
                            <w:szCs w:val="17"/>
                          </w:rPr>
                          <w:t>Radiocommunications (Testing and Field Trial by Corrective Services NSW of PMTS Jamming Devices at Goulburn Correctional Complex) Exemption Determination 2016</w:t>
                        </w:r>
                      </w:p>
                    </w:txbxContent>
                  </v:textbox>
                </v:roundrect>
                <v:shape id="Connector: Elbow 63" o:spid="_x0000_s1054" type="#_x0000_t34" style="position:absolute;left:23097;top:53557;width:4411;height:37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" adj="11081" strokecolor="#4d4d4f" strokeweight="2.25pt">
                  <v:stroke endarrow="block"/>
                </v:shape>
                <w10:wrap anchorx="margin"/>
              </v:group>
            </w:pict>
          </mc:Fallback>
        </mc:AlternateContent>
      </w:r>
    </w:p>
    <w:p w14:paraId="0D954EDA" w14:textId="77777777" w:rsidR="001D67A2" w:rsidRPr="00766C18" w:rsidRDefault="001D67A2" w:rsidP="001D67A2">
      <w:pPr>
        <w:spacing w:after="0" w:line="240" w:lineRule="auto"/>
        <w:rPr>
          <w:sz w:val="18"/>
          <w:szCs w:val="18"/>
        </w:rPr>
      </w:pPr>
    </w:p>
    <w:p w14:paraId="33FEAFBA" w14:textId="77777777" w:rsidR="001D67A2" w:rsidRDefault="001D67A2" w:rsidP="001D67A2">
      <w:pPr>
        <w:spacing w:after="0" w:line="240" w:lineRule="auto"/>
        <w:rPr>
          <w:b/>
          <w:bCs/>
        </w:rPr>
      </w:pPr>
      <w:r>
        <w:rPr>
          <w:noProof/>
        </w:rPr>
        <mc:AlternateContent>
          <mc:Choice Requires="wps">
            <w:drawing>
              <wp:anchor distT="0" distB="0" distL="114300" distR="114300" simplePos="0" relativeHeight="251658241" behindDoc="0" locked="0" layoutInCell="1" allowOverlap="1" wp14:anchorId="5B68083B" wp14:editId="41109680">
                <wp:simplePos x="0" y="0"/>
                <wp:positionH relativeFrom="column">
                  <wp:posOffset>2693989</wp:posOffset>
                </wp:positionH>
                <wp:positionV relativeFrom="paragraph">
                  <wp:posOffset>7066280</wp:posOffset>
                </wp:positionV>
                <wp:extent cx="1864041" cy="283544"/>
                <wp:effectExtent l="0" t="0" r="3175" b="254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041" cy="283544"/>
                        </a:xfrm>
                        <a:prstGeom prst="roundRect">
                          <a:avLst/>
                        </a:prstGeom>
                        <a:solidFill>
                          <a:srgbClr val="4D4D4F"/>
                        </a:solidFill>
                        <a:ln w="9525">
                          <a:noFill/>
                          <a:miter lim="800000"/>
                          <a:headEnd/>
                          <a:tailEnd/>
                        </a:ln>
                      </wps:spPr>
                      <wps:txbx>
                        <w:txbxContent>
                          <w:p w14:paraId="1370DDA0" w14:textId="77777777" w:rsidR="001D67A2" w:rsidRPr="000E77D9" w:rsidRDefault="001D67A2" w:rsidP="001D67A2">
                            <w:pPr>
                              <w:jc w:val="center"/>
                              <w:rPr>
                                <w:rFonts w:cs="Arial"/>
                                <w:b/>
                                <w:bCs/>
                                <w:color w:val="FFFFFF"/>
                                <w:szCs w:val="20"/>
                              </w:rPr>
                            </w:pPr>
                            <w:r>
                              <w:rPr>
                                <w:rFonts w:cs="Arial"/>
                                <w:b/>
                                <w:bCs/>
                                <w:color w:val="FFFFFF"/>
                                <w:szCs w:val="20"/>
                              </w:rPr>
                              <w:t>New – Section 302 regime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B68083B" id="Text Box 2" o:spid="_x0000_s1055" alt="&quot;&quot;" style="position:absolute;margin-left:212.15pt;margin-top:556.4pt;width:146.75pt;height:2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" fillcolor="#4d4d4f" stroked="f">
                <v:stroke joinstyle="miter"/>
                <v:textbox>
                  <w:txbxContent>
                    <w:p w14:paraId="1370DDA0" w14:textId="77777777" w:rsidR="001D67A2" w:rsidRPr="000E77D9" w:rsidRDefault="001D67A2" w:rsidP="001D67A2">
                      <w:pPr>
                        <w:jc w:val="center"/>
                        <w:rPr>
                          <w:rFonts w:cs="Arial"/>
                          <w:b/>
                          <w:bCs/>
                          <w:color w:val="FFFFFF"/>
                          <w:szCs w:val="20"/>
                        </w:rPr>
                      </w:pPr>
                      <w:r>
                        <w:rPr>
                          <w:rFonts w:cs="Arial"/>
                          <w:b/>
                          <w:bCs/>
                          <w:color w:val="FFFFFF"/>
                          <w:szCs w:val="20"/>
                        </w:rPr>
                        <w:t>New – Section 302 regime</w:t>
                      </w:r>
                    </w:p>
                  </w:txbxContent>
                </v:textbox>
              </v:roundrect>
            </w:pict>
          </mc:Fallback>
        </mc:AlternateContent>
      </w:r>
      <w:r>
        <w:rPr>
          <w:noProof/>
        </w:rPr>
        <mc:AlternateContent>
          <mc:Choice Requires="wps">
            <w:drawing>
              <wp:anchor distT="0" distB="0" distL="114300" distR="114300" simplePos="0" relativeHeight="251658242" behindDoc="0" locked="0" layoutInCell="1" allowOverlap="1" wp14:anchorId="346A88E3" wp14:editId="761244E1">
                <wp:simplePos x="0" y="0"/>
                <wp:positionH relativeFrom="column">
                  <wp:posOffset>1940560</wp:posOffset>
                </wp:positionH>
                <wp:positionV relativeFrom="paragraph">
                  <wp:posOffset>8151495</wp:posOffset>
                </wp:positionV>
                <wp:extent cx="571500" cy="45719"/>
                <wp:effectExtent l="0" t="76200" r="0" b="50165"/>
                <wp:wrapNone/>
                <wp:docPr id="3" name="Connector: Elb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a:off x="0" y="0"/>
                          <a:ext cx="571500" cy="45719"/>
                        </a:xfrm>
                        <a:prstGeom prst="bentConnector3">
                          <a:avLst>
                            <a:gd name="adj1" fmla="val 50000"/>
                          </a:avLst>
                        </a:prstGeom>
                        <a:noFill/>
                        <a:ln w="28575" cap="flat" cmpd="sng" algn="ctr">
                          <a:solidFill>
                            <a:srgbClr val="4D4D4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460C207" id="Connector: Elbow 3" o:spid="_x0000_s1026" type="#_x0000_t34" alt="&quot;&quot;" style="position:absolute;margin-left:152.8pt;margin-top:641.85pt;width:45pt;height:3.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" strokecolor="#4d4d4f" strokeweight="2.25pt">
                <v:stroke endarrow="block"/>
              </v:shape>
            </w:pict>
          </mc:Fallback>
        </mc:AlternateContent>
      </w:r>
      <w:r>
        <w:rPr>
          <w:noProof/>
        </w:rPr>
        <mc:AlternateContent>
          <mc:Choice Requires="wps">
            <w:drawing>
              <wp:anchor distT="0" distB="0" distL="114300" distR="114300" simplePos="0" relativeHeight="251658245" behindDoc="0" locked="0" layoutInCell="1" allowOverlap="1" wp14:anchorId="35E95277" wp14:editId="530D7A44">
                <wp:simplePos x="0" y="0"/>
                <wp:positionH relativeFrom="column">
                  <wp:posOffset>2493010</wp:posOffset>
                </wp:positionH>
                <wp:positionV relativeFrom="paragraph">
                  <wp:posOffset>6710680</wp:posOffset>
                </wp:positionV>
                <wp:extent cx="6350" cy="1507490"/>
                <wp:effectExtent l="19050" t="19050" r="31750" b="3556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1507490"/>
                        </a:xfrm>
                        <a:prstGeom prst="line">
                          <a:avLst/>
                        </a:prstGeom>
                        <a:ln w="28575">
                          <a:solidFill>
                            <a:srgbClr val="4D4D4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8130D83"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pt,528.4pt" to="196.8pt,6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" strokecolor="#4d4d4f" strokeweight="2.25pt"/>
            </w:pict>
          </mc:Fallback>
        </mc:AlternateContent>
      </w:r>
      <w:r>
        <w:br w:type="page"/>
      </w:r>
      <w:r w:rsidRPr="0028721E">
        <w:rPr>
          <w:b/>
          <w:bCs/>
        </w:rPr>
        <w:lastRenderedPageBreak/>
        <w:t>Figure 2:</w:t>
      </w:r>
      <w:r>
        <w:rPr>
          <w:b/>
          <w:bCs/>
        </w:rPr>
        <w:t xml:space="preserve"> Banned equipment regime</w:t>
      </w:r>
    </w:p>
    <w:p w14:paraId="09FBAD1D" w14:textId="77777777" w:rsidR="004C0D85" w:rsidRDefault="004C0D85" w:rsidP="001D67A2">
      <w:pPr>
        <w:spacing w:after="0" w:line="240" w:lineRule="auto"/>
        <w:rPr>
          <w:b/>
          <w:bCs/>
        </w:rPr>
      </w:pPr>
    </w:p>
    <w:p w14:paraId="59502130" w14:textId="790EC083" w:rsidR="004C0D85" w:rsidRDefault="004C0D85" w:rsidP="001D67A2">
      <w:pPr>
        <w:spacing w:after="0" w:line="240" w:lineRule="auto"/>
        <w:rPr>
          <w:b/>
          <w:bCs/>
        </w:rPr>
      </w:pPr>
      <w:r>
        <w:rPr>
          <w:b/>
          <w:bCs/>
        </w:rPr>
        <w:t>(Key: gre</w:t>
      </w:r>
      <w:r w:rsidR="00CF2805">
        <w:rPr>
          <w:b/>
          <w:bCs/>
        </w:rPr>
        <w:t xml:space="preserve">y = old instrument; dark grey </w:t>
      </w:r>
      <w:r w:rsidR="00BC1F4E">
        <w:rPr>
          <w:b/>
          <w:bCs/>
        </w:rPr>
        <w:t>= new instrument)</w:t>
      </w:r>
    </w:p>
    <w:p w14:paraId="6E601722" w14:textId="7DD9176E" w:rsidR="001D67A2" w:rsidRPr="008A113E" w:rsidRDefault="00FF5B36" w:rsidP="001D67A2">
      <w:pPr>
        <w:spacing w:after="0" w:line="240" w:lineRule="auto"/>
        <w:rPr>
          <w:b/>
          <w:bCs/>
        </w:rPr>
      </w:pPr>
      <w:r w:rsidRPr="00FF5B36">
        <w:rPr>
          <w:b/>
          <w:bCs/>
          <w:noProof/>
        </w:rPr>
        <mc:AlternateContent>
          <mc:Choice Requires="wps">
            <w:drawing>
              <wp:anchor distT="0" distB="0" distL="114300" distR="114300" simplePos="0" relativeHeight="251658240" behindDoc="0" locked="0" layoutInCell="1" allowOverlap="1" wp14:anchorId="30F66C23" wp14:editId="4359E2FD">
                <wp:simplePos x="0" y="0"/>
                <wp:positionH relativeFrom="column">
                  <wp:posOffset>2261121</wp:posOffset>
                </wp:positionH>
                <wp:positionV relativeFrom="paragraph">
                  <wp:posOffset>1471930</wp:posOffset>
                </wp:positionV>
                <wp:extent cx="461010" cy="312420"/>
                <wp:effectExtent l="0" t="76200" r="0" b="30480"/>
                <wp:wrapNone/>
                <wp:docPr id="5" name="Connector: Elbow 5" descr="Radiocommunications (Jamming Equipment) Permanent Ban 2023"/>
                <wp:cNvGraphicFramePr/>
                <a:graphic xmlns:a="http://schemas.openxmlformats.org/drawingml/2006/main">
                  <a:graphicData uri="http://schemas.microsoft.com/office/word/2010/wordprocessingShape">
                    <wps:wsp>
                      <wps:cNvCnPr/>
                      <wps:spPr>
                        <a:xfrm flipV="1">
                          <a:off x="0" y="0"/>
                          <a:ext cx="461010" cy="312420"/>
                        </a:xfrm>
                        <a:prstGeom prst="bentConnector3">
                          <a:avLst>
                            <a:gd name="adj1" fmla="val 54184"/>
                          </a:avLst>
                        </a:prstGeom>
                        <a:noFill/>
                        <a:ln w="28575" cap="flat" cmpd="sng" algn="ctr">
                          <a:solidFill>
                            <a:srgbClr val="4D4D4F"/>
                          </a:solidFill>
                          <a:prstDash val="solid"/>
                          <a:miter lim="800000"/>
                          <a:tailEnd type="triangle"/>
                        </a:ln>
                        <a:effectLst/>
                      </wps:spPr>
                      <wps:bodyPr/>
                    </wps:wsp>
                  </a:graphicData>
                </a:graphic>
              </wp:anchor>
            </w:drawing>
          </mc:Choice>
          <mc:Fallback>
            <w:pict>
              <v:shapetype w14:anchorId="0B2E0D5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alt="Radiocommunications (Jamming Equipment) Permanent Ban 2023" style="position:absolute;margin-left:178.05pt;margin-top:115.9pt;width:36.3pt;height:24.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" adj="11704" strokecolor="#4d4d4f" strokeweight="2.25pt">
                <v:stroke endarrow="block"/>
              </v:shape>
            </w:pict>
          </mc:Fallback>
        </mc:AlternateContent>
      </w:r>
      <w:r w:rsidRPr="00FF5B36">
        <w:rPr>
          <w:b/>
          <w:bCs/>
          <w:noProof/>
        </w:rPr>
        <mc:AlternateContent>
          <mc:Choice Requires="wps">
            <w:drawing>
              <wp:anchor distT="0" distB="0" distL="114300" distR="114300" simplePos="0" relativeHeight="251658246" behindDoc="0" locked="0" layoutInCell="1" allowOverlap="1" wp14:anchorId="12452B3A" wp14:editId="4EA2F57F">
                <wp:simplePos x="0" y="0"/>
                <wp:positionH relativeFrom="column">
                  <wp:posOffset>2293506</wp:posOffset>
                </wp:positionH>
                <wp:positionV relativeFrom="paragraph">
                  <wp:posOffset>1092200</wp:posOffset>
                </wp:positionV>
                <wp:extent cx="422275" cy="382905"/>
                <wp:effectExtent l="0" t="19050" r="34925" b="93345"/>
                <wp:wrapNone/>
                <wp:docPr id="6" name="Connector: Elbow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2275" cy="382905"/>
                        </a:xfrm>
                        <a:prstGeom prst="bentConnector3">
                          <a:avLst>
                            <a:gd name="adj1" fmla="val 51299"/>
                          </a:avLst>
                        </a:prstGeom>
                        <a:noFill/>
                        <a:ln w="28575" cap="flat" cmpd="sng" algn="ctr">
                          <a:solidFill>
                            <a:srgbClr val="4D4D4F"/>
                          </a:solidFill>
                          <a:prstDash val="solid"/>
                          <a:miter lim="800000"/>
                          <a:tailEnd type="triangle"/>
                        </a:ln>
                        <a:effectLst/>
                      </wps:spPr>
                      <wps:bodyPr/>
                    </wps:wsp>
                  </a:graphicData>
                </a:graphic>
              </wp:anchor>
            </w:drawing>
          </mc:Choice>
          <mc:Fallback>
            <w:pict>
              <v:shape w14:anchorId="5976EEA3" id="Connector: Elbow 6" o:spid="_x0000_s1026" type="#_x0000_t34" alt="&quot;&quot;" style="position:absolute;margin-left:180.6pt;margin-top:86pt;width:33.25pt;height:30.1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" adj="11081" strokecolor="#4d4d4f" strokeweight="2.25pt">
                <v:stroke endarrow="block"/>
              </v:shape>
            </w:pict>
          </mc:Fallback>
        </mc:AlternateContent>
      </w:r>
      <w:r w:rsidR="001D67A2">
        <w:rPr>
          <w:rFonts w:cs="Arial"/>
          <w:noProof/>
        </w:rPr>
        <mc:AlternateContent>
          <mc:Choice Requires="wpg">
            <w:drawing>
              <wp:anchor distT="0" distB="0" distL="114300" distR="114300" simplePos="0" relativeHeight="251658243" behindDoc="0" locked="0" layoutInCell="1" allowOverlap="1" wp14:anchorId="47187724" wp14:editId="384BCA76">
                <wp:simplePos x="0" y="0"/>
                <wp:positionH relativeFrom="column">
                  <wp:posOffset>3479</wp:posOffset>
                </wp:positionH>
                <wp:positionV relativeFrom="paragraph">
                  <wp:posOffset>145525</wp:posOffset>
                </wp:positionV>
                <wp:extent cx="4685221" cy="2169441"/>
                <wp:effectExtent l="0" t="0" r="20320" b="21590"/>
                <wp:wrapNone/>
                <wp:docPr id="65"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85221" cy="2169441"/>
                          <a:chOff x="0" y="0"/>
                          <a:chExt cx="4685665" cy="1589603"/>
                        </a:xfrm>
                      </wpg:grpSpPr>
                      <wps:wsp>
                        <wps:cNvPr id="68" name="Text Box 2" descr="Radiocommunications (Prohibition of PMTS Jamming Devices) Declaration 2011"/>
                        <wps:cNvSpPr txBox="1">
                          <a:spLocks noChangeArrowheads="1"/>
                        </wps:cNvSpPr>
                        <wps:spPr bwMode="auto">
                          <a:xfrm>
                            <a:off x="0" y="397824"/>
                            <a:ext cx="2286000" cy="443230"/>
                          </a:xfrm>
                          <a:prstGeom prst="roundRect">
                            <a:avLst/>
                          </a:prstGeom>
                          <a:solidFill>
                            <a:schemeClr val="bg1">
                              <a:lumMod val="85000"/>
                            </a:schemeClr>
                          </a:solidFill>
                          <a:ln w="12700">
                            <a:solidFill>
                              <a:srgbClr val="4D4D4F"/>
                            </a:solidFill>
                            <a:miter lim="800000"/>
                            <a:headEnd/>
                            <a:tailEnd/>
                          </a:ln>
                        </wps:spPr>
                        <wps:txbx>
                          <w:txbxContent>
                            <w:p w14:paraId="61A3925C" w14:textId="77777777" w:rsidR="001D67A2" w:rsidRPr="000D2112" w:rsidRDefault="001D67A2" w:rsidP="001D67A2">
                              <w:pPr>
                                <w:jc w:val="center"/>
                                <w:rPr>
                                  <w:rFonts w:cs="Arial"/>
                                  <w:sz w:val="18"/>
                                  <w:szCs w:val="18"/>
                                </w:rPr>
                              </w:pPr>
                              <w:r w:rsidRPr="000D2112">
                                <w:rPr>
                                  <w:rFonts w:cs="Arial"/>
                                  <w:sz w:val="18"/>
                                  <w:szCs w:val="18"/>
                                </w:rPr>
                                <w:t>Radiocommunications (Prohibition of PMTS Jamming Devices) Declaration 2011</w:t>
                              </w:r>
                            </w:p>
                          </w:txbxContent>
                        </wps:txbx>
                        <wps:bodyPr rot="0" vert="horz" wrap="square" lIns="91440" tIns="45720" rIns="91440" bIns="45720" anchor="t" anchorCtr="0">
                          <a:noAutofit/>
                        </wps:bodyPr>
                      </wps:wsp>
                      <wps:wsp>
                        <wps:cNvPr id="69" name="Text Box 2"/>
                        <wps:cNvSpPr txBox="1">
                          <a:spLocks noChangeArrowheads="1"/>
                        </wps:cNvSpPr>
                        <wps:spPr bwMode="auto">
                          <a:xfrm>
                            <a:off x="0" y="1021278"/>
                            <a:ext cx="2291715" cy="568325"/>
                          </a:xfrm>
                          <a:prstGeom prst="roundRect">
                            <a:avLst/>
                          </a:prstGeom>
                          <a:solidFill>
                            <a:schemeClr val="bg1">
                              <a:lumMod val="85000"/>
                            </a:schemeClr>
                          </a:solidFill>
                          <a:ln w="12700">
                            <a:solidFill>
                              <a:srgbClr val="4D4D4F"/>
                            </a:solidFill>
                            <a:miter lim="800000"/>
                            <a:headEnd/>
                            <a:tailEnd/>
                          </a:ln>
                        </wps:spPr>
                        <wps:txbx>
                          <w:txbxContent>
                            <w:p w14:paraId="4386A57E" w14:textId="77777777" w:rsidR="001D67A2" w:rsidRPr="000D2112" w:rsidRDefault="001D67A2" w:rsidP="001D67A2">
                              <w:pPr>
                                <w:jc w:val="center"/>
                                <w:rPr>
                                  <w:rFonts w:cs="Arial"/>
                                  <w:sz w:val="18"/>
                                  <w:szCs w:val="18"/>
                                </w:rPr>
                              </w:pPr>
                              <w:r w:rsidRPr="000D2112">
                                <w:rPr>
                                  <w:rFonts w:cs="Arial"/>
                                  <w:sz w:val="18"/>
                                  <w:szCs w:val="18"/>
                                </w:rPr>
                                <w:t>Radiocommunications (Prohibited Devices) (RNSS Jamming Devices) Declaration 2014</w:t>
                              </w:r>
                            </w:p>
                          </w:txbxContent>
                        </wps:txbx>
                        <wps:bodyPr rot="0" vert="horz" wrap="square" lIns="91440" tIns="45720" rIns="91440" bIns="45720" anchor="t" anchorCtr="0">
                          <a:noAutofit/>
                        </wps:bodyPr>
                      </wps:wsp>
                      <wps:wsp>
                        <wps:cNvPr id="70" name="Text Box 2" descr="Radiocommunications (Jamming Equipment) Permanent Ban 2023"/>
                        <wps:cNvSpPr txBox="1">
                          <a:spLocks noChangeArrowheads="1"/>
                        </wps:cNvSpPr>
                        <wps:spPr bwMode="auto">
                          <a:xfrm>
                            <a:off x="2743200" y="725241"/>
                            <a:ext cx="1942465" cy="443230"/>
                          </a:xfrm>
                          <a:prstGeom prst="roundRect">
                            <a:avLst/>
                          </a:prstGeom>
                          <a:solidFill>
                            <a:schemeClr val="tx1">
                              <a:lumMod val="50000"/>
                              <a:lumOff val="50000"/>
                            </a:schemeClr>
                          </a:solidFill>
                          <a:ln w="12700">
                            <a:solidFill>
                              <a:srgbClr val="4D4D4F"/>
                            </a:solidFill>
                            <a:miter lim="800000"/>
                            <a:headEnd/>
                            <a:tailEnd/>
                          </a:ln>
                        </wps:spPr>
                        <wps:txbx>
                          <w:txbxContent>
                            <w:p w14:paraId="33858E3E" w14:textId="20413817" w:rsidR="001D67A2" w:rsidRPr="00FA4FEE" w:rsidRDefault="001D67A2" w:rsidP="001D67A2">
                              <w:pPr>
                                <w:jc w:val="center"/>
                                <w:rPr>
                                  <w:rFonts w:cs="Arial"/>
                                  <w:color w:val="FFFFFF" w:themeColor="background1"/>
                                  <w:sz w:val="18"/>
                                  <w:szCs w:val="18"/>
                                </w:rPr>
                              </w:pPr>
                              <w:r w:rsidRPr="00FA4FEE">
                                <w:rPr>
                                  <w:rFonts w:cs="Arial"/>
                                  <w:color w:val="FFFFFF" w:themeColor="background1"/>
                                  <w:sz w:val="18"/>
                                  <w:szCs w:val="18"/>
                                </w:rPr>
                                <w:t>Radiocommunications</w:t>
                              </w:r>
                              <w:r w:rsidR="00AF3549">
                                <w:rPr>
                                  <w:rFonts w:cs="Arial"/>
                                  <w:color w:val="FFFFFF" w:themeColor="background1"/>
                                  <w:sz w:val="18"/>
                                  <w:szCs w:val="18"/>
                                </w:rPr>
                                <w:t xml:space="preserve"> </w:t>
                              </w:r>
                              <w:r w:rsidRPr="00FA4FEE">
                                <w:rPr>
                                  <w:rFonts w:cs="Arial"/>
                                  <w:color w:val="FFFFFF" w:themeColor="background1"/>
                                  <w:sz w:val="18"/>
                                  <w:szCs w:val="18"/>
                                </w:rPr>
                                <w:t>(</w:t>
                              </w:r>
                              <w:r w:rsidR="00380022">
                                <w:rPr>
                                  <w:rFonts w:cs="Arial"/>
                                  <w:color w:val="FFFFFF" w:themeColor="background1"/>
                                  <w:sz w:val="18"/>
                                  <w:szCs w:val="18"/>
                                </w:rPr>
                                <w:t xml:space="preserve">Jamming </w:t>
                              </w:r>
                              <w:r w:rsidR="00FF5B36">
                                <w:rPr>
                                  <w:rFonts w:cs="Arial"/>
                                  <w:color w:val="FFFFFF" w:themeColor="background1"/>
                                  <w:sz w:val="18"/>
                                  <w:szCs w:val="18"/>
                                </w:rPr>
                                <w:t xml:space="preserve">Equipment) </w:t>
                              </w:r>
                              <w:r w:rsidRPr="00FA4FEE">
                                <w:rPr>
                                  <w:rFonts w:cs="Arial"/>
                                  <w:color w:val="FFFFFF" w:themeColor="background1"/>
                                  <w:sz w:val="18"/>
                                  <w:szCs w:val="18"/>
                                </w:rPr>
                                <w:t>Permanent Ban 202</w:t>
                              </w:r>
                              <w:r w:rsidR="00FF5B36">
                                <w:rPr>
                                  <w:rFonts w:cs="Arial"/>
                                  <w:color w:val="FFFFFF" w:themeColor="background1"/>
                                  <w:sz w:val="18"/>
                                  <w:szCs w:val="18"/>
                                </w:rPr>
                                <w:t>3</w:t>
                              </w:r>
                            </w:p>
                          </w:txbxContent>
                        </wps:txbx>
                        <wps:bodyPr rot="0" vert="horz" wrap="square" lIns="91440" tIns="45720" rIns="91440" bIns="45720" anchor="t" anchorCtr="0">
                          <a:noAutofit/>
                        </wps:bodyPr>
                      </wps:wsp>
                      <wps:wsp>
                        <wps:cNvPr id="73" name="Text Box 2"/>
                        <wps:cNvSpPr txBox="1">
                          <a:spLocks noChangeArrowheads="1"/>
                        </wps:cNvSpPr>
                        <wps:spPr bwMode="auto">
                          <a:xfrm>
                            <a:off x="0" y="0"/>
                            <a:ext cx="2279650" cy="252095"/>
                          </a:xfrm>
                          <a:prstGeom prst="roundRect">
                            <a:avLst/>
                          </a:prstGeom>
                          <a:solidFill>
                            <a:srgbClr val="4D4D4F"/>
                          </a:solidFill>
                          <a:ln w="9525">
                            <a:noFill/>
                            <a:miter lim="800000"/>
                            <a:headEnd/>
                            <a:tailEnd/>
                          </a:ln>
                        </wps:spPr>
                        <wps:txbx>
                          <w:txbxContent>
                            <w:p w14:paraId="6AE58F70" w14:textId="77777777" w:rsidR="001D67A2" w:rsidRPr="008E37E4" w:rsidRDefault="001D67A2" w:rsidP="001D67A2">
                              <w:pPr>
                                <w:jc w:val="center"/>
                                <w:rPr>
                                  <w:rFonts w:cs="Arial"/>
                                  <w:b/>
                                  <w:color w:val="FFFFFF" w:themeColor="background1"/>
                                  <w:szCs w:val="20"/>
                                </w:rPr>
                              </w:pPr>
                              <w:r w:rsidRPr="008E37E4">
                                <w:rPr>
                                  <w:rFonts w:cs="Arial"/>
                                  <w:b/>
                                  <w:color w:val="FFFFFF" w:themeColor="background1"/>
                                  <w:szCs w:val="20"/>
                                </w:rPr>
                                <w:t>T</w:t>
                              </w:r>
                              <w:r>
                                <w:rPr>
                                  <w:rFonts w:cs="Arial"/>
                                  <w:b/>
                                  <w:color w:val="FFFFFF" w:themeColor="background1"/>
                                  <w:szCs w:val="20"/>
                                </w:rPr>
                                <w:t>hen</w:t>
                              </w:r>
                              <w:r w:rsidRPr="008E37E4">
                                <w:rPr>
                                  <w:rFonts w:cs="Arial"/>
                                  <w:b/>
                                  <w:color w:val="FFFFFF" w:themeColor="background1"/>
                                  <w:szCs w:val="20"/>
                                </w:rPr>
                                <w:t xml:space="preserve"> (May 2020)</w:t>
                              </w:r>
                            </w:p>
                          </w:txbxContent>
                        </wps:txbx>
                        <wps:bodyPr rot="0" vert="horz" wrap="square" lIns="91440" tIns="45720" rIns="91440" bIns="45720" anchor="ctr" anchorCtr="0">
                          <a:noAutofit/>
                        </wps:bodyPr>
                      </wps:wsp>
                      <wps:wsp>
                        <wps:cNvPr id="74" name="Text Box 2"/>
                        <wps:cNvSpPr txBox="1">
                          <a:spLocks noChangeArrowheads="1"/>
                        </wps:cNvSpPr>
                        <wps:spPr bwMode="auto">
                          <a:xfrm>
                            <a:off x="2743200" y="0"/>
                            <a:ext cx="1942465" cy="252095"/>
                          </a:xfrm>
                          <a:prstGeom prst="roundRect">
                            <a:avLst/>
                          </a:prstGeom>
                          <a:solidFill>
                            <a:srgbClr val="4D4D4F"/>
                          </a:solidFill>
                          <a:ln w="9525">
                            <a:noFill/>
                            <a:miter lim="800000"/>
                            <a:headEnd/>
                            <a:tailEnd/>
                          </a:ln>
                        </wps:spPr>
                        <wps:txbx>
                          <w:txbxContent>
                            <w:p w14:paraId="7847C52E" w14:textId="77777777" w:rsidR="001D67A2" w:rsidRPr="00DC0A60" w:rsidRDefault="001D67A2" w:rsidP="001D67A2">
                              <w:pPr>
                                <w:jc w:val="center"/>
                                <w:rPr>
                                  <w:rFonts w:cs="Arial"/>
                                  <w:b/>
                                  <w:bCs/>
                                  <w:color w:val="FFFFFF" w:themeColor="background1"/>
                                  <w:szCs w:val="20"/>
                                </w:rPr>
                              </w:pPr>
                              <w:r>
                                <w:rPr>
                                  <w:rFonts w:cs="Arial"/>
                                  <w:b/>
                                  <w:bCs/>
                                  <w:color w:val="FFFFFF" w:themeColor="background1"/>
                                  <w:szCs w:val="20"/>
                                </w:rPr>
                                <w:t>Now</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187724" id="Group 65" o:spid="_x0000_s1056" alt="&quot;&quot;" style="position:absolute;margin-left:.25pt;margin-top:11.45pt;width:368.9pt;height:170.8pt;z-index:251658243;mso-width-relative:margin;mso-height-relative:margin" coordsize="46856,1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">
                <v:roundrect id="_x0000_s1057" alt="Radiocommunications (Prohibition of PMTS Jamming Devices) Declaration 2011" style="position:absolute;top:3978;width:22860;height:4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" fillcolor="#d8d8d8 [2732]" strokecolor="#4d4d4f" strokeweight="1pt">
                  <v:stroke joinstyle="miter"/>
                  <v:textbox>
                    <w:txbxContent>
                      <w:p w14:paraId="61A3925C" w14:textId="77777777" w:rsidR="001D67A2" w:rsidRPr="000D2112" w:rsidRDefault="001D67A2" w:rsidP="001D67A2">
                        <w:pPr>
                          <w:jc w:val="center"/>
                          <w:rPr>
                            <w:rFonts w:cs="Arial"/>
                            <w:sz w:val="18"/>
                            <w:szCs w:val="18"/>
                          </w:rPr>
                        </w:pPr>
                        <w:r w:rsidRPr="000D2112">
                          <w:rPr>
                            <w:rFonts w:cs="Arial"/>
                            <w:sz w:val="18"/>
                            <w:szCs w:val="18"/>
                          </w:rPr>
                          <w:t>Radiocommunications (Prohibition of PMTS Jamming Devices) Declaration 2011</w:t>
                        </w:r>
                      </w:p>
                    </w:txbxContent>
                  </v:textbox>
                </v:roundrect>
                <v:roundrect id="_x0000_s1058" style="position:absolute;top:10212;width:22917;height:56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" fillcolor="#d8d8d8 [2732]" strokecolor="#4d4d4f" strokeweight="1pt">
                  <v:stroke joinstyle="miter"/>
                  <v:textbox>
                    <w:txbxContent>
                      <w:p w14:paraId="4386A57E" w14:textId="77777777" w:rsidR="001D67A2" w:rsidRPr="000D2112" w:rsidRDefault="001D67A2" w:rsidP="001D67A2">
                        <w:pPr>
                          <w:jc w:val="center"/>
                          <w:rPr>
                            <w:rFonts w:cs="Arial"/>
                            <w:sz w:val="18"/>
                            <w:szCs w:val="18"/>
                          </w:rPr>
                        </w:pPr>
                        <w:r w:rsidRPr="000D2112">
                          <w:rPr>
                            <w:rFonts w:cs="Arial"/>
                            <w:sz w:val="18"/>
                            <w:szCs w:val="18"/>
                          </w:rPr>
                          <w:t>Radiocommunications (Prohibited Devices) (RNSS Jamming Devices) Declaration 2014</w:t>
                        </w:r>
                      </w:p>
                    </w:txbxContent>
                  </v:textbox>
                </v:roundrect>
                <v:roundrect id="_x0000_s1059" alt="Radiocommunications (Jamming Equipment) Permanent Ban 2023" style="position:absolute;left:27432;top:7252;width:19424;height:4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" fillcolor="gray [1629]" strokecolor="#4d4d4f" strokeweight="1pt">
                  <v:stroke joinstyle="miter"/>
                  <v:textbox>
                    <w:txbxContent>
                      <w:p w14:paraId="33858E3E" w14:textId="20413817" w:rsidR="001D67A2" w:rsidRPr="00FA4FEE" w:rsidRDefault="001D67A2" w:rsidP="001D67A2">
                        <w:pPr>
                          <w:jc w:val="center"/>
                          <w:rPr>
                            <w:rFonts w:cs="Arial"/>
                            <w:color w:val="FFFFFF" w:themeColor="background1"/>
                            <w:sz w:val="18"/>
                            <w:szCs w:val="18"/>
                          </w:rPr>
                        </w:pPr>
                        <w:r w:rsidRPr="00FA4FEE">
                          <w:rPr>
                            <w:rFonts w:cs="Arial"/>
                            <w:color w:val="FFFFFF" w:themeColor="background1"/>
                            <w:sz w:val="18"/>
                            <w:szCs w:val="18"/>
                          </w:rPr>
                          <w:t>Radiocommunications</w:t>
                        </w:r>
                        <w:r w:rsidR="00AF3549">
                          <w:rPr>
                            <w:rFonts w:cs="Arial"/>
                            <w:color w:val="FFFFFF" w:themeColor="background1"/>
                            <w:sz w:val="18"/>
                            <w:szCs w:val="18"/>
                          </w:rPr>
                          <w:t xml:space="preserve"> </w:t>
                        </w:r>
                        <w:r w:rsidRPr="00FA4FEE">
                          <w:rPr>
                            <w:rFonts w:cs="Arial"/>
                            <w:color w:val="FFFFFF" w:themeColor="background1"/>
                            <w:sz w:val="18"/>
                            <w:szCs w:val="18"/>
                          </w:rPr>
                          <w:t>(</w:t>
                        </w:r>
                        <w:r w:rsidR="00380022">
                          <w:rPr>
                            <w:rFonts w:cs="Arial"/>
                            <w:color w:val="FFFFFF" w:themeColor="background1"/>
                            <w:sz w:val="18"/>
                            <w:szCs w:val="18"/>
                          </w:rPr>
                          <w:t xml:space="preserve">Jamming </w:t>
                        </w:r>
                        <w:r w:rsidR="00FF5B36">
                          <w:rPr>
                            <w:rFonts w:cs="Arial"/>
                            <w:color w:val="FFFFFF" w:themeColor="background1"/>
                            <w:sz w:val="18"/>
                            <w:szCs w:val="18"/>
                          </w:rPr>
                          <w:t xml:space="preserve">Equipment) </w:t>
                        </w:r>
                        <w:r w:rsidRPr="00FA4FEE">
                          <w:rPr>
                            <w:rFonts w:cs="Arial"/>
                            <w:color w:val="FFFFFF" w:themeColor="background1"/>
                            <w:sz w:val="18"/>
                            <w:szCs w:val="18"/>
                          </w:rPr>
                          <w:t>Permanent Ban 202</w:t>
                        </w:r>
                        <w:r w:rsidR="00FF5B36">
                          <w:rPr>
                            <w:rFonts w:cs="Arial"/>
                            <w:color w:val="FFFFFF" w:themeColor="background1"/>
                            <w:sz w:val="18"/>
                            <w:szCs w:val="18"/>
                          </w:rPr>
                          <w:t>3</w:t>
                        </w:r>
                      </w:p>
                    </w:txbxContent>
                  </v:textbox>
                </v:roundrect>
                <v:roundrect id="_x0000_s1060" style="position:absolute;width:22796;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" fillcolor="#4d4d4f" stroked="f">
                  <v:stroke joinstyle="miter"/>
                  <v:textbox>
                    <w:txbxContent>
                      <w:p w14:paraId="6AE58F70" w14:textId="77777777" w:rsidR="001D67A2" w:rsidRPr="008E37E4" w:rsidRDefault="001D67A2" w:rsidP="001D67A2">
                        <w:pPr>
                          <w:jc w:val="center"/>
                          <w:rPr>
                            <w:rFonts w:cs="Arial"/>
                            <w:b/>
                            <w:color w:val="FFFFFF" w:themeColor="background1"/>
                            <w:szCs w:val="20"/>
                          </w:rPr>
                        </w:pPr>
                        <w:r w:rsidRPr="008E37E4">
                          <w:rPr>
                            <w:rFonts w:cs="Arial"/>
                            <w:b/>
                            <w:color w:val="FFFFFF" w:themeColor="background1"/>
                            <w:szCs w:val="20"/>
                          </w:rPr>
                          <w:t>T</w:t>
                        </w:r>
                        <w:r>
                          <w:rPr>
                            <w:rFonts w:cs="Arial"/>
                            <w:b/>
                            <w:color w:val="FFFFFF" w:themeColor="background1"/>
                            <w:szCs w:val="20"/>
                          </w:rPr>
                          <w:t>hen</w:t>
                        </w:r>
                        <w:r w:rsidRPr="008E37E4">
                          <w:rPr>
                            <w:rFonts w:cs="Arial"/>
                            <w:b/>
                            <w:color w:val="FFFFFF" w:themeColor="background1"/>
                            <w:szCs w:val="20"/>
                          </w:rPr>
                          <w:t xml:space="preserve"> (May 2020)</w:t>
                        </w:r>
                      </w:p>
                    </w:txbxContent>
                  </v:textbox>
                </v:roundrect>
                <v:roundrect id="_x0000_s1061" style="position:absolute;left:27432;width:19424;height:25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" fillcolor="#4d4d4f" stroked="f">
                  <v:stroke joinstyle="miter"/>
                  <v:textbox>
                    <w:txbxContent>
                      <w:p w14:paraId="7847C52E" w14:textId="77777777" w:rsidR="001D67A2" w:rsidRPr="00DC0A60" w:rsidRDefault="001D67A2" w:rsidP="001D67A2">
                        <w:pPr>
                          <w:jc w:val="center"/>
                          <w:rPr>
                            <w:rFonts w:cs="Arial"/>
                            <w:b/>
                            <w:bCs/>
                            <w:color w:val="FFFFFF" w:themeColor="background1"/>
                            <w:szCs w:val="20"/>
                          </w:rPr>
                        </w:pPr>
                        <w:r>
                          <w:rPr>
                            <w:rFonts w:cs="Arial"/>
                            <w:b/>
                            <w:bCs/>
                            <w:color w:val="FFFFFF" w:themeColor="background1"/>
                            <w:szCs w:val="20"/>
                          </w:rPr>
                          <w:t>Now</w:t>
                        </w:r>
                      </w:p>
                    </w:txbxContent>
                  </v:textbox>
                </v:roundrect>
              </v:group>
            </w:pict>
          </mc:Fallback>
        </mc:AlternateContent>
      </w:r>
    </w:p>
    <w:sectPr w:rsidR="001D67A2" w:rsidRPr="008A113E"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4660" w14:textId="77777777" w:rsidR="00691AF5" w:rsidRDefault="00691AF5">
      <w:r>
        <w:separator/>
      </w:r>
    </w:p>
  </w:endnote>
  <w:endnote w:type="continuationSeparator" w:id="0">
    <w:p w14:paraId="6B1F7847" w14:textId="77777777" w:rsidR="00691AF5" w:rsidRDefault="00691AF5">
      <w:r>
        <w:continuationSeparator/>
      </w:r>
    </w:p>
  </w:endnote>
  <w:endnote w:type="continuationNotice" w:id="1">
    <w:p w14:paraId="5209913F" w14:textId="77777777" w:rsidR="00691AF5" w:rsidRDefault="00691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CEFA" w14:textId="77777777" w:rsidR="005E250B" w:rsidRDefault="005E250B" w:rsidP="005E250B">
    <w:pPr>
      <w:pStyle w:val="Footer"/>
      <w:jc w:val="right"/>
    </w:pPr>
    <w:r w:rsidRPr="005E250B">
      <w:rPr>
        <w:noProof/>
        <w:vertAlign w:val="subscript"/>
      </w:rPr>
      <w:drawing>
        <wp:inline distT="0" distB="0" distL="0" distR="0" wp14:anchorId="31730909" wp14:editId="252E67A0">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E553"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530A"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1E7D"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19F74BC"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95A4"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6D656DAC"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9BBD"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155B92F4"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A87F"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8F9EA93"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234A"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D4A9F1B"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8F90" w14:textId="77777777" w:rsidR="00691AF5" w:rsidRDefault="00691AF5" w:rsidP="00EA0969">
      <w:pPr>
        <w:spacing w:after="0"/>
      </w:pPr>
      <w:r>
        <w:separator/>
      </w:r>
    </w:p>
  </w:footnote>
  <w:footnote w:type="continuationSeparator" w:id="0">
    <w:p w14:paraId="0641F66B" w14:textId="77777777" w:rsidR="00691AF5" w:rsidRDefault="00691AF5">
      <w:r>
        <w:continuationSeparator/>
      </w:r>
    </w:p>
  </w:footnote>
  <w:footnote w:type="continuationNotice" w:id="1">
    <w:p w14:paraId="60D77A1B" w14:textId="77777777" w:rsidR="00691AF5" w:rsidRDefault="00691AF5">
      <w:pPr>
        <w:spacing w:after="0" w:line="240" w:lineRule="auto"/>
      </w:pPr>
    </w:p>
  </w:footnote>
  <w:footnote w:id="2">
    <w:p w14:paraId="39984BA4" w14:textId="47D0830D" w:rsidR="005B6B4F" w:rsidRDefault="005B6B4F" w:rsidP="005B6B4F">
      <w:pPr>
        <w:pStyle w:val="FootnoteText"/>
      </w:pPr>
      <w:r>
        <w:rPr>
          <w:rStyle w:val="FootnoteReference"/>
        </w:rPr>
        <w:footnoteRef/>
      </w:r>
      <w:r>
        <w:t xml:space="preserve"> </w:t>
      </w:r>
      <w:r w:rsidR="000779E7">
        <w:t>The banned equipment and exemptions framework was f</w:t>
      </w:r>
      <w:r>
        <w:t>ormerly referred to as the prohibitions and exemptions framework.</w:t>
      </w:r>
    </w:p>
  </w:footnote>
  <w:footnote w:id="3">
    <w:p w14:paraId="21F68A38" w14:textId="10F8E0E2" w:rsidR="00C3375E" w:rsidRPr="00E73EC4" w:rsidRDefault="00C3375E">
      <w:pPr>
        <w:pStyle w:val="FootnoteText"/>
      </w:pPr>
      <w:r>
        <w:rPr>
          <w:rStyle w:val="FootnoteReference"/>
        </w:rPr>
        <w:footnoteRef/>
      </w:r>
      <w:r>
        <w:t xml:space="preserve"> Devices operating under the </w:t>
      </w:r>
      <w:r>
        <w:rPr>
          <w:i/>
          <w:iCs/>
        </w:rPr>
        <w:t xml:space="preserve">Radiocommunications (Low </w:t>
      </w:r>
      <w:r w:rsidR="00E73EC4">
        <w:rPr>
          <w:i/>
          <w:iCs/>
        </w:rPr>
        <w:t>Interference Potential Devices) Class Licence 2015</w:t>
      </w:r>
      <w:r w:rsidR="00E73EC4">
        <w:t>.</w:t>
      </w:r>
    </w:p>
  </w:footnote>
  <w:footnote w:id="4">
    <w:p w14:paraId="3230E6E0" w14:textId="2849073E" w:rsidR="00C20927" w:rsidRDefault="00C20927">
      <w:pPr>
        <w:pStyle w:val="FootnoteText"/>
      </w:pPr>
      <w:r>
        <w:rPr>
          <w:rStyle w:val="FootnoteReference"/>
        </w:rPr>
        <w:footnoteRef/>
      </w:r>
      <w:r>
        <w:t xml:space="preserve"> Noting that the ‘no interference, no protection’ policy does not excuse or contemplate deliberate interference – rather, it is a proportionate response to devices that do not require device-by-device coordination, because of the nature of the service offered, technology used, and technical and operational conditions typically imposed in class licences.</w:t>
      </w:r>
    </w:p>
  </w:footnote>
  <w:footnote w:id="5">
    <w:p w14:paraId="04911363" w14:textId="3FEA4DB3" w:rsidR="005A5A1D" w:rsidRDefault="0070096D" w:rsidP="005A5A1D">
      <w:pPr>
        <w:pStyle w:val="FootnoteText"/>
      </w:pPr>
      <w:r>
        <w:rPr>
          <w:rStyle w:val="FootnoteReference"/>
        </w:rPr>
        <w:footnoteRef/>
      </w:r>
      <w:r>
        <w:t xml:space="preserve"> Defined as </w:t>
      </w:r>
      <w:r w:rsidR="005A5A1D">
        <w:t>equipment the principal purpose of which is the carriage of communications both:</w:t>
      </w:r>
    </w:p>
    <w:p w14:paraId="4CA17071" w14:textId="77777777" w:rsidR="005A5A1D" w:rsidRDefault="005A5A1D" w:rsidP="005A5A1D">
      <w:pPr>
        <w:pStyle w:val="FootnoteText"/>
      </w:pPr>
      <w:r>
        <w:tab/>
        <w:t>(a)</w:t>
      </w:r>
      <w:r>
        <w:tab/>
        <w:t>from a person or thing to one or more other persons or things; and</w:t>
      </w:r>
    </w:p>
    <w:p w14:paraId="2E62BC04" w14:textId="686370B8" w:rsidR="0070096D" w:rsidRDefault="005A5A1D" w:rsidP="005A5A1D">
      <w:pPr>
        <w:pStyle w:val="FootnoteText"/>
      </w:pPr>
      <w:r>
        <w:tab/>
        <w:t>(b)</w:t>
      </w:r>
      <w:r>
        <w:tab/>
        <w:t>from one or more of the other persons or things to the first-named person or thing in paragraph (a).</w:t>
      </w:r>
    </w:p>
  </w:footnote>
  <w:footnote w:id="6">
    <w:p w14:paraId="5B21FED6" w14:textId="77777777" w:rsidR="00437A9C" w:rsidRDefault="00437A9C" w:rsidP="00437A9C">
      <w:pPr>
        <w:pStyle w:val="FootnoteText"/>
      </w:pPr>
      <w:r>
        <w:rPr>
          <w:rStyle w:val="FootnoteReference"/>
        </w:rPr>
        <w:footnoteRef/>
      </w:r>
      <w:r>
        <w:t xml:space="preserve"> </w:t>
      </w:r>
      <w:r>
        <w:rPr>
          <w:rFonts w:cs="Arial"/>
        </w:rPr>
        <w:t>Electronic Counter Measure (</w:t>
      </w:r>
      <w:r w:rsidRPr="00BC0FB8">
        <w:rPr>
          <w:rFonts w:cs="Arial"/>
        </w:rPr>
        <w:t>ECM</w:t>
      </w:r>
      <w:r>
        <w:rPr>
          <w:rFonts w:cs="Arial"/>
        </w:rPr>
        <w:t>)</w:t>
      </w:r>
      <w:r w:rsidRPr="00BC0FB8">
        <w:rPr>
          <w:rFonts w:cs="Arial"/>
        </w:rPr>
        <w:t xml:space="preserve"> devices can be used to thwart remote detonations of IEDs by causing interference to radiocommunications. ECM devices are a range of electrical or electronic devices designed to disrupt or deceive radar, sonar and other detection systems like infrared and laser, as well as remote detonators. The devices can cause interference to radiocommunications.</w:t>
      </w:r>
    </w:p>
  </w:footnote>
  <w:footnote w:id="7">
    <w:p w14:paraId="545E1784" w14:textId="67C15FCD" w:rsidR="00207B58" w:rsidRDefault="00207B58" w:rsidP="00207B58">
      <w:pPr>
        <w:pStyle w:val="FootnoteText"/>
      </w:pPr>
      <w:r>
        <w:rPr>
          <w:rStyle w:val="FootnoteReference"/>
        </w:rPr>
        <w:footnoteRef/>
      </w:r>
      <w:r>
        <w:t xml:space="preserve"> Under the innovation and industry development framework, operational/open-air testing can only be facilitated in cooperation with t</w:t>
      </w:r>
      <w:r w:rsidRPr="00CF2CE7">
        <w:t xml:space="preserve">he Australian Federal Police or the police force of </w:t>
      </w:r>
      <w:r w:rsidRPr="00584FBC">
        <w:t xml:space="preserve">a </w:t>
      </w:r>
      <w:r w:rsidRPr="00030844">
        <w:rPr>
          <w:vanish/>
        </w:rPr>
        <w:t>s</w:t>
      </w:r>
      <w:r w:rsidRPr="00584FBC">
        <w:t xml:space="preserve">tate or </w:t>
      </w:r>
      <w:r w:rsidRPr="00030844">
        <w:rPr>
          <w:vanish/>
        </w:rPr>
        <w:t>t</w:t>
      </w:r>
      <w:r w:rsidRPr="00584FBC">
        <w:t>erritory</w:t>
      </w:r>
      <w:r w:rsidR="00584FBC">
        <w:t>.</w:t>
      </w:r>
      <w:r>
        <w:t xml:space="preserve"> (</w:t>
      </w:r>
      <w:proofErr w:type="gramStart"/>
      <w:r>
        <w:t>collectively</w:t>
      </w:r>
      <w:proofErr w:type="gramEnd"/>
      <w:r>
        <w:t xml:space="preserve">, Australian Police), or a Prescribed Organisation specified in Schedule 3 of the </w:t>
      </w:r>
      <w:hyperlink r:id="rId1" w:history="1">
        <w:r w:rsidRPr="00306EA3">
          <w:rPr>
            <w:rStyle w:val="Hyperlink"/>
            <w:szCs w:val="20"/>
          </w:rPr>
          <w:t>Radiocommunications Regulations 1993</w:t>
        </w:r>
      </w:hyperlink>
      <w:r w:rsidRPr="00986592">
        <w:t>.</w:t>
      </w:r>
      <w:r w:rsidR="00232B73" w:rsidRPr="00232B73">
        <w:t xml:space="preserve"> </w:t>
      </w:r>
      <w:r w:rsidR="00232B73">
        <w:t>In practice, the ACMA will likely consult with the entities mentioned above before giving such permission.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8810" w14:textId="77777777" w:rsidR="00C053A1" w:rsidRPr="00A5474E" w:rsidRDefault="0021426C" w:rsidP="00A5474E">
    <w:pPr>
      <w:pStyle w:val="Header"/>
    </w:pPr>
    <w:r>
      <w:rPr>
        <w:noProof/>
      </w:rPr>
      <w:drawing>
        <wp:inline distT="0" distB="0" distL="0" distR="0" wp14:anchorId="19DE02E6" wp14:editId="7521EC4C">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C7A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B31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572E"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0DECDA6" w14:textId="77777777" w:rsidTr="0064465F">
      <w:trPr>
        <w:trHeight w:hRule="exact" w:val="988"/>
      </w:trPr>
      <w:tc>
        <w:tcPr>
          <w:tcW w:w="7678" w:type="dxa"/>
          <w:shd w:val="clear" w:color="auto" w:fill="auto"/>
        </w:tcPr>
        <w:p w14:paraId="4C0A43FB" w14:textId="77777777" w:rsidR="00971914" w:rsidRDefault="00971914" w:rsidP="00971914">
          <w:pPr>
            <w:pStyle w:val="Header"/>
          </w:pPr>
        </w:p>
      </w:tc>
    </w:tr>
    <w:tr w:rsidR="00971914" w14:paraId="6FF8AC21" w14:textId="77777777" w:rsidTr="0064465F">
      <w:tc>
        <w:tcPr>
          <w:tcW w:w="7678" w:type="dxa"/>
          <w:shd w:val="clear" w:color="auto" w:fill="auto"/>
        </w:tcPr>
        <w:p w14:paraId="3E842E80" w14:textId="77777777" w:rsidR="00971914" w:rsidRDefault="00971914" w:rsidP="00971914">
          <w:pPr>
            <w:pStyle w:val="GridTable31"/>
          </w:pPr>
          <w:r>
            <w:t xml:space="preserve">Contents </w:t>
          </w:r>
          <w:r w:rsidRPr="00915B1C">
            <w:rPr>
              <w:b w:val="0"/>
              <w:spacing w:val="0"/>
              <w:sz w:val="28"/>
              <w:szCs w:val="28"/>
            </w:rPr>
            <w:t>(Continued)</w:t>
          </w:r>
        </w:p>
      </w:tc>
    </w:tr>
    <w:tr w:rsidR="00971914" w14:paraId="6DBAB6D3" w14:textId="77777777" w:rsidTr="0064465F">
      <w:trPr>
        <w:trHeight w:val="1220"/>
      </w:trPr>
      <w:tc>
        <w:tcPr>
          <w:tcW w:w="7678" w:type="dxa"/>
          <w:shd w:val="clear" w:color="auto" w:fill="auto"/>
        </w:tcPr>
        <w:p w14:paraId="31F060B4" w14:textId="77777777" w:rsidR="00971914" w:rsidRDefault="00971914" w:rsidP="00971914"/>
      </w:tc>
    </w:tr>
  </w:tbl>
  <w:p w14:paraId="2F04A9E6"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B72945B" w14:textId="77777777" w:rsidTr="0064465F">
      <w:trPr>
        <w:trHeight w:hRule="exact" w:val="988"/>
      </w:trPr>
      <w:tc>
        <w:tcPr>
          <w:tcW w:w="7678" w:type="dxa"/>
          <w:shd w:val="clear" w:color="auto" w:fill="auto"/>
        </w:tcPr>
        <w:p w14:paraId="72CE9D39" w14:textId="77777777" w:rsidR="00971914" w:rsidRDefault="00971914" w:rsidP="00971914">
          <w:pPr>
            <w:pStyle w:val="Header"/>
          </w:pPr>
        </w:p>
      </w:tc>
    </w:tr>
    <w:tr w:rsidR="00971914" w14:paraId="577E0F1B" w14:textId="77777777" w:rsidTr="0064465F">
      <w:tc>
        <w:tcPr>
          <w:tcW w:w="7678" w:type="dxa"/>
          <w:shd w:val="clear" w:color="auto" w:fill="auto"/>
        </w:tcPr>
        <w:p w14:paraId="75B2629D" w14:textId="77777777" w:rsidR="00971914" w:rsidRDefault="00971914" w:rsidP="00971914">
          <w:pPr>
            <w:pStyle w:val="GridTable31"/>
          </w:pPr>
          <w:r>
            <w:t xml:space="preserve">Contents </w:t>
          </w:r>
          <w:r w:rsidRPr="00915B1C">
            <w:rPr>
              <w:b w:val="0"/>
              <w:spacing w:val="0"/>
              <w:sz w:val="28"/>
              <w:szCs w:val="28"/>
            </w:rPr>
            <w:t>(Continued)</w:t>
          </w:r>
        </w:p>
      </w:tc>
    </w:tr>
    <w:tr w:rsidR="00971914" w14:paraId="655C7519" w14:textId="77777777" w:rsidTr="0064465F">
      <w:trPr>
        <w:trHeight w:val="1220"/>
      </w:trPr>
      <w:tc>
        <w:tcPr>
          <w:tcW w:w="7678" w:type="dxa"/>
          <w:shd w:val="clear" w:color="auto" w:fill="auto"/>
        </w:tcPr>
        <w:p w14:paraId="1A165235" w14:textId="77777777" w:rsidR="00971914" w:rsidRDefault="00971914" w:rsidP="00971914"/>
      </w:tc>
    </w:tr>
  </w:tbl>
  <w:p w14:paraId="2705229D"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7C27"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B470"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7020905"/>
    <w:multiLevelType w:val="hybridMultilevel"/>
    <w:tmpl w:val="E5B845EC"/>
    <w:lvl w:ilvl="0" w:tplc="F6FA8E2A">
      <w:start w:val="1"/>
      <w:numFmt w:val="decimal"/>
      <w:lvlText w:val="%1."/>
      <w:lvlJc w:val="left"/>
      <w:pPr>
        <w:ind w:left="360" w:hanging="360"/>
      </w:pPr>
      <w:rPr>
        <w:rFonts w:ascii="Arial" w:hAnsi="Arial" w:cs="Arial" w:hint="default"/>
        <w:color w:val="auto"/>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9024E"/>
    <w:multiLevelType w:val="hybridMultilevel"/>
    <w:tmpl w:val="EB1A0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82783A"/>
    <w:multiLevelType w:val="hybridMultilevel"/>
    <w:tmpl w:val="0E24D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5873716">
    <w:abstractNumId w:val="3"/>
  </w:num>
  <w:num w:numId="2" w16cid:durableId="2053534305">
    <w:abstractNumId w:val="1"/>
  </w:num>
  <w:num w:numId="3" w16cid:durableId="1759862102">
    <w:abstractNumId w:val="2"/>
  </w:num>
  <w:num w:numId="4" w16cid:durableId="289828914">
    <w:abstractNumId w:val="0"/>
  </w:num>
  <w:num w:numId="5" w16cid:durableId="1682007856">
    <w:abstractNumId w:val="7"/>
  </w:num>
  <w:num w:numId="6" w16cid:durableId="1493448702">
    <w:abstractNumId w:val="12"/>
  </w:num>
  <w:num w:numId="7" w16cid:durableId="269824207">
    <w:abstractNumId w:val="10"/>
  </w:num>
  <w:num w:numId="8" w16cid:durableId="376129261">
    <w:abstractNumId w:val="11"/>
  </w:num>
  <w:num w:numId="9" w16cid:durableId="233468745">
    <w:abstractNumId w:val="13"/>
  </w:num>
  <w:num w:numId="10" w16cid:durableId="2048023504">
    <w:abstractNumId w:val="5"/>
  </w:num>
  <w:num w:numId="11" w16cid:durableId="1504198449">
    <w:abstractNumId w:val="4"/>
  </w:num>
  <w:num w:numId="12" w16cid:durableId="880870471">
    <w:abstractNumId w:val="3"/>
  </w:num>
  <w:num w:numId="13" w16cid:durableId="1404571383">
    <w:abstractNumId w:val="2"/>
    <w:lvlOverride w:ilvl="0">
      <w:startOverride w:val="1"/>
    </w:lvlOverride>
  </w:num>
  <w:num w:numId="14" w16cid:durableId="465049474">
    <w:abstractNumId w:val="2"/>
    <w:lvlOverride w:ilvl="0">
      <w:startOverride w:val="1"/>
    </w:lvlOverride>
  </w:num>
  <w:num w:numId="15" w16cid:durableId="1643999557">
    <w:abstractNumId w:val="2"/>
    <w:lvlOverride w:ilvl="0">
      <w:startOverride w:val="1"/>
    </w:lvlOverride>
  </w:num>
  <w:num w:numId="16" w16cid:durableId="1972438609">
    <w:abstractNumId w:val="8"/>
  </w:num>
  <w:num w:numId="17" w16cid:durableId="172695409">
    <w:abstractNumId w:val="2"/>
    <w:lvlOverride w:ilvl="0">
      <w:startOverride w:val="1"/>
    </w:lvlOverride>
  </w:num>
  <w:num w:numId="18" w16cid:durableId="2085177664">
    <w:abstractNumId w:val="3"/>
  </w:num>
  <w:num w:numId="19" w16cid:durableId="212932625">
    <w:abstractNumId w:val="3"/>
  </w:num>
  <w:num w:numId="20" w16cid:durableId="1801874647">
    <w:abstractNumId w:val="6"/>
  </w:num>
  <w:num w:numId="21" w16cid:durableId="269092118">
    <w:abstractNumId w:val="9"/>
  </w:num>
  <w:num w:numId="22" w16cid:durableId="1048803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8410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1196397">
    <w:abstractNumId w:val="14"/>
  </w:num>
  <w:num w:numId="25" w16cid:durableId="78446754">
    <w:abstractNumId w:val="3"/>
  </w:num>
  <w:num w:numId="26" w16cid:durableId="1381590145">
    <w:abstractNumId w:val="15"/>
  </w:num>
  <w:num w:numId="27" w16cid:durableId="47575747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A6"/>
    <w:rsid w:val="000000E5"/>
    <w:rsid w:val="000007AD"/>
    <w:rsid w:val="0000497B"/>
    <w:rsid w:val="00006E68"/>
    <w:rsid w:val="00007099"/>
    <w:rsid w:val="0000782E"/>
    <w:rsid w:val="00010667"/>
    <w:rsid w:val="00012325"/>
    <w:rsid w:val="000129D5"/>
    <w:rsid w:val="000133AB"/>
    <w:rsid w:val="00013D2F"/>
    <w:rsid w:val="00015AE7"/>
    <w:rsid w:val="00016E21"/>
    <w:rsid w:val="0001719C"/>
    <w:rsid w:val="00017A4B"/>
    <w:rsid w:val="000206D5"/>
    <w:rsid w:val="0002224E"/>
    <w:rsid w:val="00022D3B"/>
    <w:rsid w:val="000232CE"/>
    <w:rsid w:val="000236BA"/>
    <w:rsid w:val="000237A2"/>
    <w:rsid w:val="00023A36"/>
    <w:rsid w:val="000245E5"/>
    <w:rsid w:val="00026BBF"/>
    <w:rsid w:val="00026F91"/>
    <w:rsid w:val="000307AA"/>
    <w:rsid w:val="00030844"/>
    <w:rsid w:val="0003100C"/>
    <w:rsid w:val="00032621"/>
    <w:rsid w:val="00033861"/>
    <w:rsid w:val="00033B24"/>
    <w:rsid w:val="00034502"/>
    <w:rsid w:val="00035CB1"/>
    <w:rsid w:val="000374FD"/>
    <w:rsid w:val="00045C43"/>
    <w:rsid w:val="00047328"/>
    <w:rsid w:val="0004764C"/>
    <w:rsid w:val="0005011A"/>
    <w:rsid w:val="0005031B"/>
    <w:rsid w:val="0005045A"/>
    <w:rsid w:val="00050953"/>
    <w:rsid w:val="00051C1E"/>
    <w:rsid w:val="00052849"/>
    <w:rsid w:val="000539F9"/>
    <w:rsid w:val="00054C27"/>
    <w:rsid w:val="00054FEB"/>
    <w:rsid w:val="00055B1F"/>
    <w:rsid w:val="00055EC3"/>
    <w:rsid w:val="000563CE"/>
    <w:rsid w:val="000569DB"/>
    <w:rsid w:val="00061A0B"/>
    <w:rsid w:val="0006397E"/>
    <w:rsid w:val="0006465B"/>
    <w:rsid w:val="00065960"/>
    <w:rsid w:val="000659B6"/>
    <w:rsid w:val="0006686F"/>
    <w:rsid w:val="0006722A"/>
    <w:rsid w:val="000676D1"/>
    <w:rsid w:val="00067EE1"/>
    <w:rsid w:val="00070C57"/>
    <w:rsid w:val="00071774"/>
    <w:rsid w:val="00072A80"/>
    <w:rsid w:val="000732CF"/>
    <w:rsid w:val="00074D96"/>
    <w:rsid w:val="00074F60"/>
    <w:rsid w:val="000750AE"/>
    <w:rsid w:val="00075B1D"/>
    <w:rsid w:val="00075B96"/>
    <w:rsid w:val="00075FA2"/>
    <w:rsid w:val="000779E7"/>
    <w:rsid w:val="0008196A"/>
    <w:rsid w:val="0008221B"/>
    <w:rsid w:val="0008681D"/>
    <w:rsid w:val="00087AB3"/>
    <w:rsid w:val="00090126"/>
    <w:rsid w:val="000915ED"/>
    <w:rsid w:val="0009161E"/>
    <w:rsid w:val="0009209D"/>
    <w:rsid w:val="00092963"/>
    <w:rsid w:val="00093C53"/>
    <w:rsid w:val="0009463C"/>
    <w:rsid w:val="00095541"/>
    <w:rsid w:val="00096837"/>
    <w:rsid w:val="000969BD"/>
    <w:rsid w:val="000969BF"/>
    <w:rsid w:val="000A0C22"/>
    <w:rsid w:val="000A0EBD"/>
    <w:rsid w:val="000A1400"/>
    <w:rsid w:val="000A15B8"/>
    <w:rsid w:val="000A32A6"/>
    <w:rsid w:val="000A3454"/>
    <w:rsid w:val="000A3ABF"/>
    <w:rsid w:val="000A3C43"/>
    <w:rsid w:val="000A4A1C"/>
    <w:rsid w:val="000A4A51"/>
    <w:rsid w:val="000A54E6"/>
    <w:rsid w:val="000A5D2B"/>
    <w:rsid w:val="000A6EED"/>
    <w:rsid w:val="000B1807"/>
    <w:rsid w:val="000B4664"/>
    <w:rsid w:val="000B4C80"/>
    <w:rsid w:val="000B56BD"/>
    <w:rsid w:val="000B5D19"/>
    <w:rsid w:val="000B5DE3"/>
    <w:rsid w:val="000B7B1D"/>
    <w:rsid w:val="000C0A57"/>
    <w:rsid w:val="000C18E0"/>
    <w:rsid w:val="000C230C"/>
    <w:rsid w:val="000C2865"/>
    <w:rsid w:val="000C3644"/>
    <w:rsid w:val="000C3DDB"/>
    <w:rsid w:val="000C40B8"/>
    <w:rsid w:val="000C4978"/>
    <w:rsid w:val="000C5557"/>
    <w:rsid w:val="000C6AB4"/>
    <w:rsid w:val="000C6F27"/>
    <w:rsid w:val="000D35FA"/>
    <w:rsid w:val="000D43C6"/>
    <w:rsid w:val="000D4B62"/>
    <w:rsid w:val="000D5486"/>
    <w:rsid w:val="000D71D9"/>
    <w:rsid w:val="000D76E0"/>
    <w:rsid w:val="000D7B4B"/>
    <w:rsid w:val="000D7E8B"/>
    <w:rsid w:val="000E0C14"/>
    <w:rsid w:val="000E0E5F"/>
    <w:rsid w:val="000E1445"/>
    <w:rsid w:val="000E4449"/>
    <w:rsid w:val="000E52C7"/>
    <w:rsid w:val="000E5958"/>
    <w:rsid w:val="000E6097"/>
    <w:rsid w:val="000F0393"/>
    <w:rsid w:val="000F1332"/>
    <w:rsid w:val="000F21A8"/>
    <w:rsid w:val="000F35C5"/>
    <w:rsid w:val="000F42D7"/>
    <w:rsid w:val="000F483A"/>
    <w:rsid w:val="000F63A3"/>
    <w:rsid w:val="00101FB6"/>
    <w:rsid w:val="00102B3A"/>
    <w:rsid w:val="00103829"/>
    <w:rsid w:val="00103B62"/>
    <w:rsid w:val="001060ED"/>
    <w:rsid w:val="001100DF"/>
    <w:rsid w:val="00111FCE"/>
    <w:rsid w:val="001139B1"/>
    <w:rsid w:val="00115137"/>
    <w:rsid w:val="00115804"/>
    <w:rsid w:val="00115D28"/>
    <w:rsid w:val="00116FB5"/>
    <w:rsid w:val="001229A5"/>
    <w:rsid w:val="00122DCC"/>
    <w:rsid w:val="0012483F"/>
    <w:rsid w:val="0012489B"/>
    <w:rsid w:val="00124BEA"/>
    <w:rsid w:val="0012564C"/>
    <w:rsid w:val="00126491"/>
    <w:rsid w:val="00130017"/>
    <w:rsid w:val="00130F91"/>
    <w:rsid w:val="00132DD2"/>
    <w:rsid w:val="001343C2"/>
    <w:rsid w:val="001349ED"/>
    <w:rsid w:val="001367BC"/>
    <w:rsid w:val="00137424"/>
    <w:rsid w:val="00140318"/>
    <w:rsid w:val="00141AD9"/>
    <w:rsid w:val="00141E3F"/>
    <w:rsid w:val="00141E75"/>
    <w:rsid w:val="001423E7"/>
    <w:rsid w:val="00145E0C"/>
    <w:rsid w:val="001468CB"/>
    <w:rsid w:val="00146CE6"/>
    <w:rsid w:val="001474BB"/>
    <w:rsid w:val="001521DB"/>
    <w:rsid w:val="00152903"/>
    <w:rsid w:val="001530F0"/>
    <w:rsid w:val="001539C8"/>
    <w:rsid w:val="00153FD0"/>
    <w:rsid w:val="00153FD5"/>
    <w:rsid w:val="00154317"/>
    <w:rsid w:val="001546A6"/>
    <w:rsid w:val="001547CD"/>
    <w:rsid w:val="0015614F"/>
    <w:rsid w:val="00157225"/>
    <w:rsid w:val="001577C2"/>
    <w:rsid w:val="0016046E"/>
    <w:rsid w:val="00162A4A"/>
    <w:rsid w:val="001633C4"/>
    <w:rsid w:val="001704D5"/>
    <w:rsid w:val="0017062A"/>
    <w:rsid w:val="00170F07"/>
    <w:rsid w:val="00171591"/>
    <w:rsid w:val="00171C3C"/>
    <w:rsid w:val="00172115"/>
    <w:rsid w:val="00172692"/>
    <w:rsid w:val="00172974"/>
    <w:rsid w:val="00173981"/>
    <w:rsid w:val="00174482"/>
    <w:rsid w:val="00174DCC"/>
    <w:rsid w:val="00175796"/>
    <w:rsid w:val="0017719D"/>
    <w:rsid w:val="00181D4C"/>
    <w:rsid w:val="00183FD7"/>
    <w:rsid w:val="001858F4"/>
    <w:rsid w:val="00185CAB"/>
    <w:rsid w:val="001867F1"/>
    <w:rsid w:val="00186E12"/>
    <w:rsid w:val="001875B7"/>
    <w:rsid w:val="00187CB3"/>
    <w:rsid w:val="0019050A"/>
    <w:rsid w:val="001910D4"/>
    <w:rsid w:val="00192253"/>
    <w:rsid w:val="00193EF0"/>
    <w:rsid w:val="0019438F"/>
    <w:rsid w:val="001976E3"/>
    <w:rsid w:val="001A0FC7"/>
    <w:rsid w:val="001A12DA"/>
    <w:rsid w:val="001A1B95"/>
    <w:rsid w:val="001A325D"/>
    <w:rsid w:val="001A3F5C"/>
    <w:rsid w:val="001A44EC"/>
    <w:rsid w:val="001A4B18"/>
    <w:rsid w:val="001A5072"/>
    <w:rsid w:val="001A5587"/>
    <w:rsid w:val="001A5CB4"/>
    <w:rsid w:val="001A5FB8"/>
    <w:rsid w:val="001A7862"/>
    <w:rsid w:val="001B141A"/>
    <w:rsid w:val="001B4C1D"/>
    <w:rsid w:val="001B58AA"/>
    <w:rsid w:val="001B6744"/>
    <w:rsid w:val="001B6F6C"/>
    <w:rsid w:val="001B7E48"/>
    <w:rsid w:val="001B7FF1"/>
    <w:rsid w:val="001C0BA8"/>
    <w:rsid w:val="001C17CE"/>
    <w:rsid w:val="001C36CA"/>
    <w:rsid w:val="001C4114"/>
    <w:rsid w:val="001C44D1"/>
    <w:rsid w:val="001C6593"/>
    <w:rsid w:val="001C6764"/>
    <w:rsid w:val="001C68CE"/>
    <w:rsid w:val="001C6AEE"/>
    <w:rsid w:val="001C7630"/>
    <w:rsid w:val="001C7A92"/>
    <w:rsid w:val="001D0BC8"/>
    <w:rsid w:val="001D0D1F"/>
    <w:rsid w:val="001D112B"/>
    <w:rsid w:val="001D1B72"/>
    <w:rsid w:val="001D1C08"/>
    <w:rsid w:val="001D28FB"/>
    <w:rsid w:val="001D30E7"/>
    <w:rsid w:val="001D389F"/>
    <w:rsid w:val="001D4FBB"/>
    <w:rsid w:val="001D59A3"/>
    <w:rsid w:val="001D5FBE"/>
    <w:rsid w:val="001D66DA"/>
    <w:rsid w:val="001D67A2"/>
    <w:rsid w:val="001D6D15"/>
    <w:rsid w:val="001D752B"/>
    <w:rsid w:val="001E0CCB"/>
    <w:rsid w:val="001E111B"/>
    <w:rsid w:val="001E1187"/>
    <w:rsid w:val="001E2862"/>
    <w:rsid w:val="001E3598"/>
    <w:rsid w:val="001F50F7"/>
    <w:rsid w:val="001F7558"/>
    <w:rsid w:val="00201EE2"/>
    <w:rsid w:val="00202C77"/>
    <w:rsid w:val="00202CB2"/>
    <w:rsid w:val="00203019"/>
    <w:rsid w:val="00203AE9"/>
    <w:rsid w:val="00203D0A"/>
    <w:rsid w:val="00204E5A"/>
    <w:rsid w:val="00205B57"/>
    <w:rsid w:val="002078E0"/>
    <w:rsid w:val="00207B58"/>
    <w:rsid w:val="00207FB2"/>
    <w:rsid w:val="0021200B"/>
    <w:rsid w:val="00212CF4"/>
    <w:rsid w:val="0021387F"/>
    <w:rsid w:val="0021426C"/>
    <w:rsid w:val="0021465B"/>
    <w:rsid w:val="00215562"/>
    <w:rsid w:val="002157E0"/>
    <w:rsid w:val="0021588B"/>
    <w:rsid w:val="00216A57"/>
    <w:rsid w:val="002170B9"/>
    <w:rsid w:val="00217448"/>
    <w:rsid w:val="0022002C"/>
    <w:rsid w:val="00220ACE"/>
    <w:rsid w:val="00220E48"/>
    <w:rsid w:val="00220FFD"/>
    <w:rsid w:val="0022334F"/>
    <w:rsid w:val="002242E3"/>
    <w:rsid w:val="00226819"/>
    <w:rsid w:val="00227C0B"/>
    <w:rsid w:val="00230354"/>
    <w:rsid w:val="002303B2"/>
    <w:rsid w:val="0023244B"/>
    <w:rsid w:val="002328EB"/>
    <w:rsid w:val="00232B73"/>
    <w:rsid w:val="00233101"/>
    <w:rsid w:val="00233817"/>
    <w:rsid w:val="0023539A"/>
    <w:rsid w:val="0023625B"/>
    <w:rsid w:val="002364A7"/>
    <w:rsid w:val="002367FF"/>
    <w:rsid w:val="002402D1"/>
    <w:rsid w:val="00240CE9"/>
    <w:rsid w:val="00241408"/>
    <w:rsid w:val="00241DF4"/>
    <w:rsid w:val="002423D1"/>
    <w:rsid w:val="002425AD"/>
    <w:rsid w:val="002434BA"/>
    <w:rsid w:val="002437A4"/>
    <w:rsid w:val="00246089"/>
    <w:rsid w:val="00246093"/>
    <w:rsid w:val="00246702"/>
    <w:rsid w:val="00247235"/>
    <w:rsid w:val="0024761F"/>
    <w:rsid w:val="00247C59"/>
    <w:rsid w:val="00247F2E"/>
    <w:rsid w:val="002503D7"/>
    <w:rsid w:val="0025066F"/>
    <w:rsid w:val="00250ADC"/>
    <w:rsid w:val="00250B07"/>
    <w:rsid w:val="0025251A"/>
    <w:rsid w:val="002536CC"/>
    <w:rsid w:val="00256909"/>
    <w:rsid w:val="00257553"/>
    <w:rsid w:val="00257DA6"/>
    <w:rsid w:val="00260FB2"/>
    <w:rsid w:val="002617DE"/>
    <w:rsid w:val="00262128"/>
    <w:rsid w:val="00270401"/>
    <w:rsid w:val="00270E4C"/>
    <w:rsid w:val="0027165D"/>
    <w:rsid w:val="002737B1"/>
    <w:rsid w:val="002739B7"/>
    <w:rsid w:val="00273CEB"/>
    <w:rsid w:val="00274C15"/>
    <w:rsid w:val="002763CD"/>
    <w:rsid w:val="00276ED8"/>
    <w:rsid w:val="0028013E"/>
    <w:rsid w:val="00281C89"/>
    <w:rsid w:val="0028282F"/>
    <w:rsid w:val="00282B9B"/>
    <w:rsid w:val="00283D90"/>
    <w:rsid w:val="00284293"/>
    <w:rsid w:val="00284315"/>
    <w:rsid w:val="002874F4"/>
    <w:rsid w:val="0029593B"/>
    <w:rsid w:val="00297FC5"/>
    <w:rsid w:val="002A0417"/>
    <w:rsid w:val="002A104E"/>
    <w:rsid w:val="002A1343"/>
    <w:rsid w:val="002A16D8"/>
    <w:rsid w:val="002A1BC8"/>
    <w:rsid w:val="002A2333"/>
    <w:rsid w:val="002A3A0A"/>
    <w:rsid w:val="002A3EF2"/>
    <w:rsid w:val="002A5B5A"/>
    <w:rsid w:val="002B071B"/>
    <w:rsid w:val="002B0DED"/>
    <w:rsid w:val="002B151D"/>
    <w:rsid w:val="002B19A2"/>
    <w:rsid w:val="002B1FFF"/>
    <w:rsid w:val="002B35D0"/>
    <w:rsid w:val="002B381A"/>
    <w:rsid w:val="002B3AC5"/>
    <w:rsid w:val="002B3BA4"/>
    <w:rsid w:val="002B3DF4"/>
    <w:rsid w:val="002B3ED5"/>
    <w:rsid w:val="002B3F9B"/>
    <w:rsid w:val="002B4821"/>
    <w:rsid w:val="002B4FCC"/>
    <w:rsid w:val="002B6649"/>
    <w:rsid w:val="002B7408"/>
    <w:rsid w:val="002B7CFD"/>
    <w:rsid w:val="002B7DED"/>
    <w:rsid w:val="002C0530"/>
    <w:rsid w:val="002C210F"/>
    <w:rsid w:val="002C3C1E"/>
    <w:rsid w:val="002C4667"/>
    <w:rsid w:val="002C6660"/>
    <w:rsid w:val="002D2088"/>
    <w:rsid w:val="002D21C7"/>
    <w:rsid w:val="002D279B"/>
    <w:rsid w:val="002D298E"/>
    <w:rsid w:val="002D3600"/>
    <w:rsid w:val="002D3ABC"/>
    <w:rsid w:val="002D3D19"/>
    <w:rsid w:val="002D714D"/>
    <w:rsid w:val="002D73B5"/>
    <w:rsid w:val="002E0C33"/>
    <w:rsid w:val="002E477C"/>
    <w:rsid w:val="002E4DDC"/>
    <w:rsid w:val="002F059C"/>
    <w:rsid w:val="002F29C5"/>
    <w:rsid w:val="002F33C8"/>
    <w:rsid w:val="002F3677"/>
    <w:rsid w:val="002F36A3"/>
    <w:rsid w:val="002F438C"/>
    <w:rsid w:val="002F5333"/>
    <w:rsid w:val="002F6BC7"/>
    <w:rsid w:val="00300423"/>
    <w:rsid w:val="00300A7C"/>
    <w:rsid w:val="003010D3"/>
    <w:rsid w:val="00302480"/>
    <w:rsid w:val="00302631"/>
    <w:rsid w:val="00302758"/>
    <w:rsid w:val="00302BEF"/>
    <w:rsid w:val="00303E3D"/>
    <w:rsid w:val="0030529B"/>
    <w:rsid w:val="0030583E"/>
    <w:rsid w:val="00306AF5"/>
    <w:rsid w:val="00306EA3"/>
    <w:rsid w:val="00311531"/>
    <w:rsid w:val="00311B1F"/>
    <w:rsid w:val="003131C4"/>
    <w:rsid w:val="00313955"/>
    <w:rsid w:val="0031443C"/>
    <w:rsid w:val="00314895"/>
    <w:rsid w:val="003165E6"/>
    <w:rsid w:val="0031666D"/>
    <w:rsid w:val="003179EF"/>
    <w:rsid w:val="0032037C"/>
    <w:rsid w:val="00321508"/>
    <w:rsid w:val="003215B5"/>
    <w:rsid w:val="003221CF"/>
    <w:rsid w:val="003233ED"/>
    <w:rsid w:val="00323FAF"/>
    <w:rsid w:val="00324106"/>
    <w:rsid w:val="00324D9F"/>
    <w:rsid w:val="003253EE"/>
    <w:rsid w:val="00326869"/>
    <w:rsid w:val="003269CB"/>
    <w:rsid w:val="00327948"/>
    <w:rsid w:val="00327D11"/>
    <w:rsid w:val="00327DB4"/>
    <w:rsid w:val="0033000F"/>
    <w:rsid w:val="00330947"/>
    <w:rsid w:val="00331A2B"/>
    <w:rsid w:val="00332011"/>
    <w:rsid w:val="00332518"/>
    <w:rsid w:val="00332925"/>
    <w:rsid w:val="00332CE5"/>
    <w:rsid w:val="00332E3F"/>
    <w:rsid w:val="003332ED"/>
    <w:rsid w:val="00333587"/>
    <w:rsid w:val="00333CB8"/>
    <w:rsid w:val="0033474F"/>
    <w:rsid w:val="00335D7D"/>
    <w:rsid w:val="003368DC"/>
    <w:rsid w:val="0033698C"/>
    <w:rsid w:val="003374E8"/>
    <w:rsid w:val="00337DF9"/>
    <w:rsid w:val="00340419"/>
    <w:rsid w:val="003406EA"/>
    <w:rsid w:val="00341156"/>
    <w:rsid w:val="0034190D"/>
    <w:rsid w:val="00342A73"/>
    <w:rsid w:val="00342B70"/>
    <w:rsid w:val="0034341E"/>
    <w:rsid w:val="00343803"/>
    <w:rsid w:val="0034490B"/>
    <w:rsid w:val="00344CC4"/>
    <w:rsid w:val="00345927"/>
    <w:rsid w:val="0034653C"/>
    <w:rsid w:val="00347A83"/>
    <w:rsid w:val="00350584"/>
    <w:rsid w:val="00350D46"/>
    <w:rsid w:val="0035141F"/>
    <w:rsid w:val="00351857"/>
    <w:rsid w:val="00351B61"/>
    <w:rsid w:val="00351D91"/>
    <w:rsid w:val="003545E8"/>
    <w:rsid w:val="00355357"/>
    <w:rsid w:val="003561C4"/>
    <w:rsid w:val="00357457"/>
    <w:rsid w:val="00360F9E"/>
    <w:rsid w:val="003610E1"/>
    <w:rsid w:val="00362F56"/>
    <w:rsid w:val="00363A38"/>
    <w:rsid w:val="00364627"/>
    <w:rsid w:val="00364C24"/>
    <w:rsid w:val="00364E3C"/>
    <w:rsid w:val="00365CC8"/>
    <w:rsid w:val="003670C8"/>
    <w:rsid w:val="003671BE"/>
    <w:rsid w:val="00367483"/>
    <w:rsid w:val="0036767A"/>
    <w:rsid w:val="00367BA4"/>
    <w:rsid w:val="00367D50"/>
    <w:rsid w:val="00372485"/>
    <w:rsid w:val="00373200"/>
    <w:rsid w:val="00373F87"/>
    <w:rsid w:val="00374ED4"/>
    <w:rsid w:val="00375EF5"/>
    <w:rsid w:val="003767A5"/>
    <w:rsid w:val="00380022"/>
    <w:rsid w:val="003803BD"/>
    <w:rsid w:val="00380F80"/>
    <w:rsid w:val="00381D15"/>
    <w:rsid w:val="0038201F"/>
    <w:rsid w:val="00382A3A"/>
    <w:rsid w:val="00382FB5"/>
    <w:rsid w:val="003843C5"/>
    <w:rsid w:val="00385254"/>
    <w:rsid w:val="003853FD"/>
    <w:rsid w:val="00385707"/>
    <w:rsid w:val="00385B9E"/>
    <w:rsid w:val="00385C9C"/>
    <w:rsid w:val="00386285"/>
    <w:rsid w:val="00387181"/>
    <w:rsid w:val="00387BF1"/>
    <w:rsid w:val="00390D91"/>
    <w:rsid w:val="00391F9A"/>
    <w:rsid w:val="003933E8"/>
    <w:rsid w:val="00393632"/>
    <w:rsid w:val="00394031"/>
    <w:rsid w:val="00394B23"/>
    <w:rsid w:val="0039624C"/>
    <w:rsid w:val="00396DC2"/>
    <w:rsid w:val="003A04DB"/>
    <w:rsid w:val="003A10F9"/>
    <w:rsid w:val="003A5F5B"/>
    <w:rsid w:val="003A643A"/>
    <w:rsid w:val="003A789A"/>
    <w:rsid w:val="003A798E"/>
    <w:rsid w:val="003A7A90"/>
    <w:rsid w:val="003B01AB"/>
    <w:rsid w:val="003B0F33"/>
    <w:rsid w:val="003B12EC"/>
    <w:rsid w:val="003B13A2"/>
    <w:rsid w:val="003B1CF0"/>
    <w:rsid w:val="003B2BE0"/>
    <w:rsid w:val="003B518E"/>
    <w:rsid w:val="003B7AD4"/>
    <w:rsid w:val="003C03B8"/>
    <w:rsid w:val="003C10BF"/>
    <w:rsid w:val="003C39EB"/>
    <w:rsid w:val="003C5408"/>
    <w:rsid w:val="003C7385"/>
    <w:rsid w:val="003C77E0"/>
    <w:rsid w:val="003D17D7"/>
    <w:rsid w:val="003D2678"/>
    <w:rsid w:val="003D285B"/>
    <w:rsid w:val="003D2994"/>
    <w:rsid w:val="003D381E"/>
    <w:rsid w:val="003D3B64"/>
    <w:rsid w:val="003D5329"/>
    <w:rsid w:val="003D5339"/>
    <w:rsid w:val="003D71A3"/>
    <w:rsid w:val="003E071A"/>
    <w:rsid w:val="003E0AEE"/>
    <w:rsid w:val="003E1A99"/>
    <w:rsid w:val="003E2B8A"/>
    <w:rsid w:val="003E41C3"/>
    <w:rsid w:val="003E4A17"/>
    <w:rsid w:val="003E4DFB"/>
    <w:rsid w:val="003E7510"/>
    <w:rsid w:val="003F0396"/>
    <w:rsid w:val="003F10EE"/>
    <w:rsid w:val="003F16F6"/>
    <w:rsid w:val="003F2914"/>
    <w:rsid w:val="003F314B"/>
    <w:rsid w:val="003F33DE"/>
    <w:rsid w:val="003F3492"/>
    <w:rsid w:val="003F4DC7"/>
    <w:rsid w:val="003F5235"/>
    <w:rsid w:val="003F64AA"/>
    <w:rsid w:val="003F6CCD"/>
    <w:rsid w:val="004005D9"/>
    <w:rsid w:val="004027E4"/>
    <w:rsid w:val="00405265"/>
    <w:rsid w:val="004063A4"/>
    <w:rsid w:val="00406ABA"/>
    <w:rsid w:val="004073AB"/>
    <w:rsid w:val="00407D4A"/>
    <w:rsid w:val="00410205"/>
    <w:rsid w:val="00410681"/>
    <w:rsid w:val="0041071D"/>
    <w:rsid w:val="00412F78"/>
    <w:rsid w:val="00414059"/>
    <w:rsid w:val="00414AFC"/>
    <w:rsid w:val="00414FDC"/>
    <w:rsid w:val="00415038"/>
    <w:rsid w:val="004151A7"/>
    <w:rsid w:val="00415310"/>
    <w:rsid w:val="0041563E"/>
    <w:rsid w:val="00415741"/>
    <w:rsid w:val="00417B96"/>
    <w:rsid w:val="00420475"/>
    <w:rsid w:val="00421709"/>
    <w:rsid w:val="00421D04"/>
    <w:rsid w:val="00422C34"/>
    <w:rsid w:val="00423763"/>
    <w:rsid w:val="00423BA0"/>
    <w:rsid w:val="00423C30"/>
    <w:rsid w:val="00424248"/>
    <w:rsid w:val="0042762F"/>
    <w:rsid w:val="00427DC7"/>
    <w:rsid w:val="00430976"/>
    <w:rsid w:val="00430D81"/>
    <w:rsid w:val="00431613"/>
    <w:rsid w:val="00431792"/>
    <w:rsid w:val="004319EC"/>
    <w:rsid w:val="0043297A"/>
    <w:rsid w:val="00432EB2"/>
    <w:rsid w:val="004335B1"/>
    <w:rsid w:val="00434ECC"/>
    <w:rsid w:val="00435FEA"/>
    <w:rsid w:val="004362B3"/>
    <w:rsid w:val="0043714F"/>
    <w:rsid w:val="00437A9C"/>
    <w:rsid w:val="0044055D"/>
    <w:rsid w:val="00440E79"/>
    <w:rsid w:val="00442935"/>
    <w:rsid w:val="00442A7D"/>
    <w:rsid w:val="0044340A"/>
    <w:rsid w:val="004438B5"/>
    <w:rsid w:val="00443E61"/>
    <w:rsid w:val="00444046"/>
    <w:rsid w:val="004458E0"/>
    <w:rsid w:val="00446F48"/>
    <w:rsid w:val="00447037"/>
    <w:rsid w:val="00447B78"/>
    <w:rsid w:val="00450BBD"/>
    <w:rsid w:val="0045124D"/>
    <w:rsid w:val="0045159E"/>
    <w:rsid w:val="004527FB"/>
    <w:rsid w:val="00453AEC"/>
    <w:rsid w:val="00454596"/>
    <w:rsid w:val="00454FF3"/>
    <w:rsid w:val="0045605D"/>
    <w:rsid w:val="00456633"/>
    <w:rsid w:val="004575B7"/>
    <w:rsid w:val="00460F3C"/>
    <w:rsid w:val="0046135B"/>
    <w:rsid w:val="00461D47"/>
    <w:rsid w:val="00462A78"/>
    <w:rsid w:val="00463211"/>
    <w:rsid w:val="0046513E"/>
    <w:rsid w:val="004654A6"/>
    <w:rsid w:val="00465CB3"/>
    <w:rsid w:val="00465DB7"/>
    <w:rsid w:val="00465F76"/>
    <w:rsid w:val="00466212"/>
    <w:rsid w:val="004707B7"/>
    <w:rsid w:val="004718CC"/>
    <w:rsid w:val="0047249E"/>
    <w:rsid w:val="00472F0C"/>
    <w:rsid w:val="00474408"/>
    <w:rsid w:val="00477BF8"/>
    <w:rsid w:val="0048119A"/>
    <w:rsid w:val="004813C2"/>
    <w:rsid w:val="00481695"/>
    <w:rsid w:val="00483F78"/>
    <w:rsid w:val="00484969"/>
    <w:rsid w:val="004855B0"/>
    <w:rsid w:val="00485E9F"/>
    <w:rsid w:val="004861A0"/>
    <w:rsid w:val="00486920"/>
    <w:rsid w:val="00486FF6"/>
    <w:rsid w:val="0049316A"/>
    <w:rsid w:val="00495A96"/>
    <w:rsid w:val="00495BB3"/>
    <w:rsid w:val="004A0B66"/>
    <w:rsid w:val="004A137D"/>
    <w:rsid w:val="004A308A"/>
    <w:rsid w:val="004A33AF"/>
    <w:rsid w:val="004A3C48"/>
    <w:rsid w:val="004A56BB"/>
    <w:rsid w:val="004A6E97"/>
    <w:rsid w:val="004A70D6"/>
    <w:rsid w:val="004B1751"/>
    <w:rsid w:val="004B1A8D"/>
    <w:rsid w:val="004B20F6"/>
    <w:rsid w:val="004B2CE8"/>
    <w:rsid w:val="004B4139"/>
    <w:rsid w:val="004C0253"/>
    <w:rsid w:val="004C071C"/>
    <w:rsid w:val="004C0D85"/>
    <w:rsid w:val="004C0D88"/>
    <w:rsid w:val="004C3B45"/>
    <w:rsid w:val="004C4FD9"/>
    <w:rsid w:val="004C7B59"/>
    <w:rsid w:val="004D14B1"/>
    <w:rsid w:val="004D1A38"/>
    <w:rsid w:val="004D4E50"/>
    <w:rsid w:val="004D56FF"/>
    <w:rsid w:val="004E39D3"/>
    <w:rsid w:val="004E3CE1"/>
    <w:rsid w:val="004E508A"/>
    <w:rsid w:val="004E616D"/>
    <w:rsid w:val="004E66E8"/>
    <w:rsid w:val="004E7D8F"/>
    <w:rsid w:val="004F1BDE"/>
    <w:rsid w:val="004F2290"/>
    <w:rsid w:val="004F2CEE"/>
    <w:rsid w:val="004F3DE0"/>
    <w:rsid w:val="004F4365"/>
    <w:rsid w:val="004F4742"/>
    <w:rsid w:val="004F4BE8"/>
    <w:rsid w:val="004F556E"/>
    <w:rsid w:val="004F591C"/>
    <w:rsid w:val="004F6F67"/>
    <w:rsid w:val="004F7F44"/>
    <w:rsid w:val="00500692"/>
    <w:rsid w:val="00500F0A"/>
    <w:rsid w:val="005037B4"/>
    <w:rsid w:val="005039BE"/>
    <w:rsid w:val="0050630F"/>
    <w:rsid w:val="0050714A"/>
    <w:rsid w:val="005079BF"/>
    <w:rsid w:val="005111E3"/>
    <w:rsid w:val="0051269A"/>
    <w:rsid w:val="0051712B"/>
    <w:rsid w:val="00517A20"/>
    <w:rsid w:val="00520DCB"/>
    <w:rsid w:val="005219E7"/>
    <w:rsid w:val="00522C0C"/>
    <w:rsid w:val="00522C52"/>
    <w:rsid w:val="00523788"/>
    <w:rsid w:val="005264AE"/>
    <w:rsid w:val="00527EE1"/>
    <w:rsid w:val="0053016C"/>
    <w:rsid w:val="0053081C"/>
    <w:rsid w:val="00531B9A"/>
    <w:rsid w:val="00531D15"/>
    <w:rsid w:val="00532AF1"/>
    <w:rsid w:val="005331B0"/>
    <w:rsid w:val="00535B24"/>
    <w:rsid w:val="0053632E"/>
    <w:rsid w:val="005372F4"/>
    <w:rsid w:val="00537604"/>
    <w:rsid w:val="005403C2"/>
    <w:rsid w:val="00542377"/>
    <w:rsid w:val="00546A71"/>
    <w:rsid w:val="005476EB"/>
    <w:rsid w:val="00550CF2"/>
    <w:rsid w:val="00550D94"/>
    <w:rsid w:val="00551782"/>
    <w:rsid w:val="005545F5"/>
    <w:rsid w:val="00554F23"/>
    <w:rsid w:val="00555180"/>
    <w:rsid w:val="00556D0C"/>
    <w:rsid w:val="00561B42"/>
    <w:rsid w:val="00563EF1"/>
    <w:rsid w:val="00565582"/>
    <w:rsid w:val="00565EC1"/>
    <w:rsid w:val="00566AB4"/>
    <w:rsid w:val="0056747A"/>
    <w:rsid w:val="0056765B"/>
    <w:rsid w:val="0057070B"/>
    <w:rsid w:val="00573812"/>
    <w:rsid w:val="00573937"/>
    <w:rsid w:val="00575122"/>
    <w:rsid w:val="00575AC5"/>
    <w:rsid w:val="0057605D"/>
    <w:rsid w:val="0057617C"/>
    <w:rsid w:val="00577C6F"/>
    <w:rsid w:val="00580795"/>
    <w:rsid w:val="0058113E"/>
    <w:rsid w:val="00581347"/>
    <w:rsid w:val="00581AC9"/>
    <w:rsid w:val="005823CD"/>
    <w:rsid w:val="00583935"/>
    <w:rsid w:val="005839AC"/>
    <w:rsid w:val="005849F8"/>
    <w:rsid w:val="00584B51"/>
    <w:rsid w:val="00584FBC"/>
    <w:rsid w:val="0058794E"/>
    <w:rsid w:val="005902E9"/>
    <w:rsid w:val="0059071C"/>
    <w:rsid w:val="005911F3"/>
    <w:rsid w:val="005935C0"/>
    <w:rsid w:val="005935C5"/>
    <w:rsid w:val="005938DF"/>
    <w:rsid w:val="00594AAD"/>
    <w:rsid w:val="00594E9C"/>
    <w:rsid w:val="0059504E"/>
    <w:rsid w:val="00596153"/>
    <w:rsid w:val="00597410"/>
    <w:rsid w:val="005A071C"/>
    <w:rsid w:val="005A099B"/>
    <w:rsid w:val="005A2557"/>
    <w:rsid w:val="005A2D9C"/>
    <w:rsid w:val="005A38CA"/>
    <w:rsid w:val="005A4907"/>
    <w:rsid w:val="005A55FE"/>
    <w:rsid w:val="005A5A1D"/>
    <w:rsid w:val="005A6A11"/>
    <w:rsid w:val="005A70BD"/>
    <w:rsid w:val="005B15A9"/>
    <w:rsid w:val="005B2F0D"/>
    <w:rsid w:val="005B304B"/>
    <w:rsid w:val="005B4AED"/>
    <w:rsid w:val="005B5CA2"/>
    <w:rsid w:val="005B69C9"/>
    <w:rsid w:val="005B6B4F"/>
    <w:rsid w:val="005C24F0"/>
    <w:rsid w:val="005C34EF"/>
    <w:rsid w:val="005C5C98"/>
    <w:rsid w:val="005C5D1E"/>
    <w:rsid w:val="005C6582"/>
    <w:rsid w:val="005D2502"/>
    <w:rsid w:val="005D2C27"/>
    <w:rsid w:val="005D2EA1"/>
    <w:rsid w:val="005D3E78"/>
    <w:rsid w:val="005D40BB"/>
    <w:rsid w:val="005D4604"/>
    <w:rsid w:val="005D47F3"/>
    <w:rsid w:val="005D49BF"/>
    <w:rsid w:val="005D4AA5"/>
    <w:rsid w:val="005D51A8"/>
    <w:rsid w:val="005D6F4E"/>
    <w:rsid w:val="005D7C73"/>
    <w:rsid w:val="005E250B"/>
    <w:rsid w:val="005E3ACD"/>
    <w:rsid w:val="005E3CE3"/>
    <w:rsid w:val="005E7226"/>
    <w:rsid w:val="005E7A57"/>
    <w:rsid w:val="005F1AAA"/>
    <w:rsid w:val="005F1AF1"/>
    <w:rsid w:val="005F24B0"/>
    <w:rsid w:val="005F367C"/>
    <w:rsid w:val="005F3AA0"/>
    <w:rsid w:val="005F422F"/>
    <w:rsid w:val="005F4516"/>
    <w:rsid w:val="005F4720"/>
    <w:rsid w:val="005F4F75"/>
    <w:rsid w:val="005F6CA3"/>
    <w:rsid w:val="00600754"/>
    <w:rsid w:val="0060166B"/>
    <w:rsid w:val="0060173A"/>
    <w:rsid w:val="00602EBA"/>
    <w:rsid w:val="00603B1E"/>
    <w:rsid w:val="00604315"/>
    <w:rsid w:val="00604DA4"/>
    <w:rsid w:val="00604E26"/>
    <w:rsid w:val="0060523F"/>
    <w:rsid w:val="006052CF"/>
    <w:rsid w:val="00606184"/>
    <w:rsid w:val="006064EE"/>
    <w:rsid w:val="00607B8D"/>
    <w:rsid w:val="00611F5C"/>
    <w:rsid w:val="006121B5"/>
    <w:rsid w:val="00615427"/>
    <w:rsid w:val="006162FA"/>
    <w:rsid w:val="00616E09"/>
    <w:rsid w:val="00616F6E"/>
    <w:rsid w:val="00620A3E"/>
    <w:rsid w:val="006218B8"/>
    <w:rsid w:val="006218E8"/>
    <w:rsid w:val="006225DB"/>
    <w:rsid w:val="0062295A"/>
    <w:rsid w:val="0062299D"/>
    <w:rsid w:val="00622A3B"/>
    <w:rsid w:val="00622E53"/>
    <w:rsid w:val="00622EEA"/>
    <w:rsid w:val="0062396C"/>
    <w:rsid w:val="00623FF9"/>
    <w:rsid w:val="0062437D"/>
    <w:rsid w:val="0062541D"/>
    <w:rsid w:val="006254F1"/>
    <w:rsid w:val="00627D4E"/>
    <w:rsid w:val="00630067"/>
    <w:rsid w:val="0063010D"/>
    <w:rsid w:val="00632633"/>
    <w:rsid w:val="00632ACB"/>
    <w:rsid w:val="00632B89"/>
    <w:rsid w:val="0063346D"/>
    <w:rsid w:val="0063398B"/>
    <w:rsid w:val="00633E52"/>
    <w:rsid w:val="00634478"/>
    <w:rsid w:val="0063537C"/>
    <w:rsid w:val="00635553"/>
    <w:rsid w:val="00636667"/>
    <w:rsid w:val="00637F00"/>
    <w:rsid w:val="006406BB"/>
    <w:rsid w:val="0064102C"/>
    <w:rsid w:val="00644373"/>
    <w:rsid w:val="0064465F"/>
    <w:rsid w:val="00644E39"/>
    <w:rsid w:val="00645915"/>
    <w:rsid w:val="00646CC4"/>
    <w:rsid w:val="00647AA3"/>
    <w:rsid w:val="006508CE"/>
    <w:rsid w:val="00650AE7"/>
    <w:rsid w:val="00651935"/>
    <w:rsid w:val="006519C3"/>
    <w:rsid w:val="00652594"/>
    <w:rsid w:val="00652B30"/>
    <w:rsid w:val="00654505"/>
    <w:rsid w:val="006551E9"/>
    <w:rsid w:val="006554B8"/>
    <w:rsid w:val="006559E4"/>
    <w:rsid w:val="00656345"/>
    <w:rsid w:val="00656489"/>
    <w:rsid w:val="00656DC6"/>
    <w:rsid w:val="00660EC6"/>
    <w:rsid w:val="00661634"/>
    <w:rsid w:val="00664110"/>
    <w:rsid w:val="00664D17"/>
    <w:rsid w:val="00665DA6"/>
    <w:rsid w:val="00666520"/>
    <w:rsid w:val="00666901"/>
    <w:rsid w:val="006679B0"/>
    <w:rsid w:val="00667C5B"/>
    <w:rsid w:val="00671C0F"/>
    <w:rsid w:val="00673121"/>
    <w:rsid w:val="006735A5"/>
    <w:rsid w:val="0067783D"/>
    <w:rsid w:val="00677EBE"/>
    <w:rsid w:val="00681389"/>
    <w:rsid w:val="00681979"/>
    <w:rsid w:val="0068438C"/>
    <w:rsid w:val="006844BE"/>
    <w:rsid w:val="00684A1D"/>
    <w:rsid w:val="00684AA9"/>
    <w:rsid w:val="00685A72"/>
    <w:rsid w:val="00685FE1"/>
    <w:rsid w:val="00687AA4"/>
    <w:rsid w:val="00687B69"/>
    <w:rsid w:val="006914CF"/>
    <w:rsid w:val="00691AF5"/>
    <w:rsid w:val="00691EB8"/>
    <w:rsid w:val="00692CDE"/>
    <w:rsid w:val="0069300D"/>
    <w:rsid w:val="00693073"/>
    <w:rsid w:val="00693769"/>
    <w:rsid w:val="00693861"/>
    <w:rsid w:val="00694CCD"/>
    <w:rsid w:val="00694FCC"/>
    <w:rsid w:val="0069500D"/>
    <w:rsid w:val="00695CA1"/>
    <w:rsid w:val="00696CCC"/>
    <w:rsid w:val="006977FF"/>
    <w:rsid w:val="006A0076"/>
    <w:rsid w:val="006A01FA"/>
    <w:rsid w:val="006A0B03"/>
    <w:rsid w:val="006A0E9E"/>
    <w:rsid w:val="006A12AF"/>
    <w:rsid w:val="006A194E"/>
    <w:rsid w:val="006A22C7"/>
    <w:rsid w:val="006A25C7"/>
    <w:rsid w:val="006A3ECF"/>
    <w:rsid w:val="006A4AAD"/>
    <w:rsid w:val="006A4CCA"/>
    <w:rsid w:val="006A5A62"/>
    <w:rsid w:val="006A5DB5"/>
    <w:rsid w:val="006A6DA2"/>
    <w:rsid w:val="006A7AB2"/>
    <w:rsid w:val="006B0765"/>
    <w:rsid w:val="006B0799"/>
    <w:rsid w:val="006B0912"/>
    <w:rsid w:val="006B4452"/>
    <w:rsid w:val="006B52DE"/>
    <w:rsid w:val="006B5717"/>
    <w:rsid w:val="006B582F"/>
    <w:rsid w:val="006B5C0F"/>
    <w:rsid w:val="006B5EB2"/>
    <w:rsid w:val="006B7D92"/>
    <w:rsid w:val="006C0CEB"/>
    <w:rsid w:val="006C1631"/>
    <w:rsid w:val="006C2145"/>
    <w:rsid w:val="006C3633"/>
    <w:rsid w:val="006C3B1E"/>
    <w:rsid w:val="006C47FD"/>
    <w:rsid w:val="006C498F"/>
    <w:rsid w:val="006C51B2"/>
    <w:rsid w:val="006C53AB"/>
    <w:rsid w:val="006C58BD"/>
    <w:rsid w:val="006C5C19"/>
    <w:rsid w:val="006C5FD4"/>
    <w:rsid w:val="006C70A0"/>
    <w:rsid w:val="006D27CB"/>
    <w:rsid w:val="006D2F08"/>
    <w:rsid w:val="006D497A"/>
    <w:rsid w:val="006D5181"/>
    <w:rsid w:val="006D51A0"/>
    <w:rsid w:val="006D56D1"/>
    <w:rsid w:val="006D576C"/>
    <w:rsid w:val="006D5865"/>
    <w:rsid w:val="006D5BEC"/>
    <w:rsid w:val="006E048E"/>
    <w:rsid w:val="006E1D76"/>
    <w:rsid w:val="006E2CC1"/>
    <w:rsid w:val="006E3085"/>
    <w:rsid w:val="006E3424"/>
    <w:rsid w:val="006E35F1"/>
    <w:rsid w:val="006E4B1B"/>
    <w:rsid w:val="006E5445"/>
    <w:rsid w:val="006E561A"/>
    <w:rsid w:val="006E6CF5"/>
    <w:rsid w:val="006E7848"/>
    <w:rsid w:val="006E7D93"/>
    <w:rsid w:val="006F0A65"/>
    <w:rsid w:val="006F1D7C"/>
    <w:rsid w:val="006F54E8"/>
    <w:rsid w:val="006F5568"/>
    <w:rsid w:val="006F71B7"/>
    <w:rsid w:val="006F7E25"/>
    <w:rsid w:val="0070096D"/>
    <w:rsid w:val="0070133D"/>
    <w:rsid w:val="00701793"/>
    <w:rsid w:val="007029A3"/>
    <w:rsid w:val="00703E0B"/>
    <w:rsid w:val="00706E4E"/>
    <w:rsid w:val="00707297"/>
    <w:rsid w:val="00707850"/>
    <w:rsid w:val="0070791C"/>
    <w:rsid w:val="00711DD7"/>
    <w:rsid w:val="007120AB"/>
    <w:rsid w:val="0071383C"/>
    <w:rsid w:val="007141A7"/>
    <w:rsid w:val="00714664"/>
    <w:rsid w:val="00715722"/>
    <w:rsid w:val="007157DD"/>
    <w:rsid w:val="00715BAF"/>
    <w:rsid w:val="00716D1E"/>
    <w:rsid w:val="0071725D"/>
    <w:rsid w:val="00717CC2"/>
    <w:rsid w:val="007205DF"/>
    <w:rsid w:val="00721032"/>
    <w:rsid w:val="00721B55"/>
    <w:rsid w:val="00722736"/>
    <w:rsid w:val="007227B6"/>
    <w:rsid w:val="00723375"/>
    <w:rsid w:val="00723CB1"/>
    <w:rsid w:val="00724856"/>
    <w:rsid w:val="00724B44"/>
    <w:rsid w:val="00726CE4"/>
    <w:rsid w:val="007275C9"/>
    <w:rsid w:val="00727700"/>
    <w:rsid w:val="00727B67"/>
    <w:rsid w:val="00730314"/>
    <w:rsid w:val="00730C2F"/>
    <w:rsid w:val="0073323A"/>
    <w:rsid w:val="00734143"/>
    <w:rsid w:val="007366BF"/>
    <w:rsid w:val="00737B34"/>
    <w:rsid w:val="00737E47"/>
    <w:rsid w:val="00737EE7"/>
    <w:rsid w:val="00740EAC"/>
    <w:rsid w:val="0074365F"/>
    <w:rsid w:val="00744956"/>
    <w:rsid w:val="007457E8"/>
    <w:rsid w:val="00745A5C"/>
    <w:rsid w:val="0074605F"/>
    <w:rsid w:val="00747E94"/>
    <w:rsid w:val="00750C2F"/>
    <w:rsid w:val="0075133F"/>
    <w:rsid w:val="0075143D"/>
    <w:rsid w:val="0075448F"/>
    <w:rsid w:val="00754C83"/>
    <w:rsid w:val="007561AF"/>
    <w:rsid w:val="00756568"/>
    <w:rsid w:val="00760B1B"/>
    <w:rsid w:val="00761E5C"/>
    <w:rsid w:val="0076257C"/>
    <w:rsid w:val="00762C1D"/>
    <w:rsid w:val="0076458E"/>
    <w:rsid w:val="007652AB"/>
    <w:rsid w:val="007656B8"/>
    <w:rsid w:val="00765DF8"/>
    <w:rsid w:val="00766749"/>
    <w:rsid w:val="00767C1B"/>
    <w:rsid w:val="00770B3F"/>
    <w:rsid w:val="007714A9"/>
    <w:rsid w:val="00772124"/>
    <w:rsid w:val="0077336B"/>
    <w:rsid w:val="00774F88"/>
    <w:rsid w:val="00774FDB"/>
    <w:rsid w:val="00775199"/>
    <w:rsid w:val="00777BA2"/>
    <w:rsid w:val="00781408"/>
    <w:rsid w:val="007820B3"/>
    <w:rsid w:val="00782540"/>
    <w:rsid w:val="007835B0"/>
    <w:rsid w:val="00783E92"/>
    <w:rsid w:val="00784F7F"/>
    <w:rsid w:val="0078646E"/>
    <w:rsid w:val="00787225"/>
    <w:rsid w:val="007878BD"/>
    <w:rsid w:val="007934C2"/>
    <w:rsid w:val="0079383D"/>
    <w:rsid w:val="00796F25"/>
    <w:rsid w:val="007A0A74"/>
    <w:rsid w:val="007A2E98"/>
    <w:rsid w:val="007A3BA3"/>
    <w:rsid w:val="007A4513"/>
    <w:rsid w:val="007A5AE5"/>
    <w:rsid w:val="007A5E36"/>
    <w:rsid w:val="007A6B36"/>
    <w:rsid w:val="007A6CC0"/>
    <w:rsid w:val="007A6CD4"/>
    <w:rsid w:val="007A7FEC"/>
    <w:rsid w:val="007B1055"/>
    <w:rsid w:val="007B1499"/>
    <w:rsid w:val="007B1BBF"/>
    <w:rsid w:val="007B2960"/>
    <w:rsid w:val="007B355D"/>
    <w:rsid w:val="007B3A72"/>
    <w:rsid w:val="007B511E"/>
    <w:rsid w:val="007B5971"/>
    <w:rsid w:val="007B5AB3"/>
    <w:rsid w:val="007B751C"/>
    <w:rsid w:val="007B7980"/>
    <w:rsid w:val="007C0AFB"/>
    <w:rsid w:val="007C0DEF"/>
    <w:rsid w:val="007C20B0"/>
    <w:rsid w:val="007C47F0"/>
    <w:rsid w:val="007C5D5A"/>
    <w:rsid w:val="007C607F"/>
    <w:rsid w:val="007C6BE4"/>
    <w:rsid w:val="007C79DD"/>
    <w:rsid w:val="007D0004"/>
    <w:rsid w:val="007D1A97"/>
    <w:rsid w:val="007D23D1"/>
    <w:rsid w:val="007D26B9"/>
    <w:rsid w:val="007D2CD6"/>
    <w:rsid w:val="007D3063"/>
    <w:rsid w:val="007D316D"/>
    <w:rsid w:val="007D3CEB"/>
    <w:rsid w:val="007D43DD"/>
    <w:rsid w:val="007D562A"/>
    <w:rsid w:val="007E0740"/>
    <w:rsid w:val="007E199D"/>
    <w:rsid w:val="007E1AE4"/>
    <w:rsid w:val="007E2CA8"/>
    <w:rsid w:val="007E4865"/>
    <w:rsid w:val="007E4CCB"/>
    <w:rsid w:val="007E6676"/>
    <w:rsid w:val="007E7683"/>
    <w:rsid w:val="007F13E1"/>
    <w:rsid w:val="007F1801"/>
    <w:rsid w:val="007F2BAF"/>
    <w:rsid w:val="007F3EC4"/>
    <w:rsid w:val="007F49FA"/>
    <w:rsid w:val="007F4BCD"/>
    <w:rsid w:val="007F54C4"/>
    <w:rsid w:val="007F6D04"/>
    <w:rsid w:val="007F6E9A"/>
    <w:rsid w:val="007F71EE"/>
    <w:rsid w:val="00800CCD"/>
    <w:rsid w:val="00801FEB"/>
    <w:rsid w:val="008029AB"/>
    <w:rsid w:val="00803F83"/>
    <w:rsid w:val="008044D4"/>
    <w:rsid w:val="00804C57"/>
    <w:rsid w:val="00805E05"/>
    <w:rsid w:val="00806DD8"/>
    <w:rsid w:val="00810AB4"/>
    <w:rsid w:val="008137D6"/>
    <w:rsid w:val="00817B56"/>
    <w:rsid w:val="00817F6F"/>
    <w:rsid w:val="008214BB"/>
    <w:rsid w:val="00821A88"/>
    <w:rsid w:val="0082322E"/>
    <w:rsid w:val="0082344F"/>
    <w:rsid w:val="00824316"/>
    <w:rsid w:val="00824404"/>
    <w:rsid w:val="0082495D"/>
    <w:rsid w:val="00824E37"/>
    <w:rsid w:val="00825FE8"/>
    <w:rsid w:val="008265FD"/>
    <w:rsid w:val="0082779D"/>
    <w:rsid w:val="0082798F"/>
    <w:rsid w:val="00827DA8"/>
    <w:rsid w:val="00831AC3"/>
    <w:rsid w:val="008334B0"/>
    <w:rsid w:val="00833A2A"/>
    <w:rsid w:val="00834658"/>
    <w:rsid w:val="008362FD"/>
    <w:rsid w:val="00836505"/>
    <w:rsid w:val="00836A79"/>
    <w:rsid w:val="00836CDB"/>
    <w:rsid w:val="00836FCE"/>
    <w:rsid w:val="008408FF"/>
    <w:rsid w:val="008414FE"/>
    <w:rsid w:val="0084166E"/>
    <w:rsid w:val="00841897"/>
    <w:rsid w:val="00841D40"/>
    <w:rsid w:val="00842DC0"/>
    <w:rsid w:val="00843173"/>
    <w:rsid w:val="0084360C"/>
    <w:rsid w:val="0084663E"/>
    <w:rsid w:val="0085046A"/>
    <w:rsid w:val="00850EE6"/>
    <w:rsid w:val="008518D1"/>
    <w:rsid w:val="00851F3F"/>
    <w:rsid w:val="0085409B"/>
    <w:rsid w:val="008558F8"/>
    <w:rsid w:val="00856502"/>
    <w:rsid w:val="00856EDC"/>
    <w:rsid w:val="008572CC"/>
    <w:rsid w:val="008621F2"/>
    <w:rsid w:val="008623B5"/>
    <w:rsid w:val="00862B6B"/>
    <w:rsid w:val="00863E73"/>
    <w:rsid w:val="0086559B"/>
    <w:rsid w:val="008666B5"/>
    <w:rsid w:val="0086695B"/>
    <w:rsid w:val="00870ABA"/>
    <w:rsid w:val="008710E1"/>
    <w:rsid w:val="008716E5"/>
    <w:rsid w:val="00871AB2"/>
    <w:rsid w:val="0087322B"/>
    <w:rsid w:val="00873BF7"/>
    <w:rsid w:val="008765C8"/>
    <w:rsid w:val="008771A1"/>
    <w:rsid w:val="00880CBB"/>
    <w:rsid w:val="00880ED2"/>
    <w:rsid w:val="00881939"/>
    <w:rsid w:val="00881CA9"/>
    <w:rsid w:val="00883628"/>
    <w:rsid w:val="00884786"/>
    <w:rsid w:val="00885544"/>
    <w:rsid w:val="0088634E"/>
    <w:rsid w:val="0089005E"/>
    <w:rsid w:val="00892125"/>
    <w:rsid w:val="008935BA"/>
    <w:rsid w:val="00893AB8"/>
    <w:rsid w:val="008A04AD"/>
    <w:rsid w:val="008A04C8"/>
    <w:rsid w:val="008A113E"/>
    <w:rsid w:val="008A4066"/>
    <w:rsid w:val="008A4564"/>
    <w:rsid w:val="008A6913"/>
    <w:rsid w:val="008A77BD"/>
    <w:rsid w:val="008B0886"/>
    <w:rsid w:val="008B0D93"/>
    <w:rsid w:val="008B3DAC"/>
    <w:rsid w:val="008B4172"/>
    <w:rsid w:val="008B4F81"/>
    <w:rsid w:val="008B5BAD"/>
    <w:rsid w:val="008B636A"/>
    <w:rsid w:val="008B70F3"/>
    <w:rsid w:val="008B71C4"/>
    <w:rsid w:val="008B7608"/>
    <w:rsid w:val="008B76DF"/>
    <w:rsid w:val="008B7B82"/>
    <w:rsid w:val="008B7FF8"/>
    <w:rsid w:val="008C04AB"/>
    <w:rsid w:val="008C0CA6"/>
    <w:rsid w:val="008C10F4"/>
    <w:rsid w:val="008C3413"/>
    <w:rsid w:val="008C3936"/>
    <w:rsid w:val="008C65F7"/>
    <w:rsid w:val="008C6812"/>
    <w:rsid w:val="008C6B41"/>
    <w:rsid w:val="008D03EA"/>
    <w:rsid w:val="008D0A2F"/>
    <w:rsid w:val="008D1D02"/>
    <w:rsid w:val="008D52A1"/>
    <w:rsid w:val="008D565D"/>
    <w:rsid w:val="008D5EDD"/>
    <w:rsid w:val="008D6DFB"/>
    <w:rsid w:val="008E0428"/>
    <w:rsid w:val="008E1368"/>
    <w:rsid w:val="008E34D6"/>
    <w:rsid w:val="008E4767"/>
    <w:rsid w:val="008E4A4F"/>
    <w:rsid w:val="008E71CC"/>
    <w:rsid w:val="008E7A8C"/>
    <w:rsid w:val="008F009C"/>
    <w:rsid w:val="008F0A54"/>
    <w:rsid w:val="008F57FA"/>
    <w:rsid w:val="008F5D6F"/>
    <w:rsid w:val="008F652B"/>
    <w:rsid w:val="008F7493"/>
    <w:rsid w:val="009014C4"/>
    <w:rsid w:val="009018F8"/>
    <w:rsid w:val="0090203B"/>
    <w:rsid w:val="009031F2"/>
    <w:rsid w:val="00903285"/>
    <w:rsid w:val="00905B18"/>
    <w:rsid w:val="009066BE"/>
    <w:rsid w:val="00906F40"/>
    <w:rsid w:val="0090731E"/>
    <w:rsid w:val="009104A8"/>
    <w:rsid w:val="0091060B"/>
    <w:rsid w:val="00914D39"/>
    <w:rsid w:val="00915B1C"/>
    <w:rsid w:val="009174F3"/>
    <w:rsid w:val="00917798"/>
    <w:rsid w:val="0091797D"/>
    <w:rsid w:val="00920ADB"/>
    <w:rsid w:val="0092327D"/>
    <w:rsid w:val="00923522"/>
    <w:rsid w:val="00923C08"/>
    <w:rsid w:val="00923CBA"/>
    <w:rsid w:val="00925BAC"/>
    <w:rsid w:val="00926703"/>
    <w:rsid w:val="00927130"/>
    <w:rsid w:val="0092722C"/>
    <w:rsid w:val="00927691"/>
    <w:rsid w:val="00927A5F"/>
    <w:rsid w:val="00930510"/>
    <w:rsid w:val="009306D2"/>
    <w:rsid w:val="00930B36"/>
    <w:rsid w:val="00930D57"/>
    <w:rsid w:val="00931351"/>
    <w:rsid w:val="009313B5"/>
    <w:rsid w:val="009322CF"/>
    <w:rsid w:val="00934EAC"/>
    <w:rsid w:val="00935B63"/>
    <w:rsid w:val="00936E95"/>
    <w:rsid w:val="009375DB"/>
    <w:rsid w:val="00937BFA"/>
    <w:rsid w:val="009403E2"/>
    <w:rsid w:val="0094078F"/>
    <w:rsid w:val="00940FA3"/>
    <w:rsid w:val="00941249"/>
    <w:rsid w:val="00941FB0"/>
    <w:rsid w:val="009420B0"/>
    <w:rsid w:val="009426D4"/>
    <w:rsid w:val="00943DAA"/>
    <w:rsid w:val="00946302"/>
    <w:rsid w:val="00946AD2"/>
    <w:rsid w:val="00946BC3"/>
    <w:rsid w:val="00946DDA"/>
    <w:rsid w:val="00947F25"/>
    <w:rsid w:val="00950159"/>
    <w:rsid w:val="00951DC9"/>
    <w:rsid w:val="009523EA"/>
    <w:rsid w:val="00952B8E"/>
    <w:rsid w:val="00953233"/>
    <w:rsid w:val="0095490B"/>
    <w:rsid w:val="00954C5B"/>
    <w:rsid w:val="009567EB"/>
    <w:rsid w:val="00960A33"/>
    <w:rsid w:val="00962360"/>
    <w:rsid w:val="00962AD0"/>
    <w:rsid w:val="00962C8A"/>
    <w:rsid w:val="0096362B"/>
    <w:rsid w:val="00964738"/>
    <w:rsid w:val="009665C8"/>
    <w:rsid w:val="00967008"/>
    <w:rsid w:val="00967995"/>
    <w:rsid w:val="00967F5A"/>
    <w:rsid w:val="00970673"/>
    <w:rsid w:val="00970904"/>
    <w:rsid w:val="00971914"/>
    <w:rsid w:val="00974363"/>
    <w:rsid w:val="0097475D"/>
    <w:rsid w:val="00974BFE"/>
    <w:rsid w:val="00975488"/>
    <w:rsid w:val="009772F8"/>
    <w:rsid w:val="00977306"/>
    <w:rsid w:val="00977488"/>
    <w:rsid w:val="00977FF6"/>
    <w:rsid w:val="00980D0F"/>
    <w:rsid w:val="00981898"/>
    <w:rsid w:val="009834A7"/>
    <w:rsid w:val="00983CD7"/>
    <w:rsid w:val="00986592"/>
    <w:rsid w:val="00986FB4"/>
    <w:rsid w:val="009875C3"/>
    <w:rsid w:val="009879C5"/>
    <w:rsid w:val="009902FC"/>
    <w:rsid w:val="00990DD4"/>
    <w:rsid w:val="00991216"/>
    <w:rsid w:val="00993D42"/>
    <w:rsid w:val="00994029"/>
    <w:rsid w:val="0099473B"/>
    <w:rsid w:val="00994896"/>
    <w:rsid w:val="0099577C"/>
    <w:rsid w:val="0099666F"/>
    <w:rsid w:val="009A0096"/>
    <w:rsid w:val="009A00ED"/>
    <w:rsid w:val="009A010F"/>
    <w:rsid w:val="009A021C"/>
    <w:rsid w:val="009A0AE7"/>
    <w:rsid w:val="009A1E73"/>
    <w:rsid w:val="009A25CC"/>
    <w:rsid w:val="009A464C"/>
    <w:rsid w:val="009A5445"/>
    <w:rsid w:val="009B099D"/>
    <w:rsid w:val="009B1228"/>
    <w:rsid w:val="009B24A5"/>
    <w:rsid w:val="009B2601"/>
    <w:rsid w:val="009B3E11"/>
    <w:rsid w:val="009B4E9E"/>
    <w:rsid w:val="009B542C"/>
    <w:rsid w:val="009B5601"/>
    <w:rsid w:val="009B5F63"/>
    <w:rsid w:val="009B7608"/>
    <w:rsid w:val="009C0972"/>
    <w:rsid w:val="009C108D"/>
    <w:rsid w:val="009C1690"/>
    <w:rsid w:val="009C1D3C"/>
    <w:rsid w:val="009C3C77"/>
    <w:rsid w:val="009C4DFD"/>
    <w:rsid w:val="009C5C48"/>
    <w:rsid w:val="009C6881"/>
    <w:rsid w:val="009C7759"/>
    <w:rsid w:val="009C7785"/>
    <w:rsid w:val="009C77EC"/>
    <w:rsid w:val="009D043D"/>
    <w:rsid w:val="009D07C8"/>
    <w:rsid w:val="009D1551"/>
    <w:rsid w:val="009D21D6"/>
    <w:rsid w:val="009D374A"/>
    <w:rsid w:val="009D4C85"/>
    <w:rsid w:val="009D500C"/>
    <w:rsid w:val="009D66DA"/>
    <w:rsid w:val="009D6C71"/>
    <w:rsid w:val="009D708E"/>
    <w:rsid w:val="009D72EE"/>
    <w:rsid w:val="009E0631"/>
    <w:rsid w:val="009E16D0"/>
    <w:rsid w:val="009E2051"/>
    <w:rsid w:val="009E207A"/>
    <w:rsid w:val="009E247D"/>
    <w:rsid w:val="009E38FD"/>
    <w:rsid w:val="009E3E33"/>
    <w:rsid w:val="009E4D0F"/>
    <w:rsid w:val="009E67A0"/>
    <w:rsid w:val="009E6B44"/>
    <w:rsid w:val="009E72A4"/>
    <w:rsid w:val="009E7BD5"/>
    <w:rsid w:val="009F00A6"/>
    <w:rsid w:val="009F13D6"/>
    <w:rsid w:val="009F154A"/>
    <w:rsid w:val="009F1FFA"/>
    <w:rsid w:val="009F223B"/>
    <w:rsid w:val="009F2F31"/>
    <w:rsid w:val="009F4C6B"/>
    <w:rsid w:val="009F5E52"/>
    <w:rsid w:val="009F707C"/>
    <w:rsid w:val="009F78A8"/>
    <w:rsid w:val="009F7FAD"/>
    <w:rsid w:val="009F7FEA"/>
    <w:rsid w:val="00A001EB"/>
    <w:rsid w:val="00A017E0"/>
    <w:rsid w:val="00A024B7"/>
    <w:rsid w:val="00A02AD6"/>
    <w:rsid w:val="00A0405D"/>
    <w:rsid w:val="00A04A37"/>
    <w:rsid w:val="00A053E5"/>
    <w:rsid w:val="00A06B36"/>
    <w:rsid w:val="00A06E23"/>
    <w:rsid w:val="00A07096"/>
    <w:rsid w:val="00A07318"/>
    <w:rsid w:val="00A0731B"/>
    <w:rsid w:val="00A10977"/>
    <w:rsid w:val="00A11370"/>
    <w:rsid w:val="00A11BC6"/>
    <w:rsid w:val="00A11FE6"/>
    <w:rsid w:val="00A13ADB"/>
    <w:rsid w:val="00A152AE"/>
    <w:rsid w:val="00A17886"/>
    <w:rsid w:val="00A21047"/>
    <w:rsid w:val="00A22155"/>
    <w:rsid w:val="00A224CE"/>
    <w:rsid w:val="00A22522"/>
    <w:rsid w:val="00A23E8F"/>
    <w:rsid w:val="00A24AFD"/>
    <w:rsid w:val="00A24F5C"/>
    <w:rsid w:val="00A266F1"/>
    <w:rsid w:val="00A26B5D"/>
    <w:rsid w:val="00A27C22"/>
    <w:rsid w:val="00A27CFB"/>
    <w:rsid w:val="00A30040"/>
    <w:rsid w:val="00A30175"/>
    <w:rsid w:val="00A314F2"/>
    <w:rsid w:val="00A32CB6"/>
    <w:rsid w:val="00A32F96"/>
    <w:rsid w:val="00A34325"/>
    <w:rsid w:val="00A346C6"/>
    <w:rsid w:val="00A34D32"/>
    <w:rsid w:val="00A35441"/>
    <w:rsid w:val="00A35BE6"/>
    <w:rsid w:val="00A36422"/>
    <w:rsid w:val="00A3710E"/>
    <w:rsid w:val="00A37876"/>
    <w:rsid w:val="00A40871"/>
    <w:rsid w:val="00A409D4"/>
    <w:rsid w:val="00A40FD9"/>
    <w:rsid w:val="00A412AB"/>
    <w:rsid w:val="00A4193E"/>
    <w:rsid w:val="00A438CB"/>
    <w:rsid w:val="00A440E0"/>
    <w:rsid w:val="00A442EF"/>
    <w:rsid w:val="00A4737D"/>
    <w:rsid w:val="00A474DF"/>
    <w:rsid w:val="00A47C8D"/>
    <w:rsid w:val="00A50320"/>
    <w:rsid w:val="00A51D1A"/>
    <w:rsid w:val="00A5418D"/>
    <w:rsid w:val="00A54694"/>
    <w:rsid w:val="00A5474E"/>
    <w:rsid w:val="00A55C18"/>
    <w:rsid w:val="00A55C95"/>
    <w:rsid w:val="00A5646F"/>
    <w:rsid w:val="00A641DC"/>
    <w:rsid w:val="00A64234"/>
    <w:rsid w:val="00A656DC"/>
    <w:rsid w:val="00A67CAA"/>
    <w:rsid w:val="00A70ADF"/>
    <w:rsid w:val="00A7117F"/>
    <w:rsid w:val="00A71466"/>
    <w:rsid w:val="00A7197C"/>
    <w:rsid w:val="00A72047"/>
    <w:rsid w:val="00A72651"/>
    <w:rsid w:val="00A72ECB"/>
    <w:rsid w:val="00A738F7"/>
    <w:rsid w:val="00A7443A"/>
    <w:rsid w:val="00A74B5E"/>
    <w:rsid w:val="00A75426"/>
    <w:rsid w:val="00A754E2"/>
    <w:rsid w:val="00A7611B"/>
    <w:rsid w:val="00A775B5"/>
    <w:rsid w:val="00A77ADB"/>
    <w:rsid w:val="00A77B35"/>
    <w:rsid w:val="00A81345"/>
    <w:rsid w:val="00A81428"/>
    <w:rsid w:val="00A815DE"/>
    <w:rsid w:val="00A81A69"/>
    <w:rsid w:val="00A81BED"/>
    <w:rsid w:val="00A81D2B"/>
    <w:rsid w:val="00A81EC4"/>
    <w:rsid w:val="00A824E8"/>
    <w:rsid w:val="00A82661"/>
    <w:rsid w:val="00A83080"/>
    <w:rsid w:val="00A84EAC"/>
    <w:rsid w:val="00A85059"/>
    <w:rsid w:val="00A85712"/>
    <w:rsid w:val="00A85C21"/>
    <w:rsid w:val="00A85C35"/>
    <w:rsid w:val="00A861E9"/>
    <w:rsid w:val="00A864C2"/>
    <w:rsid w:val="00A86D12"/>
    <w:rsid w:val="00A91312"/>
    <w:rsid w:val="00A914D3"/>
    <w:rsid w:val="00A928DF"/>
    <w:rsid w:val="00A933A8"/>
    <w:rsid w:val="00A967FD"/>
    <w:rsid w:val="00A97270"/>
    <w:rsid w:val="00AA047B"/>
    <w:rsid w:val="00AA2DE5"/>
    <w:rsid w:val="00AA2F01"/>
    <w:rsid w:val="00AA30CF"/>
    <w:rsid w:val="00AA3692"/>
    <w:rsid w:val="00AA45A1"/>
    <w:rsid w:val="00AA4715"/>
    <w:rsid w:val="00AA71F9"/>
    <w:rsid w:val="00AB0D09"/>
    <w:rsid w:val="00AB1515"/>
    <w:rsid w:val="00AB156C"/>
    <w:rsid w:val="00AB6814"/>
    <w:rsid w:val="00AB717D"/>
    <w:rsid w:val="00AC046B"/>
    <w:rsid w:val="00AC04BA"/>
    <w:rsid w:val="00AC0E39"/>
    <w:rsid w:val="00AC3D96"/>
    <w:rsid w:val="00AC44B4"/>
    <w:rsid w:val="00AC6FB8"/>
    <w:rsid w:val="00AD1BA7"/>
    <w:rsid w:val="00AD24C6"/>
    <w:rsid w:val="00AD2D6F"/>
    <w:rsid w:val="00AD2DEF"/>
    <w:rsid w:val="00AD3082"/>
    <w:rsid w:val="00AD32B4"/>
    <w:rsid w:val="00AD41F6"/>
    <w:rsid w:val="00AD4AD0"/>
    <w:rsid w:val="00AD5436"/>
    <w:rsid w:val="00AD60CD"/>
    <w:rsid w:val="00AD65AE"/>
    <w:rsid w:val="00AD6C8C"/>
    <w:rsid w:val="00AE03B8"/>
    <w:rsid w:val="00AE091D"/>
    <w:rsid w:val="00AE0C9D"/>
    <w:rsid w:val="00AE0E16"/>
    <w:rsid w:val="00AE0EE7"/>
    <w:rsid w:val="00AE1B4A"/>
    <w:rsid w:val="00AE3B60"/>
    <w:rsid w:val="00AE53A1"/>
    <w:rsid w:val="00AE5742"/>
    <w:rsid w:val="00AE6B06"/>
    <w:rsid w:val="00AF046A"/>
    <w:rsid w:val="00AF13BD"/>
    <w:rsid w:val="00AF2484"/>
    <w:rsid w:val="00AF3549"/>
    <w:rsid w:val="00AF3FE4"/>
    <w:rsid w:val="00AF4947"/>
    <w:rsid w:val="00AF52EE"/>
    <w:rsid w:val="00AF5F50"/>
    <w:rsid w:val="00AF63E7"/>
    <w:rsid w:val="00AF6E17"/>
    <w:rsid w:val="00B007C9"/>
    <w:rsid w:val="00B00814"/>
    <w:rsid w:val="00B0165D"/>
    <w:rsid w:val="00B01B60"/>
    <w:rsid w:val="00B021DD"/>
    <w:rsid w:val="00B02505"/>
    <w:rsid w:val="00B031F3"/>
    <w:rsid w:val="00B03F40"/>
    <w:rsid w:val="00B04580"/>
    <w:rsid w:val="00B052A4"/>
    <w:rsid w:val="00B05664"/>
    <w:rsid w:val="00B061E4"/>
    <w:rsid w:val="00B071AA"/>
    <w:rsid w:val="00B125DE"/>
    <w:rsid w:val="00B13FDD"/>
    <w:rsid w:val="00B149AE"/>
    <w:rsid w:val="00B15427"/>
    <w:rsid w:val="00B15DE2"/>
    <w:rsid w:val="00B16A69"/>
    <w:rsid w:val="00B16D94"/>
    <w:rsid w:val="00B20B30"/>
    <w:rsid w:val="00B22EB2"/>
    <w:rsid w:val="00B24301"/>
    <w:rsid w:val="00B27442"/>
    <w:rsid w:val="00B3004D"/>
    <w:rsid w:val="00B31167"/>
    <w:rsid w:val="00B31D33"/>
    <w:rsid w:val="00B329D8"/>
    <w:rsid w:val="00B32BB9"/>
    <w:rsid w:val="00B33AE1"/>
    <w:rsid w:val="00B342F3"/>
    <w:rsid w:val="00B356E4"/>
    <w:rsid w:val="00B36364"/>
    <w:rsid w:val="00B37C38"/>
    <w:rsid w:val="00B41AA8"/>
    <w:rsid w:val="00B42736"/>
    <w:rsid w:val="00B4288C"/>
    <w:rsid w:val="00B43121"/>
    <w:rsid w:val="00B43262"/>
    <w:rsid w:val="00B44100"/>
    <w:rsid w:val="00B445C2"/>
    <w:rsid w:val="00B445D8"/>
    <w:rsid w:val="00B448D7"/>
    <w:rsid w:val="00B44FB7"/>
    <w:rsid w:val="00B455F4"/>
    <w:rsid w:val="00B4685E"/>
    <w:rsid w:val="00B46CBA"/>
    <w:rsid w:val="00B46F94"/>
    <w:rsid w:val="00B526AE"/>
    <w:rsid w:val="00B52854"/>
    <w:rsid w:val="00B5386E"/>
    <w:rsid w:val="00B53BC5"/>
    <w:rsid w:val="00B53BF9"/>
    <w:rsid w:val="00B53FAA"/>
    <w:rsid w:val="00B56A3E"/>
    <w:rsid w:val="00B571D8"/>
    <w:rsid w:val="00B6003C"/>
    <w:rsid w:val="00B60FBE"/>
    <w:rsid w:val="00B61F03"/>
    <w:rsid w:val="00B625AE"/>
    <w:rsid w:val="00B626E4"/>
    <w:rsid w:val="00B638BA"/>
    <w:rsid w:val="00B65B5E"/>
    <w:rsid w:val="00B65D48"/>
    <w:rsid w:val="00B66085"/>
    <w:rsid w:val="00B72F4A"/>
    <w:rsid w:val="00B74603"/>
    <w:rsid w:val="00B760FA"/>
    <w:rsid w:val="00B776CA"/>
    <w:rsid w:val="00B80E11"/>
    <w:rsid w:val="00B83C27"/>
    <w:rsid w:val="00B8448A"/>
    <w:rsid w:val="00B84B0F"/>
    <w:rsid w:val="00B84BC3"/>
    <w:rsid w:val="00B84BDD"/>
    <w:rsid w:val="00B86280"/>
    <w:rsid w:val="00B86DB8"/>
    <w:rsid w:val="00B900CB"/>
    <w:rsid w:val="00B92374"/>
    <w:rsid w:val="00B92812"/>
    <w:rsid w:val="00B94AFC"/>
    <w:rsid w:val="00B96E64"/>
    <w:rsid w:val="00BA09F8"/>
    <w:rsid w:val="00BA190A"/>
    <w:rsid w:val="00BA267F"/>
    <w:rsid w:val="00BA380E"/>
    <w:rsid w:val="00BA47A1"/>
    <w:rsid w:val="00BA66BC"/>
    <w:rsid w:val="00BA754B"/>
    <w:rsid w:val="00BB0100"/>
    <w:rsid w:val="00BB07DB"/>
    <w:rsid w:val="00BB1358"/>
    <w:rsid w:val="00BB163D"/>
    <w:rsid w:val="00BB45A1"/>
    <w:rsid w:val="00BB48D1"/>
    <w:rsid w:val="00BB51AD"/>
    <w:rsid w:val="00BB6335"/>
    <w:rsid w:val="00BB68C4"/>
    <w:rsid w:val="00BB7686"/>
    <w:rsid w:val="00BB7802"/>
    <w:rsid w:val="00BB7DA8"/>
    <w:rsid w:val="00BC1F4E"/>
    <w:rsid w:val="00BC226B"/>
    <w:rsid w:val="00BC23F9"/>
    <w:rsid w:val="00BC3421"/>
    <w:rsid w:val="00BC3E93"/>
    <w:rsid w:val="00BC4B79"/>
    <w:rsid w:val="00BC4F32"/>
    <w:rsid w:val="00BC54DB"/>
    <w:rsid w:val="00BC5CAA"/>
    <w:rsid w:val="00BC721B"/>
    <w:rsid w:val="00BC732C"/>
    <w:rsid w:val="00BC75D1"/>
    <w:rsid w:val="00BD0502"/>
    <w:rsid w:val="00BD1B36"/>
    <w:rsid w:val="00BD1DC7"/>
    <w:rsid w:val="00BD40B7"/>
    <w:rsid w:val="00BD4421"/>
    <w:rsid w:val="00BD4447"/>
    <w:rsid w:val="00BD462E"/>
    <w:rsid w:val="00BD4CFB"/>
    <w:rsid w:val="00BD4F00"/>
    <w:rsid w:val="00BD5247"/>
    <w:rsid w:val="00BD6456"/>
    <w:rsid w:val="00BD6B4B"/>
    <w:rsid w:val="00BD6BCB"/>
    <w:rsid w:val="00BD75DD"/>
    <w:rsid w:val="00BD7CC6"/>
    <w:rsid w:val="00BE11F1"/>
    <w:rsid w:val="00BE1727"/>
    <w:rsid w:val="00BE2580"/>
    <w:rsid w:val="00BE266D"/>
    <w:rsid w:val="00BE2682"/>
    <w:rsid w:val="00BE30F0"/>
    <w:rsid w:val="00BE3336"/>
    <w:rsid w:val="00BE37DE"/>
    <w:rsid w:val="00BE38BE"/>
    <w:rsid w:val="00BE3938"/>
    <w:rsid w:val="00BE3D8B"/>
    <w:rsid w:val="00BE4C11"/>
    <w:rsid w:val="00BE51BD"/>
    <w:rsid w:val="00BE531F"/>
    <w:rsid w:val="00BE71C0"/>
    <w:rsid w:val="00BF0451"/>
    <w:rsid w:val="00BF0845"/>
    <w:rsid w:val="00BF1CDA"/>
    <w:rsid w:val="00BF346D"/>
    <w:rsid w:val="00BF610C"/>
    <w:rsid w:val="00BF775D"/>
    <w:rsid w:val="00BF7E28"/>
    <w:rsid w:val="00C0060B"/>
    <w:rsid w:val="00C01113"/>
    <w:rsid w:val="00C01A6C"/>
    <w:rsid w:val="00C0277D"/>
    <w:rsid w:val="00C02F26"/>
    <w:rsid w:val="00C02F68"/>
    <w:rsid w:val="00C030F4"/>
    <w:rsid w:val="00C04C3E"/>
    <w:rsid w:val="00C04FFE"/>
    <w:rsid w:val="00C053A1"/>
    <w:rsid w:val="00C07049"/>
    <w:rsid w:val="00C105CC"/>
    <w:rsid w:val="00C13289"/>
    <w:rsid w:val="00C13D33"/>
    <w:rsid w:val="00C13E22"/>
    <w:rsid w:val="00C1421E"/>
    <w:rsid w:val="00C16198"/>
    <w:rsid w:val="00C16B26"/>
    <w:rsid w:val="00C176C1"/>
    <w:rsid w:val="00C17753"/>
    <w:rsid w:val="00C2083D"/>
    <w:rsid w:val="00C20927"/>
    <w:rsid w:val="00C20F67"/>
    <w:rsid w:val="00C229C0"/>
    <w:rsid w:val="00C233F2"/>
    <w:rsid w:val="00C23BBF"/>
    <w:rsid w:val="00C24278"/>
    <w:rsid w:val="00C24466"/>
    <w:rsid w:val="00C24A53"/>
    <w:rsid w:val="00C24DAD"/>
    <w:rsid w:val="00C2509A"/>
    <w:rsid w:val="00C25274"/>
    <w:rsid w:val="00C25A8D"/>
    <w:rsid w:val="00C26FA2"/>
    <w:rsid w:val="00C27BD1"/>
    <w:rsid w:val="00C27FF6"/>
    <w:rsid w:val="00C32C39"/>
    <w:rsid w:val="00C3356C"/>
    <w:rsid w:val="00C3375E"/>
    <w:rsid w:val="00C343BF"/>
    <w:rsid w:val="00C34A05"/>
    <w:rsid w:val="00C35C23"/>
    <w:rsid w:val="00C35CCE"/>
    <w:rsid w:val="00C3704F"/>
    <w:rsid w:val="00C37E7D"/>
    <w:rsid w:val="00C4032F"/>
    <w:rsid w:val="00C40BF9"/>
    <w:rsid w:val="00C41F21"/>
    <w:rsid w:val="00C42AE1"/>
    <w:rsid w:val="00C44047"/>
    <w:rsid w:val="00C45155"/>
    <w:rsid w:val="00C45B41"/>
    <w:rsid w:val="00C4673C"/>
    <w:rsid w:val="00C46C8C"/>
    <w:rsid w:val="00C46D7D"/>
    <w:rsid w:val="00C478C6"/>
    <w:rsid w:val="00C50CD4"/>
    <w:rsid w:val="00C518D0"/>
    <w:rsid w:val="00C51BBB"/>
    <w:rsid w:val="00C52304"/>
    <w:rsid w:val="00C53251"/>
    <w:rsid w:val="00C53C2B"/>
    <w:rsid w:val="00C54089"/>
    <w:rsid w:val="00C5498F"/>
    <w:rsid w:val="00C55235"/>
    <w:rsid w:val="00C610FE"/>
    <w:rsid w:val="00C63753"/>
    <w:rsid w:val="00C64CD0"/>
    <w:rsid w:val="00C650D4"/>
    <w:rsid w:val="00C65D0F"/>
    <w:rsid w:val="00C65F61"/>
    <w:rsid w:val="00C6684F"/>
    <w:rsid w:val="00C6698E"/>
    <w:rsid w:val="00C671A9"/>
    <w:rsid w:val="00C67A8D"/>
    <w:rsid w:val="00C7098E"/>
    <w:rsid w:val="00C70BE0"/>
    <w:rsid w:val="00C70E70"/>
    <w:rsid w:val="00C71A46"/>
    <w:rsid w:val="00C72807"/>
    <w:rsid w:val="00C75935"/>
    <w:rsid w:val="00C75AB2"/>
    <w:rsid w:val="00C75F8D"/>
    <w:rsid w:val="00C77380"/>
    <w:rsid w:val="00C804C1"/>
    <w:rsid w:val="00C80BBA"/>
    <w:rsid w:val="00C810A5"/>
    <w:rsid w:val="00C83338"/>
    <w:rsid w:val="00C857AD"/>
    <w:rsid w:val="00C85848"/>
    <w:rsid w:val="00C87E8A"/>
    <w:rsid w:val="00C90167"/>
    <w:rsid w:val="00C90414"/>
    <w:rsid w:val="00C905E8"/>
    <w:rsid w:val="00C906D8"/>
    <w:rsid w:val="00C913D6"/>
    <w:rsid w:val="00C93A28"/>
    <w:rsid w:val="00C950B6"/>
    <w:rsid w:val="00C957CE"/>
    <w:rsid w:val="00C975E5"/>
    <w:rsid w:val="00C97736"/>
    <w:rsid w:val="00CA0840"/>
    <w:rsid w:val="00CA104B"/>
    <w:rsid w:val="00CA147B"/>
    <w:rsid w:val="00CA1D16"/>
    <w:rsid w:val="00CA345A"/>
    <w:rsid w:val="00CA4542"/>
    <w:rsid w:val="00CA542D"/>
    <w:rsid w:val="00CA7DCC"/>
    <w:rsid w:val="00CB1143"/>
    <w:rsid w:val="00CB1E82"/>
    <w:rsid w:val="00CB2148"/>
    <w:rsid w:val="00CB3F96"/>
    <w:rsid w:val="00CB4BA8"/>
    <w:rsid w:val="00CB52D7"/>
    <w:rsid w:val="00CB73C4"/>
    <w:rsid w:val="00CC1B5B"/>
    <w:rsid w:val="00CC26BB"/>
    <w:rsid w:val="00CC42CC"/>
    <w:rsid w:val="00CC5858"/>
    <w:rsid w:val="00CC6020"/>
    <w:rsid w:val="00CC6732"/>
    <w:rsid w:val="00CD09CF"/>
    <w:rsid w:val="00CD44B1"/>
    <w:rsid w:val="00CD5990"/>
    <w:rsid w:val="00CD609A"/>
    <w:rsid w:val="00CD62B1"/>
    <w:rsid w:val="00CD6ACF"/>
    <w:rsid w:val="00CE0ABC"/>
    <w:rsid w:val="00CE0CAD"/>
    <w:rsid w:val="00CE1915"/>
    <w:rsid w:val="00CE2089"/>
    <w:rsid w:val="00CE25BC"/>
    <w:rsid w:val="00CE2715"/>
    <w:rsid w:val="00CE2DE9"/>
    <w:rsid w:val="00CE31E1"/>
    <w:rsid w:val="00CE3C96"/>
    <w:rsid w:val="00CE3ECC"/>
    <w:rsid w:val="00CE41FF"/>
    <w:rsid w:val="00CE4672"/>
    <w:rsid w:val="00CE4D80"/>
    <w:rsid w:val="00CE51A8"/>
    <w:rsid w:val="00CE5E84"/>
    <w:rsid w:val="00CE7D7F"/>
    <w:rsid w:val="00CF035B"/>
    <w:rsid w:val="00CF0BFE"/>
    <w:rsid w:val="00CF133D"/>
    <w:rsid w:val="00CF1945"/>
    <w:rsid w:val="00CF2805"/>
    <w:rsid w:val="00CF369B"/>
    <w:rsid w:val="00CF3A69"/>
    <w:rsid w:val="00CF3D31"/>
    <w:rsid w:val="00CF6F6A"/>
    <w:rsid w:val="00D00E28"/>
    <w:rsid w:val="00D0200F"/>
    <w:rsid w:val="00D02546"/>
    <w:rsid w:val="00D0269E"/>
    <w:rsid w:val="00D03276"/>
    <w:rsid w:val="00D05775"/>
    <w:rsid w:val="00D05D6C"/>
    <w:rsid w:val="00D10226"/>
    <w:rsid w:val="00D1197F"/>
    <w:rsid w:val="00D124E1"/>
    <w:rsid w:val="00D1306A"/>
    <w:rsid w:val="00D13A03"/>
    <w:rsid w:val="00D147FA"/>
    <w:rsid w:val="00D15810"/>
    <w:rsid w:val="00D16371"/>
    <w:rsid w:val="00D167CE"/>
    <w:rsid w:val="00D16D4E"/>
    <w:rsid w:val="00D16FE3"/>
    <w:rsid w:val="00D206F5"/>
    <w:rsid w:val="00D23398"/>
    <w:rsid w:val="00D25B78"/>
    <w:rsid w:val="00D25F7B"/>
    <w:rsid w:val="00D27583"/>
    <w:rsid w:val="00D27F41"/>
    <w:rsid w:val="00D30609"/>
    <w:rsid w:val="00D30BBD"/>
    <w:rsid w:val="00D34052"/>
    <w:rsid w:val="00D36441"/>
    <w:rsid w:val="00D36BA1"/>
    <w:rsid w:val="00D4064E"/>
    <w:rsid w:val="00D4169E"/>
    <w:rsid w:val="00D41783"/>
    <w:rsid w:val="00D42853"/>
    <w:rsid w:val="00D43B47"/>
    <w:rsid w:val="00D44591"/>
    <w:rsid w:val="00D44672"/>
    <w:rsid w:val="00D44E9B"/>
    <w:rsid w:val="00D46ADE"/>
    <w:rsid w:val="00D47AEB"/>
    <w:rsid w:val="00D47ED7"/>
    <w:rsid w:val="00D50DB9"/>
    <w:rsid w:val="00D51302"/>
    <w:rsid w:val="00D52567"/>
    <w:rsid w:val="00D52C43"/>
    <w:rsid w:val="00D549BF"/>
    <w:rsid w:val="00D558AB"/>
    <w:rsid w:val="00D562CF"/>
    <w:rsid w:val="00D56928"/>
    <w:rsid w:val="00D61243"/>
    <w:rsid w:val="00D63CDE"/>
    <w:rsid w:val="00D63F44"/>
    <w:rsid w:val="00D6404A"/>
    <w:rsid w:val="00D64400"/>
    <w:rsid w:val="00D6443F"/>
    <w:rsid w:val="00D6507F"/>
    <w:rsid w:val="00D66303"/>
    <w:rsid w:val="00D7041C"/>
    <w:rsid w:val="00D713F8"/>
    <w:rsid w:val="00D716BB"/>
    <w:rsid w:val="00D71A95"/>
    <w:rsid w:val="00D730BC"/>
    <w:rsid w:val="00D73193"/>
    <w:rsid w:val="00D73912"/>
    <w:rsid w:val="00D7604E"/>
    <w:rsid w:val="00D76F52"/>
    <w:rsid w:val="00D77021"/>
    <w:rsid w:val="00D80091"/>
    <w:rsid w:val="00D80BF1"/>
    <w:rsid w:val="00D80FB4"/>
    <w:rsid w:val="00D82A16"/>
    <w:rsid w:val="00D82E6F"/>
    <w:rsid w:val="00D8433F"/>
    <w:rsid w:val="00D85226"/>
    <w:rsid w:val="00D87AFD"/>
    <w:rsid w:val="00D87B94"/>
    <w:rsid w:val="00D90013"/>
    <w:rsid w:val="00D90211"/>
    <w:rsid w:val="00D9034B"/>
    <w:rsid w:val="00D916F7"/>
    <w:rsid w:val="00D92D49"/>
    <w:rsid w:val="00D92EC1"/>
    <w:rsid w:val="00D92FCB"/>
    <w:rsid w:val="00D935AE"/>
    <w:rsid w:val="00D94637"/>
    <w:rsid w:val="00D9551F"/>
    <w:rsid w:val="00D9558A"/>
    <w:rsid w:val="00D9586F"/>
    <w:rsid w:val="00D96030"/>
    <w:rsid w:val="00D9618F"/>
    <w:rsid w:val="00D96505"/>
    <w:rsid w:val="00D96DEA"/>
    <w:rsid w:val="00D97911"/>
    <w:rsid w:val="00DA0054"/>
    <w:rsid w:val="00DA006E"/>
    <w:rsid w:val="00DA01B9"/>
    <w:rsid w:val="00DA081D"/>
    <w:rsid w:val="00DA2484"/>
    <w:rsid w:val="00DA4E41"/>
    <w:rsid w:val="00DA5DAB"/>
    <w:rsid w:val="00DA6A31"/>
    <w:rsid w:val="00DB01DB"/>
    <w:rsid w:val="00DB117A"/>
    <w:rsid w:val="00DB2B72"/>
    <w:rsid w:val="00DB4825"/>
    <w:rsid w:val="00DB5173"/>
    <w:rsid w:val="00DB5F63"/>
    <w:rsid w:val="00DB6569"/>
    <w:rsid w:val="00DB779A"/>
    <w:rsid w:val="00DB7873"/>
    <w:rsid w:val="00DB7BAB"/>
    <w:rsid w:val="00DC187B"/>
    <w:rsid w:val="00DC1B09"/>
    <w:rsid w:val="00DC1F3E"/>
    <w:rsid w:val="00DC1FDF"/>
    <w:rsid w:val="00DC3D5A"/>
    <w:rsid w:val="00DC3DC0"/>
    <w:rsid w:val="00DC55E3"/>
    <w:rsid w:val="00DC627A"/>
    <w:rsid w:val="00DC655D"/>
    <w:rsid w:val="00DC6A58"/>
    <w:rsid w:val="00DC6B68"/>
    <w:rsid w:val="00DC7E37"/>
    <w:rsid w:val="00DD0100"/>
    <w:rsid w:val="00DD1067"/>
    <w:rsid w:val="00DD1A43"/>
    <w:rsid w:val="00DD234F"/>
    <w:rsid w:val="00DD547A"/>
    <w:rsid w:val="00DD5A15"/>
    <w:rsid w:val="00DD6443"/>
    <w:rsid w:val="00DD6ACF"/>
    <w:rsid w:val="00DD73C2"/>
    <w:rsid w:val="00DE1641"/>
    <w:rsid w:val="00DE1B12"/>
    <w:rsid w:val="00DE2970"/>
    <w:rsid w:val="00DE319B"/>
    <w:rsid w:val="00DE3504"/>
    <w:rsid w:val="00DE4275"/>
    <w:rsid w:val="00DE441D"/>
    <w:rsid w:val="00DE6E0E"/>
    <w:rsid w:val="00DF14C4"/>
    <w:rsid w:val="00DF1B69"/>
    <w:rsid w:val="00DF2A3B"/>
    <w:rsid w:val="00DF34FE"/>
    <w:rsid w:val="00DF4545"/>
    <w:rsid w:val="00DF4CE3"/>
    <w:rsid w:val="00DF5279"/>
    <w:rsid w:val="00DF56AA"/>
    <w:rsid w:val="00DF56AF"/>
    <w:rsid w:val="00DF5AF8"/>
    <w:rsid w:val="00DF78E7"/>
    <w:rsid w:val="00E0023E"/>
    <w:rsid w:val="00E048BE"/>
    <w:rsid w:val="00E04938"/>
    <w:rsid w:val="00E06C79"/>
    <w:rsid w:val="00E110E0"/>
    <w:rsid w:val="00E1158D"/>
    <w:rsid w:val="00E15259"/>
    <w:rsid w:val="00E15371"/>
    <w:rsid w:val="00E162C4"/>
    <w:rsid w:val="00E2087A"/>
    <w:rsid w:val="00E20EDC"/>
    <w:rsid w:val="00E21056"/>
    <w:rsid w:val="00E21862"/>
    <w:rsid w:val="00E21B85"/>
    <w:rsid w:val="00E2295B"/>
    <w:rsid w:val="00E24104"/>
    <w:rsid w:val="00E24238"/>
    <w:rsid w:val="00E24681"/>
    <w:rsid w:val="00E2475D"/>
    <w:rsid w:val="00E24F39"/>
    <w:rsid w:val="00E2502C"/>
    <w:rsid w:val="00E25FC7"/>
    <w:rsid w:val="00E265A5"/>
    <w:rsid w:val="00E274F2"/>
    <w:rsid w:val="00E302D0"/>
    <w:rsid w:val="00E3033E"/>
    <w:rsid w:val="00E30A2C"/>
    <w:rsid w:val="00E32115"/>
    <w:rsid w:val="00E32BAE"/>
    <w:rsid w:val="00E34299"/>
    <w:rsid w:val="00E342C2"/>
    <w:rsid w:val="00E34B28"/>
    <w:rsid w:val="00E3523C"/>
    <w:rsid w:val="00E35707"/>
    <w:rsid w:val="00E36AA1"/>
    <w:rsid w:val="00E37CE2"/>
    <w:rsid w:val="00E401DC"/>
    <w:rsid w:val="00E41ECB"/>
    <w:rsid w:val="00E42676"/>
    <w:rsid w:val="00E42FCF"/>
    <w:rsid w:val="00E45E2F"/>
    <w:rsid w:val="00E478D4"/>
    <w:rsid w:val="00E52276"/>
    <w:rsid w:val="00E5402F"/>
    <w:rsid w:val="00E5426D"/>
    <w:rsid w:val="00E54FDB"/>
    <w:rsid w:val="00E55368"/>
    <w:rsid w:val="00E559D3"/>
    <w:rsid w:val="00E55F51"/>
    <w:rsid w:val="00E56147"/>
    <w:rsid w:val="00E5617D"/>
    <w:rsid w:val="00E561E1"/>
    <w:rsid w:val="00E563D7"/>
    <w:rsid w:val="00E56AB0"/>
    <w:rsid w:val="00E6038C"/>
    <w:rsid w:val="00E60591"/>
    <w:rsid w:val="00E61076"/>
    <w:rsid w:val="00E63135"/>
    <w:rsid w:val="00E65A12"/>
    <w:rsid w:val="00E663F4"/>
    <w:rsid w:val="00E666F2"/>
    <w:rsid w:val="00E66715"/>
    <w:rsid w:val="00E66DD4"/>
    <w:rsid w:val="00E71796"/>
    <w:rsid w:val="00E71872"/>
    <w:rsid w:val="00E72459"/>
    <w:rsid w:val="00E72A60"/>
    <w:rsid w:val="00E735C3"/>
    <w:rsid w:val="00E73E95"/>
    <w:rsid w:val="00E73EC4"/>
    <w:rsid w:val="00E744C3"/>
    <w:rsid w:val="00E748CC"/>
    <w:rsid w:val="00E749DD"/>
    <w:rsid w:val="00E74F15"/>
    <w:rsid w:val="00E75415"/>
    <w:rsid w:val="00E75475"/>
    <w:rsid w:val="00E775B1"/>
    <w:rsid w:val="00E77682"/>
    <w:rsid w:val="00E80637"/>
    <w:rsid w:val="00E808D3"/>
    <w:rsid w:val="00E810A7"/>
    <w:rsid w:val="00E8152A"/>
    <w:rsid w:val="00E819C7"/>
    <w:rsid w:val="00E83D9A"/>
    <w:rsid w:val="00E86D3B"/>
    <w:rsid w:val="00E907C9"/>
    <w:rsid w:val="00E91D03"/>
    <w:rsid w:val="00E93629"/>
    <w:rsid w:val="00E93B5C"/>
    <w:rsid w:val="00E94CEC"/>
    <w:rsid w:val="00E95D41"/>
    <w:rsid w:val="00E97923"/>
    <w:rsid w:val="00E97AF2"/>
    <w:rsid w:val="00EA04EF"/>
    <w:rsid w:val="00EA0969"/>
    <w:rsid w:val="00EA2CB1"/>
    <w:rsid w:val="00EA31C9"/>
    <w:rsid w:val="00EA3C5D"/>
    <w:rsid w:val="00EA3DEF"/>
    <w:rsid w:val="00EA53C3"/>
    <w:rsid w:val="00EA686D"/>
    <w:rsid w:val="00EA6C79"/>
    <w:rsid w:val="00EA6F19"/>
    <w:rsid w:val="00EB06ED"/>
    <w:rsid w:val="00EB3A4C"/>
    <w:rsid w:val="00EB3DCC"/>
    <w:rsid w:val="00EB7090"/>
    <w:rsid w:val="00EB7C6F"/>
    <w:rsid w:val="00EC023B"/>
    <w:rsid w:val="00EC0876"/>
    <w:rsid w:val="00EC1BBE"/>
    <w:rsid w:val="00EC28DC"/>
    <w:rsid w:val="00EC2AEF"/>
    <w:rsid w:val="00EC2B68"/>
    <w:rsid w:val="00EC3AEF"/>
    <w:rsid w:val="00EC3C8A"/>
    <w:rsid w:val="00EC5CD7"/>
    <w:rsid w:val="00EC5FA2"/>
    <w:rsid w:val="00EC64F5"/>
    <w:rsid w:val="00EC7CF5"/>
    <w:rsid w:val="00ED154A"/>
    <w:rsid w:val="00ED2A1F"/>
    <w:rsid w:val="00ED3D5D"/>
    <w:rsid w:val="00ED581F"/>
    <w:rsid w:val="00EE24AE"/>
    <w:rsid w:val="00EE4D11"/>
    <w:rsid w:val="00EE5123"/>
    <w:rsid w:val="00EE5FB3"/>
    <w:rsid w:val="00EE7DFD"/>
    <w:rsid w:val="00EE7F79"/>
    <w:rsid w:val="00EF0E52"/>
    <w:rsid w:val="00EF180C"/>
    <w:rsid w:val="00EF1993"/>
    <w:rsid w:val="00EF39A8"/>
    <w:rsid w:val="00EF3F17"/>
    <w:rsid w:val="00EF43D8"/>
    <w:rsid w:val="00EF48CC"/>
    <w:rsid w:val="00EF4E48"/>
    <w:rsid w:val="00EF58DA"/>
    <w:rsid w:val="00EF702A"/>
    <w:rsid w:val="00EF715A"/>
    <w:rsid w:val="00EF7489"/>
    <w:rsid w:val="00EF7601"/>
    <w:rsid w:val="00F037A8"/>
    <w:rsid w:val="00F03A8F"/>
    <w:rsid w:val="00F03FBC"/>
    <w:rsid w:val="00F04738"/>
    <w:rsid w:val="00F04FAA"/>
    <w:rsid w:val="00F06E14"/>
    <w:rsid w:val="00F070C3"/>
    <w:rsid w:val="00F11B18"/>
    <w:rsid w:val="00F156D3"/>
    <w:rsid w:val="00F16C71"/>
    <w:rsid w:val="00F176D0"/>
    <w:rsid w:val="00F179D4"/>
    <w:rsid w:val="00F17F9A"/>
    <w:rsid w:val="00F211C5"/>
    <w:rsid w:val="00F22A23"/>
    <w:rsid w:val="00F22E0E"/>
    <w:rsid w:val="00F23034"/>
    <w:rsid w:val="00F25276"/>
    <w:rsid w:val="00F2730D"/>
    <w:rsid w:val="00F3055C"/>
    <w:rsid w:val="00F316E3"/>
    <w:rsid w:val="00F329E9"/>
    <w:rsid w:val="00F32BF0"/>
    <w:rsid w:val="00F33733"/>
    <w:rsid w:val="00F33C56"/>
    <w:rsid w:val="00F347C7"/>
    <w:rsid w:val="00F34848"/>
    <w:rsid w:val="00F3485B"/>
    <w:rsid w:val="00F35058"/>
    <w:rsid w:val="00F35F03"/>
    <w:rsid w:val="00F361D7"/>
    <w:rsid w:val="00F3634E"/>
    <w:rsid w:val="00F371A6"/>
    <w:rsid w:val="00F40B15"/>
    <w:rsid w:val="00F41235"/>
    <w:rsid w:val="00F419CC"/>
    <w:rsid w:val="00F41C96"/>
    <w:rsid w:val="00F42145"/>
    <w:rsid w:val="00F42D46"/>
    <w:rsid w:val="00F4496C"/>
    <w:rsid w:val="00F44AF4"/>
    <w:rsid w:val="00F44F3A"/>
    <w:rsid w:val="00F46003"/>
    <w:rsid w:val="00F503C7"/>
    <w:rsid w:val="00F50E4D"/>
    <w:rsid w:val="00F50FC1"/>
    <w:rsid w:val="00F519E4"/>
    <w:rsid w:val="00F51F10"/>
    <w:rsid w:val="00F51F2C"/>
    <w:rsid w:val="00F5258C"/>
    <w:rsid w:val="00F529A5"/>
    <w:rsid w:val="00F5310D"/>
    <w:rsid w:val="00F54C96"/>
    <w:rsid w:val="00F554E7"/>
    <w:rsid w:val="00F56639"/>
    <w:rsid w:val="00F578E7"/>
    <w:rsid w:val="00F579C8"/>
    <w:rsid w:val="00F60F00"/>
    <w:rsid w:val="00F6128B"/>
    <w:rsid w:val="00F614C0"/>
    <w:rsid w:val="00F61663"/>
    <w:rsid w:val="00F62377"/>
    <w:rsid w:val="00F625AB"/>
    <w:rsid w:val="00F64F81"/>
    <w:rsid w:val="00F6501D"/>
    <w:rsid w:val="00F677B1"/>
    <w:rsid w:val="00F714D0"/>
    <w:rsid w:val="00F71776"/>
    <w:rsid w:val="00F7367F"/>
    <w:rsid w:val="00F73F1F"/>
    <w:rsid w:val="00F74CF1"/>
    <w:rsid w:val="00F76AD3"/>
    <w:rsid w:val="00F772FD"/>
    <w:rsid w:val="00F80039"/>
    <w:rsid w:val="00F80298"/>
    <w:rsid w:val="00F83848"/>
    <w:rsid w:val="00F856DC"/>
    <w:rsid w:val="00F8589A"/>
    <w:rsid w:val="00F86F53"/>
    <w:rsid w:val="00F919BC"/>
    <w:rsid w:val="00F92873"/>
    <w:rsid w:val="00F93AEE"/>
    <w:rsid w:val="00F94020"/>
    <w:rsid w:val="00F9537A"/>
    <w:rsid w:val="00F975E9"/>
    <w:rsid w:val="00F9797F"/>
    <w:rsid w:val="00F97A36"/>
    <w:rsid w:val="00FA11FA"/>
    <w:rsid w:val="00FA1B7D"/>
    <w:rsid w:val="00FA243D"/>
    <w:rsid w:val="00FA2615"/>
    <w:rsid w:val="00FA6174"/>
    <w:rsid w:val="00FA71A6"/>
    <w:rsid w:val="00FA7F96"/>
    <w:rsid w:val="00FB100E"/>
    <w:rsid w:val="00FB11C0"/>
    <w:rsid w:val="00FB183A"/>
    <w:rsid w:val="00FB3E89"/>
    <w:rsid w:val="00FB46C2"/>
    <w:rsid w:val="00FC073C"/>
    <w:rsid w:val="00FC07B9"/>
    <w:rsid w:val="00FC0DA0"/>
    <w:rsid w:val="00FC0FE8"/>
    <w:rsid w:val="00FC1405"/>
    <w:rsid w:val="00FC171E"/>
    <w:rsid w:val="00FC4E21"/>
    <w:rsid w:val="00FC4F72"/>
    <w:rsid w:val="00FC531F"/>
    <w:rsid w:val="00FC5D6D"/>
    <w:rsid w:val="00FC5F6D"/>
    <w:rsid w:val="00FC6FCE"/>
    <w:rsid w:val="00FC7C9A"/>
    <w:rsid w:val="00FD0107"/>
    <w:rsid w:val="00FD01F4"/>
    <w:rsid w:val="00FD22D2"/>
    <w:rsid w:val="00FD2C2F"/>
    <w:rsid w:val="00FD2C60"/>
    <w:rsid w:val="00FD2F3F"/>
    <w:rsid w:val="00FD3B31"/>
    <w:rsid w:val="00FD44D0"/>
    <w:rsid w:val="00FD59D6"/>
    <w:rsid w:val="00FD62AF"/>
    <w:rsid w:val="00FD74F5"/>
    <w:rsid w:val="00FD7544"/>
    <w:rsid w:val="00FD7FB0"/>
    <w:rsid w:val="00FE1150"/>
    <w:rsid w:val="00FE1823"/>
    <w:rsid w:val="00FE1B09"/>
    <w:rsid w:val="00FE33C6"/>
    <w:rsid w:val="00FE4068"/>
    <w:rsid w:val="00FE415E"/>
    <w:rsid w:val="00FE487A"/>
    <w:rsid w:val="00FE6188"/>
    <w:rsid w:val="00FE678B"/>
    <w:rsid w:val="00FE692D"/>
    <w:rsid w:val="00FE6AD0"/>
    <w:rsid w:val="00FE7063"/>
    <w:rsid w:val="00FF0569"/>
    <w:rsid w:val="00FF066A"/>
    <w:rsid w:val="00FF079E"/>
    <w:rsid w:val="00FF0924"/>
    <w:rsid w:val="00FF1EE6"/>
    <w:rsid w:val="00FF206E"/>
    <w:rsid w:val="00FF2676"/>
    <w:rsid w:val="00FF2FAC"/>
    <w:rsid w:val="00FF3282"/>
    <w:rsid w:val="00FF3C69"/>
    <w:rsid w:val="00FF4D52"/>
    <w:rsid w:val="00FF5B36"/>
    <w:rsid w:val="00FF616D"/>
    <w:rsid w:val="00FF6BA4"/>
    <w:rsid w:val="00FF6C4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CDE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9"/>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
    <w:basedOn w:val="Normal"/>
    <w:link w:val="FootnoteTextChar"/>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9"/>
    <w:rsid w:val="00800CCD"/>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
    <w:basedOn w:val="DefaultParagraphFont"/>
    <w:link w:val="FootnoteText"/>
    <w:uiPriority w:val="23"/>
    <w:rsid w:val="005B6B4F"/>
    <w:rPr>
      <w:rFonts w:ascii="Arial" w:hAnsi="Arial"/>
      <w:sz w:val="16"/>
      <w:szCs w:val="16"/>
    </w:rPr>
  </w:style>
  <w:style w:type="paragraph" w:customStyle="1" w:styleId="ACMANumberedList">
    <w:name w:val="ACMA Numbered List"/>
    <w:rsid w:val="00565582"/>
    <w:pPr>
      <w:numPr>
        <w:numId w:val="20"/>
      </w:numPr>
      <w:spacing w:before="20" w:after="20"/>
    </w:pPr>
    <w:rPr>
      <w:szCs w:val="20"/>
      <w:lang w:eastAsia="en-US"/>
    </w:rPr>
  </w:style>
  <w:style w:type="paragraph" w:customStyle="1" w:styleId="subsection">
    <w:name w:val="subsection"/>
    <w:basedOn w:val="Normal"/>
    <w:rsid w:val="00192253"/>
    <w:pPr>
      <w:spacing w:before="100" w:beforeAutospacing="1" w:after="100" w:afterAutospacing="1" w:line="240" w:lineRule="auto"/>
    </w:pPr>
    <w:rPr>
      <w:rFonts w:ascii="Times New Roman" w:hAnsi="Times New Roman"/>
      <w:sz w:val="24"/>
    </w:rPr>
  </w:style>
  <w:style w:type="character" w:styleId="Mention">
    <w:name w:val="Mention"/>
    <w:basedOn w:val="DefaultParagraphFont"/>
    <w:uiPriority w:val="99"/>
    <w:unhideWhenUsed/>
    <w:rsid w:val="005B5CA2"/>
    <w:rPr>
      <w:color w:val="2B579A"/>
      <w:shd w:val="clear" w:color="auto" w:fill="E1DFDD"/>
    </w:rPr>
  </w:style>
  <w:style w:type="paragraph" w:styleId="ListParagraph">
    <w:name w:val="List Paragraph"/>
    <w:basedOn w:val="Normal"/>
    <w:uiPriority w:val="34"/>
    <w:qFormat/>
    <w:rsid w:val="00BB010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585959537">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969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innovation-and-industry-development-exemption-framework"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2-07/new-arrangements-banned-equipment-and-exemptions-framework-consultation-23202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0-05/arrangements-jamming-devices-and-radiocommunications-device-exemptions-consultation-152020"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consultations/2022-07/new-arrangements-banned-equipment-and-exemptions-framework-consultation-232022"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2-07/new-arrangements-banned-equipment-and-exemptions-framework-consultation-232022" TargetMode="External"/><Relationship Id="rId30" Type="http://schemas.openxmlformats.org/officeDocument/2006/relationships/header" Target="header8.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21C005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8743</Words>
  <Characters>49753</Characters>
  <Application>Microsoft Office Word</Application>
  <DocSecurity>0</DocSecurity>
  <Lines>921</Lines>
  <Paragraphs>330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58166</CharactersWithSpaces>
  <SharedDoc>false</SharedDoc>
  <HyperlinkBase/>
  <HLinks>
    <vt:vector size="90" baseType="variant">
      <vt:variant>
        <vt:i4>6029379</vt:i4>
      </vt:variant>
      <vt:variant>
        <vt:i4>66</vt:i4>
      </vt:variant>
      <vt:variant>
        <vt:i4>0</vt:i4>
      </vt:variant>
      <vt:variant>
        <vt:i4>5</vt:i4>
      </vt:variant>
      <vt:variant>
        <vt:lpwstr>https://www.acma.gov.au/consultations/2022-07/new-arrangements-banned-equipment-and-exemptions-framework-consultation-232022</vt:lpwstr>
      </vt:variant>
      <vt:variant>
        <vt:lpwstr/>
      </vt:variant>
      <vt:variant>
        <vt:i4>3014689</vt:i4>
      </vt:variant>
      <vt:variant>
        <vt:i4>63</vt:i4>
      </vt:variant>
      <vt:variant>
        <vt:i4>0</vt:i4>
      </vt:variant>
      <vt:variant>
        <vt:i4>5</vt:i4>
      </vt:variant>
      <vt:variant>
        <vt:lpwstr>https://www.acma.gov.au/innovation-and-industry-development-exemption-framework</vt:lpwstr>
      </vt:variant>
      <vt:variant>
        <vt:lpwstr/>
      </vt:variant>
      <vt:variant>
        <vt:i4>6029379</vt:i4>
      </vt:variant>
      <vt:variant>
        <vt:i4>60</vt:i4>
      </vt:variant>
      <vt:variant>
        <vt:i4>0</vt:i4>
      </vt:variant>
      <vt:variant>
        <vt:i4>5</vt:i4>
      </vt:variant>
      <vt:variant>
        <vt:lpwstr>https://www.acma.gov.au/consultations/2022-07/new-arrangements-banned-equipment-and-exemptions-framework-consultation-232022</vt:lpwstr>
      </vt:variant>
      <vt:variant>
        <vt:lpwstr/>
      </vt:variant>
      <vt:variant>
        <vt:i4>589827</vt:i4>
      </vt:variant>
      <vt:variant>
        <vt:i4>57</vt:i4>
      </vt:variant>
      <vt:variant>
        <vt:i4>0</vt:i4>
      </vt:variant>
      <vt:variant>
        <vt:i4>5</vt:i4>
      </vt:variant>
      <vt:variant>
        <vt:lpwstr>https://www.acma.gov.au/consultations/2020-05/arrangements-jamming-devices-and-radiocommunications-device-exemptions-consultation-152020</vt:lpwstr>
      </vt:variant>
      <vt:variant>
        <vt:lpwstr/>
      </vt:variant>
      <vt:variant>
        <vt:i4>1114173</vt:i4>
      </vt:variant>
      <vt:variant>
        <vt:i4>50</vt:i4>
      </vt:variant>
      <vt:variant>
        <vt:i4>0</vt:i4>
      </vt:variant>
      <vt:variant>
        <vt:i4>5</vt:i4>
      </vt:variant>
      <vt:variant>
        <vt:lpwstr/>
      </vt:variant>
      <vt:variant>
        <vt:lpwstr>_Toc119673221</vt:lpwstr>
      </vt:variant>
      <vt:variant>
        <vt:i4>1114173</vt:i4>
      </vt:variant>
      <vt:variant>
        <vt:i4>44</vt:i4>
      </vt:variant>
      <vt:variant>
        <vt:i4>0</vt:i4>
      </vt:variant>
      <vt:variant>
        <vt:i4>5</vt:i4>
      </vt:variant>
      <vt:variant>
        <vt:lpwstr/>
      </vt:variant>
      <vt:variant>
        <vt:lpwstr>_Toc119673220</vt:lpwstr>
      </vt:variant>
      <vt:variant>
        <vt:i4>1179709</vt:i4>
      </vt:variant>
      <vt:variant>
        <vt:i4>38</vt:i4>
      </vt:variant>
      <vt:variant>
        <vt:i4>0</vt:i4>
      </vt:variant>
      <vt:variant>
        <vt:i4>5</vt:i4>
      </vt:variant>
      <vt:variant>
        <vt:lpwstr/>
      </vt:variant>
      <vt:variant>
        <vt:lpwstr>_Toc119673219</vt:lpwstr>
      </vt:variant>
      <vt:variant>
        <vt:i4>1179709</vt:i4>
      </vt:variant>
      <vt:variant>
        <vt:i4>32</vt:i4>
      </vt:variant>
      <vt:variant>
        <vt:i4>0</vt:i4>
      </vt:variant>
      <vt:variant>
        <vt:i4>5</vt:i4>
      </vt:variant>
      <vt:variant>
        <vt:lpwstr/>
      </vt:variant>
      <vt:variant>
        <vt:lpwstr>_Toc119673218</vt:lpwstr>
      </vt:variant>
      <vt:variant>
        <vt:i4>1179709</vt:i4>
      </vt:variant>
      <vt:variant>
        <vt:i4>26</vt:i4>
      </vt:variant>
      <vt:variant>
        <vt:i4>0</vt:i4>
      </vt:variant>
      <vt:variant>
        <vt:i4>5</vt:i4>
      </vt:variant>
      <vt:variant>
        <vt:lpwstr/>
      </vt:variant>
      <vt:variant>
        <vt:lpwstr>_Toc119673217</vt:lpwstr>
      </vt:variant>
      <vt:variant>
        <vt:i4>1179709</vt:i4>
      </vt:variant>
      <vt:variant>
        <vt:i4>20</vt:i4>
      </vt:variant>
      <vt:variant>
        <vt:i4>0</vt:i4>
      </vt:variant>
      <vt:variant>
        <vt:i4>5</vt:i4>
      </vt:variant>
      <vt:variant>
        <vt:lpwstr/>
      </vt:variant>
      <vt:variant>
        <vt:lpwstr>_Toc119673216</vt:lpwstr>
      </vt:variant>
      <vt:variant>
        <vt:i4>1179709</vt:i4>
      </vt:variant>
      <vt:variant>
        <vt:i4>14</vt:i4>
      </vt:variant>
      <vt:variant>
        <vt:i4>0</vt:i4>
      </vt:variant>
      <vt:variant>
        <vt:i4>5</vt:i4>
      </vt:variant>
      <vt:variant>
        <vt:lpwstr/>
      </vt:variant>
      <vt:variant>
        <vt:lpwstr>_Toc119673215</vt:lpwstr>
      </vt:variant>
      <vt:variant>
        <vt:i4>1179709</vt:i4>
      </vt:variant>
      <vt:variant>
        <vt:i4>8</vt:i4>
      </vt:variant>
      <vt:variant>
        <vt:i4>0</vt:i4>
      </vt:variant>
      <vt:variant>
        <vt:i4>5</vt:i4>
      </vt:variant>
      <vt:variant>
        <vt:lpwstr/>
      </vt:variant>
      <vt:variant>
        <vt:lpwstr>_Toc119673214</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7929891</vt:i4>
      </vt:variant>
      <vt:variant>
        <vt:i4>0</vt:i4>
      </vt:variant>
      <vt:variant>
        <vt:i4>0</vt:i4>
      </vt:variant>
      <vt:variant>
        <vt:i4>5</vt:i4>
      </vt:variant>
      <vt:variant>
        <vt:lpwstr>https://www.legislation.gov.au/Details/F2021C00568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2023-03-09T01:25:00Z</dcterms:created>
  <dcterms:modified xsi:type="dcterms:W3CDTF">2023-03-09T01:27:00Z</dcterms:modified>
  <cp:category/>
</cp:coreProperties>
</file>