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CBF1F" w14:textId="261A2E83" w:rsidR="002A19B5" w:rsidRPr="00A51D1A" w:rsidRDefault="002A19B5" w:rsidP="002A19B5">
      <w:pPr>
        <w:pStyle w:val="Reporttitle"/>
      </w:pPr>
      <w:r w:rsidRPr="00E42DB1">
        <w:t xml:space="preserve">Exploring </w:t>
      </w:r>
      <w:r w:rsidR="006A19A8">
        <w:t xml:space="preserve">the future </w:t>
      </w:r>
      <w:r w:rsidR="00C72080">
        <w:t xml:space="preserve">use </w:t>
      </w:r>
      <w:r w:rsidR="006A19A8">
        <w:t>of</w:t>
      </w:r>
      <w:r w:rsidRPr="00E42DB1">
        <w:t xml:space="preserve"> the </w:t>
      </w:r>
      <w:r w:rsidR="00E200E5">
        <w:br/>
      </w:r>
      <w:r>
        <w:t>1880</w:t>
      </w:r>
      <w:r w:rsidR="00F412AF">
        <w:t>–</w:t>
      </w:r>
      <w:r>
        <w:t>1920 MHz band</w:t>
      </w:r>
    </w:p>
    <w:p w14:paraId="5E3C5E4C" w14:textId="569E5CDF" w:rsidR="00F06E14" w:rsidRDefault="00236DD3" w:rsidP="00F06E14">
      <w:pPr>
        <w:pStyle w:val="Reportsubtitle"/>
      </w:pPr>
      <w:r>
        <w:t>Discussion</w:t>
      </w:r>
      <w:r w:rsidR="002A19B5">
        <w:t xml:space="preserve"> </w:t>
      </w:r>
      <w:r w:rsidR="00F412AF">
        <w:t>p</w:t>
      </w:r>
      <w:r w:rsidR="002A19B5">
        <w:t>aper</w:t>
      </w:r>
    </w:p>
    <w:p w14:paraId="7AC5B2FF" w14:textId="1093018A" w:rsidR="00C97736" w:rsidRDefault="00361A2E" w:rsidP="00EC2B68">
      <w:pPr>
        <w:pStyle w:val="Reportdate"/>
        <w:spacing w:after="720"/>
      </w:pPr>
      <w:r w:rsidRPr="00285E8F">
        <w:t xml:space="preserve">NOVEMBER </w:t>
      </w:r>
      <w:r w:rsidR="00BD4421" w:rsidRPr="00285E8F">
        <w:t>20</w:t>
      </w:r>
      <w:r w:rsidR="008E0428" w:rsidRPr="00285E8F">
        <w:t>2</w:t>
      </w:r>
      <w:r w:rsidR="003253EE" w:rsidRPr="00285E8F">
        <w:t>1</w:t>
      </w:r>
    </w:p>
    <w:p w14:paraId="72AEBB89" w14:textId="40F28B1E" w:rsidR="00FA29C2" w:rsidRDefault="00FA29C2" w:rsidP="00EC2B68">
      <w:pPr>
        <w:pStyle w:val="Reportdate"/>
        <w:spacing w:after="720"/>
      </w:pPr>
      <w:r>
        <w:t>UPDATED 21 JANUARY 2022</w:t>
      </w:r>
    </w:p>
    <w:p w14:paraId="4CFA71E9" w14:textId="507CC250" w:rsidR="00F412AF" w:rsidRPr="000D76E0" w:rsidRDefault="00F412AF" w:rsidP="00EC2B68">
      <w:pPr>
        <w:pStyle w:val="Reportdate"/>
        <w:spacing w:after="720"/>
        <w:rPr>
          <w:rFonts w:cs="Arial"/>
        </w:rPr>
        <w:sectPr w:rsidR="00F412AF" w:rsidRPr="000D76E0"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p>
    <w:p w14:paraId="3EF0CB7D" w14:textId="77777777" w:rsidR="0005011A" w:rsidRPr="00F44F3A" w:rsidRDefault="0005011A" w:rsidP="00FC07B9">
      <w:pPr>
        <w:pStyle w:val="ACMACorporateAddressHeader"/>
      </w:pPr>
      <w:r w:rsidRPr="00F44F3A">
        <w:lastRenderedPageBreak/>
        <w:t>Canberra</w:t>
      </w:r>
    </w:p>
    <w:p w14:paraId="36BB5E11"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4D147BFB" w14:textId="77777777" w:rsidR="0005011A" w:rsidRPr="00FC07B9" w:rsidRDefault="0005011A" w:rsidP="00FC07B9">
      <w:pPr>
        <w:pStyle w:val="ACMACorporateAddresses"/>
      </w:pPr>
      <w:r w:rsidRPr="00FC07B9">
        <w:t>PO Box 78</w:t>
      </w:r>
      <w:r w:rsidRPr="00FC07B9">
        <w:br/>
        <w:t>Belconnen ACT 2616</w:t>
      </w:r>
    </w:p>
    <w:p w14:paraId="25E522CD"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6274EB69" w14:textId="77777777" w:rsidR="0005011A" w:rsidRPr="00F44F3A" w:rsidRDefault="0005011A" w:rsidP="00FC07B9">
      <w:pPr>
        <w:pStyle w:val="ACMACorporateAddressHeader"/>
      </w:pPr>
      <w:r w:rsidRPr="00F44F3A">
        <w:t>Melbourne</w:t>
      </w:r>
    </w:p>
    <w:p w14:paraId="3A780C49"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2A7C3100"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797096BA"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6F535394" w14:textId="77777777" w:rsidR="0005011A" w:rsidRPr="00F44F3A" w:rsidRDefault="0005011A" w:rsidP="00FC07B9">
      <w:pPr>
        <w:pStyle w:val="ACMACorporateAddressHeader"/>
      </w:pPr>
      <w:r w:rsidRPr="00F44F3A">
        <w:t>Sydney</w:t>
      </w:r>
    </w:p>
    <w:p w14:paraId="6ABA5843"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09D8FA27"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64016EA7"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25FED742" w14:textId="77777777" w:rsidR="00140318" w:rsidRPr="006D46E5" w:rsidRDefault="00140318" w:rsidP="00FC07B9">
      <w:pPr>
        <w:pStyle w:val="ACMACopyrightHeader"/>
      </w:pPr>
      <w:r w:rsidRPr="00140318">
        <w:t>Copyright notice</w:t>
      </w:r>
    </w:p>
    <w:p w14:paraId="3C94C99B" w14:textId="77777777" w:rsidR="00140318" w:rsidRPr="006D46E5" w:rsidRDefault="00623FF9" w:rsidP="00623FF9">
      <w:pPr>
        <w:pStyle w:val="ACMACClogo"/>
      </w:pPr>
      <w:r w:rsidRPr="00623FF9">
        <w:rPr>
          <w:noProof/>
        </w:rPr>
        <w:drawing>
          <wp:inline distT="0" distB="0" distL="0" distR="0" wp14:anchorId="5B2C8DC6" wp14:editId="5747D027">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330715DA" w14:textId="77777777" w:rsidR="00AA2DE5" w:rsidRDefault="00D82479" w:rsidP="00AA2DE5">
      <w:pPr>
        <w:pStyle w:val="ACMACorporateAddresses"/>
        <w:rPr>
          <w:rStyle w:val="Hyperlink"/>
        </w:rPr>
      </w:pPr>
      <w:hyperlink r:id="rId13" w:history="1">
        <w:r w:rsidR="00AA2DE5">
          <w:rPr>
            <w:rStyle w:val="Hyperlink"/>
          </w:rPr>
          <w:t>https://creativecommons.org/licenses/by/4.0/</w:t>
        </w:r>
      </w:hyperlink>
    </w:p>
    <w:p w14:paraId="31DE1E2B" w14:textId="77777777" w:rsidR="00AA2DE5" w:rsidRDefault="00AA2DE5" w:rsidP="00AA2DE5">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31382686" w14:textId="77777777" w:rsidR="00AA2DE5" w:rsidRDefault="00AA2DE5" w:rsidP="00AA2DE5">
      <w:pPr>
        <w:pStyle w:val="ACMACorporateAddresses"/>
      </w:pPr>
      <w:r>
        <w:t>We request attribution as © Commonwealth of Australia (Australian Communications and Media Authority) 20</w:t>
      </w:r>
      <w:r w:rsidR="00C41F21">
        <w:t>2</w:t>
      </w:r>
      <w:r w:rsidR="00023A36">
        <w:t>1</w:t>
      </w:r>
      <w:r>
        <w:t>.</w:t>
      </w:r>
    </w:p>
    <w:p w14:paraId="522AA06B" w14:textId="77777777" w:rsidR="00AA2DE5" w:rsidRDefault="00AA2DE5" w:rsidP="00AA2DE5">
      <w:pPr>
        <w:pStyle w:val="ACMACorporateAddresses"/>
      </w:pPr>
      <w:r>
        <w:t>All other rights are reserved.</w:t>
      </w:r>
    </w:p>
    <w:p w14:paraId="48591C7C"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1DA6A54E" w14:textId="77777777" w:rsidR="00AA2DE5" w:rsidRDefault="00AA2DE5" w:rsidP="00AA2DE5">
      <w:pPr>
        <w:pStyle w:val="ACMACorporateAddresses"/>
      </w:pPr>
      <w:r>
        <w:t>Written enquiries may be sent to:</w:t>
      </w:r>
    </w:p>
    <w:p w14:paraId="1D20562A"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7C963EE7" w14:textId="77777777" w:rsidR="00D16FE3" w:rsidRDefault="00D16FE3" w:rsidP="00D16FE3">
      <w:pPr>
        <w:pStyle w:val="ACMACorporateAddresses"/>
        <w:rPr>
          <w:rStyle w:val="Hyperlink"/>
        </w:rPr>
      </w:pPr>
    </w:p>
    <w:p w14:paraId="2AF82638"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headerReference w:type="first" r:id="rId19"/>
          <w:pgSz w:w="11906" w:h="16838" w:code="9"/>
          <w:pgMar w:top="3924" w:right="1797" w:bottom="697" w:left="1134" w:header="709" w:footer="119" w:gutter="0"/>
          <w:cols w:space="708"/>
          <w:docGrid w:linePitch="360"/>
        </w:sectPr>
      </w:pPr>
    </w:p>
    <w:p w14:paraId="4A0A61E5" w14:textId="1ECC9F77" w:rsidR="009A1022" w:rsidRDefault="006A3ECF">
      <w:pPr>
        <w:pStyle w:val="TOC1"/>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"1-2" \h \z \t "Exec summary heading,1" </w:instrText>
      </w:r>
      <w:r>
        <w:rPr>
          <w:rFonts w:cs="Arial"/>
        </w:rPr>
        <w:fldChar w:fldCharType="separate"/>
      </w:r>
      <w:hyperlink w:anchor="_Toc87534268" w:history="1">
        <w:r w:rsidR="009A1022" w:rsidRPr="00550DF8">
          <w:rPr>
            <w:rStyle w:val="Hyperlink"/>
          </w:rPr>
          <w:t>Executive summary</w:t>
        </w:r>
        <w:r w:rsidR="009A1022">
          <w:rPr>
            <w:webHidden/>
          </w:rPr>
          <w:tab/>
        </w:r>
        <w:r w:rsidR="009A1022">
          <w:rPr>
            <w:webHidden/>
          </w:rPr>
          <w:fldChar w:fldCharType="begin"/>
        </w:r>
        <w:r w:rsidR="009A1022">
          <w:rPr>
            <w:webHidden/>
          </w:rPr>
          <w:instrText xml:space="preserve"> PAGEREF _Toc87534268 \h </w:instrText>
        </w:r>
        <w:r w:rsidR="009A1022">
          <w:rPr>
            <w:webHidden/>
          </w:rPr>
        </w:r>
        <w:r w:rsidR="009A1022">
          <w:rPr>
            <w:webHidden/>
          </w:rPr>
          <w:fldChar w:fldCharType="separate"/>
        </w:r>
        <w:r w:rsidR="009A1022">
          <w:rPr>
            <w:webHidden/>
          </w:rPr>
          <w:t>1</w:t>
        </w:r>
        <w:r w:rsidR="009A1022">
          <w:rPr>
            <w:webHidden/>
          </w:rPr>
          <w:fldChar w:fldCharType="end"/>
        </w:r>
      </w:hyperlink>
    </w:p>
    <w:p w14:paraId="0B5A7A64" w14:textId="06316BD8" w:rsidR="009A1022" w:rsidRDefault="00D82479">
      <w:pPr>
        <w:pStyle w:val="TOC1"/>
        <w:rPr>
          <w:rFonts w:asciiTheme="minorHAnsi" w:eastAsiaTheme="minorEastAsia" w:hAnsiTheme="minorHAnsi" w:cstheme="minorBidi"/>
          <w:b w:val="0"/>
          <w:spacing w:val="0"/>
          <w:sz w:val="22"/>
          <w:szCs w:val="22"/>
        </w:rPr>
      </w:pPr>
      <w:hyperlink w:anchor="_Toc87534269" w:history="1">
        <w:r w:rsidR="009A1022" w:rsidRPr="00550DF8">
          <w:rPr>
            <w:rStyle w:val="Hyperlink"/>
          </w:rPr>
          <w:t>Issues for comment</w:t>
        </w:r>
        <w:r w:rsidR="009A1022">
          <w:rPr>
            <w:webHidden/>
          </w:rPr>
          <w:tab/>
        </w:r>
        <w:r w:rsidR="009A1022">
          <w:rPr>
            <w:webHidden/>
          </w:rPr>
          <w:fldChar w:fldCharType="begin"/>
        </w:r>
        <w:r w:rsidR="009A1022">
          <w:rPr>
            <w:webHidden/>
          </w:rPr>
          <w:instrText xml:space="preserve"> PAGEREF _Toc87534269 \h </w:instrText>
        </w:r>
        <w:r w:rsidR="009A1022">
          <w:rPr>
            <w:webHidden/>
          </w:rPr>
        </w:r>
        <w:r w:rsidR="009A1022">
          <w:rPr>
            <w:webHidden/>
          </w:rPr>
          <w:fldChar w:fldCharType="separate"/>
        </w:r>
        <w:r w:rsidR="009A1022">
          <w:rPr>
            <w:webHidden/>
          </w:rPr>
          <w:t>3</w:t>
        </w:r>
        <w:r w:rsidR="009A1022">
          <w:rPr>
            <w:webHidden/>
          </w:rPr>
          <w:fldChar w:fldCharType="end"/>
        </w:r>
      </w:hyperlink>
    </w:p>
    <w:p w14:paraId="29160CE5" w14:textId="0D8C4A56" w:rsidR="009A1022" w:rsidRDefault="00D82479">
      <w:pPr>
        <w:pStyle w:val="TOC1"/>
        <w:rPr>
          <w:rFonts w:asciiTheme="minorHAnsi" w:eastAsiaTheme="minorEastAsia" w:hAnsiTheme="minorHAnsi" w:cstheme="minorBidi"/>
          <w:b w:val="0"/>
          <w:spacing w:val="0"/>
          <w:sz w:val="22"/>
          <w:szCs w:val="22"/>
        </w:rPr>
      </w:pPr>
      <w:hyperlink w:anchor="_Toc87534270" w:history="1">
        <w:r w:rsidR="009A1022" w:rsidRPr="00550DF8">
          <w:rPr>
            <w:rStyle w:val="Hyperlink"/>
          </w:rPr>
          <w:t>Introduction</w:t>
        </w:r>
        <w:r w:rsidR="009A1022">
          <w:rPr>
            <w:webHidden/>
          </w:rPr>
          <w:tab/>
        </w:r>
        <w:r w:rsidR="009A1022">
          <w:rPr>
            <w:webHidden/>
          </w:rPr>
          <w:fldChar w:fldCharType="begin"/>
        </w:r>
        <w:r w:rsidR="009A1022">
          <w:rPr>
            <w:webHidden/>
          </w:rPr>
          <w:instrText xml:space="preserve"> PAGEREF _Toc87534270 \h </w:instrText>
        </w:r>
        <w:r w:rsidR="009A1022">
          <w:rPr>
            <w:webHidden/>
          </w:rPr>
        </w:r>
        <w:r w:rsidR="009A1022">
          <w:rPr>
            <w:webHidden/>
          </w:rPr>
          <w:fldChar w:fldCharType="separate"/>
        </w:r>
        <w:r w:rsidR="009A1022">
          <w:rPr>
            <w:webHidden/>
          </w:rPr>
          <w:t>4</w:t>
        </w:r>
        <w:r w:rsidR="009A1022">
          <w:rPr>
            <w:webHidden/>
          </w:rPr>
          <w:fldChar w:fldCharType="end"/>
        </w:r>
      </w:hyperlink>
    </w:p>
    <w:p w14:paraId="4DF97A5E" w14:textId="1650C773" w:rsidR="009A1022" w:rsidRDefault="00D82479">
      <w:pPr>
        <w:pStyle w:val="TOC2"/>
        <w:rPr>
          <w:rFonts w:asciiTheme="minorHAnsi" w:eastAsiaTheme="minorEastAsia" w:hAnsiTheme="minorHAnsi" w:cstheme="minorBidi"/>
          <w:spacing w:val="0"/>
          <w:sz w:val="22"/>
          <w:szCs w:val="22"/>
        </w:rPr>
      </w:pPr>
      <w:hyperlink w:anchor="_Toc87534271" w:history="1">
        <w:r w:rsidR="009A1022" w:rsidRPr="00550DF8">
          <w:rPr>
            <w:rStyle w:val="Hyperlink"/>
          </w:rPr>
          <w:t>Purpose</w:t>
        </w:r>
        <w:r w:rsidR="009A1022">
          <w:rPr>
            <w:webHidden/>
          </w:rPr>
          <w:tab/>
        </w:r>
        <w:r w:rsidR="009A1022">
          <w:rPr>
            <w:webHidden/>
          </w:rPr>
          <w:tab/>
        </w:r>
        <w:r w:rsidR="009A1022">
          <w:rPr>
            <w:webHidden/>
          </w:rPr>
          <w:fldChar w:fldCharType="begin"/>
        </w:r>
        <w:r w:rsidR="009A1022">
          <w:rPr>
            <w:webHidden/>
          </w:rPr>
          <w:instrText xml:space="preserve"> PAGEREF _Toc87534271 \h </w:instrText>
        </w:r>
        <w:r w:rsidR="009A1022">
          <w:rPr>
            <w:webHidden/>
          </w:rPr>
        </w:r>
        <w:r w:rsidR="009A1022">
          <w:rPr>
            <w:webHidden/>
          </w:rPr>
          <w:fldChar w:fldCharType="separate"/>
        </w:r>
        <w:r w:rsidR="009A1022">
          <w:rPr>
            <w:webHidden/>
          </w:rPr>
          <w:t>4</w:t>
        </w:r>
        <w:r w:rsidR="009A1022">
          <w:rPr>
            <w:webHidden/>
          </w:rPr>
          <w:fldChar w:fldCharType="end"/>
        </w:r>
      </w:hyperlink>
    </w:p>
    <w:p w14:paraId="76D8456E" w14:textId="34003A8E" w:rsidR="009A1022" w:rsidRDefault="00D82479">
      <w:pPr>
        <w:pStyle w:val="TOC2"/>
        <w:rPr>
          <w:rFonts w:asciiTheme="minorHAnsi" w:eastAsiaTheme="minorEastAsia" w:hAnsiTheme="minorHAnsi" w:cstheme="minorBidi"/>
          <w:spacing w:val="0"/>
          <w:sz w:val="22"/>
          <w:szCs w:val="22"/>
        </w:rPr>
      </w:pPr>
      <w:hyperlink w:anchor="_Toc87534272" w:history="1">
        <w:r w:rsidR="009A1022" w:rsidRPr="00550DF8">
          <w:rPr>
            <w:rStyle w:val="Hyperlink"/>
          </w:rPr>
          <w:t>Scope</w:t>
        </w:r>
        <w:r w:rsidR="009A1022">
          <w:rPr>
            <w:webHidden/>
          </w:rPr>
          <w:tab/>
        </w:r>
        <w:r w:rsidR="009A1022">
          <w:rPr>
            <w:webHidden/>
          </w:rPr>
          <w:tab/>
        </w:r>
        <w:r w:rsidR="009A1022">
          <w:rPr>
            <w:webHidden/>
          </w:rPr>
          <w:fldChar w:fldCharType="begin"/>
        </w:r>
        <w:r w:rsidR="009A1022">
          <w:rPr>
            <w:webHidden/>
          </w:rPr>
          <w:instrText xml:space="preserve"> PAGEREF _Toc87534272 \h </w:instrText>
        </w:r>
        <w:r w:rsidR="009A1022">
          <w:rPr>
            <w:webHidden/>
          </w:rPr>
        </w:r>
        <w:r w:rsidR="009A1022">
          <w:rPr>
            <w:webHidden/>
          </w:rPr>
          <w:fldChar w:fldCharType="separate"/>
        </w:r>
        <w:r w:rsidR="009A1022">
          <w:rPr>
            <w:webHidden/>
          </w:rPr>
          <w:t>4</w:t>
        </w:r>
        <w:r w:rsidR="009A1022">
          <w:rPr>
            <w:webHidden/>
          </w:rPr>
          <w:fldChar w:fldCharType="end"/>
        </w:r>
      </w:hyperlink>
    </w:p>
    <w:p w14:paraId="61EC92A2" w14:textId="532CE08D" w:rsidR="009A1022" w:rsidRDefault="00D82479">
      <w:pPr>
        <w:pStyle w:val="TOC2"/>
        <w:rPr>
          <w:rFonts w:asciiTheme="minorHAnsi" w:eastAsiaTheme="minorEastAsia" w:hAnsiTheme="minorHAnsi" w:cstheme="minorBidi"/>
          <w:spacing w:val="0"/>
          <w:sz w:val="22"/>
          <w:szCs w:val="22"/>
        </w:rPr>
      </w:pPr>
      <w:hyperlink w:anchor="_Toc87534273" w:history="1">
        <w:r w:rsidR="009A1022" w:rsidRPr="00550DF8">
          <w:rPr>
            <w:rStyle w:val="Hyperlink"/>
          </w:rPr>
          <w:t>Legislative and policy environment</w:t>
        </w:r>
        <w:r w:rsidR="009A1022">
          <w:rPr>
            <w:webHidden/>
          </w:rPr>
          <w:tab/>
        </w:r>
        <w:r w:rsidR="009A1022">
          <w:rPr>
            <w:webHidden/>
          </w:rPr>
          <w:fldChar w:fldCharType="begin"/>
        </w:r>
        <w:r w:rsidR="009A1022">
          <w:rPr>
            <w:webHidden/>
          </w:rPr>
          <w:instrText xml:space="preserve"> PAGEREF _Toc87534273 \h </w:instrText>
        </w:r>
        <w:r w:rsidR="009A1022">
          <w:rPr>
            <w:webHidden/>
          </w:rPr>
        </w:r>
        <w:r w:rsidR="009A1022">
          <w:rPr>
            <w:webHidden/>
          </w:rPr>
          <w:fldChar w:fldCharType="separate"/>
        </w:r>
        <w:r w:rsidR="009A1022">
          <w:rPr>
            <w:webHidden/>
          </w:rPr>
          <w:t>4</w:t>
        </w:r>
        <w:r w:rsidR="009A1022">
          <w:rPr>
            <w:webHidden/>
          </w:rPr>
          <w:fldChar w:fldCharType="end"/>
        </w:r>
      </w:hyperlink>
    </w:p>
    <w:p w14:paraId="4BC22C7D" w14:textId="4AA323EA" w:rsidR="009A1022" w:rsidRDefault="00D82479">
      <w:pPr>
        <w:pStyle w:val="TOC2"/>
        <w:rPr>
          <w:rFonts w:asciiTheme="minorHAnsi" w:eastAsiaTheme="minorEastAsia" w:hAnsiTheme="minorHAnsi" w:cstheme="minorBidi"/>
          <w:spacing w:val="0"/>
          <w:sz w:val="22"/>
          <w:szCs w:val="22"/>
        </w:rPr>
      </w:pPr>
      <w:hyperlink w:anchor="_Toc87534274" w:history="1">
        <w:r w:rsidR="009A1022" w:rsidRPr="00550DF8">
          <w:rPr>
            <w:rStyle w:val="Hyperlink"/>
          </w:rPr>
          <w:t>Case for action</w:t>
        </w:r>
        <w:r w:rsidR="009A1022">
          <w:rPr>
            <w:webHidden/>
          </w:rPr>
          <w:tab/>
        </w:r>
        <w:r w:rsidR="009A1022">
          <w:rPr>
            <w:webHidden/>
          </w:rPr>
          <w:fldChar w:fldCharType="begin"/>
        </w:r>
        <w:r w:rsidR="009A1022">
          <w:rPr>
            <w:webHidden/>
          </w:rPr>
          <w:instrText xml:space="preserve"> PAGEREF _Toc87534274 \h </w:instrText>
        </w:r>
        <w:r w:rsidR="009A1022">
          <w:rPr>
            <w:webHidden/>
          </w:rPr>
        </w:r>
        <w:r w:rsidR="009A1022">
          <w:rPr>
            <w:webHidden/>
          </w:rPr>
          <w:fldChar w:fldCharType="separate"/>
        </w:r>
        <w:r w:rsidR="009A1022">
          <w:rPr>
            <w:webHidden/>
          </w:rPr>
          <w:t>7</w:t>
        </w:r>
        <w:r w:rsidR="009A1022">
          <w:rPr>
            <w:webHidden/>
          </w:rPr>
          <w:fldChar w:fldCharType="end"/>
        </w:r>
      </w:hyperlink>
    </w:p>
    <w:p w14:paraId="733196DE" w14:textId="320693BC" w:rsidR="009A1022" w:rsidRDefault="00D82479">
      <w:pPr>
        <w:pStyle w:val="TOC1"/>
        <w:rPr>
          <w:rFonts w:asciiTheme="minorHAnsi" w:eastAsiaTheme="minorEastAsia" w:hAnsiTheme="minorHAnsi" w:cstheme="minorBidi"/>
          <w:b w:val="0"/>
          <w:spacing w:val="0"/>
          <w:sz w:val="22"/>
          <w:szCs w:val="22"/>
        </w:rPr>
      </w:pPr>
      <w:hyperlink w:anchor="_Toc87534275" w:history="1">
        <w:r w:rsidR="009A1022" w:rsidRPr="00550DF8">
          <w:rPr>
            <w:rStyle w:val="Hyperlink"/>
          </w:rPr>
          <w:t>Current domestic arrangements</w:t>
        </w:r>
        <w:r w:rsidR="009A1022">
          <w:rPr>
            <w:webHidden/>
          </w:rPr>
          <w:tab/>
        </w:r>
        <w:r w:rsidR="009A1022">
          <w:rPr>
            <w:webHidden/>
          </w:rPr>
          <w:fldChar w:fldCharType="begin"/>
        </w:r>
        <w:r w:rsidR="009A1022">
          <w:rPr>
            <w:webHidden/>
          </w:rPr>
          <w:instrText xml:space="preserve"> PAGEREF _Toc87534275 \h </w:instrText>
        </w:r>
        <w:r w:rsidR="009A1022">
          <w:rPr>
            <w:webHidden/>
          </w:rPr>
        </w:r>
        <w:r w:rsidR="009A1022">
          <w:rPr>
            <w:webHidden/>
          </w:rPr>
          <w:fldChar w:fldCharType="separate"/>
        </w:r>
        <w:r w:rsidR="009A1022">
          <w:rPr>
            <w:webHidden/>
          </w:rPr>
          <w:t>8</w:t>
        </w:r>
        <w:r w:rsidR="009A1022">
          <w:rPr>
            <w:webHidden/>
          </w:rPr>
          <w:fldChar w:fldCharType="end"/>
        </w:r>
      </w:hyperlink>
    </w:p>
    <w:p w14:paraId="5075AC39" w14:textId="2584D10B" w:rsidR="009A1022" w:rsidRDefault="00D82479">
      <w:pPr>
        <w:pStyle w:val="TOC2"/>
        <w:rPr>
          <w:rFonts w:asciiTheme="minorHAnsi" w:eastAsiaTheme="minorEastAsia" w:hAnsiTheme="minorHAnsi" w:cstheme="minorBidi"/>
          <w:spacing w:val="0"/>
          <w:sz w:val="22"/>
          <w:szCs w:val="22"/>
        </w:rPr>
      </w:pPr>
      <w:hyperlink w:anchor="_Toc87534276" w:history="1">
        <w:r w:rsidR="009A1022" w:rsidRPr="00550DF8">
          <w:rPr>
            <w:rStyle w:val="Hyperlink"/>
          </w:rPr>
          <w:t>Overview</w:t>
        </w:r>
        <w:r w:rsidR="009A1022">
          <w:rPr>
            <w:webHidden/>
          </w:rPr>
          <w:tab/>
        </w:r>
        <w:r w:rsidR="009A1022">
          <w:rPr>
            <w:webHidden/>
          </w:rPr>
          <w:fldChar w:fldCharType="begin"/>
        </w:r>
        <w:r w:rsidR="009A1022">
          <w:rPr>
            <w:webHidden/>
          </w:rPr>
          <w:instrText xml:space="preserve"> PAGEREF _Toc87534276 \h </w:instrText>
        </w:r>
        <w:r w:rsidR="009A1022">
          <w:rPr>
            <w:webHidden/>
          </w:rPr>
        </w:r>
        <w:r w:rsidR="009A1022">
          <w:rPr>
            <w:webHidden/>
          </w:rPr>
          <w:fldChar w:fldCharType="separate"/>
        </w:r>
        <w:r w:rsidR="009A1022">
          <w:rPr>
            <w:webHidden/>
          </w:rPr>
          <w:t>8</w:t>
        </w:r>
        <w:r w:rsidR="009A1022">
          <w:rPr>
            <w:webHidden/>
          </w:rPr>
          <w:fldChar w:fldCharType="end"/>
        </w:r>
      </w:hyperlink>
    </w:p>
    <w:p w14:paraId="4D5CDDFF" w14:textId="78C088DB" w:rsidR="009A1022" w:rsidRDefault="00D82479">
      <w:pPr>
        <w:pStyle w:val="TOC2"/>
        <w:rPr>
          <w:rFonts w:asciiTheme="minorHAnsi" w:eastAsiaTheme="minorEastAsia" w:hAnsiTheme="minorHAnsi" w:cstheme="minorBidi"/>
          <w:spacing w:val="0"/>
          <w:sz w:val="22"/>
          <w:szCs w:val="22"/>
        </w:rPr>
      </w:pPr>
      <w:hyperlink w:anchor="_Toc87534277" w:history="1">
        <w:r w:rsidR="009A1022" w:rsidRPr="00550DF8">
          <w:rPr>
            <w:rStyle w:val="Hyperlink"/>
          </w:rPr>
          <w:t>Point-to-point services</w:t>
        </w:r>
        <w:r w:rsidR="009A1022">
          <w:rPr>
            <w:webHidden/>
          </w:rPr>
          <w:tab/>
        </w:r>
        <w:r w:rsidR="009A1022">
          <w:rPr>
            <w:webHidden/>
          </w:rPr>
          <w:fldChar w:fldCharType="begin"/>
        </w:r>
        <w:r w:rsidR="009A1022">
          <w:rPr>
            <w:webHidden/>
          </w:rPr>
          <w:instrText xml:space="preserve"> PAGEREF _Toc87534277 \h </w:instrText>
        </w:r>
        <w:r w:rsidR="009A1022">
          <w:rPr>
            <w:webHidden/>
          </w:rPr>
        </w:r>
        <w:r w:rsidR="009A1022">
          <w:rPr>
            <w:webHidden/>
          </w:rPr>
          <w:fldChar w:fldCharType="separate"/>
        </w:r>
        <w:r w:rsidR="009A1022">
          <w:rPr>
            <w:webHidden/>
          </w:rPr>
          <w:t>9</w:t>
        </w:r>
        <w:r w:rsidR="009A1022">
          <w:rPr>
            <w:webHidden/>
          </w:rPr>
          <w:fldChar w:fldCharType="end"/>
        </w:r>
      </w:hyperlink>
    </w:p>
    <w:p w14:paraId="7EBD70ED" w14:textId="46AAAD46" w:rsidR="009A1022" w:rsidRDefault="00D82479">
      <w:pPr>
        <w:pStyle w:val="TOC2"/>
        <w:rPr>
          <w:rFonts w:asciiTheme="minorHAnsi" w:eastAsiaTheme="minorEastAsia" w:hAnsiTheme="minorHAnsi" w:cstheme="minorBidi"/>
          <w:spacing w:val="0"/>
          <w:sz w:val="22"/>
          <w:szCs w:val="22"/>
        </w:rPr>
      </w:pPr>
      <w:hyperlink w:anchor="_Toc87534278" w:history="1">
        <w:r w:rsidR="009A1022" w:rsidRPr="00550DF8">
          <w:rPr>
            <w:rStyle w:val="Hyperlink"/>
          </w:rPr>
          <w:t>Point-to-multipoint services</w:t>
        </w:r>
        <w:r w:rsidR="009A1022">
          <w:rPr>
            <w:webHidden/>
          </w:rPr>
          <w:tab/>
        </w:r>
        <w:r w:rsidR="009A1022">
          <w:rPr>
            <w:webHidden/>
          </w:rPr>
          <w:fldChar w:fldCharType="begin"/>
        </w:r>
        <w:r w:rsidR="009A1022">
          <w:rPr>
            <w:webHidden/>
          </w:rPr>
          <w:instrText xml:space="preserve"> PAGEREF _Toc87534278 \h </w:instrText>
        </w:r>
        <w:r w:rsidR="009A1022">
          <w:rPr>
            <w:webHidden/>
          </w:rPr>
        </w:r>
        <w:r w:rsidR="009A1022">
          <w:rPr>
            <w:webHidden/>
          </w:rPr>
          <w:fldChar w:fldCharType="separate"/>
        </w:r>
        <w:r w:rsidR="009A1022">
          <w:rPr>
            <w:webHidden/>
          </w:rPr>
          <w:t>12</w:t>
        </w:r>
        <w:r w:rsidR="009A1022">
          <w:rPr>
            <w:webHidden/>
          </w:rPr>
          <w:fldChar w:fldCharType="end"/>
        </w:r>
      </w:hyperlink>
    </w:p>
    <w:p w14:paraId="44A22683" w14:textId="76E11558" w:rsidR="009A1022" w:rsidRDefault="00D82479">
      <w:pPr>
        <w:pStyle w:val="TOC2"/>
        <w:rPr>
          <w:rFonts w:asciiTheme="minorHAnsi" w:eastAsiaTheme="minorEastAsia" w:hAnsiTheme="minorHAnsi" w:cstheme="minorBidi"/>
          <w:spacing w:val="0"/>
          <w:sz w:val="22"/>
          <w:szCs w:val="22"/>
        </w:rPr>
      </w:pPr>
      <w:hyperlink w:anchor="_Toc87534279" w:history="1">
        <w:r w:rsidR="009A1022" w:rsidRPr="00550DF8">
          <w:rPr>
            <w:rStyle w:val="Hyperlink"/>
          </w:rPr>
          <w:t>Cordless telecommunications services</w:t>
        </w:r>
        <w:r w:rsidR="009A1022">
          <w:rPr>
            <w:webHidden/>
          </w:rPr>
          <w:tab/>
        </w:r>
        <w:r w:rsidR="009A1022">
          <w:rPr>
            <w:webHidden/>
          </w:rPr>
          <w:fldChar w:fldCharType="begin"/>
        </w:r>
        <w:r w:rsidR="009A1022">
          <w:rPr>
            <w:webHidden/>
          </w:rPr>
          <w:instrText xml:space="preserve"> PAGEREF _Toc87534279 \h </w:instrText>
        </w:r>
        <w:r w:rsidR="009A1022">
          <w:rPr>
            <w:webHidden/>
          </w:rPr>
        </w:r>
        <w:r w:rsidR="009A1022">
          <w:rPr>
            <w:webHidden/>
          </w:rPr>
          <w:fldChar w:fldCharType="separate"/>
        </w:r>
        <w:r w:rsidR="009A1022">
          <w:rPr>
            <w:webHidden/>
          </w:rPr>
          <w:t>15</w:t>
        </w:r>
        <w:r w:rsidR="009A1022">
          <w:rPr>
            <w:webHidden/>
          </w:rPr>
          <w:fldChar w:fldCharType="end"/>
        </w:r>
      </w:hyperlink>
    </w:p>
    <w:p w14:paraId="1BAC5785" w14:textId="0B3E44B6" w:rsidR="009A1022" w:rsidRDefault="00D82479" w:rsidP="009A1022">
      <w:pPr>
        <w:pStyle w:val="TOC2"/>
        <w:ind w:left="0" w:firstLine="0"/>
        <w:rPr>
          <w:rFonts w:asciiTheme="minorHAnsi" w:eastAsiaTheme="minorEastAsia" w:hAnsiTheme="minorHAnsi" w:cstheme="minorBidi"/>
          <w:spacing w:val="0"/>
          <w:sz w:val="22"/>
          <w:szCs w:val="22"/>
        </w:rPr>
      </w:pPr>
      <w:hyperlink w:anchor="_Toc87534280" w:history="1">
        <w:r w:rsidR="009A1022" w:rsidRPr="00550DF8">
          <w:rPr>
            <w:rStyle w:val="Hyperlink"/>
          </w:rPr>
          <w:t xml:space="preserve">Adjacent-band spectrum-licensed and PMTS B and C </w:t>
        </w:r>
        <w:r w:rsidR="009A1022">
          <w:rPr>
            <w:rStyle w:val="Hyperlink"/>
          </w:rPr>
          <w:br/>
        </w:r>
        <w:r w:rsidR="009A1022" w:rsidRPr="00550DF8">
          <w:rPr>
            <w:rStyle w:val="Hyperlink"/>
          </w:rPr>
          <w:t>apparatus-licensed services</w:t>
        </w:r>
        <w:r w:rsidR="009A1022">
          <w:rPr>
            <w:webHidden/>
          </w:rPr>
          <w:tab/>
        </w:r>
        <w:r w:rsidR="009A1022">
          <w:rPr>
            <w:webHidden/>
          </w:rPr>
          <w:fldChar w:fldCharType="begin"/>
        </w:r>
        <w:r w:rsidR="009A1022">
          <w:rPr>
            <w:webHidden/>
          </w:rPr>
          <w:instrText xml:space="preserve"> PAGEREF _Toc87534280 \h </w:instrText>
        </w:r>
        <w:r w:rsidR="009A1022">
          <w:rPr>
            <w:webHidden/>
          </w:rPr>
        </w:r>
        <w:r w:rsidR="009A1022">
          <w:rPr>
            <w:webHidden/>
          </w:rPr>
          <w:fldChar w:fldCharType="separate"/>
        </w:r>
        <w:r w:rsidR="009A1022">
          <w:rPr>
            <w:webHidden/>
          </w:rPr>
          <w:t>16</w:t>
        </w:r>
        <w:r w:rsidR="009A1022">
          <w:rPr>
            <w:webHidden/>
          </w:rPr>
          <w:fldChar w:fldCharType="end"/>
        </w:r>
      </w:hyperlink>
    </w:p>
    <w:p w14:paraId="3DA63A52" w14:textId="6152CEBE" w:rsidR="009A1022" w:rsidRDefault="00D82479">
      <w:pPr>
        <w:pStyle w:val="TOC2"/>
        <w:rPr>
          <w:rFonts w:asciiTheme="minorHAnsi" w:eastAsiaTheme="minorEastAsia" w:hAnsiTheme="minorHAnsi" w:cstheme="minorBidi"/>
          <w:spacing w:val="0"/>
          <w:sz w:val="22"/>
          <w:szCs w:val="22"/>
        </w:rPr>
      </w:pPr>
      <w:hyperlink w:anchor="_Toc87534281" w:history="1">
        <w:r w:rsidR="009A1022" w:rsidRPr="00550DF8">
          <w:rPr>
            <w:rStyle w:val="Hyperlink"/>
          </w:rPr>
          <w:t>Low interference potential devices (LIPD)</w:t>
        </w:r>
        <w:r w:rsidR="009A1022">
          <w:rPr>
            <w:webHidden/>
          </w:rPr>
          <w:tab/>
        </w:r>
        <w:r w:rsidR="009A1022">
          <w:rPr>
            <w:webHidden/>
          </w:rPr>
          <w:fldChar w:fldCharType="begin"/>
        </w:r>
        <w:r w:rsidR="009A1022">
          <w:rPr>
            <w:webHidden/>
          </w:rPr>
          <w:instrText xml:space="preserve"> PAGEREF _Toc87534281 \h </w:instrText>
        </w:r>
        <w:r w:rsidR="009A1022">
          <w:rPr>
            <w:webHidden/>
          </w:rPr>
        </w:r>
        <w:r w:rsidR="009A1022">
          <w:rPr>
            <w:webHidden/>
          </w:rPr>
          <w:fldChar w:fldCharType="separate"/>
        </w:r>
        <w:r w:rsidR="009A1022">
          <w:rPr>
            <w:webHidden/>
          </w:rPr>
          <w:t>18</w:t>
        </w:r>
        <w:r w:rsidR="009A1022">
          <w:rPr>
            <w:webHidden/>
          </w:rPr>
          <w:fldChar w:fldCharType="end"/>
        </w:r>
      </w:hyperlink>
    </w:p>
    <w:p w14:paraId="2D182DB0" w14:textId="593A24F3" w:rsidR="009A1022" w:rsidRDefault="00D82479">
      <w:pPr>
        <w:pStyle w:val="TOC2"/>
        <w:rPr>
          <w:rFonts w:asciiTheme="minorHAnsi" w:eastAsiaTheme="minorEastAsia" w:hAnsiTheme="minorHAnsi" w:cstheme="minorBidi"/>
          <w:spacing w:val="0"/>
          <w:sz w:val="22"/>
          <w:szCs w:val="22"/>
        </w:rPr>
      </w:pPr>
      <w:hyperlink w:anchor="_Toc87534282" w:history="1">
        <w:r w:rsidR="009A1022" w:rsidRPr="00550DF8">
          <w:rPr>
            <w:rStyle w:val="Hyperlink"/>
          </w:rPr>
          <w:t>Australian Radio Quiet Zone Western Australia</w:t>
        </w:r>
        <w:r w:rsidR="009A1022">
          <w:rPr>
            <w:webHidden/>
          </w:rPr>
          <w:tab/>
        </w:r>
        <w:r w:rsidR="009A1022">
          <w:rPr>
            <w:webHidden/>
          </w:rPr>
          <w:fldChar w:fldCharType="begin"/>
        </w:r>
        <w:r w:rsidR="009A1022">
          <w:rPr>
            <w:webHidden/>
          </w:rPr>
          <w:instrText xml:space="preserve"> PAGEREF _Toc87534282 \h </w:instrText>
        </w:r>
        <w:r w:rsidR="009A1022">
          <w:rPr>
            <w:webHidden/>
          </w:rPr>
        </w:r>
        <w:r w:rsidR="009A1022">
          <w:rPr>
            <w:webHidden/>
          </w:rPr>
          <w:fldChar w:fldCharType="separate"/>
        </w:r>
        <w:r w:rsidR="009A1022">
          <w:rPr>
            <w:webHidden/>
          </w:rPr>
          <w:t>18</w:t>
        </w:r>
        <w:r w:rsidR="009A1022">
          <w:rPr>
            <w:webHidden/>
          </w:rPr>
          <w:fldChar w:fldCharType="end"/>
        </w:r>
      </w:hyperlink>
    </w:p>
    <w:p w14:paraId="139D80DF" w14:textId="4B7781CD" w:rsidR="009A1022" w:rsidRDefault="00D82479">
      <w:pPr>
        <w:pStyle w:val="TOC1"/>
        <w:rPr>
          <w:rFonts w:asciiTheme="minorHAnsi" w:eastAsiaTheme="minorEastAsia" w:hAnsiTheme="minorHAnsi" w:cstheme="minorBidi"/>
          <w:b w:val="0"/>
          <w:spacing w:val="0"/>
          <w:sz w:val="22"/>
          <w:szCs w:val="22"/>
        </w:rPr>
      </w:pPr>
      <w:hyperlink w:anchor="_Toc87534283" w:history="1">
        <w:r w:rsidR="009A1022" w:rsidRPr="00550DF8">
          <w:rPr>
            <w:rStyle w:val="Hyperlink"/>
          </w:rPr>
          <w:t>Arrangements and technology trends in other countries</w:t>
        </w:r>
        <w:r w:rsidR="009A1022">
          <w:rPr>
            <w:webHidden/>
          </w:rPr>
          <w:tab/>
        </w:r>
        <w:r w:rsidR="009A1022">
          <w:rPr>
            <w:webHidden/>
          </w:rPr>
          <w:fldChar w:fldCharType="begin"/>
        </w:r>
        <w:r w:rsidR="009A1022">
          <w:rPr>
            <w:webHidden/>
          </w:rPr>
          <w:instrText xml:space="preserve"> PAGEREF _Toc87534283 \h </w:instrText>
        </w:r>
        <w:r w:rsidR="009A1022">
          <w:rPr>
            <w:webHidden/>
          </w:rPr>
        </w:r>
        <w:r w:rsidR="009A1022">
          <w:rPr>
            <w:webHidden/>
          </w:rPr>
          <w:fldChar w:fldCharType="separate"/>
        </w:r>
        <w:r w:rsidR="009A1022">
          <w:rPr>
            <w:webHidden/>
          </w:rPr>
          <w:t>20</w:t>
        </w:r>
        <w:r w:rsidR="009A1022">
          <w:rPr>
            <w:webHidden/>
          </w:rPr>
          <w:fldChar w:fldCharType="end"/>
        </w:r>
      </w:hyperlink>
    </w:p>
    <w:p w14:paraId="1C65ACE0" w14:textId="55085006" w:rsidR="009A1022" w:rsidRDefault="00D82479">
      <w:pPr>
        <w:pStyle w:val="TOC2"/>
        <w:rPr>
          <w:rFonts w:asciiTheme="minorHAnsi" w:eastAsiaTheme="minorEastAsia" w:hAnsiTheme="minorHAnsi" w:cstheme="minorBidi"/>
          <w:spacing w:val="0"/>
          <w:sz w:val="22"/>
          <w:szCs w:val="22"/>
        </w:rPr>
      </w:pPr>
      <w:hyperlink w:anchor="_Toc87534284" w:history="1">
        <w:r w:rsidR="009A1022" w:rsidRPr="00550DF8">
          <w:rPr>
            <w:rStyle w:val="Hyperlink"/>
          </w:rPr>
          <w:t>International Telecommunication Union (ITU)</w:t>
        </w:r>
        <w:r w:rsidR="009A1022">
          <w:rPr>
            <w:webHidden/>
          </w:rPr>
          <w:tab/>
        </w:r>
        <w:r w:rsidR="009A1022">
          <w:rPr>
            <w:webHidden/>
          </w:rPr>
          <w:fldChar w:fldCharType="begin"/>
        </w:r>
        <w:r w:rsidR="009A1022">
          <w:rPr>
            <w:webHidden/>
          </w:rPr>
          <w:instrText xml:space="preserve"> PAGEREF _Toc87534284 \h </w:instrText>
        </w:r>
        <w:r w:rsidR="009A1022">
          <w:rPr>
            <w:webHidden/>
          </w:rPr>
        </w:r>
        <w:r w:rsidR="009A1022">
          <w:rPr>
            <w:webHidden/>
          </w:rPr>
          <w:fldChar w:fldCharType="separate"/>
        </w:r>
        <w:r w:rsidR="009A1022">
          <w:rPr>
            <w:webHidden/>
          </w:rPr>
          <w:t>20</w:t>
        </w:r>
        <w:r w:rsidR="009A1022">
          <w:rPr>
            <w:webHidden/>
          </w:rPr>
          <w:fldChar w:fldCharType="end"/>
        </w:r>
      </w:hyperlink>
    </w:p>
    <w:p w14:paraId="03A5DA41" w14:textId="3C9F67E7" w:rsidR="009A1022" w:rsidRDefault="00D82479">
      <w:pPr>
        <w:pStyle w:val="TOC2"/>
        <w:rPr>
          <w:rFonts w:asciiTheme="minorHAnsi" w:eastAsiaTheme="minorEastAsia" w:hAnsiTheme="minorHAnsi" w:cstheme="minorBidi"/>
          <w:spacing w:val="0"/>
          <w:sz w:val="22"/>
          <w:szCs w:val="22"/>
        </w:rPr>
      </w:pPr>
      <w:hyperlink w:anchor="_Toc87534285" w:history="1">
        <w:r w:rsidR="009A1022" w:rsidRPr="00550DF8">
          <w:rPr>
            <w:rStyle w:val="Hyperlink"/>
          </w:rPr>
          <w:t>European Union (EU)</w:t>
        </w:r>
        <w:r w:rsidR="009A1022">
          <w:rPr>
            <w:webHidden/>
          </w:rPr>
          <w:tab/>
        </w:r>
        <w:r w:rsidR="009A1022">
          <w:rPr>
            <w:webHidden/>
          </w:rPr>
          <w:fldChar w:fldCharType="begin"/>
        </w:r>
        <w:r w:rsidR="009A1022">
          <w:rPr>
            <w:webHidden/>
          </w:rPr>
          <w:instrText xml:space="preserve"> PAGEREF _Toc87534285 \h </w:instrText>
        </w:r>
        <w:r w:rsidR="009A1022">
          <w:rPr>
            <w:webHidden/>
          </w:rPr>
        </w:r>
        <w:r w:rsidR="009A1022">
          <w:rPr>
            <w:webHidden/>
          </w:rPr>
          <w:fldChar w:fldCharType="separate"/>
        </w:r>
        <w:r w:rsidR="009A1022">
          <w:rPr>
            <w:webHidden/>
          </w:rPr>
          <w:t>21</w:t>
        </w:r>
        <w:r w:rsidR="009A1022">
          <w:rPr>
            <w:webHidden/>
          </w:rPr>
          <w:fldChar w:fldCharType="end"/>
        </w:r>
      </w:hyperlink>
    </w:p>
    <w:p w14:paraId="0CB2B107" w14:textId="525D330E" w:rsidR="009A1022" w:rsidRDefault="00D82479">
      <w:pPr>
        <w:pStyle w:val="TOC2"/>
        <w:rPr>
          <w:rFonts w:asciiTheme="minorHAnsi" w:eastAsiaTheme="minorEastAsia" w:hAnsiTheme="minorHAnsi" w:cstheme="minorBidi"/>
          <w:spacing w:val="0"/>
          <w:sz w:val="22"/>
          <w:szCs w:val="22"/>
        </w:rPr>
      </w:pPr>
      <w:hyperlink w:anchor="_Toc87534286" w:history="1">
        <w:r w:rsidR="009A1022" w:rsidRPr="00550DF8">
          <w:rPr>
            <w:rStyle w:val="Hyperlink"/>
          </w:rPr>
          <w:t>Regulator approaches in other countries</w:t>
        </w:r>
        <w:r w:rsidR="009A1022">
          <w:rPr>
            <w:webHidden/>
          </w:rPr>
          <w:tab/>
        </w:r>
        <w:r w:rsidR="009A1022">
          <w:rPr>
            <w:webHidden/>
          </w:rPr>
          <w:fldChar w:fldCharType="begin"/>
        </w:r>
        <w:r w:rsidR="009A1022">
          <w:rPr>
            <w:webHidden/>
          </w:rPr>
          <w:instrText xml:space="preserve"> PAGEREF _Toc87534286 \h </w:instrText>
        </w:r>
        <w:r w:rsidR="009A1022">
          <w:rPr>
            <w:webHidden/>
          </w:rPr>
        </w:r>
        <w:r w:rsidR="009A1022">
          <w:rPr>
            <w:webHidden/>
          </w:rPr>
          <w:fldChar w:fldCharType="separate"/>
        </w:r>
        <w:r w:rsidR="009A1022">
          <w:rPr>
            <w:webHidden/>
          </w:rPr>
          <w:t>22</w:t>
        </w:r>
        <w:r w:rsidR="009A1022">
          <w:rPr>
            <w:webHidden/>
          </w:rPr>
          <w:fldChar w:fldCharType="end"/>
        </w:r>
      </w:hyperlink>
    </w:p>
    <w:p w14:paraId="3E3E22F9" w14:textId="1C348670" w:rsidR="009A1022" w:rsidRDefault="00D82479">
      <w:pPr>
        <w:pStyle w:val="TOC2"/>
        <w:rPr>
          <w:rFonts w:asciiTheme="minorHAnsi" w:eastAsiaTheme="minorEastAsia" w:hAnsiTheme="minorHAnsi" w:cstheme="minorBidi"/>
          <w:spacing w:val="0"/>
          <w:sz w:val="22"/>
          <w:szCs w:val="22"/>
        </w:rPr>
      </w:pPr>
      <w:hyperlink w:anchor="_Toc87534287" w:history="1">
        <w:r w:rsidR="009A1022" w:rsidRPr="00550DF8">
          <w:rPr>
            <w:rStyle w:val="Hyperlink"/>
          </w:rPr>
          <w:t>Technology developments</w:t>
        </w:r>
        <w:r w:rsidR="009A1022">
          <w:rPr>
            <w:webHidden/>
          </w:rPr>
          <w:tab/>
        </w:r>
        <w:r w:rsidR="009A1022">
          <w:rPr>
            <w:webHidden/>
          </w:rPr>
          <w:fldChar w:fldCharType="begin"/>
        </w:r>
        <w:r w:rsidR="009A1022">
          <w:rPr>
            <w:webHidden/>
          </w:rPr>
          <w:instrText xml:space="preserve"> PAGEREF _Toc87534287 \h </w:instrText>
        </w:r>
        <w:r w:rsidR="009A1022">
          <w:rPr>
            <w:webHidden/>
          </w:rPr>
        </w:r>
        <w:r w:rsidR="009A1022">
          <w:rPr>
            <w:webHidden/>
          </w:rPr>
          <w:fldChar w:fldCharType="separate"/>
        </w:r>
        <w:r w:rsidR="009A1022">
          <w:rPr>
            <w:webHidden/>
          </w:rPr>
          <w:t>22</w:t>
        </w:r>
        <w:r w:rsidR="009A1022">
          <w:rPr>
            <w:webHidden/>
          </w:rPr>
          <w:fldChar w:fldCharType="end"/>
        </w:r>
      </w:hyperlink>
    </w:p>
    <w:p w14:paraId="70D08498" w14:textId="37DF4440" w:rsidR="009A1022" w:rsidRDefault="00D82479">
      <w:pPr>
        <w:pStyle w:val="TOC1"/>
        <w:rPr>
          <w:rFonts w:asciiTheme="minorHAnsi" w:eastAsiaTheme="minorEastAsia" w:hAnsiTheme="minorHAnsi" w:cstheme="minorBidi"/>
          <w:b w:val="0"/>
          <w:spacing w:val="0"/>
          <w:sz w:val="22"/>
          <w:szCs w:val="22"/>
        </w:rPr>
      </w:pPr>
      <w:hyperlink w:anchor="_Toc87534288" w:history="1">
        <w:r w:rsidR="009A1022" w:rsidRPr="00550DF8">
          <w:rPr>
            <w:rStyle w:val="Hyperlink"/>
          </w:rPr>
          <w:t>Domestic considerations</w:t>
        </w:r>
        <w:r w:rsidR="009A1022">
          <w:rPr>
            <w:webHidden/>
          </w:rPr>
          <w:tab/>
        </w:r>
        <w:r w:rsidR="009A1022">
          <w:rPr>
            <w:webHidden/>
          </w:rPr>
          <w:fldChar w:fldCharType="begin"/>
        </w:r>
        <w:r w:rsidR="009A1022">
          <w:rPr>
            <w:webHidden/>
          </w:rPr>
          <w:instrText xml:space="preserve"> PAGEREF _Toc87534288 \h </w:instrText>
        </w:r>
        <w:r w:rsidR="009A1022">
          <w:rPr>
            <w:webHidden/>
          </w:rPr>
        </w:r>
        <w:r w:rsidR="009A1022">
          <w:rPr>
            <w:webHidden/>
          </w:rPr>
          <w:fldChar w:fldCharType="separate"/>
        </w:r>
        <w:r w:rsidR="009A1022">
          <w:rPr>
            <w:webHidden/>
          </w:rPr>
          <w:t>26</w:t>
        </w:r>
        <w:r w:rsidR="009A1022">
          <w:rPr>
            <w:webHidden/>
          </w:rPr>
          <w:fldChar w:fldCharType="end"/>
        </w:r>
      </w:hyperlink>
    </w:p>
    <w:p w14:paraId="0A7BA8C4" w14:textId="1C5AC611" w:rsidR="009A1022" w:rsidRDefault="00D82479">
      <w:pPr>
        <w:pStyle w:val="TOC2"/>
        <w:rPr>
          <w:rFonts w:asciiTheme="minorHAnsi" w:eastAsiaTheme="minorEastAsia" w:hAnsiTheme="minorHAnsi" w:cstheme="minorBidi"/>
          <w:spacing w:val="0"/>
          <w:sz w:val="22"/>
          <w:szCs w:val="22"/>
        </w:rPr>
      </w:pPr>
      <w:hyperlink w:anchor="_Toc87534289" w:history="1">
        <w:r w:rsidR="009A1022" w:rsidRPr="00550DF8">
          <w:rPr>
            <w:rStyle w:val="Hyperlink"/>
          </w:rPr>
          <w:t>DECT and DECT-2020 NR</w:t>
        </w:r>
        <w:r w:rsidR="009A1022">
          <w:rPr>
            <w:webHidden/>
          </w:rPr>
          <w:tab/>
        </w:r>
        <w:r w:rsidR="009A1022">
          <w:rPr>
            <w:webHidden/>
          </w:rPr>
          <w:fldChar w:fldCharType="begin"/>
        </w:r>
        <w:r w:rsidR="009A1022">
          <w:rPr>
            <w:webHidden/>
          </w:rPr>
          <w:instrText xml:space="preserve"> PAGEREF _Toc87534289 \h </w:instrText>
        </w:r>
        <w:r w:rsidR="009A1022">
          <w:rPr>
            <w:webHidden/>
          </w:rPr>
        </w:r>
        <w:r w:rsidR="009A1022">
          <w:rPr>
            <w:webHidden/>
          </w:rPr>
          <w:fldChar w:fldCharType="separate"/>
        </w:r>
        <w:r w:rsidR="009A1022">
          <w:rPr>
            <w:webHidden/>
          </w:rPr>
          <w:t>26</w:t>
        </w:r>
        <w:r w:rsidR="009A1022">
          <w:rPr>
            <w:webHidden/>
          </w:rPr>
          <w:fldChar w:fldCharType="end"/>
        </w:r>
      </w:hyperlink>
    </w:p>
    <w:p w14:paraId="45063042" w14:textId="217544A6" w:rsidR="009A1022" w:rsidRDefault="00D82479">
      <w:pPr>
        <w:pStyle w:val="TOC2"/>
        <w:rPr>
          <w:rFonts w:asciiTheme="minorHAnsi" w:eastAsiaTheme="minorEastAsia" w:hAnsiTheme="minorHAnsi" w:cstheme="minorBidi"/>
          <w:spacing w:val="0"/>
          <w:sz w:val="22"/>
          <w:szCs w:val="22"/>
        </w:rPr>
      </w:pPr>
      <w:hyperlink w:anchor="_Toc87534290" w:history="1">
        <w:r w:rsidR="009A1022" w:rsidRPr="00550DF8">
          <w:rPr>
            <w:rStyle w:val="Hyperlink"/>
          </w:rPr>
          <w:t>Point-to-point</w:t>
        </w:r>
        <w:r w:rsidR="009A1022">
          <w:rPr>
            <w:webHidden/>
          </w:rPr>
          <w:tab/>
        </w:r>
        <w:r w:rsidR="009A1022">
          <w:rPr>
            <w:webHidden/>
          </w:rPr>
          <w:fldChar w:fldCharType="begin"/>
        </w:r>
        <w:r w:rsidR="009A1022">
          <w:rPr>
            <w:webHidden/>
          </w:rPr>
          <w:instrText xml:space="preserve"> PAGEREF _Toc87534290 \h </w:instrText>
        </w:r>
        <w:r w:rsidR="009A1022">
          <w:rPr>
            <w:webHidden/>
          </w:rPr>
        </w:r>
        <w:r w:rsidR="009A1022">
          <w:rPr>
            <w:webHidden/>
          </w:rPr>
          <w:fldChar w:fldCharType="separate"/>
        </w:r>
        <w:r w:rsidR="009A1022">
          <w:rPr>
            <w:webHidden/>
          </w:rPr>
          <w:t>26</w:t>
        </w:r>
        <w:r w:rsidR="009A1022">
          <w:rPr>
            <w:webHidden/>
          </w:rPr>
          <w:fldChar w:fldCharType="end"/>
        </w:r>
      </w:hyperlink>
    </w:p>
    <w:p w14:paraId="197631A4" w14:textId="26B57291" w:rsidR="009A1022" w:rsidRDefault="00D82479">
      <w:pPr>
        <w:pStyle w:val="TOC2"/>
        <w:rPr>
          <w:rFonts w:asciiTheme="minorHAnsi" w:eastAsiaTheme="minorEastAsia" w:hAnsiTheme="minorHAnsi" w:cstheme="minorBidi"/>
          <w:spacing w:val="0"/>
          <w:sz w:val="22"/>
          <w:szCs w:val="22"/>
        </w:rPr>
      </w:pPr>
      <w:hyperlink w:anchor="_Toc87534291" w:history="1">
        <w:r w:rsidR="009A1022" w:rsidRPr="00550DF8">
          <w:rPr>
            <w:rStyle w:val="Hyperlink"/>
          </w:rPr>
          <w:t>Wireless broadband services</w:t>
        </w:r>
        <w:r w:rsidR="009A1022">
          <w:rPr>
            <w:webHidden/>
          </w:rPr>
          <w:tab/>
        </w:r>
        <w:r w:rsidR="009A1022">
          <w:rPr>
            <w:webHidden/>
          </w:rPr>
          <w:fldChar w:fldCharType="begin"/>
        </w:r>
        <w:r w:rsidR="009A1022">
          <w:rPr>
            <w:webHidden/>
          </w:rPr>
          <w:instrText xml:space="preserve"> PAGEREF _Toc87534291 \h </w:instrText>
        </w:r>
        <w:r w:rsidR="009A1022">
          <w:rPr>
            <w:webHidden/>
          </w:rPr>
        </w:r>
        <w:r w:rsidR="009A1022">
          <w:rPr>
            <w:webHidden/>
          </w:rPr>
          <w:fldChar w:fldCharType="separate"/>
        </w:r>
        <w:r w:rsidR="009A1022">
          <w:rPr>
            <w:webHidden/>
          </w:rPr>
          <w:t>26</w:t>
        </w:r>
        <w:r w:rsidR="009A1022">
          <w:rPr>
            <w:webHidden/>
          </w:rPr>
          <w:fldChar w:fldCharType="end"/>
        </w:r>
      </w:hyperlink>
    </w:p>
    <w:p w14:paraId="665B1600" w14:textId="3D8ADEB8" w:rsidR="009A1022" w:rsidRDefault="00D82479">
      <w:pPr>
        <w:pStyle w:val="TOC1"/>
        <w:rPr>
          <w:rFonts w:asciiTheme="minorHAnsi" w:eastAsiaTheme="minorEastAsia" w:hAnsiTheme="minorHAnsi" w:cstheme="minorBidi"/>
          <w:b w:val="0"/>
          <w:spacing w:val="0"/>
          <w:sz w:val="22"/>
          <w:szCs w:val="22"/>
        </w:rPr>
      </w:pPr>
      <w:hyperlink w:anchor="_Toc87534292" w:history="1">
        <w:r w:rsidR="009A1022" w:rsidRPr="00550DF8">
          <w:rPr>
            <w:rStyle w:val="Hyperlink"/>
          </w:rPr>
          <w:t>Preliminary coexistence considerations</w:t>
        </w:r>
        <w:r w:rsidR="009A1022">
          <w:rPr>
            <w:webHidden/>
          </w:rPr>
          <w:tab/>
        </w:r>
        <w:r w:rsidR="009A1022">
          <w:rPr>
            <w:webHidden/>
          </w:rPr>
          <w:fldChar w:fldCharType="begin"/>
        </w:r>
        <w:r w:rsidR="009A1022">
          <w:rPr>
            <w:webHidden/>
          </w:rPr>
          <w:instrText xml:space="preserve"> PAGEREF _Toc87534292 \h </w:instrText>
        </w:r>
        <w:r w:rsidR="009A1022">
          <w:rPr>
            <w:webHidden/>
          </w:rPr>
        </w:r>
        <w:r w:rsidR="009A1022">
          <w:rPr>
            <w:webHidden/>
          </w:rPr>
          <w:fldChar w:fldCharType="separate"/>
        </w:r>
        <w:r w:rsidR="009A1022">
          <w:rPr>
            <w:webHidden/>
          </w:rPr>
          <w:t>28</w:t>
        </w:r>
        <w:r w:rsidR="009A1022">
          <w:rPr>
            <w:webHidden/>
          </w:rPr>
          <w:fldChar w:fldCharType="end"/>
        </w:r>
      </w:hyperlink>
    </w:p>
    <w:p w14:paraId="4F67EB65" w14:textId="429AABD2" w:rsidR="009A1022" w:rsidRDefault="00D82479">
      <w:pPr>
        <w:pStyle w:val="TOC2"/>
        <w:rPr>
          <w:rFonts w:asciiTheme="minorHAnsi" w:eastAsiaTheme="minorEastAsia" w:hAnsiTheme="minorHAnsi" w:cstheme="minorBidi"/>
          <w:spacing w:val="0"/>
          <w:sz w:val="22"/>
          <w:szCs w:val="22"/>
        </w:rPr>
      </w:pPr>
      <w:hyperlink w:anchor="_Toc87534293" w:history="1">
        <w:r w:rsidR="009A1022" w:rsidRPr="00550DF8">
          <w:rPr>
            <w:rStyle w:val="Hyperlink"/>
          </w:rPr>
          <w:t>In-band services</w:t>
        </w:r>
        <w:r w:rsidR="009A1022">
          <w:rPr>
            <w:webHidden/>
          </w:rPr>
          <w:tab/>
        </w:r>
        <w:r w:rsidR="009A1022">
          <w:rPr>
            <w:webHidden/>
          </w:rPr>
          <w:fldChar w:fldCharType="begin"/>
        </w:r>
        <w:r w:rsidR="009A1022">
          <w:rPr>
            <w:webHidden/>
          </w:rPr>
          <w:instrText xml:space="preserve"> PAGEREF _Toc87534293 \h </w:instrText>
        </w:r>
        <w:r w:rsidR="009A1022">
          <w:rPr>
            <w:webHidden/>
          </w:rPr>
        </w:r>
        <w:r w:rsidR="009A1022">
          <w:rPr>
            <w:webHidden/>
          </w:rPr>
          <w:fldChar w:fldCharType="separate"/>
        </w:r>
        <w:r w:rsidR="009A1022">
          <w:rPr>
            <w:webHidden/>
          </w:rPr>
          <w:t>28</w:t>
        </w:r>
        <w:r w:rsidR="009A1022">
          <w:rPr>
            <w:webHidden/>
          </w:rPr>
          <w:fldChar w:fldCharType="end"/>
        </w:r>
      </w:hyperlink>
    </w:p>
    <w:p w14:paraId="60BE6306" w14:textId="3E1815CA" w:rsidR="009A1022" w:rsidRDefault="00D82479">
      <w:pPr>
        <w:pStyle w:val="TOC2"/>
        <w:rPr>
          <w:rFonts w:asciiTheme="minorHAnsi" w:eastAsiaTheme="minorEastAsia" w:hAnsiTheme="minorHAnsi" w:cstheme="minorBidi"/>
          <w:spacing w:val="0"/>
          <w:sz w:val="22"/>
          <w:szCs w:val="22"/>
        </w:rPr>
      </w:pPr>
      <w:hyperlink w:anchor="_Toc87534294" w:history="1">
        <w:r w:rsidR="009A1022" w:rsidRPr="00550DF8">
          <w:rPr>
            <w:rStyle w:val="Hyperlink"/>
          </w:rPr>
          <w:t>Adjacent band services</w:t>
        </w:r>
        <w:r w:rsidR="009A1022">
          <w:rPr>
            <w:webHidden/>
          </w:rPr>
          <w:tab/>
        </w:r>
        <w:r w:rsidR="009A1022">
          <w:rPr>
            <w:webHidden/>
          </w:rPr>
          <w:fldChar w:fldCharType="begin"/>
        </w:r>
        <w:r w:rsidR="009A1022">
          <w:rPr>
            <w:webHidden/>
          </w:rPr>
          <w:instrText xml:space="preserve"> PAGEREF _Toc87534294 \h </w:instrText>
        </w:r>
        <w:r w:rsidR="009A1022">
          <w:rPr>
            <w:webHidden/>
          </w:rPr>
        </w:r>
        <w:r w:rsidR="009A1022">
          <w:rPr>
            <w:webHidden/>
          </w:rPr>
          <w:fldChar w:fldCharType="separate"/>
        </w:r>
        <w:r w:rsidR="009A1022">
          <w:rPr>
            <w:webHidden/>
          </w:rPr>
          <w:t>28</w:t>
        </w:r>
        <w:r w:rsidR="009A1022">
          <w:rPr>
            <w:webHidden/>
          </w:rPr>
          <w:fldChar w:fldCharType="end"/>
        </w:r>
      </w:hyperlink>
    </w:p>
    <w:p w14:paraId="02E9B526" w14:textId="45B7E672" w:rsidR="009A1022" w:rsidRDefault="00D82479">
      <w:pPr>
        <w:pStyle w:val="TOC1"/>
        <w:rPr>
          <w:rFonts w:asciiTheme="minorHAnsi" w:eastAsiaTheme="minorEastAsia" w:hAnsiTheme="minorHAnsi" w:cstheme="minorBidi"/>
          <w:b w:val="0"/>
          <w:spacing w:val="0"/>
          <w:sz w:val="22"/>
          <w:szCs w:val="22"/>
        </w:rPr>
      </w:pPr>
      <w:hyperlink w:anchor="_Toc87534295" w:history="1">
        <w:r w:rsidR="009A1022" w:rsidRPr="00550DF8">
          <w:rPr>
            <w:rStyle w:val="Hyperlink"/>
          </w:rPr>
          <w:t>Band planning scenarios</w:t>
        </w:r>
        <w:r w:rsidR="009A1022">
          <w:rPr>
            <w:webHidden/>
          </w:rPr>
          <w:tab/>
        </w:r>
        <w:r w:rsidR="009A1022">
          <w:rPr>
            <w:webHidden/>
          </w:rPr>
          <w:fldChar w:fldCharType="begin"/>
        </w:r>
        <w:r w:rsidR="009A1022">
          <w:rPr>
            <w:webHidden/>
          </w:rPr>
          <w:instrText xml:space="preserve"> PAGEREF _Toc87534295 \h </w:instrText>
        </w:r>
        <w:r w:rsidR="009A1022">
          <w:rPr>
            <w:webHidden/>
          </w:rPr>
        </w:r>
        <w:r w:rsidR="009A1022">
          <w:rPr>
            <w:webHidden/>
          </w:rPr>
          <w:fldChar w:fldCharType="separate"/>
        </w:r>
        <w:r w:rsidR="009A1022">
          <w:rPr>
            <w:webHidden/>
          </w:rPr>
          <w:t>30</w:t>
        </w:r>
        <w:r w:rsidR="009A1022">
          <w:rPr>
            <w:webHidden/>
          </w:rPr>
          <w:fldChar w:fldCharType="end"/>
        </w:r>
      </w:hyperlink>
    </w:p>
    <w:p w14:paraId="5AD72FB8" w14:textId="71518D75" w:rsidR="009A1022" w:rsidRDefault="00D82479">
      <w:pPr>
        <w:pStyle w:val="TOC2"/>
        <w:rPr>
          <w:rFonts w:asciiTheme="minorHAnsi" w:eastAsiaTheme="minorEastAsia" w:hAnsiTheme="minorHAnsi" w:cstheme="minorBidi"/>
          <w:spacing w:val="0"/>
          <w:sz w:val="22"/>
          <w:szCs w:val="22"/>
        </w:rPr>
      </w:pPr>
      <w:hyperlink w:anchor="_Toc87534296" w:history="1">
        <w:r w:rsidR="009A1022" w:rsidRPr="00550DF8">
          <w:rPr>
            <w:rStyle w:val="Hyperlink"/>
          </w:rPr>
          <w:t>Scenario 1: Single service/application use of entire band</w:t>
        </w:r>
        <w:r w:rsidR="009A1022">
          <w:rPr>
            <w:webHidden/>
          </w:rPr>
          <w:tab/>
        </w:r>
        <w:r w:rsidR="009A1022">
          <w:rPr>
            <w:webHidden/>
          </w:rPr>
          <w:fldChar w:fldCharType="begin"/>
        </w:r>
        <w:r w:rsidR="009A1022">
          <w:rPr>
            <w:webHidden/>
          </w:rPr>
          <w:instrText xml:space="preserve"> PAGEREF _Toc87534296 \h </w:instrText>
        </w:r>
        <w:r w:rsidR="009A1022">
          <w:rPr>
            <w:webHidden/>
          </w:rPr>
        </w:r>
        <w:r w:rsidR="009A1022">
          <w:rPr>
            <w:webHidden/>
          </w:rPr>
          <w:fldChar w:fldCharType="separate"/>
        </w:r>
        <w:r w:rsidR="009A1022">
          <w:rPr>
            <w:webHidden/>
          </w:rPr>
          <w:t>30</w:t>
        </w:r>
        <w:r w:rsidR="009A1022">
          <w:rPr>
            <w:webHidden/>
          </w:rPr>
          <w:fldChar w:fldCharType="end"/>
        </w:r>
      </w:hyperlink>
    </w:p>
    <w:p w14:paraId="0C4E998A" w14:textId="137A86B8" w:rsidR="009A1022" w:rsidRDefault="00D82479">
      <w:pPr>
        <w:pStyle w:val="TOC2"/>
        <w:rPr>
          <w:rFonts w:asciiTheme="minorHAnsi" w:eastAsiaTheme="minorEastAsia" w:hAnsiTheme="minorHAnsi" w:cstheme="minorBidi"/>
          <w:spacing w:val="0"/>
          <w:sz w:val="22"/>
          <w:szCs w:val="22"/>
        </w:rPr>
      </w:pPr>
      <w:hyperlink w:anchor="_Toc87534297" w:history="1">
        <w:r w:rsidR="009A1022" w:rsidRPr="00550DF8">
          <w:rPr>
            <w:rStyle w:val="Hyperlink"/>
          </w:rPr>
          <w:t>Scenario 2: All services/applications with dedicated, exclusive spectrum</w:t>
        </w:r>
        <w:r w:rsidR="009A1022">
          <w:rPr>
            <w:webHidden/>
          </w:rPr>
          <w:tab/>
        </w:r>
        <w:r w:rsidR="009A1022">
          <w:rPr>
            <w:webHidden/>
          </w:rPr>
          <w:fldChar w:fldCharType="begin"/>
        </w:r>
        <w:r w:rsidR="009A1022">
          <w:rPr>
            <w:webHidden/>
          </w:rPr>
          <w:instrText xml:space="preserve"> PAGEREF _Toc87534297 \h </w:instrText>
        </w:r>
        <w:r w:rsidR="009A1022">
          <w:rPr>
            <w:webHidden/>
          </w:rPr>
        </w:r>
        <w:r w:rsidR="009A1022">
          <w:rPr>
            <w:webHidden/>
          </w:rPr>
          <w:fldChar w:fldCharType="separate"/>
        </w:r>
        <w:r w:rsidR="009A1022">
          <w:rPr>
            <w:webHidden/>
          </w:rPr>
          <w:t>31</w:t>
        </w:r>
        <w:r w:rsidR="009A1022">
          <w:rPr>
            <w:webHidden/>
          </w:rPr>
          <w:fldChar w:fldCharType="end"/>
        </w:r>
      </w:hyperlink>
    </w:p>
    <w:p w14:paraId="3E64F8A2" w14:textId="1AA0FBFD" w:rsidR="009A1022" w:rsidRDefault="00D82479">
      <w:pPr>
        <w:pStyle w:val="TOC2"/>
        <w:rPr>
          <w:rFonts w:asciiTheme="minorHAnsi" w:eastAsiaTheme="minorEastAsia" w:hAnsiTheme="minorHAnsi" w:cstheme="minorBidi"/>
          <w:spacing w:val="0"/>
          <w:sz w:val="22"/>
          <w:szCs w:val="22"/>
        </w:rPr>
      </w:pPr>
      <w:hyperlink w:anchor="_Toc87534298" w:history="1">
        <w:r w:rsidR="009A1022" w:rsidRPr="00550DF8">
          <w:rPr>
            <w:rStyle w:val="Hyperlink"/>
          </w:rPr>
          <w:t>Scenario 3: Geographic separation of services</w:t>
        </w:r>
        <w:r w:rsidR="009A1022">
          <w:rPr>
            <w:webHidden/>
          </w:rPr>
          <w:tab/>
        </w:r>
        <w:r w:rsidR="009A1022">
          <w:rPr>
            <w:webHidden/>
          </w:rPr>
          <w:fldChar w:fldCharType="begin"/>
        </w:r>
        <w:r w:rsidR="009A1022">
          <w:rPr>
            <w:webHidden/>
          </w:rPr>
          <w:instrText xml:space="preserve"> PAGEREF _Toc87534298 \h </w:instrText>
        </w:r>
        <w:r w:rsidR="009A1022">
          <w:rPr>
            <w:webHidden/>
          </w:rPr>
        </w:r>
        <w:r w:rsidR="009A1022">
          <w:rPr>
            <w:webHidden/>
          </w:rPr>
          <w:fldChar w:fldCharType="separate"/>
        </w:r>
        <w:r w:rsidR="009A1022">
          <w:rPr>
            <w:webHidden/>
          </w:rPr>
          <w:t>31</w:t>
        </w:r>
        <w:r w:rsidR="009A1022">
          <w:rPr>
            <w:webHidden/>
          </w:rPr>
          <w:fldChar w:fldCharType="end"/>
        </w:r>
      </w:hyperlink>
    </w:p>
    <w:p w14:paraId="42A32CDA" w14:textId="1DCE7E3C" w:rsidR="009A1022" w:rsidRDefault="00D82479">
      <w:pPr>
        <w:pStyle w:val="TOC2"/>
        <w:rPr>
          <w:rFonts w:asciiTheme="minorHAnsi" w:eastAsiaTheme="minorEastAsia" w:hAnsiTheme="minorHAnsi" w:cstheme="minorBidi"/>
          <w:spacing w:val="0"/>
          <w:sz w:val="22"/>
          <w:szCs w:val="22"/>
        </w:rPr>
      </w:pPr>
      <w:hyperlink w:anchor="_Toc87534299" w:history="1">
        <w:r w:rsidR="009A1022" w:rsidRPr="00550DF8">
          <w:rPr>
            <w:rStyle w:val="Hyperlink"/>
          </w:rPr>
          <w:t>Scenario 4: Sharing of spectrum by services/applications</w:t>
        </w:r>
        <w:r w:rsidR="009A1022">
          <w:rPr>
            <w:webHidden/>
          </w:rPr>
          <w:tab/>
        </w:r>
        <w:r w:rsidR="009A1022">
          <w:rPr>
            <w:webHidden/>
          </w:rPr>
          <w:fldChar w:fldCharType="begin"/>
        </w:r>
        <w:r w:rsidR="009A1022">
          <w:rPr>
            <w:webHidden/>
          </w:rPr>
          <w:instrText xml:space="preserve"> PAGEREF _Toc87534299 \h </w:instrText>
        </w:r>
        <w:r w:rsidR="009A1022">
          <w:rPr>
            <w:webHidden/>
          </w:rPr>
        </w:r>
        <w:r w:rsidR="009A1022">
          <w:rPr>
            <w:webHidden/>
          </w:rPr>
          <w:fldChar w:fldCharType="separate"/>
        </w:r>
        <w:r w:rsidR="009A1022">
          <w:rPr>
            <w:webHidden/>
          </w:rPr>
          <w:t>32</w:t>
        </w:r>
        <w:r w:rsidR="009A1022">
          <w:rPr>
            <w:webHidden/>
          </w:rPr>
          <w:fldChar w:fldCharType="end"/>
        </w:r>
      </w:hyperlink>
    </w:p>
    <w:p w14:paraId="08FC8469" w14:textId="7E7C4782" w:rsidR="009A1022" w:rsidRDefault="00D82479">
      <w:pPr>
        <w:pStyle w:val="TOC2"/>
        <w:rPr>
          <w:rFonts w:asciiTheme="minorHAnsi" w:eastAsiaTheme="minorEastAsia" w:hAnsiTheme="minorHAnsi" w:cstheme="minorBidi"/>
          <w:spacing w:val="0"/>
          <w:sz w:val="22"/>
          <w:szCs w:val="22"/>
        </w:rPr>
      </w:pPr>
      <w:hyperlink w:anchor="_Toc87534300" w:history="1">
        <w:r w:rsidR="009A1022" w:rsidRPr="00550DF8">
          <w:rPr>
            <w:rStyle w:val="Hyperlink"/>
          </w:rPr>
          <w:t>Scenario 5: Combination or hybrid approach of other scenarios</w:t>
        </w:r>
        <w:r w:rsidR="009A1022">
          <w:rPr>
            <w:webHidden/>
          </w:rPr>
          <w:tab/>
        </w:r>
        <w:r w:rsidR="009A1022">
          <w:rPr>
            <w:webHidden/>
          </w:rPr>
          <w:fldChar w:fldCharType="begin"/>
        </w:r>
        <w:r w:rsidR="009A1022">
          <w:rPr>
            <w:webHidden/>
          </w:rPr>
          <w:instrText xml:space="preserve"> PAGEREF _Toc87534300 \h </w:instrText>
        </w:r>
        <w:r w:rsidR="009A1022">
          <w:rPr>
            <w:webHidden/>
          </w:rPr>
        </w:r>
        <w:r w:rsidR="009A1022">
          <w:rPr>
            <w:webHidden/>
          </w:rPr>
          <w:fldChar w:fldCharType="separate"/>
        </w:r>
        <w:r w:rsidR="009A1022">
          <w:rPr>
            <w:webHidden/>
          </w:rPr>
          <w:t>32</w:t>
        </w:r>
        <w:r w:rsidR="009A1022">
          <w:rPr>
            <w:webHidden/>
          </w:rPr>
          <w:fldChar w:fldCharType="end"/>
        </w:r>
      </w:hyperlink>
    </w:p>
    <w:p w14:paraId="5A70621F" w14:textId="07549507" w:rsidR="009A1022" w:rsidRDefault="00D82479">
      <w:pPr>
        <w:pStyle w:val="TOC1"/>
        <w:rPr>
          <w:rFonts w:asciiTheme="minorHAnsi" w:eastAsiaTheme="minorEastAsia" w:hAnsiTheme="minorHAnsi" w:cstheme="minorBidi"/>
          <w:b w:val="0"/>
          <w:spacing w:val="0"/>
          <w:sz w:val="22"/>
          <w:szCs w:val="22"/>
        </w:rPr>
      </w:pPr>
      <w:hyperlink w:anchor="_Toc87534301" w:history="1">
        <w:r w:rsidR="009A1022" w:rsidRPr="00550DF8">
          <w:rPr>
            <w:rStyle w:val="Hyperlink"/>
          </w:rPr>
          <w:t>Invitation to comment</w:t>
        </w:r>
        <w:r w:rsidR="009A1022">
          <w:rPr>
            <w:webHidden/>
          </w:rPr>
          <w:tab/>
        </w:r>
        <w:r w:rsidR="009A1022">
          <w:rPr>
            <w:webHidden/>
          </w:rPr>
          <w:fldChar w:fldCharType="begin"/>
        </w:r>
        <w:r w:rsidR="009A1022">
          <w:rPr>
            <w:webHidden/>
          </w:rPr>
          <w:instrText xml:space="preserve"> PAGEREF _Toc87534301 \h </w:instrText>
        </w:r>
        <w:r w:rsidR="009A1022">
          <w:rPr>
            <w:webHidden/>
          </w:rPr>
        </w:r>
        <w:r w:rsidR="009A1022">
          <w:rPr>
            <w:webHidden/>
          </w:rPr>
          <w:fldChar w:fldCharType="separate"/>
        </w:r>
        <w:r w:rsidR="009A1022">
          <w:rPr>
            <w:webHidden/>
          </w:rPr>
          <w:t>34</w:t>
        </w:r>
        <w:r w:rsidR="009A1022">
          <w:rPr>
            <w:webHidden/>
          </w:rPr>
          <w:fldChar w:fldCharType="end"/>
        </w:r>
      </w:hyperlink>
    </w:p>
    <w:p w14:paraId="24711F06" w14:textId="13BD8829" w:rsidR="009A1022" w:rsidRDefault="00D82479">
      <w:pPr>
        <w:pStyle w:val="TOC2"/>
        <w:rPr>
          <w:rFonts w:asciiTheme="minorHAnsi" w:eastAsiaTheme="minorEastAsia" w:hAnsiTheme="minorHAnsi" w:cstheme="minorBidi"/>
          <w:spacing w:val="0"/>
          <w:sz w:val="22"/>
          <w:szCs w:val="22"/>
        </w:rPr>
      </w:pPr>
      <w:hyperlink w:anchor="_Toc87534302" w:history="1">
        <w:r w:rsidR="009A1022" w:rsidRPr="00550DF8">
          <w:rPr>
            <w:rStyle w:val="Hyperlink"/>
          </w:rPr>
          <w:t>Making a submission</w:t>
        </w:r>
        <w:r w:rsidR="009A1022">
          <w:rPr>
            <w:webHidden/>
          </w:rPr>
          <w:tab/>
        </w:r>
        <w:r w:rsidR="009A1022">
          <w:rPr>
            <w:webHidden/>
          </w:rPr>
          <w:fldChar w:fldCharType="begin"/>
        </w:r>
        <w:r w:rsidR="009A1022">
          <w:rPr>
            <w:webHidden/>
          </w:rPr>
          <w:instrText xml:space="preserve"> PAGEREF _Toc87534302 \h </w:instrText>
        </w:r>
        <w:r w:rsidR="009A1022">
          <w:rPr>
            <w:webHidden/>
          </w:rPr>
        </w:r>
        <w:r w:rsidR="009A1022">
          <w:rPr>
            <w:webHidden/>
          </w:rPr>
          <w:fldChar w:fldCharType="separate"/>
        </w:r>
        <w:r w:rsidR="009A1022">
          <w:rPr>
            <w:webHidden/>
          </w:rPr>
          <w:t>34</w:t>
        </w:r>
        <w:r w:rsidR="009A1022">
          <w:rPr>
            <w:webHidden/>
          </w:rPr>
          <w:fldChar w:fldCharType="end"/>
        </w:r>
      </w:hyperlink>
    </w:p>
    <w:p w14:paraId="22BFE1E7" w14:textId="4D8CC8B9" w:rsidR="009A1022" w:rsidRDefault="00D82479">
      <w:pPr>
        <w:pStyle w:val="TOC1"/>
        <w:rPr>
          <w:rFonts w:asciiTheme="minorHAnsi" w:eastAsiaTheme="minorEastAsia" w:hAnsiTheme="minorHAnsi" w:cstheme="minorBidi"/>
          <w:b w:val="0"/>
          <w:spacing w:val="0"/>
          <w:sz w:val="22"/>
          <w:szCs w:val="22"/>
        </w:rPr>
      </w:pPr>
      <w:hyperlink w:anchor="_Toc87534303" w:history="1">
        <w:r w:rsidR="009A1022" w:rsidRPr="00550DF8">
          <w:rPr>
            <w:rStyle w:val="Hyperlink"/>
          </w:rPr>
          <w:t>Acronym list</w:t>
        </w:r>
        <w:r w:rsidR="009A1022">
          <w:rPr>
            <w:webHidden/>
          </w:rPr>
          <w:tab/>
        </w:r>
        <w:r w:rsidR="009A1022">
          <w:rPr>
            <w:webHidden/>
          </w:rPr>
          <w:fldChar w:fldCharType="begin"/>
        </w:r>
        <w:r w:rsidR="009A1022">
          <w:rPr>
            <w:webHidden/>
          </w:rPr>
          <w:instrText xml:space="preserve"> PAGEREF _Toc87534303 \h </w:instrText>
        </w:r>
        <w:r w:rsidR="009A1022">
          <w:rPr>
            <w:webHidden/>
          </w:rPr>
        </w:r>
        <w:r w:rsidR="009A1022">
          <w:rPr>
            <w:webHidden/>
          </w:rPr>
          <w:fldChar w:fldCharType="separate"/>
        </w:r>
        <w:r w:rsidR="009A1022">
          <w:rPr>
            <w:webHidden/>
          </w:rPr>
          <w:t>35</w:t>
        </w:r>
        <w:r w:rsidR="009A1022">
          <w:rPr>
            <w:webHidden/>
          </w:rPr>
          <w:fldChar w:fldCharType="end"/>
        </w:r>
      </w:hyperlink>
    </w:p>
    <w:p w14:paraId="66896D1A" w14:textId="364A21A7" w:rsidR="004D56FF" w:rsidRPr="000D76E0" w:rsidRDefault="006A3ECF">
      <w:pPr>
        <w:rPr>
          <w:rFonts w:cs="Arial"/>
        </w:rPr>
        <w:sectPr w:rsidR="004D56FF" w:rsidRPr="000D76E0" w:rsidSect="00C77380">
          <w:headerReference w:type="even" r:id="rId20"/>
          <w:headerReference w:type="default" r:id="rId21"/>
          <w:footerReference w:type="even" r:id="rId22"/>
          <w:footerReference w:type="default" r:id="rId23"/>
          <w:headerReference w:type="first" r:id="rId24"/>
          <w:footerReference w:type="first" r:id="rId25"/>
          <w:pgSz w:w="11906" w:h="16838" w:code="9"/>
          <w:pgMar w:top="3646" w:right="3101" w:bottom="1134" w:left="1134" w:header="709" w:footer="119" w:gutter="0"/>
          <w:cols w:space="708"/>
          <w:titlePg/>
          <w:docGrid w:linePitch="360"/>
        </w:sectPr>
      </w:pPr>
      <w:r>
        <w:rPr>
          <w:rFonts w:cs="Arial"/>
          <w:noProof/>
          <w:spacing w:val="-14"/>
          <w:sz w:val="28"/>
        </w:rPr>
        <w:fldChar w:fldCharType="end"/>
      </w:r>
    </w:p>
    <w:p w14:paraId="7CC2B485" w14:textId="740DC925" w:rsidR="005F37DE" w:rsidRPr="005F37DE" w:rsidRDefault="009D6C71" w:rsidP="00E200E5">
      <w:pPr>
        <w:pStyle w:val="Execsummaryheading"/>
      </w:pPr>
      <w:bookmarkStart w:id="1" w:name="_Toc87534268"/>
      <w:r w:rsidRPr="009174F3">
        <w:lastRenderedPageBreak/>
        <w:t>Executive summary</w:t>
      </w:r>
      <w:bookmarkEnd w:id="1"/>
    </w:p>
    <w:p w14:paraId="7080C9D6" w14:textId="44E0FDD9" w:rsidR="00F0638D" w:rsidRDefault="008C62F2" w:rsidP="00E200E5">
      <w:pPr>
        <w:pStyle w:val="Paragraph"/>
      </w:pPr>
      <w:bookmarkStart w:id="2" w:name="_Toc433122125"/>
      <w:r w:rsidRPr="008C62F2">
        <w:t xml:space="preserve">There has been </w:t>
      </w:r>
      <w:r w:rsidR="00A77589">
        <w:t>i</w:t>
      </w:r>
      <w:r w:rsidRPr="008C62F2">
        <w:t>ncreasing interest in the 1880</w:t>
      </w:r>
      <w:r w:rsidR="00B32617">
        <w:t>–</w:t>
      </w:r>
      <w:r w:rsidRPr="008C62F2">
        <w:t xml:space="preserve">1920 MHz band </w:t>
      </w:r>
      <w:r w:rsidR="00A77589">
        <w:t>(</w:t>
      </w:r>
      <w:r w:rsidR="00B32617">
        <w:t xml:space="preserve">referred to as the </w:t>
      </w:r>
      <w:r w:rsidR="00A77589">
        <w:t>1.</w:t>
      </w:r>
      <w:r w:rsidR="00B32617">
        <w:t>9 </w:t>
      </w:r>
      <w:r w:rsidR="00A77589">
        <w:t xml:space="preserve">GHz band) </w:t>
      </w:r>
      <w:r w:rsidRPr="008C62F2">
        <w:t>by current and potential new users domestically and internationally</w:t>
      </w:r>
      <w:r>
        <w:t>.</w:t>
      </w:r>
      <w:r w:rsidR="00F0638D">
        <w:t xml:space="preserve"> Consequently, </w:t>
      </w:r>
      <w:r w:rsidR="004A10D6">
        <w:t xml:space="preserve">the </w:t>
      </w:r>
      <w:r w:rsidR="00F0638D">
        <w:t xml:space="preserve">ACMA </w:t>
      </w:r>
      <w:r w:rsidR="00015A29">
        <w:t xml:space="preserve">considers a review of the band is </w:t>
      </w:r>
      <w:r w:rsidR="002048D6">
        <w:t>required</w:t>
      </w:r>
      <w:r w:rsidR="00015A29">
        <w:t xml:space="preserve"> and is </w:t>
      </w:r>
      <w:r w:rsidR="00F0638D" w:rsidRPr="00F0638D">
        <w:t xml:space="preserve">interested in views on existing and emerging uses </w:t>
      </w:r>
      <w:r w:rsidR="00015A29">
        <w:t>in the</w:t>
      </w:r>
      <w:r w:rsidR="00F0638D" w:rsidRPr="00F0638D">
        <w:t xml:space="preserve"> band</w:t>
      </w:r>
      <w:r w:rsidR="00F0638D">
        <w:t>.</w:t>
      </w:r>
    </w:p>
    <w:p w14:paraId="5A7E9E57" w14:textId="68382753" w:rsidR="00103D8A" w:rsidRDefault="00103D8A" w:rsidP="00103D8A">
      <w:r>
        <w:t xml:space="preserve">The </w:t>
      </w:r>
      <w:r w:rsidR="009752EC">
        <w:t>1.9 GHz</w:t>
      </w:r>
      <w:r w:rsidR="0066696F">
        <w:t xml:space="preserve"> band </w:t>
      </w:r>
      <w:r>
        <w:t xml:space="preserve">is allocated in the </w:t>
      </w:r>
      <w:hyperlink r:id="rId26" w:history="1">
        <w:r w:rsidRPr="00A96E34">
          <w:rPr>
            <w:rStyle w:val="Hyperlink"/>
          </w:rPr>
          <w:t>Australian Radiofrequency Spectrum Plan</w:t>
        </w:r>
        <w:r w:rsidR="00051186" w:rsidRPr="00A96E34">
          <w:rPr>
            <w:rStyle w:val="Hyperlink"/>
          </w:rPr>
          <w:t xml:space="preserve"> 2021</w:t>
        </w:r>
      </w:hyperlink>
      <w:r>
        <w:t xml:space="preserve"> (ARSP) to fixed and mobile services on a primary basis. There are </w:t>
      </w:r>
      <w:r w:rsidR="00FB1C53">
        <w:t>apparatus licensing arrangements</w:t>
      </w:r>
      <w:r w:rsidR="00A873C8">
        <w:t xml:space="preserve"> in the 1900</w:t>
      </w:r>
      <w:r w:rsidR="00051186">
        <w:t>–</w:t>
      </w:r>
      <w:r w:rsidR="00A873C8">
        <w:t>1920 MHz</w:t>
      </w:r>
      <w:r w:rsidR="00746DBE">
        <w:t xml:space="preserve"> frequency</w:t>
      </w:r>
      <w:r w:rsidR="00A873C8">
        <w:t xml:space="preserve"> </w:t>
      </w:r>
      <w:r w:rsidR="001A7283">
        <w:t>range</w:t>
      </w:r>
      <w:r w:rsidR="00FB1C53">
        <w:t xml:space="preserve"> for point-to-</w:t>
      </w:r>
      <w:r w:rsidR="00A873C8">
        <w:t>multi</w:t>
      </w:r>
      <w:r w:rsidR="00FB1C53">
        <w:t xml:space="preserve">point </w:t>
      </w:r>
      <w:r w:rsidR="00746DBE">
        <w:t xml:space="preserve">services </w:t>
      </w:r>
      <w:r w:rsidR="00A873C8">
        <w:t xml:space="preserve">on a primary basis and </w:t>
      </w:r>
      <w:r w:rsidR="00FB1C53">
        <w:t>point-to-</w:t>
      </w:r>
      <w:r w:rsidR="00A873C8">
        <w:t>point</w:t>
      </w:r>
      <w:r w:rsidR="00FB1C53">
        <w:t xml:space="preserve"> services </w:t>
      </w:r>
      <w:r w:rsidR="00A873C8">
        <w:t>on a secondary basis</w:t>
      </w:r>
      <w:r w:rsidR="004A10D6">
        <w:t>,</w:t>
      </w:r>
      <w:r w:rsidR="00A873C8">
        <w:t xml:space="preserve"> </w:t>
      </w:r>
      <w:r w:rsidR="00FB1C53" w:rsidRPr="003F4B36">
        <w:t>in regional and remote areas</w:t>
      </w:r>
      <w:r w:rsidR="00CE01F4" w:rsidRPr="00BE3B1C">
        <w:t>.</w:t>
      </w:r>
      <w:r w:rsidR="00CE01F4">
        <w:t xml:space="preserve"> </w:t>
      </w:r>
      <w:r w:rsidR="00FE1318">
        <w:t>In the 1880–1900 MHz frequency range</w:t>
      </w:r>
      <w:r w:rsidR="004B0E1B">
        <w:t>,</w:t>
      </w:r>
      <w:r w:rsidR="00FE1318">
        <w:t xml:space="preserve"> the use o</w:t>
      </w:r>
      <w:r w:rsidR="00FE1318" w:rsidRPr="007A72E8">
        <w:t xml:space="preserve">f </w:t>
      </w:r>
      <w:r w:rsidR="00BE3B1C" w:rsidRPr="001F08F2">
        <w:t>c</w:t>
      </w:r>
      <w:r w:rsidR="00532970" w:rsidRPr="001E65C3">
        <w:t xml:space="preserve">ordless </w:t>
      </w:r>
      <w:r w:rsidR="00BE3B1C" w:rsidRPr="001F08F2">
        <w:t>telecommunications</w:t>
      </w:r>
      <w:r w:rsidR="00BE3B1C" w:rsidRPr="000764D8">
        <w:t xml:space="preserve"> </w:t>
      </w:r>
      <w:r w:rsidR="00BE3B1C" w:rsidRPr="001F08F2">
        <w:t>s</w:t>
      </w:r>
      <w:r w:rsidR="00532970" w:rsidRPr="001E65C3">
        <w:t>ystems (CTS)</w:t>
      </w:r>
      <w:r w:rsidR="00FB1C53" w:rsidRPr="001E65C3">
        <w:t xml:space="preserve"> including</w:t>
      </w:r>
      <w:r w:rsidRPr="001E65C3">
        <w:t xml:space="preserve"> </w:t>
      </w:r>
      <w:r w:rsidR="00BE3B1C" w:rsidRPr="001F08F2">
        <w:t>d</w:t>
      </w:r>
      <w:r w:rsidRPr="001E65C3">
        <w:t xml:space="preserve">igital </w:t>
      </w:r>
      <w:r w:rsidR="00BE3B1C" w:rsidRPr="001F08F2">
        <w:t>e</w:t>
      </w:r>
      <w:r w:rsidRPr="001E65C3">
        <w:t xml:space="preserve">nhanced </w:t>
      </w:r>
      <w:r w:rsidR="00BE3B1C" w:rsidRPr="001F08F2">
        <w:t>c</w:t>
      </w:r>
      <w:r w:rsidRPr="001E65C3">
        <w:t xml:space="preserve">ordless </w:t>
      </w:r>
      <w:r w:rsidR="00BE3B1C" w:rsidRPr="001F08F2">
        <w:t>t</w:t>
      </w:r>
      <w:r w:rsidRPr="001E65C3">
        <w:t xml:space="preserve">elecommunications (DECT) </w:t>
      </w:r>
      <w:r w:rsidR="00532970" w:rsidRPr="001E65C3">
        <w:t xml:space="preserve">and </w:t>
      </w:r>
      <w:r w:rsidR="0091124E" w:rsidRPr="001E65C3">
        <w:t xml:space="preserve">the </w:t>
      </w:r>
      <w:r w:rsidR="00532970" w:rsidRPr="001E65C3">
        <w:t xml:space="preserve">Personal </w:t>
      </w:r>
      <w:r w:rsidR="00076C55" w:rsidRPr="001E65C3">
        <w:t>Handy</w:t>
      </w:r>
      <w:r w:rsidR="00FE7E0B" w:rsidRPr="001F08F2">
        <w:t>-p</w:t>
      </w:r>
      <w:r w:rsidR="0099191D" w:rsidRPr="001E65C3">
        <w:t>hone</w:t>
      </w:r>
      <w:r w:rsidR="00532970" w:rsidRPr="001E65C3">
        <w:t xml:space="preserve"> System (P</w:t>
      </w:r>
      <w:r w:rsidR="00076C55">
        <w:t>H</w:t>
      </w:r>
      <w:r w:rsidR="00532970">
        <w:t xml:space="preserve">S) </w:t>
      </w:r>
      <w:r w:rsidR="0082417C">
        <w:t>is</w:t>
      </w:r>
      <w:r w:rsidR="004B0E1B">
        <w:t xml:space="preserve"> </w:t>
      </w:r>
      <w:r w:rsidR="00A77589">
        <w:t>authorised</w:t>
      </w:r>
      <w:r w:rsidR="004B0E1B">
        <w:t xml:space="preserve"> </w:t>
      </w:r>
      <w:r>
        <w:t xml:space="preserve">under the </w:t>
      </w:r>
      <w:hyperlink r:id="rId27" w:history="1">
        <w:r w:rsidRPr="004878E5">
          <w:rPr>
            <w:rStyle w:val="Hyperlink"/>
          </w:rPr>
          <w:t>Radiocommunications (Cordless Communications Devices) Class Licence 2014</w:t>
        </w:r>
      </w:hyperlink>
      <w:r w:rsidR="00687133">
        <w:t>.</w:t>
      </w:r>
    </w:p>
    <w:p w14:paraId="585C994E" w14:textId="43F5734D" w:rsidR="00E1502B" w:rsidRDefault="004B124D" w:rsidP="001E136B">
      <w:r>
        <w:t xml:space="preserve">Before </w:t>
      </w:r>
      <w:r w:rsidR="00731375">
        <w:t>October 2017,</w:t>
      </w:r>
      <w:r w:rsidR="009C1EA2">
        <w:t xml:space="preserve"> </w:t>
      </w:r>
      <w:r w:rsidR="001E136B" w:rsidRPr="00B53F89">
        <w:t xml:space="preserve">the 1900–1920 MHz </w:t>
      </w:r>
      <w:r w:rsidR="00746DBE">
        <w:t xml:space="preserve">frequency </w:t>
      </w:r>
      <w:r w:rsidR="00CE01F4">
        <w:t>range</w:t>
      </w:r>
      <w:r w:rsidR="00CE01F4" w:rsidRPr="00B53F89">
        <w:t xml:space="preserve"> </w:t>
      </w:r>
      <w:r>
        <w:t>in m</w:t>
      </w:r>
      <w:r w:rsidRPr="00B53F89">
        <w:t xml:space="preserve">etropolitan areas </w:t>
      </w:r>
      <w:r w:rsidR="001E136B" w:rsidRPr="00B53F89">
        <w:t>w</w:t>
      </w:r>
      <w:r w:rsidR="00616780">
        <w:t>as</w:t>
      </w:r>
      <w:r w:rsidR="001E136B" w:rsidRPr="00B53F89">
        <w:t xml:space="preserve"> subject to spectrum licensing</w:t>
      </w:r>
      <w:r w:rsidR="006F5A2B">
        <w:t xml:space="preserve">. </w:t>
      </w:r>
      <w:r w:rsidR="009C1EA2">
        <w:t xml:space="preserve">At licence </w:t>
      </w:r>
      <w:r w:rsidR="00D773B8">
        <w:t>expiry</w:t>
      </w:r>
      <w:r w:rsidR="00412DE8">
        <w:t>,</w:t>
      </w:r>
      <w:r w:rsidR="00D773B8">
        <w:t xml:space="preserve"> licence</w:t>
      </w:r>
      <w:r w:rsidR="001606E5">
        <w:t xml:space="preserve"> holders </w:t>
      </w:r>
      <w:r w:rsidR="00BD3A86">
        <w:t xml:space="preserve">did not seek </w:t>
      </w:r>
      <w:r w:rsidR="001606E5">
        <w:t>renew</w:t>
      </w:r>
      <w:r w:rsidR="00A77589">
        <w:t>al</w:t>
      </w:r>
      <w:r w:rsidR="009C1EA2">
        <w:t>. C</w:t>
      </w:r>
      <w:r w:rsidR="001606E5">
        <w:t>onsequently</w:t>
      </w:r>
      <w:r w:rsidR="00E6389F">
        <w:t>,</w:t>
      </w:r>
      <w:r w:rsidR="001606E5">
        <w:t xml:space="preserve"> the </w:t>
      </w:r>
      <w:bookmarkStart w:id="3" w:name="_Hlk83812261"/>
      <w:r w:rsidR="006F5A2B">
        <w:t xml:space="preserve">frequency range </w:t>
      </w:r>
      <w:r w:rsidR="00BD3A86">
        <w:t>was no longer allocated for spectrum licensing</w:t>
      </w:r>
      <w:r w:rsidR="00412DE8">
        <w:t>,</w:t>
      </w:r>
      <w:r w:rsidR="00BD3A86">
        <w:t xml:space="preserve"> </w:t>
      </w:r>
      <w:r w:rsidR="00415710">
        <w:t>with</w:t>
      </w:r>
      <w:r w:rsidR="005D6BE1">
        <w:t xml:space="preserve"> </w:t>
      </w:r>
      <w:hyperlink r:id="rId28" w:history="1">
        <w:r w:rsidR="005D6BE1" w:rsidRPr="00B56E1E">
          <w:rPr>
            <w:rStyle w:val="Hyperlink"/>
          </w:rPr>
          <w:t>Embargo 76</w:t>
        </w:r>
      </w:hyperlink>
      <w:r w:rsidR="005D6BE1">
        <w:t xml:space="preserve"> </w:t>
      </w:r>
      <w:r w:rsidR="00415710">
        <w:t xml:space="preserve">put in place </w:t>
      </w:r>
      <w:r w:rsidR="001606E5">
        <w:t>to preserve future planning options</w:t>
      </w:r>
      <w:r w:rsidR="002E66E1">
        <w:t xml:space="preserve"> in metro</w:t>
      </w:r>
      <w:r w:rsidR="009C1EA2">
        <w:t>politan</w:t>
      </w:r>
      <w:r w:rsidR="002E66E1">
        <w:t xml:space="preserve"> areas while making the band available elsewhere</w:t>
      </w:r>
      <w:r w:rsidR="001E136B" w:rsidRPr="00B53F89">
        <w:t>.</w:t>
      </w:r>
      <w:bookmarkEnd w:id="3"/>
      <w:r w:rsidR="001E136B" w:rsidRPr="00B53F89">
        <w:t xml:space="preserve"> </w:t>
      </w:r>
    </w:p>
    <w:p w14:paraId="29811882" w14:textId="3A551C80" w:rsidR="00A44376" w:rsidRDefault="00D773B8" w:rsidP="00DB2184">
      <w:r w:rsidRPr="00D773B8">
        <w:t>DECT</w:t>
      </w:r>
      <w:r w:rsidR="000E1878" w:rsidRPr="000E1878">
        <w:rPr>
          <w:rStyle w:val="FootnoteReference"/>
        </w:rPr>
        <w:footnoteReference w:id="2"/>
      </w:r>
      <w:r w:rsidRPr="005A2210">
        <w:rPr>
          <w:rStyle w:val="FootnoteReference"/>
        </w:rPr>
        <w:t xml:space="preserve"> </w:t>
      </w:r>
      <w:r w:rsidRPr="00D773B8">
        <w:t xml:space="preserve">is a </w:t>
      </w:r>
      <w:r w:rsidRPr="00D773B8" w:rsidDel="00DA3246">
        <w:t>local area</w:t>
      </w:r>
      <w:r w:rsidRPr="00D773B8">
        <w:t xml:space="preserve"> </w:t>
      </w:r>
      <w:r w:rsidR="00DA3246">
        <w:t>wireless technology</w:t>
      </w:r>
      <w:r w:rsidRPr="00D773B8" w:rsidDel="00DA3246">
        <w:t xml:space="preserve"> </w:t>
      </w:r>
      <w:r w:rsidRPr="00D773B8">
        <w:t>used</w:t>
      </w:r>
      <w:r w:rsidR="00562B2D">
        <w:t xml:space="preserve"> predominantly </w:t>
      </w:r>
      <w:r w:rsidR="00562B2D" w:rsidRPr="00D773B8">
        <w:t>in</w:t>
      </w:r>
      <w:r w:rsidRPr="00D773B8">
        <w:t xml:space="preserve"> </w:t>
      </w:r>
      <w:r w:rsidR="00DA3246">
        <w:t xml:space="preserve">the </w:t>
      </w:r>
      <w:r w:rsidRPr="00D773B8">
        <w:t xml:space="preserve">1.9 GHz band </w:t>
      </w:r>
      <w:r>
        <w:t xml:space="preserve">and </w:t>
      </w:r>
      <w:r w:rsidR="00DA3246">
        <w:t xml:space="preserve">widely </w:t>
      </w:r>
      <w:r w:rsidRPr="00D773B8" w:rsidDel="00DA3246">
        <w:t xml:space="preserve">adopted </w:t>
      </w:r>
      <w:r w:rsidR="00DA3246">
        <w:t>for cordless phones as well as wireless microphones and headset</w:t>
      </w:r>
      <w:r w:rsidR="005A2210">
        <w:t xml:space="preserve"> use</w:t>
      </w:r>
      <w:r w:rsidR="00DA3246">
        <w:t>.</w:t>
      </w:r>
      <w:r w:rsidR="00412DE8">
        <w:t xml:space="preserve"> </w:t>
      </w:r>
      <w:r w:rsidR="001241AF">
        <w:t>R</w:t>
      </w:r>
      <w:r w:rsidR="00BF16A5">
        <w:t xml:space="preserve">ecent </w:t>
      </w:r>
      <w:r w:rsidR="00DB2184">
        <w:t>developments</w:t>
      </w:r>
      <w:r w:rsidR="004B124D">
        <w:t>,</w:t>
      </w:r>
      <w:r w:rsidR="00DB2184">
        <w:t xml:space="preserve"> </w:t>
      </w:r>
      <w:r w:rsidR="00D40D0C">
        <w:t>including</w:t>
      </w:r>
      <w:r w:rsidR="00DB2184">
        <w:t xml:space="preserve"> </w:t>
      </w:r>
      <w:r w:rsidR="00BF16A5">
        <w:t xml:space="preserve">the standardisation </w:t>
      </w:r>
      <w:r w:rsidR="00412DE8">
        <w:t xml:space="preserve">of </w:t>
      </w:r>
      <w:hyperlink r:id="rId29" w:history="1">
        <w:r w:rsidR="00DB2184" w:rsidRPr="004878E5">
          <w:rPr>
            <w:rStyle w:val="Hyperlink"/>
          </w:rPr>
          <w:t>DECT</w:t>
        </w:r>
      </w:hyperlink>
      <w:r w:rsidR="00DB2184">
        <w:t>-2020</w:t>
      </w:r>
      <w:r w:rsidR="00BD2AF4">
        <w:t xml:space="preserve"> </w:t>
      </w:r>
      <w:r w:rsidR="0069084F">
        <w:t>new radio (DECT</w:t>
      </w:r>
      <w:r w:rsidR="00F70E33">
        <w:t xml:space="preserve">-2020 </w:t>
      </w:r>
      <w:r w:rsidR="00BD2AF4">
        <w:t>NR</w:t>
      </w:r>
      <w:r w:rsidR="0069084F">
        <w:t>)</w:t>
      </w:r>
      <w:r w:rsidR="00AF7EE1">
        <w:t>,</w:t>
      </w:r>
      <w:r w:rsidR="00DB2184">
        <w:t xml:space="preserve"> </w:t>
      </w:r>
      <w:r w:rsidR="001241AF">
        <w:t xml:space="preserve">the </w:t>
      </w:r>
      <w:r w:rsidR="00BF16A5">
        <w:t xml:space="preserve">establishment of </w:t>
      </w:r>
      <w:hyperlink r:id="rId30" w:history="1">
        <w:r w:rsidR="0067700C">
          <w:rPr>
            <w:rStyle w:val="Hyperlink"/>
          </w:rPr>
          <w:t>MulteFire</w:t>
        </w:r>
      </w:hyperlink>
      <w:r w:rsidR="00BF16A5">
        <w:t xml:space="preserve"> </w:t>
      </w:r>
      <w:r w:rsidR="00BF16A5" w:rsidDel="00D773B8">
        <w:t>technology</w:t>
      </w:r>
      <w:r w:rsidR="00DB2184" w:rsidDel="00D773B8">
        <w:t>,</w:t>
      </w:r>
      <w:r>
        <w:t xml:space="preserve"> and</w:t>
      </w:r>
      <w:r w:rsidR="00DB2184">
        <w:t xml:space="preserve"> the European review of 1900–1910 MHz for </w:t>
      </w:r>
      <w:r w:rsidR="0060507D" w:rsidRPr="000764D8">
        <w:t>F</w:t>
      </w:r>
      <w:r w:rsidR="00DB2184" w:rsidRPr="000764D8">
        <w:t xml:space="preserve">uture </w:t>
      </w:r>
      <w:r w:rsidR="0060507D" w:rsidRPr="000764D8">
        <w:t>R</w:t>
      </w:r>
      <w:r w:rsidR="00DB2184" w:rsidRPr="000764D8">
        <w:t xml:space="preserve">ailway </w:t>
      </w:r>
      <w:r w:rsidR="0060507D" w:rsidRPr="000764D8">
        <w:t>M</w:t>
      </w:r>
      <w:r w:rsidR="00DB2184" w:rsidRPr="000764D8">
        <w:t xml:space="preserve">obile </w:t>
      </w:r>
      <w:r w:rsidR="0060507D" w:rsidRPr="001E65C3">
        <w:t>C</w:t>
      </w:r>
      <w:r w:rsidR="00DB2184" w:rsidRPr="001E65C3">
        <w:t xml:space="preserve">ommunication </w:t>
      </w:r>
      <w:r w:rsidR="0060507D" w:rsidRPr="001E65C3">
        <w:t>S</w:t>
      </w:r>
      <w:r w:rsidR="00DB2184" w:rsidRPr="001E65C3">
        <w:t>ystems (FMRCS)</w:t>
      </w:r>
      <w:r w:rsidR="004B124D" w:rsidRPr="001E65C3">
        <w:t>,</w:t>
      </w:r>
      <w:r w:rsidR="005A2210">
        <w:t xml:space="preserve"> </w:t>
      </w:r>
      <w:r w:rsidR="00051186">
        <w:t xml:space="preserve">which </w:t>
      </w:r>
      <w:r w:rsidR="005A2210">
        <w:t>are all driving increasing interest in the band</w:t>
      </w:r>
      <w:r w:rsidR="00E6389F">
        <w:t>.</w:t>
      </w:r>
      <w:r w:rsidR="00DB2184">
        <w:t xml:space="preserve"> </w:t>
      </w:r>
      <w:r w:rsidR="005A2210">
        <w:t>Domestically, t</w:t>
      </w:r>
      <w:r w:rsidR="00415710">
        <w:t xml:space="preserve">here is also </w:t>
      </w:r>
      <w:r w:rsidR="005A2210">
        <w:t>some</w:t>
      </w:r>
      <w:r w:rsidR="00800DB9">
        <w:t xml:space="preserve"> demand for</w:t>
      </w:r>
      <w:r w:rsidR="00DB2184">
        <w:t xml:space="preserve"> apparatus-licensed spectrum for fixed and mobile wireless </w:t>
      </w:r>
      <w:r w:rsidR="0061282D">
        <w:t>broadband</w:t>
      </w:r>
      <w:r w:rsidR="009C1EA2">
        <w:t xml:space="preserve"> uses</w:t>
      </w:r>
      <w:r w:rsidR="0061282D">
        <w:t xml:space="preserve">. </w:t>
      </w:r>
    </w:p>
    <w:p w14:paraId="4A9D5792" w14:textId="17066977" w:rsidR="00D80C92" w:rsidRDefault="00D80C92" w:rsidP="00D80C92">
      <w:r>
        <w:t>T</w:t>
      </w:r>
      <w:r w:rsidRPr="00B53F89">
        <w:t>he</w:t>
      </w:r>
      <w:r>
        <w:t xml:space="preserve"> </w:t>
      </w:r>
      <w:r w:rsidRPr="00B53F89">
        <w:t xml:space="preserve">1900–1920 MHz </w:t>
      </w:r>
      <w:r>
        <w:t>frequency range</w:t>
      </w:r>
      <w:r w:rsidRPr="00B53F89">
        <w:t xml:space="preserve"> </w:t>
      </w:r>
      <w:r>
        <w:t>is</w:t>
      </w:r>
      <w:r w:rsidRPr="00B53F89">
        <w:t xml:space="preserve"> identified for </w:t>
      </w:r>
      <w:r>
        <w:t>International Mobile Telecommunications (</w:t>
      </w:r>
      <w:r w:rsidRPr="00B53F89">
        <w:t>IMT</w:t>
      </w:r>
      <w:r>
        <w:t>)</w:t>
      </w:r>
      <w:r w:rsidR="00015A29">
        <w:t xml:space="preserve"> in the International Telecommunication Union (ITU) Radio Regulations</w:t>
      </w:r>
      <w:r>
        <w:t xml:space="preserve">. Current </w:t>
      </w:r>
      <w:r w:rsidRPr="00B53F89">
        <w:t>domestic</w:t>
      </w:r>
      <w:r>
        <w:t xml:space="preserve"> use</w:t>
      </w:r>
      <w:r w:rsidRPr="00B53F89">
        <w:t xml:space="preserve"> for wireless broadband </w:t>
      </w:r>
      <w:r w:rsidR="00727793">
        <w:t xml:space="preserve">(WBB) </w:t>
      </w:r>
      <w:r w:rsidRPr="00B53F89">
        <w:t xml:space="preserve">services has been </w:t>
      </w:r>
      <w:r>
        <w:t>low</w:t>
      </w:r>
      <w:r w:rsidR="00E6389F">
        <w:t>,</w:t>
      </w:r>
      <w:r w:rsidR="000332A7">
        <w:t xml:space="preserve"> although there has been some recent </w:t>
      </w:r>
      <w:r w:rsidR="00015A29">
        <w:t xml:space="preserve">increase in </w:t>
      </w:r>
      <w:r w:rsidR="000332A7">
        <w:t>activity in the band</w:t>
      </w:r>
      <w:r>
        <w:t xml:space="preserve">. </w:t>
      </w:r>
      <w:r w:rsidR="00E6389F">
        <w:t>T</w:t>
      </w:r>
      <w:r>
        <w:t>here is</w:t>
      </w:r>
      <w:r w:rsidR="00E6389F">
        <w:t>, however,</w:t>
      </w:r>
      <w:r>
        <w:t xml:space="preserve"> substantial </w:t>
      </w:r>
      <w:r w:rsidR="002E66E1">
        <w:t xml:space="preserve">WBB </w:t>
      </w:r>
      <w:r>
        <w:t>use of spectrum licences in the adjacent bands below 1880</w:t>
      </w:r>
      <w:r w:rsidR="00F7718D">
        <w:t> </w:t>
      </w:r>
      <w:r w:rsidR="00D773B8">
        <w:t>M</w:t>
      </w:r>
      <w:r>
        <w:t xml:space="preserve">Hz and above 1920 MHz. This may </w:t>
      </w:r>
      <w:r w:rsidR="00720CCA">
        <w:t>indicate</w:t>
      </w:r>
      <w:r>
        <w:t xml:space="preserve"> that the current </w:t>
      </w:r>
      <w:r w:rsidR="000332A7">
        <w:t>E</w:t>
      </w:r>
      <w:r>
        <w:t xml:space="preserve">mbargo 76 </w:t>
      </w:r>
      <w:r w:rsidR="009C1EA2">
        <w:t xml:space="preserve">is </w:t>
      </w:r>
      <w:r>
        <w:t xml:space="preserve">masking potential demand. Additionally, the number of </w:t>
      </w:r>
      <w:r w:rsidR="00015A29">
        <w:t>WBB</w:t>
      </w:r>
      <w:r>
        <w:t xml:space="preserve"> devices available for this specific band ha</w:t>
      </w:r>
      <w:r w:rsidR="00051186">
        <w:t>s</w:t>
      </w:r>
      <w:r>
        <w:t xml:space="preserve"> increased rapidly since 2019.</w:t>
      </w:r>
    </w:p>
    <w:p w14:paraId="06E1FB0E" w14:textId="2FB28AE5" w:rsidR="00042A7C" w:rsidRDefault="002F0858" w:rsidP="00DB2184">
      <w:r>
        <w:t>In response to these developments</w:t>
      </w:r>
      <w:r w:rsidR="00B86A9E">
        <w:t>,</w:t>
      </w:r>
      <w:r>
        <w:t xml:space="preserve"> the ACMA moved the band into the </w:t>
      </w:r>
      <w:r w:rsidR="003F4B36">
        <w:t>‘i</w:t>
      </w:r>
      <w:r w:rsidR="00435AF2">
        <w:t xml:space="preserve">nitial </w:t>
      </w:r>
      <w:r w:rsidR="003F4B36">
        <w:t>i</w:t>
      </w:r>
      <w:r w:rsidR="00435AF2">
        <w:t>nvestigation</w:t>
      </w:r>
      <w:r w:rsidR="003F4B36">
        <w:t>’</w:t>
      </w:r>
      <w:r w:rsidR="00435AF2">
        <w:t xml:space="preserve"> phase of replanning</w:t>
      </w:r>
      <w:r w:rsidR="00015A29">
        <w:t xml:space="preserve"> in its work program in the</w:t>
      </w:r>
      <w:r w:rsidR="00B924F5">
        <w:t xml:space="preserve"> </w:t>
      </w:r>
      <w:r w:rsidR="004B124D">
        <w:t>f</w:t>
      </w:r>
      <w:r w:rsidR="003579C7" w:rsidRPr="00F363E2">
        <w:t>ive-</w:t>
      </w:r>
      <w:r w:rsidR="004B124D">
        <w:t>y</w:t>
      </w:r>
      <w:r w:rsidR="003579C7" w:rsidRPr="00F363E2">
        <w:t xml:space="preserve">ear </w:t>
      </w:r>
      <w:r w:rsidR="004B124D">
        <w:t>s</w:t>
      </w:r>
      <w:r w:rsidR="003579C7" w:rsidRPr="00F363E2">
        <w:t xml:space="preserve">pectrum </w:t>
      </w:r>
      <w:r w:rsidR="004B124D">
        <w:t>o</w:t>
      </w:r>
      <w:r w:rsidR="003579C7" w:rsidRPr="00F363E2">
        <w:t xml:space="preserve">utlook </w:t>
      </w:r>
      <w:r w:rsidR="003579C7">
        <w:t>(</w:t>
      </w:r>
      <w:hyperlink r:id="rId31" w:history="1">
        <w:r w:rsidR="003579C7" w:rsidRPr="004F6D9D">
          <w:rPr>
            <w:rStyle w:val="Hyperlink"/>
          </w:rPr>
          <w:t>FYSO</w:t>
        </w:r>
      </w:hyperlink>
      <w:r w:rsidR="003579C7">
        <w:t>).</w:t>
      </w:r>
    </w:p>
    <w:p w14:paraId="644444E1" w14:textId="13853BE6" w:rsidR="006C39D4" w:rsidRDefault="0011226A" w:rsidP="00E200E5">
      <w:pPr>
        <w:pStyle w:val="Paragraphbeforelist"/>
        <w:keepNext/>
        <w:keepLines/>
      </w:pPr>
      <w:r>
        <w:lastRenderedPageBreak/>
        <w:t>This</w:t>
      </w:r>
      <w:r w:rsidDel="002850C3">
        <w:t xml:space="preserve"> </w:t>
      </w:r>
      <w:r w:rsidR="004A68C0" w:rsidRPr="004A68C0">
        <w:t>paper</w:t>
      </w:r>
      <w:r w:rsidR="00B50073">
        <w:t xml:space="preserve"> </w:t>
      </w:r>
      <w:r w:rsidR="00EC58FF">
        <w:t>seek</w:t>
      </w:r>
      <w:r w:rsidR="009C1EA2">
        <w:t>s</w:t>
      </w:r>
      <w:r w:rsidR="00EC58FF">
        <w:t xml:space="preserve"> feedback </w:t>
      </w:r>
      <w:r w:rsidR="00B50073">
        <w:t xml:space="preserve">to </w:t>
      </w:r>
      <w:r w:rsidR="00EC58FF">
        <w:t>help</w:t>
      </w:r>
      <w:r w:rsidR="00B50073">
        <w:t xml:space="preserve"> </w:t>
      </w:r>
      <w:r w:rsidR="00015A29">
        <w:t xml:space="preserve">inform </w:t>
      </w:r>
      <w:r w:rsidR="00E6389F">
        <w:t xml:space="preserve">us </w:t>
      </w:r>
      <w:r w:rsidR="00015A29">
        <w:t xml:space="preserve">whether there is </w:t>
      </w:r>
      <w:r w:rsidR="000332A7">
        <w:t xml:space="preserve">support for </w:t>
      </w:r>
      <w:r w:rsidR="00FE33EF">
        <w:t xml:space="preserve">current </w:t>
      </w:r>
      <w:r w:rsidR="001A184A">
        <w:t>or</w:t>
      </w:r>
      <w:r w:rsidR="009C1EA2">
        <w:t xml:space="preserve"> alternative </w:t>
      </w:r>
      <w:r w:rsidR="005A73C8">
        <w:t>uses</w:t>
      </w:r>
      <w:r w:rsidR="009C1EA2">
        <w:t xml:space="preserve"> of the band</w:t>
      </w:r>
      <w:r w:rsidR="005A2210">
        <w:t xml:space="preserve">. </w:t>
      </w:r>
      <w:bookmarkStart w:id="4" w:name="_Hlk14257908"/>
      <w:r w:rsidR="00613A6C" w:rsidRPr="00185D3F">
        <w:t xml:space="preserve">To aid discussion, </w:t>
      </w:r>
      <w:r w:rsidR="004B124D">
        <w:t>the following</w:t>
      </w:r>
      <w:r w:rsidR="004B124D" w:rsidRPr="00185D3F">
        <w:t xml:space="preserve"> </w:t>
      </w:r>
      <w:r w:rsidR="00613A6C" w:rsidRPr="00185D3F">
        <w:t>possible planning scenarios for the band are presented</w:t>
      </w:r>
      <w:bookmarkEnd w:id="4"/>
      <w:r w:rsidR="00A77289">
        <w:t xml:space="preserve">, including a consideration of potential </w:t>
      </w:r>
      <w:r w:rsidR="002E66E1">
        <w:t>coexistence issues</w:t>
      </w:r>
      <w:r w:rsidR="00A77289">
        <w:t>:</w:t>
      </w:r>
      <w:r w:rsidR="002E66E1">
        <w:t xml:space="preserve"> </w:t>
      </w:r>
    </w:p>
    <w:p w14:paraId="4090E8B0" w14:textId="1A603899" w:rsidR="00613A6C" w:rsidRPr="00EC12C3" w:rsidRDefault="006C39D4" w:rsidP="00E200E5">
      <w:pPr>
        <w:pStyle w:val="Bulletlevel1"/>
      </w:pPr>
      <w:r w:rsidRPr="005A2210">
        <w:t>Sce</w:t>
      </w:r>
      <w:r w:rsidRPr="00EC12C3">
        <w:t xml:space="preserve">nario 1: </w:t>
      </w:r>
      <w:r w:rsidR="00D87ECC" w:rsidRPr="00EC12C3">
        <w:t>U</w:t>
      </w:r>
      <w:r w:rsidRPr="00EC12C3">
        <w:t xml:space="preserve">se of the whole band by </w:t>
      </w:r>
      <w:r w:rsidR="007A757A" w:rsidRPr="00EC12C3">
        <w:t>a single technology</w:t>
      </w:r>
      <w:r w:rsidR="004B124D">
        <w:t>,</w:t>
      </w:r>
      <w:r w:rsidR="007A757A" w:rsidRPr="00EC12C3">
        <w:t xml:space="preserve"> such as DECT or wireless broadband.</w:t>
      </w:r>
    </w:p>
    <w:p w14:paraId="16E3743C" w14:textId="37FA5A1F" w:rsidR="006C39D4" w:rsidRPr="00EC12C3" w:rsidRDefault="006C39D4" w:rsidP="00E200E5">
      <w:pPr>
        <w:pStyle w:val="Bulletlevel1"/>
      </w:pPr>
      <w:r w:rsidRPr="00EC12C3">
        <w:t xml:space="preserve">Scenario 2: Dedicated frequency segments for </w:t>
      </w:r>
      <w:r w:rsidR="00D87ECC" w:rsidRPr="00EC12C3">
        <w:t xml:space="preserve">multiple </w:t>
      </w:r>
      <w:r w:rsidRPr="00EC12C3">
        <w:t>technolog</w:t>
      </w:r>
      <w:r w:rsidR="00D87ECC" w:rsidRPr="00EC12C3">
        <w:t>ies</w:t>
      </w:r>
      <w:r w:rsidR="004B124D">
        <w:t>,</w:t>
      </w:r>
      <w:r w:rsidRPr="00EC12C3">
        <w:t xml:space="preserve"> such as DECT or wireless broadband.</w:t>
      </w:r>
    </w:p>
    <w:p w14:paraId="7A7959BB" w14:textId="3BBCC8D7" w:rsidR="006C39D4" w:rsidRPr="00EC12C3" w:rsidRDefault="006C39D4" w:rsidP="00E200E5">
      <w:pPr>
        <w:pStyle w:val="Bulletlevel1"/>
      </w:pPr>
      <w:r w:rsidRPr="00EC12C3">
        <w:t xml:space="preserve">Scenario 3: Dedicated frequency segments for </w:t>
      </w:r>
      <w:r w:rsidR="00D87ECC" w:rsidRPr="00EC12C3">
        <w:t>multiple technologies</w:t>
      </w:r>
      <w:r w:rsidRPr="00EC12C3">
        <w:t xml:space="preserve"> but with some geographical restriction for some</w:t>
      </w:r>
      <w:r w:rsidR="00901762" w:rsidRPr="00EC12C3">
        <w:t>,</w:t>
      </w:r>
      <w:r w:rsidRPr="00EC12C3">
        <w:t xml:space="preserve"> such as remote only</w:t>
      </w:r>
      <w:r w:rsidR="00901762" w:rsidRPr="00EC12C3">
        <w:t>,</w:t>
      </w:r>
      <w:r w:rsidRPr="00EC12C3">
        <w:t xml:space="preserve"> for point-to-point services.</w:t>
      </w:r>
    </w:p>
    <w:p w14:paraId="27969825" w14:textId="48A140DE" w:rsidR="006C39D4" w:rsidRPr="005A2210" w:rsidRDefault="006C39D4" w:rsidP="00E200E5">
      <w:pPr>
        <w:pStyle w:val="Bulletlevel1"/>
      </w:pPr>
      <w:r w:rsidRPr="00EC12C3">
        <w:t>Scenario 4</w:t>
      </w:r>
      <w:r w:rsidRPr="005A2210">
        <w:t xml:space="preserve">: </w:t>
      </w:r>
      <w:r w:rsidR="007A757A" w:rsidRPr="005A2210">
        <w:t xml:space="preserve">Sharing of frequency segments by multiple </w:t>
      </w:r>
      <w:r w:rsidR="00D87ECC" w:rsidRPr="005A2210">
        <w:t>technologies</w:t>
      </w:r>
      <w:r w:rsidR="007A757A" w:rsidRPr="005A2210">
        <w:t>.</w:t>
      </w:r>
    </w:p>
    <w:p w14:paraId="36255F9C" w14:textId="3CEE8175" w:rsidR="007A757A" w:rsidRPr="005A2210" w:rsidRDefault="007A757A" w:rsidP="00E200E5">
      <w:pPr>
        <w:pStyle w:val="ListBulletLast"/>
      </w:pPr>
      <w:r w:rsidRPr="005A2210">
        <w:t>Scenario 5: Hybrid approaches of the other scenarios involving geographic restriction but some sharing.</w:t>
      </w:r>
    </w:p>
    <w:p w14:paraId="7C502ED3" w14:textId="7957B347" w:rsidR="00613A6C" w:rsidRPr="007D0E2E" w:rsidRDefault="00613A6C" w:rsidP="00E200E5">
      <w:pPr>
        <w:pStyle w:val="Paragraph"/>
      </w:pPr>
      <w:r>
        <w:t xml:space="preserve">While </w:t>
      </w:r>
      <w:r w:rsidR="004B124D">
        <w:t>we have</w:t>
      </w:r>
      <w:r>
        <w:t xml:space="preserve"> yet to form any views on preferred long-term arrangements</w:t>
      </w:r>
      <w:r w:rsidR="00F159D9">
        <w:t xml:space="preserve"> </w:t>
      </w:r>
      <w:r w:rsidR="00A77289">
        <w:t>in the band</w:t>
      </w:r>
      <w:r w:rsidR="00A77289" w:rsidDel="00551084">
        <w:t xml:space="preserve">, </w:t>
      </w:r>
      <w:r>
        <w:t xml:space="preserve">these scenarios </w:t>
      </w:r>
      <w:r w:rsidR="009C1EA2">
        <w:t>are intended to promote a discussion about the</w:t>
      </w:r>
      <w:r>
        <w:t xml:space="preserve"> </w:t>
      </w:r>
      <w:r w:rsidR="00B924F5">
        <w:t>relevant issues to inform the future of the band.</w:t>
      </w:r>
    </w:p>
    <w:p w14:paraId="4D9C9986" w14:textId="55771ACD" w:rsidR="00613A6C" w:rsidRDefault="00613A6C" w:rsidP="00613A6C">
      <w:pPr>
        <w:rPr>
          <w:rFonts w:cs="Arial"/>
        </w:rPr>
      </w:pPr>
      <w:bookmarkStart w:id="5" w:name="_Hlk84867908"/>
      <w:bookmarkStart w:id="6" w:name="_Hlk85198734"/>
      <w:r>
        <w:rPr>
          <w:rFonts w:cs="Arial"/>
        </w:rPr>
        <w:t xml:space="preserve">Submissions to this discussion paper will help </w:t>
      </w:r>
      <w:r w:rsidR="004B124D">
        <w:rPr>
          <w:rFonts w:cs="Arial"/>
        </w:rPr>
        <w:t xml:space="preserve">us assess </w:t>
      </w:r>
      <w:r>
        <w:rPr>
          <w:rFonts w:cs="Arial"/>
        </w:rPr>
        <w:t xml:space="preserve">whether there is a case for </w:t>
      </w:r>
      <w:r w:rsidR="00B924F5">
        <w:rPr>
          <w:rFonts w:cs="Arial"/>
        </w:rPr>
        <w:t xml:space="preserve">potentially changing </w:t>
      </w:r>
      <w:r>
        <w:rPr>
          <w:rFonts w:cs="Arial"/>
        </w:rPr>
        <w:t xml:space="preserve">arrangements in the </w:t>
      </w:r>
      <w:r w:rsidR="000332A7">
        <w:rPr>
          <w:rFonts w:cs="Arial"/>
        </w:rPr>
        <w:t>1.9 G</w:t>
      </w:r>
      <w:r>
        <w:rPr>
          <w:rFonts w:cs="Arial"/>
        </w:rPr>
        <w:t>Hz band, including whether to progress the band to th</w:t>
      </w:r>
      <w:r w:rsidRPr="003F4B36">
        <w:rPr>
          <w:rFonts w:cs="Arial"/>
        </w:rPr>
        <w:t xml:space="preserve">e </w:t>
      </w:r>
      <w:r w:rsidR="003F4B36" w:rsidRPr="001F08F2">
        <w:rPr>
          <w:rFonts w:cs="Arial"/>
        </w:rPr>
        <w:t>‘p</w:t>
      </w:r>
      <w:r w:rsidRPr="001E65C3">
        <w:rPr>
          <w:rFonts w:cs="Arial"/>
        </w:rPr>
        <w:t xml:space="preserve">reliminary </w:t>
      </w:r>
      <w:r w:rsidR="003F4B36" w:rsidRPr="001F08F2">
        <w:rPr>
          <w:rFonts w:cs="Arial"/>
        </w:rPr>
        <w:t>r</w:t>
      </w:r>
      <w:r w:rsidRPr="001E65C3">
        <w:rPr>
          <w:rFonts w:cs="Arial"/>
        </w:rPr>
        <w:t>eplanning</w:t>
      </w:r>
      <w:r w:rsidR="003F4B36" w:rsidRPr="001E65C3">
        <w:rPr>
          <w:rFonts w:cs="Arial"/>
        </w:rPr>
        <w:t>’</w:t>
      </w:r>
      <w:r>
        <w:rPr>
          <w:rFonts w:cs="Arial"/>
        </w:rPr>
        <w:t xml:space="preserve"> stage of the ACMA replanning process. If progressed, </w:t>
      </w:r>
      <w:r w:rsidR="00B07943">
        <w:rPr>
          <w:rFonts w:cs="Arial"/>
        </w:rPr>
        <w:t xml:space="preserve">we will consult on </w:t>
      </w:r>
      <w:r>
        <w:rPr>
          <w:rFonts w:cs="Arial"/>
        </w:rPr>
        <w:t xml:space="preserve">detailed planning options for the band before any regulatory decisions are </w:t>
      </w:r>
      <w:r w:rsidR="001241AF">
        <w:rPr>
          <w:rFonts w:cs="Arial"/>
        </w:rPr>
        <w:t>made</w:t>
      </w:r>
      <w:r>
        <w:rPr>
          <w:rFonts w:cs="Arial"/>
        </w:rPr>
        <w:t>.</w:t>
      </w:r>
    </w:p>
    <w:p w14:paraId="7D16A018" w14:textId="287C20FD" w:rsidR="00715722" w:rsidRPr="00023A36" w:rsidRDefault="00715722" w:rsidP="00715722">
      <w:pPr>
        <w:pStyle w:val="Heading1"/>
      </w:pPr>
      <w:bookmarkStart w:id="7" w:name="_Toc87534269"/>
      <w:bookmarkEnd w:id="5"/>
      <w:bookmarkEnd w:id="6"/>
      <w:r>
        <w:lastRenderedPageBreak/>
        <w:t>Issue</w:t>
      </w:r>
      <w:r w:rsidRPr="003253EE">
        <w:t>s</w:t>
      </w:r>
      <w:r w:rsidRPr="00023A36">
        <w:t xml:space="preserve"> for comment</w:t>
      </w:r>
      <w:bookmarkEnd w:id="2"/>
      <w:bookmarkEnd w:id="7"/>
    </w:p>
    <w:p w14:paraId="51DD4E81" w14:textId="25117EC5" w:rsidR="00A759D8" w:rsidRPr="001F08F2" w:rsidRDefault="00A759D8" w:rsidP="00E200E5">
      <w:pPr>
        <w:pStyle w:val="Paragraphbeforelist"/>
      </w:pPr>
      <w:r>
        <w:t xml:space="preserve">We welcome comments – general or specific – from interested stakeholders on any of </w:t>
      </w:r>
      <w:r w:rsidRPr="001F08F2">
        <w:t xml:space="preserve">the issues raised in this paper. </w:t>
      </w:r>
      <w:r w:rsidR="00145062">
        <w:t xml:space="preserve">Questions appear in relevant sections throughout the paper and are summarised here. </w:t>
      </w:r>
      <w:r w:rsidRPr="001F08F2">
        <w:t>We specifically invite comments on:</w:t>
      </w:r>
    </w:p>
    <w:p w14:paraId="00CAE39C" w14:textId="004B8D59" w:rsidR="006853F4" w:rsidRPr="001F08F2" w:rsidRDefault="00145062" w:rsidP="006853F4">
      <w:pPr>
        <w:pStyle w:val="Numberlistlevel1"/>
        <w:numPr>
          <w:ilvl w:val="0"/>
          <w:numId w:val="27"/>
        </w:numPr>
        <w:ind w:left="360"/>
      </w:pPr>
      <w:r>
        <w:t>What is t</w:t>
      </w:r>
      <w:r w:rsidR="006853F4" w:rsidRPr="001F08F2">
        <w:t xml:space="preserve">he relevance of </w:t>
      </w:r>
      <w:r w:rsidR="00BE1E8A" w:rsidRPr="001F08F2">
        <w:t xml:space="preserve">the </w:t>
      </w:r>
      <w:r w:rsidR="006853F4" w:rsidRPr="001F08F2">
        <w:t>Personal Handy</w:t>
      </w:r>
      <w:r w:rsidR="00FE7E0B" w:rsidRPr="001F08F2">
        <w:t>-p</w:t>
      </w:r>
      <w:r w:rsidR="006853F4" w:rsidRPr="001F08F2">
        <w:t>hone System (PHS</w:t>
      </w:r>
      <w:r w:rsidR="00E200E5">
        <w:t xml:space="preserve">) </w:t>
      </w:r>
      <w:r w:rsidR="00A07160" w:rsidRPr="001F08F2">
        <w:t xml:space="preserve">and </w:t>
      </w:r>
      <w:r>
        <w:t>should</w:t>
      </w:r>
      <w:r w:rsidRPr="001F08F2">
        <w:t xml:space="preserve"> </w:t>
      </w:r>
      <w:r w:rsidR="00A07160" w:rsidRPr="001F08F2">
        <w:t xml:space="preserve">this </w:t>
      </w:r>
      <w:r w:rsidR="00312FA4" w:rsidRPr="001F08F2">
        <w:rPr>
          <w:rFonts w:cs="Arial"/>
        </w:rPr>
        <w:t>use</w:t>
      </w:r>
      <w:r w:rsidR="00A07160" w:rsidRPr="001F08F2">
        <w:rPr>
          <w:rFonts w:cs="Arial"/>
        </w:rPr>
        <w:t xml:space="preserve"> </w:t>
      </w:r>
      <w:r w:rsidR="00312FA4" w:rsidRPr="001F08F2">
        <w:rPr>
          <w:rFonts w:cs="Arial"/>
        </w:rPr>
        <w:t>be retained</w:t>
      </w:r>
      <w:r>
        <w:t>?</w:t>
      </w:r>
    </w:p>
    <w:p w14:paraId="7CCF20CC" w14:textId="0C443DAC" w:rsidR="00B71522" w:rsidRPr="001F08F2" w:rsidRDefault="00145062" w:rsidP="006853F4">
      <w:pPr>
        <w:pStyle w:val="Numberlistlevel1"/>
        <w:numPr>
          <w:ilvl w:val="0"/>
          <w:numId w:val="27"/>
        </w:numPr>
        <w:ind w:left="360"/>
      </w:pPr>
      <w:r>
        <w:t>What is the i</w:t>
      </w:r>
      <w:r w:rsidR="00B71522" w:rsidRPr="001F08F2">
        <w:t>nterest</w:t>
      </w:r>
      <w:r w:rsidR="00B71522" w:rsidRPr="001F08F2" w:rsidDel="00A07160">
        <w:t xml:space="preserve"> </w:t>
      </w:r>
      <w:r w:rsidR="00B71522" w:rsidRPr="001F08F2">
        <w:t xml:space="preserve">in </w:t>
      </w:r>
      <w:r w:rsidR="00DA3246" w:rsidRPr="001F08F2">
        <w:t xml:space="preserve">the </w:t>
      </w:r>
      <w:r w:rsidR="00B71522" w:rsidRPr="001F08F2">
        <w:t>us</w:t>
      </w:r>
      <w:r w:rsidR="00A07160" w:rsidRPr="001F08F2">
        <w:t xml:space="preserve">e of </w:t>
      </w:r>
      <w:r w:rsidR="00E66F72" w:rsidRPr="00E200E5">
        <w:rPr>
          <w:iCs/>
        </w:rPr>
        <w:t>new</w:t>
      </w:r>
      <w:r w:rsidR="00B71522" w:rsidRPr="00E200E5">
        <w:rPr>
          <w:iCs/>
        </w:rPr>
        <w:t xml:space="preserve"> </w:t>
      </w:r>
      <w:r w:rsidR="00E66F72" w:rsidRPr="00E200E5">
        <w:rPr>
          <w:iCs/>
        </w:rPr>
        <w:t>technologies</w:t>
      </w:r>
      <w:r w:rsidR="00E66F72" w:rsidRPr="001F08F2">
        <w:t xml:space="preserve"> </w:t>
      </w:r>
      <w:r w:rsidR="00B71522" w:rsidRPr="001F08F2">
        <w:t>to provide a service</w:t>
      </w:r>
      <w:r>
        <w:t>?</w:t>
      </w:r>
    </w:p>
    <w:p w14:paraId="7F779551" w14:textId="77777777" w:rsidR="00B71522" w:rsidRPr="001F08F2" w:rsidRDefault="00B71522" w:rsidP="00285E8F">
      <w:pPr>
        <w:pStyle w:val="Numberlistlevel1"/>
        <w:numPr>
          <w:ilvl w:val="0"/>
          <w:numId w:val="43"/>
        </w:numPr>
        <w:rPr>
          <w:rFonts w:cs="Arial"/>
        </w:rPr>
      </w:pPr>
      <w:r w:rsidRPr="001F08F2">
        <w:rPr>
          <w:rFonts w:cs="Arial"/>
        </w:rPr>
        <w:t>How much spectrum is required to provide the service?</w:t>
      </w:r>
    </w:p>
    <w:p w14:paraId="29A84BD3" w14:textId="77777777" w:rsidR="00B71522" w:rsidRPr="001F08F2" w:rsidRDefault="00B71522" w:rsidP="00285E8F">
      <w:pPr>
        <w:pStyle w:val="Numberlistlevel1"/>
        <w:numPr>
          <w:ilvl w:val="0"/>
          <w:numId w:val="43"/>
        </w:numPr>
        <w:rPr>
          <w:rFonts w:cs="Arial"/>
        </w:rPr>
      </w:pPr>
      <w:r w:rsidRPr="001F08F2">
        <w:rPr>
          <w:rFonts w:cs="Arial"/>
        </w:rPr>
        <w:t>What interservice considerations need to be undertaken for the service to be deployed?</w:t>
      </w:r>
    </w:p>
    <w:p w14:paraId="511E9274" w14:textId="06171DEB" w:rsidR="00B71522" w:rsidRPr="001F08F2" w:rsidRDefault="00B71522">
      <w:pPr>
        <w:pStyle w:val="Numberlistlevel1"/>
        <w:numPr>
          <w:ilvl w:val="0"/>
          <w:numId w:val="43"/>
        </w:numPr>
        <w:rPr>
          <w:rFonts w:cs="Arial"/>
        </w:rPr>
      </w:pPr>
      <w:r w:rsidRPr="001F08F2">
        <w:rPr>
          <w:rFonts w:cs="Arial"/>
        </w:rPr>
        <w:t>What are the deployment scenarios for the service?</w:t>
      </w:r>
    </w:p>
    <w:p w14:paraId="7406F7C6" w14:textId="6A2FC621" w:rsidR="00145062" w:rsidRDefault="00145062" w:rsidP="00285E8F">
      <w:pPr>
        <w:pStyle w:val="Numberlistlevel1"/>
        <w:numPr>
          <w:ilvl w:val="0"/>
          <w:numId w:val="27"/>
        </w:numPr>
        <w:ind w:left="360"/>
      </w:pPr>
      <w:r w:rsidRPr="00145062">
        <w:t>Are services still using DECT or are they transitioning to DECT-2020 NR?</w:t>
      </w:r>
    </w:p>
    <w:p w14:paraId="3FE36E4D" w14:textId="35709583" w:rsidR="00832A16" w:rsidRPr="001F08F2" w:rsidRDefault="00CB6924" w:rsidP="00285E8F">
      <w:pPr>
        <w:pStyle w:val="Numberlistlevel1"/>
        <w:numPr>
          <w:ilvl w:val="0"/>
          <w:numId w:val="27"/>
        </w:numPr>
        <w:ind w:left="360"/>
      </w:pPr>
      <w:r w:rsidRPr="001F08F2">
        <w:t>A</w:t>
      </w:r>
      <w:r w:rsidR="00145062">
        <w:t>re there a</w:t>
      </w:r>
      <w:r w:rsidR="00A07160" w:rsidRPr="001F08F2">
        <w:t>ny</w:t>
      </w:r>
      <w:r w:rsidRPr="001F08F2" w:rsidDel="004819E2">
        <w:t xml:space="preserve"> </w:t>
      </w:r>
      <w:r w:rsidRPr="001F08F2">
        <w:t>applicable coexistence scenarios not identified</w:t>
      </w:r>
      <w:r w:rsidR="00145062">
        <w:t>?</w:t>
      </w:r>
      <w:r w:rsidR="00145062" w:rsidRPr="001F08F2">
        <w:t xml:space="preserve"> </w:t>
      </w:r>
      <w:r w:rsidRPr="001F08F2">
        <w:t xml:space="preserve">Are there any </w:t>
      </w:r>
      <w:r w:rsidR="00145062">
        <w:t xml:space="preserve">scenarios </w:t>
      </w:r>
      <w:r w:rsidRPr="001F08F2">
        <w:t>that are unlikely to be practically achievable (and hence the associated planning scenario should be discounted)</w:t>
      </w:r>
      <w:r w:rsidR="004819E2" w:rsidRPr="001F08F2">
        <w:t>, or are</w:t>
      </w:r>
      <w:r w:rsidRPr="001F08F2">
        <w:t xml:space="preserve"> there any that are readily achieved? </w:t>
      </w:r>
    </w:p>
    <w:p w14:paraId="070DDA86" w14:textId="053BE907" w:rsidR="00866939" w:rsidRPr="001F08F2" w:rsidRDefault="00145062" w:rsidP="005A2210">
      <w:pPr>
        <w:pStyle w:val="Numberlistlevel1"/>
        <w:numPr>
          <w:ilvl w:val="0"/>
          <w:numId w:val="27"/>
        </w:numPr>
        <w:ind w:left="360"/>
      </w:pPr>
      <w:r>
        <w:t>What are</w:t>
      </w:r>
      <w:r w:rsidRPr="001F08F2">
        <w:t xml:space="preserve"> </w:t>
      </w:r>
      <w:r w:rsidR="00866939" w:rsidRPr="001F08F2">
        <w:t xml:space="preserve">possible planning scenarios and industry views on </w:t>
      </w:r>
      <w:r w:rsidR="00866939" w:rsidRPr="001241AF">
        <w:t xml:space="preserve">the </w:t>
      </w:r>
      <w:r w:rsidR="00866939" w:rsidRPr="00E200E5">
        <w:t>overall future</w:t>
      </w:r>
      <w:r w:rsidR="00866939" w:rsidRPr="001241AF">
        <w:t xml:space="preserve"> </w:t>
      </w:r>
      <w:r w:rsidR="00866939" w:rsidRPr="00E200E5">
        <w:t>use</w:t>
      </w:r>
      <w:r w:rsidR="00866939" w:rsidRPr="001F08F2">
        <w:t xml:space="preserve"> of the 1.9 GHz band and its services</w:t>
      </w:r>
      <w:r w:rsidR="00B07943" w:rsidRPr="001F08F2">
        <w:t>:</w:t>
      </w:r>
    </w:p>
    <w:p w14:paraId="3984FD87" w14:textId="692C070C" w:rsidR="00866939" w:rsidRPr="001F08F2" w:rsidRDefault="00866939" w:rsidP="007F1162">
      <w:pPr>
        <w:pStyle w:val="Numberlistlevel1"/>
        <w:numPr>
          <w:ilvl w:val="0"/>
          <w:numId w:val="56"/>
        </w:numPr>
        <w:ind w:left="720"/>
      </w:pPr>
      <w:r w:rsidRPr="001F08F2">
        <w:t>How much spectrum is required (distinguishing between the minimum viable and desirable) to provide the service?</w:t>
      </w:r>
    </w:p>
    <w:p w14:paraId="7A251B5B" w14:textId="24242998" w:rsidR="00866939" w:rsidRPr="001F08F2" w:rsidRDefault="00866939" w:rsidP="00E200E5">
      <w:pPr>
        <w:pStyle w:val="Numberlistlevel1"/>
        <w:numPr>
          <w:ilvl w:val="0"/>
          <w:numId w:val="56"/>
        </w:numPr>
        <w:ind w:left="720"/>
      </w:pPr>
      <w:r w:rsidRPr="001F08F2">
        <w:t>Is there a clear geographical delineation</w:t>
      </w:r>
      <w:r w:rsidR="00B07943" w:rsidRPr="001F08F2">
        <w:t xml:space="preserve"> – </w:t>
      </w:r>
      <w:r w:rsidRPr="001F08F2">
        <w:t>for example, metropolitan or regional</w:t>
      </w:r>
      <w:r w:rsidR="00B07943" w:rsidRPr="001F08F2">
        <w:t xml:space="preserve"> – </w:t>
      </w:r>
      <w:r w:rsidRPr="001F08F2">
        <w:t>for the service?</w:t>
      </w:r>
    </w:p>
    <w:p w14:paraId="7C977781" w14:textId="1A5C74FA" w:rsidR="00866939" w:rsidRPr="001F08F2" w:rsidRDefault="00866939" w:rsidP="007F1162">
      <w:pPr>
        <w:pStyle w:val="Numberlistlevel1"/>
        <w:numPr>
          <w:ilvl w:val="0"/>
          <w:numId w:val="56"/>
        </w:numPr>
        <w:ind w:left="720"/>
      </w:pPr>
      <w:r w:rsidRPr="001F08F2">
        <w:t xml:space="preserve">Is there or will there be </w:t>
      </w:r>
      <w:r w:rsidR="00145062" w:rsidRPr="001F08F2">
        <w:t xml:space="preserve">equipment </w:t>
      </w:r>
      <w:r w:rsidRPr="001F08F2">
        <w:t>readily available for the service?</w:t>
      </w:r>
    </w:p>
    <w:p w14:paraId="4B42EDA2" w14:textId="51AD7C4D" w:rsidR="005E250B" w:rsidRPr="00C35CCE" w:rsidRDefault="007F0E93" w:rsidP="002C0530">
      <w:pPr>
        <w:pStyle w:val="Heading1"/>
      </w:pPr>
      <w:bookmarkStart w:id="8" w:name="_Toc87534270"/>
      <w:r>
        <w:lastRenderedPageBreak/>
        <w:t>Introduction</w:t>
      </w:r>
      <w:bookmarkEnd w:id="8"/>
    </w:p>
    <w:p w14:paraId="7D3F89AD" w14:textId="77777777" w:rsidR="00613A6C" w:rsidRDefault="00613A6C" w:rsidP="00285E8F">
      <w:pPr>
        <w:pStyle w:val="Heading2"/>
      </w:pPr>
      <w:bookmarkStart w:id="9" w:name="_Toc87534271"/>
      <w:bookmarkStart w:id="10" w:name="_Hlk26868779"/>
      <w:r>
        <w:t>Purpose</w:t>
      </w:r>
      <w:bookmarkEnd w:id="9"/>
    </w:p>
    <w:p w14:paraId="053E091B" w14:textId="68005C9B" w:rsidR="002B53E6" w:rsidRDefault="002B53E6" w:rsidP="007F1162">
      <w:pPr>
        <w:pStyle w:val="Paragraph"/>
      </w:pPr>
      <w:r>
        <w:t>In Australia, the 1880</w:t>
      </w:r>
      <w:r w:rsidR="00CE6972">
        <w:t>–</w:t>
      </w:r>
      <w:r>
        <w:t>1920 MHz band (</w:t>
      </w:r>
      <w:r w:rsidR="00CE6972">
        <w:t xml:space="preserve">referred to as </w:t>
      </w:r>
      <w:r>
        <w:t xml:space="preserve">the 1.9 GHz band) is currently used by a mixture of services and applications, </w:t>
      </w:r>
      <w:r w:rsidR="0019493F">
        <w:t>including</w:t>
      </w:r>
      <w:r>
        <w:t xml:space="preserve"> cordless telecommunications services, point-to-multipoint services, and point-to-point services.</w:t>
      </w:r>
    </w:p>
    <w:p w14:paraId="671A2BB1" w14:textId="67182C7E" w:rsidR="00387D89" w:rsidRPr="004E4488" w:rsidRDefault="004E4488" w:rsidP="00EC12C3">
      <w:pPr>
        <w:pStyle w:val="Paragraph"/>
      </w:pPr>
      <w:r w:rsidRPr="004E4488">
        <w:t>The</w:t>
      </w:r>
      <w:r w:rsidR="00533056">
        <w:t>re has been interest in Australia in a range of new technology developments</w:t>
      </w:r>
      <w:r w:rsidR="00F20EDE">
        <w:t>,</w:t>
      </w:r>
      <w:r w:rsidR="00533056">
        <w:t xml:space="preserve"> including</w:t>
      </w:r>
      <w:r w:rsidRPr="004E4488">
        <w:t xml:space="preserve"> </w:t>
      </w:r>
      <w:r w:rsidR="00533056">
        <w:t xml:space="preserve">improved </w:t>
      </w:r>
      <w:bookmarkStart w:id="11" w:name="_Hlk85088007"/>
      <w:r w:rsidR="00FE7E0B">
        <w:t>d</w:t>
      </w:r>
      <w:r w:rsidRPr="004E4488">
        <w:t xml:space="preserve">igital </w:t>
      </w:r>
      <w:r w:rsidR="00FE7E0B">
        <w:t>e</w:t>
      </w:r>
      <w:r w:rsidRPr="004E4488">
        <w:t xml:space="preserve">nhanced </w:t>
      </w:r>
      <w:r w:rsidR="00FE7E0B">
        <w:t>c</w:t>
      </w:r>
      <w:r w:rsidRPr="004E4488">
        <w:t xml:space="preserve">ordless </w:t>
      </w:r>
      <w:r w:rsidR="00FE7E0B">
        <w:t>t</w:t>
      </w:r>
      <w:r w:rsidRPr="004E4488">
        <w:t xml:space="preserve">elecommunications </w:t>
      </w:r>
      <w:bookmarkEnd w:id="11"/>
      <w:r w:rsidRPr="004E4488">
        <w:t xml:space="preserve">(DECT), </w:t>
      </w:r>
      <w:r w:rsidR="0067700C">
        <w:t>MulteFire</w:t>
      </w:r>
      <w:r w:rsidR="00533056">
        <w:t xml:space="preserve"> and the</w:t>
      </w:r>
      <w:r w:rsidRPr="004E4488">
        <w:t xml:space="preserve"> Future Railway Mobile Communication Systems (FMRCS</w:t>
      </w:r>
      <w:r w:rsidR="00533056">
        <w:t>). In addition</w:t>
      </w:r>
      <w:r w:rsidR="005E36A6">
        <w:t>,</w:t>
      </w:r>
      <w:r w:rsidR="00533056">
        <w:t xml:space="preserve"> there is </w:t>
      </w:r>
      <w:r w:rsidR="005E36A6">
        <w:t>interest</w:t>
      </w:r>
      <w:r w:rsidR="00533056">
        <w:t xml:space="preserve"> in </w:t>
      </w:r>
      <w:r w:rsidR="00436DBD" w:rsidRPr="001708B4">
        <w:t>accessing more apparatus</w:t>
      </w:r>
      <w:r w:rsidR="00F20EDE">
        <w:t>-</w:t>
      </w:r>
      <w:r w:rsidR="00436DBD" w:rsidRPr="001708B4">
        <w:t xml:space="preserve">licensed spectrum for </w:t>
      </w:r>
      <w:r w:rsidR="00436DBD">
        <w:t xml:space="preserve">local area </w:t>
      </w:r>
      <w:r w:rsidR="00436DBD" w:rsidRPr="001708B4">
        <w:t>fixed and mobile wireless broadband services</w:t>
      </w:r>
      <w:r w:rsidR="005E36A6">
        <w:t xml:space="preserve">. </w:t>
      </w:r>
      <w:r w:rsidR="000A6708">
        <w:t>Consequently, the</w:t>
      </w:r>
      <w:r w:rsidR="00A77289">
        <w:t xml:space="preserve"> </w:t>
      </w:r>
      <w:r w:rsidR="002D5AE7" w:rsidDel="00A77289">
        <w:t xml:space="preserve">ACMA </w:t>
      </w:r>
      <w:r w:rsidR="00A77289">
        <w:t>is</w:t>
      </w:r>
      <w:r w:rsidR="002D5AE7">
        <w:t xml:space="preserve"> review</w:t>
      </w:r>
      <w:r w:rsidR="00A77289">
        <w:t>ing</w:t>
      </w:r>
      <w:r w:rsidR="002D5AE7">
        <w:t xml:space="preserve"> the current arrangements in this band</w:t>
      </w:r>
      <w:r w:rsidR="00A77289">
        <w:t xml:space="preserve"> to identify the </w:t>
      </w:r>
      <w:r w:rsidR="00A77289" w:rsidRPr="00A74C64">
        <w:t>uses</w:t>
      </w:r>
      <w:r w:rsidR="00A77289" w:rsidRPr="00A74C64" w:rsidDel="00551084">
        <w:t xml:space="preserve"> </w:t>
      </w:r>
      <w:r w:rsidR="00A77289" w:rsidRPr="00A74C64">
        <w:t>that best promote the long-term public interest derive</w:t>
      </w:r>
      <w:r w:rsidR="00A77289">
        <w:t>d</w:t>
      </w:r>
      <w:r w:rsidR="00A77289" w:rsidRPr="00A74C64">
        <w:t xml:space="preserve"> from use of the spectrum. </w:t>
      </w:r>
    </w:p>
    <w:p w14:paraId="70737C7A" w14:textId="61785074" w:rsidR="005E250B" w:rsidDel="00EE18CE" w:rsidRDefault="007F0E93" w:rsidP="00EC12C3">
      <w:pPr>
        <w:pStyle w:val="Heading2"/>
      </w:pPr>
      <w:bookmarkStart w:id="12" w:name="_Toc87534272"/>
      <w:bookmarkEnd w:id="10"/>
      <w:r w:rsidDel="00EE18CE">
        <w:t>Scope</w:t>
      </w:r>
      <w:bookmarkEnd w:id="12"/>
    </w:p>
    <w:p w14:paraId="141700AE" w14:textId="778FB4B1" w:rsidR="00DD2F26" w:rsidDel="00EE18CE" w:rsidRDefault="00DD2F26" w:rsidP="00E200E5">
      <w:pPr>
        <w:pStyle w:val="Paragraph"/>
      </w:pPr>
      <w:r w:rsidDel="00EE18CE">
        <w:t xml:space="preserve">The paper </w:t>
      </w:r>
      <w:r w:rsidR="0019493F" w:rsidDel="00EE18CE">
        <w:t xml:space="preserve">considers </w:t>
      </w:r>
      <w:r w:rsidR="009717A0" w:rsidDel="00EE18CE">
        <w:t>the</w:t>
      </w:r>
      <w:r w:rsidDel="00EE18CE">
        <w:t xml:space="preserve"> future use of the 1</w:t>
      </w:r>
      <w:r w:rsidR="009717A0" w:rsidDel="00EE18CE">
        <w:t>.</w:t>
      </w:r>
      <w:r w:rsidDel="00EE18CE">
        <w:t xml:space="preserve">9 </w:t>
      </w:r>
      <w:r w:rsidR="009717A0" w:rsidDel="00EE18CE">
        <w:t>G</w:t>
      </w:r>
      <w:r w:rsidDel="00EE18CE">
        <w:t xml:space="preserve">Hz band. </w:t>
      </w:r>
      <w:r w:rsidR="007F1162">
        <w:t>While this paper outlines scenarios for feedback</w:t>
      </w:r>
      <w:r w:rsidR="00F20EDE">
        <w:t>,</w:t>
      </w:r>
      <w:r w:rsidR="007F1162">
        <w:t xml:space="preserve"> it does not propose any particular planning option. Feedback to this discussion paper will inform</w:t>
      </w:r>
      <w:r w:rsidDel="00EE18CE">
        <w:t xml:space="preserve"> </w:t>
      </w:r>
      <w:r w:rsidR="00F20EDE">
        <w:t xml:space="preserve">our </w:t>
      </w:r>
      <w:r w:rsidR="007F1162">
        <w:t>consideration of next steps</w:t>
      </w:r>
      <w:r w:rsidR="00F20EDE">
        <w:t>,</w:t>
      </w:r>
      <w:r w:rsidR="007F1162">
        <w:t xml:space="preserve"> including whether there is a case to change</w:t>
      </w:r>
      <w:r w:rsidDel="00EE18CE">
        <w:t xml:space="preserve"> arrangements in the band</w:t>
      </w:r>
      <w:r w:rsidR="007F1162">
        <w:t>.</w:t>
      </w:r>
      <w:r w:rsidDel="00EE18CE">
        <w:t xml:space="preserve"> If so, </w:t>
      </w:r>
      <w:r w:rsidR="00F20EDE">
        <w:t xml:space="preserve">we </w:t>
      </w:r>
      <w:r w:rsidDel="00EE18CE">
        <w:t>will consult fully on possible replanning options before any changes are made to planning and access arrangements in the band.</w:t>
      </w:r>
    </w:p>
    <w:p w14:paraId="3D80D218" w14:textId="77777777" w:rsidR="00613A6C" w:rsidRDefault="00613A6C" w:rsidP="00613A6C">
      <w:pPr>
        <w:pStyle w:val="Heading2"/>
      </w:pPr>
      <w:bookmarkStart w:id="13" w:name="_Toc16064481"/>
      <w:bookmarkStart w:id="14" w:name="_Toc87534273"/>
      <w:r>
        <w:t>Legislative and policy environment</w:t>
      </w:r>
      <w:bookmarkEnd w:id="13"/>
      <w:bookmarkEnd w:id="14"/>
    </w:p>
    <w:p w14:paraId="18460FEF" w14:textId="77777777" w:rsidR="002321A1" w:rsidRDefault="002321A1" w:rsidP="002321A1">
      <w:pPr>
        <w:ind w:right="16"/>
      </w:pPr>
      <w:r>
        <w:t>Managing spectrum efficiently and effectively for the benefit of all Australians is a key priority for the ACMA.</w:t>
      </w:r>
      <w:r>
        <w:rPr>
          <w:vertAlign w:val="superscript"/>
        </w:rPr>
        <w:footnoteReference w:id="3"/>
      </w:r>
      <w:r>
        <w:t xml:space="preserve"> </w:t>
      </w:r>
    </w:p>
    <w:p w14:paraId="52DE083C" w14:textId="77777777" w:rsidR="002321A1" w:rsidRDefault="002321A1" w:rsidP="002321A1">
      <w:pPr>
        <w:pStyle w:val="Heading3"/>
        <w:ind w:right="16"/>
      </w:pPr>
      <w:bookmarkStart w:id="15" w:name="_Ref78198576"/>
      <w:r>
        <w:t>Guiding legislation and policy</w:t>
      </w:r>
      <w:bookmarkEnd w:id="15"/>
      <w:r>
        <w:tab/>
      </w:r>
    </w:p>
    <w:p w14:paraId="2AEEB96B" w14:textId="4F58D495" w:rsidR="002321A1" w:rsidRDefault="002321A1" w:rsidP="00E200E5">
      <w:pPr>
        <w:pStyle w:val="Paragraphbeforelist"/>
      </w:pPr>
      <w:r>
        <w:t xml:space="preserve">The ACMA’s decisions are guided by the object of the </w:t>
      </w:r>
      <w:hyperlink r:id="rId32" w:history="1">
        <w:r w:rsidRPr="00A96E34">
          <w:rPr>
            <w:rStyle w:val="Hyperlink"/>
            <w:i/>
          </w:rPr>
          <w:t>Radiocommunications Act 1992</w:t>
        </w:r>
      </w:hyperlink>
      <w:r>
        <w:t xml:space="preserve"> (the Act) to promote the long</w:t>
      </w:r>
      <w:r>
        <w:rPr>
          <w:rFonts w:ascii="Cambria Math" w:hAnsi="Cambria Math" w:cs="Cambria Math"/>
        </w:rPr>
        <w:noBreakHyphen/>
      </w:r>
      <w:r>
        <w:t>term public interest derived from the use of the spectrum by manag</w:t>
      </w:r>
      <w:r w:rsidR="00F20EDE">
        <w:t xml:space="preserve">ing </w:t>
      </w:r>
      <w:r>
        <w:t>the spectrum in a manner that:</w:t>
      </w:r>
    </w:p>
    <w:p w14:paraId="234C0C9F" w14:textId="1DE035DE" w:rsidR="002321A1" w:rsidRDefault="002321A1" w:rsidP="00E200E5">
      <w:pPr>
        <w:pStyle w:val="ListParagraph"/>
        <w:numPr>
          <w:ilvl w:val="0"/>
          <w:numId w:val="46"/>
        </w:numPr>
        <w:spacing w:after="80"/>
        <w:ind w:right="17" w:hanging="357"/>
        <w:contextualSpacing w:val="0"/>
        <w:rPr>
          <w:rFonts w:cs="Arial"/>
          <w:szCs w:val="20"/>
        </w:rPr>
      </w:pPr>
      <w:r>
        <w:rPr>
          <w:rFonts w:cs="Arial"/>
          <w:szCs w:val="20"/>
        </w:rPr>
        <w:t>facilitates the efficient planning, allocation and use of the spectrum</w:t>
      </w:r>
    </w:p>
    <w:p w14:paraId="378D05EE" w14:textId="77777777" w:rsidR="002321A1" w:rsidRDefault="002321A1" w:rsidP="00E200E5">
      <w:pPr>
        <w:pStyle w:val="ListParagraph"/>
        <w:numPr>
          <w:ilvl w:val="0"/>
          <w:numId w:val="46"/>
        </w:numPr>
        <w:spacing w:after="80"/>
        <w:ind w:right="17" w:hanging="357"/>
        <w:contextualSpacing w:val="0"/>
        <w:rPr>
          <w:rFonts w:cs="Arial"/>
          <w:szCs w:val="20"/>
        </w:rPr>
      </w:pPr>
      <w:r>
        <w:rPr>
          <w:rFonts w:cs="Arial"/>
          <w:szCs w:val="20"/>
        </w:rPr>
        <w:t>facilitates the use of the spectrum for:</w:t>
      </w:r>
    </w:p>
    <w:p w14:paraId="382950F4" w14:textId="3D7F420B" w:rsidR="002321A1" w:rsidRDefault="002321A1" w:rsidP="00E200E5">
      <w:pPr>
        <w:pStyle w:val="ListParagraph"/>
        <w:numPr>
          <w:ilvl w:val="1"/>
          <w:numId w:val="47"/>
        </w:numPr>
        <w:spacing w:after="80"/>
        <w:ind w:left="709" w:right="17" w:hanging="357"/>
        <w:contextualSpacing w:val="0"/>
        <w:rPr>
          <w:rFonts w:cs="Arial"/>
          <w:szCs w:val="20"/>
        </w:rPr>
      </w:pPr>
      <w:r>
        <w:rPr>
          <w:rFonts w:cs="Arial"/>
          <w:szCs w:val="20"/>
        </w:rPr>
        <w:t>commercial purposes</w:t>
      </w:r>
    </w:p>
    <w:p w14:paraId="24138426" w14:textId="0C23A15C" w:rsidR="002321A1" w:rsidRDefault="002321A1" w:rsidP="00E200E5">
      <w:pPr>
        <w:pStyle w:val="ListParagraph"/>
        <w:numPr>
          <w:ilvl w:val="1"/>
          <w:numId w:val="47"/>
        </w:numPr>
        <w:spacing w:after="80"/>
        <w:ind w:left="709" w:right="17" w:hanging="357"/>
        <w:contextualSpacing w:val="0"/>
        <w:rPr>
          <w:rFonts w:cs="Arial"/>
          <w:szCs w:val="20"/>
        </w:rPr>
      </w:pPr>
      <w:r>
        <w:rPr>
          <w:rFonts w:cs="Arial"/>
          <w:szCs w:val="20"/>
        </w:rPr>
        <w:t>defence, national security and other non</w:t>
      </w:r>
      <w:r>
        <w:rPr>
          <w:rFonts w:ascii="Cambria Math" w:hAnsi="Cambria Math" w:cs="Cambria Math"/>
          <w:szCs w:val="20"/>
        </w:rPr>
        <w:noBreakHyphen/>
      </w:r>
      <w:r>
        <w:rPr>
          <w:rFonts w:cs="Arial"/>
          <w:szCs w:val="20"/>
        </w:rPr>
        <w:t>commercial purposes (including public safety and community purposes)</w:t>
      </w:r>
    </w:p>
    <w:p w14:paraId="1BC161AD" w14:textId="5560717F" w:rsidR="002321A1" w:rsidRDefault="002321A1" w:rsidP="00E200E5">
      <w:pPr>
        <w:pStyle w:val="ListParagraph"/>
        <w:numPr>
          <w:ilvl w:val="0"/>
          <w:numId w:val="46"/>
        </w:numPr>
        <w:spacing w:line="276" w:lineRule="auto"/>
        <w:ind w:right="16"/>
        <w:rPr>
          <w:rFonts w:cs="Arial"/>
          <w:szCs w:val="20"/>
        </w:rPr>
      </w:pPr>
      <w:r>
        <w:rPr>
          <w:rFonts w:cs="Arial"/>
          <w:szCs w:val="20"/>
        </w:rPr>
        <w:t xml:space="preserve">supports the communications policy objectives of the </w:t>
      </w:r>
      <w:r w:rsidR="00F20EDE">
        <w:rPr>
          <w:rFonts w:cs="Arial"/>
          <w:szCs w:val="20"/>
        </w:rPr>
        <w:t xml:space="preserve">Australian </w:t>
      </w:r>
      <w:r>
        <w:rPr>
          <w:rFonts w:cs="Arial"/>
          <w:szCs w:val="20"/>
        </w:rPr>
        <w:t>Government.</w:t>
      </w:r>
    </w:p>
    <w:p w14:paraId="566F50B7" w14:textId="35655ECB" w:rsidR="002321A1" w:rsidRDefault="002321A1" w:rsidP="00E200E5">
      <w:pPr>
        <w:pStyle w:val="Paragraph"/>
      </w:pPr>
      <w:r>
        <w:t xml:space="preserve">Several communications policy objectives relevant to </w:t>
      </w:r>
      <w:r w:rsidR="00A362CF">
        <w:t xml:space="preserve">possible future </w:t>
      </w:r>
      <w:r>
        <w:t xml:space="preserve">replanning considerations in this band have been identified. </w:t>
      </w:r>
    </w:p>
    <w:p w14:paraId="3099C22F" w14:textId="3C4A1EE1" w:rsidR="002321A1" w:rsidRDefault="002321A1">
      <w:pPr>
        <w:pStyle w:val="Paragraph"/>
      </w:pPr>
      <w:r>
        <w:t xml:space="preserve">The </w:t>
      </w:r>
      <w:r w:rsidR="00E87F4F">
        <w:t>g</w:t>
      </w:r>
      <w:r>
        <w:t>overnment’s</w:t>
      </w:r>
      <w:r>
        <w:rPr>
          <w:color w:val="1F497D"/>
        </w:rPr>
        <w:t xml:space="preserve"> </w:t>
      </w:r>
      <w:hyperlink r:id="rId33" w:history="1">
        <w:r>
          <w:rPr>
            <w:rStyle w:val="Hyperlink"/>
          </w:rPr>
          <w:t>Digital Economy Strategy</w:t>
        </w:r>
      </w:hyperlink>
      <w:r>
        <w:t xml:space="preserve">, released in 2021, sets out how Australia will secure its future as a modern and leading digital economy and society by 2030. The </w:t>
      </w:r>
      <w:r w:rsidR="00F20EDE">
        <w:t>s</w:t>
      </w:r>
      <w:r>
        <w:t>trategy identified that digital infrastructure was a key enabler</w:t>
      </w:r>
      <w:r w:rsidR="00F20EDE">
        <w:t>,</w:t>
      </w:r>
      <w:r>
        <w:t xml:space="preserve"> making it possible to access the digital world. </w:t>
      </w:r>
    </w:p>
    <w:p w14:paraId="15BB5194" w14:textId="56B725BF" w:rsidR="002321A1" w:rsidRDefault="00D82479" w:rsidP="00E200E5">
      <w:pPr>
        <w:pStyle w:val="Paragraphbeforelist"/>
        <w:keepNext/>
        <w:keepLines/>
        <w:rPr>
          <w:rFonts w:ascii="Times New Roman" w:hAnsi="Times New Roman"/>
          <w:sz w:val="24"/>
          <w:lang w:val="en-US"/>
        </w:rPr>
      </w:pPr>
      <w:hyperlink r:id="rId34" w:tgtFrame="_blank" w:history="1">
        <w:r w:rsidR="002321A1">
          <w:rPr>
            <w:rStyle w:val="Hyperlink"/>
          </w:rPr>
          <w:t>Australia’s Tech Future</w:t>
        </w:r>
      </w:hyperlink>
      <w:r w:rsidR="002321A1">
        <w:t xml:space="preserve">, released in December 2018, sets out the </w:t>
      </w:r>
      <w:r w:rsidR="00E87F4F">
        <w:t>g</w:t>
      </w:r>
      <w:r w:rsidR="002321A1">
        <w:t>overnment’s strategy for Australia’s tech</w:t>
      </w:r>
      <w:r w:rsidR="006C0623">
        <w:t>nol</w:t>
      </w:r>
      <w:r w:rsidR="008641E2">
        <w:t>o</w:t>
      </w:r>
      <w:r w:rsidR="006C0623">
        <w:t>gy</w:t>
      </w:r>
      <w:r w:rsidR="002321A1">
        <w:t xml:space="preserve"> future. The strategy presents a vision that Australians have access to world-class digital infrastructure in their personal and working lives</w:t>
      </w:r>
      <w:r w:rsidR="00E87F4F">
        <w:t>,</w:t>
      </w:r>
      <w:r w:rsidR="002321A1">
        <w:t xml:space="preserve"> with the following outcomes:</w:t>
      </w:r>
      <w:r w:rsidR="002321A1">
        <w:rPr>
          <w:rFonts w:ascii="Times New Roman" w:hAnsi="Times New Roman"/>
          <w:lang w:val="en-US"/>
        </w:rPr>
        <w:t> </w:t>
      </w:r>
    </w:p>
    <w:p w14:paraId="4E355FB3" w14:textId="77777777" w:rsidR="002321A1" w:rsidRDefault="002321A1" w:rsidP="00E200E5">
      <w:pPr>
        <w:pStyle w:val="Bulletlevel1"/>
        <w:keepNext/>
        <w:keepLines/>
        <w:numPr>
          <w:ilvl w:val="0"/>
          <w:numId w:val="1"/>
        </w:numPr>
        <w:tabs>
          <w:tab w:val="clear" w:pos="295"/>
          <w:tab w:val="num" w:pos="579"/>
        </w:tabs>
        <w:rPr>
          <w:lang w:val="en-US"/>
        </w:rPr>
      </w:pPr>
      <w:r>
        <w:t>Australians have reliable, secure and affordable access to high-speed broadband and mobile communications.</w:t>
      </w:r>
      <w:r>
        <w:rPr>
          <w:lang w:val="en-US"/>
        </w:rPr>
        <w:t> </w:t>
      </w:r>
    </w:p>
    <w:p w14:paraId="70A5340F" w14:textId="77777777" w:rsidR="002321A1" w:rsidRDefault="002321A1" w:rsidP="002321A1">
      <w:pPr>
        <w:pStyle w:val="Bulletlevel1"/>
        <w:numPr>
          <w:ilvl w:val="0"/>
          <w:numId w:val="1"/>
        </w:numPr>
        <w:tabs>
          <w:tab w:val="clear" w:pos="295"/>
          <w:tab w:val="num" w:pos="579"/>
        </w:tabs>
        <w:rPr>
          <w:lang w:val="en-US"/>
        </w:rPr>
      </w:pPr>
      <w:r>
        <w:t>Australia’s communications sector is sustainable and competitive.</w:t>
      </w:r>
      <w:r>
        <w:rPr>
          <w:lang w:val="en-US"/>
        </w:rPr>
        <w:t> </w:t>
      </w:r>
    </w:p>
    <w:p w14:paraId="0CCB2215" w14:textId="77777777" w:rsidR="002321A1" w:rsidRDefault="002321A1" w:rsidP="002321A1">
      <w:pPr>
        <w:pStyle w:val="Bulletlevel1"/>
        <w:numPr>
          <w:ilvl w:val="0"/>
          <w:numId w:val="1"/>
        </w:numPr>
        <w:tabs>
          <w:tab w:val="clear" w:pos="295"/>
          <w:tab w:val="num" w:pos="579"/>
        </w:tabs>
        <w:rPr>
          <w:lang w:val="en-US"/>
        </w:rPr>
      </w:pPr>
      <w:r>
        <w:t>Australia’s world-leading navigation and positioning infrastructure supports emerging technologies.</w:t>
      </w:r>
    </w:p>
    <w:p w14:paraId="67E73234" w14:textId="77777777" w:rsidR="002321A1" w:rsidRDefault="002321A1" w:rsidP="002321A1">
      <w:pPr>
        <w:pStyle w:val="Bulletlevel1last"/>
        <w:numPr>
          <w:ilvl w:val="0"/>
          <w:numId w:val="1"/>
        </w:numPr>
        <w:tabs>
          <w:tab w:val="clear" w:pos="295"/>
          <w:tab w:val="num" w:pos="579"/>
        </w:tabs>
        <w:rPr>
          <w:lang w:val="en-US"/>
        </w:rPr>
      </w:pPr>
      <w:r>
        <w:t>Australia’s researchers have the specialised high-performing computing and data infrastructure needed to stay ahead in everything from health to agriculture.</w:t>
      </w:r>
      <w:r>
        <w:rPr>
          <w:lang w:val="en-US"/>
        </w:rPr>
        <w:t> </w:t>
      </w:r>
    </w:p>
    <w:p w14:paraId="394B90B2" w14:textId="77777777" w:rsidR="002321A1" w:rsidRDefault="002321A1" w:rsidP="002321A1">
      <w:pPr>
        <w:pStyle w:val="Heading3"/>
        <w:ind w:right="16"/>
      </w:pPr>
      <w:r>
        <w:t>Licensing arrangements</w:t>
      </w:r>
    </w:p>
    <w:p w14:paraId="22FACC51" w14:textId="6E5E3CA9" w:rsidR="002321A1" w:rsidRDefault="002321A1" w:rsidP="002321A1">
      <w:pPr>
        <w:rPr>
          <w:rFonts w:cs="Arial"/>
        </w:rPr>
      </w:pPr>
      <w:r w:rsidRPr="00BC67B0">
        <w:rPr>
          <w:rFonts w:cs="Arial"/>
        </w:rPr>
        <w:t xml:space="preserve">There are currently </w:t>
      </w:r>
      <w:r w:rsidR="00EC12C3" w:rsidRPr="00517F15">
        <w:rPr>
          <w:rFonts w:cs="Arial"/>
        </w:rPr>
        <w:t xml:space="preserve">3 </w:t>
      </w:r>
      <w:r w:rsidRPr="00517F15">
        <w:rPr>
          <w:rFonts w:cs="Arial"/>
        </w:rPr>
        <w:t>licence types available to authorise access to spectrum</w:t>
      </w:r>
      <w:r w:rsidR="00EC12C3" w:rsidRPr="00517F15">
        <w:rPr>
          <w:rFonts w:cs="Arial"/>
        </w:rPr>
        <w:t xml:space="preserve"> – </w:t>
      </w:r>
      <w:r w:rsidRPr="00517F15">
        <w:rPr>
          <w:rFonts w:cs="Arial"/>
        </w:rPr>
        <w:t>spectrum, apparatus and class</w:t>
      </w:r>
      <w:r w:rsidRPr="00E87F4F">
        <w:rPr>
          <w:rFonts w:cs="Arial"/>
        </w:rPr>
        <w:t xml:space="preserve">. Each of these have differing characteristics </w:t>
      </w:r>
      <w:r w:rsidR="00E87F4F">
        <w:rPr>
          <w:rFonts w:cs="Arial"/>
        </w:rPr>
        <w:t>regarding</w:t>
      </w:r>
      <w:r w:rsidRPr="00E87F4F">
        <w:rPr>
          <w:rFonts w:cs="Arial"/>
        </w:rPr>
        <w:t xml:space="preserve"> the allocation method commonly used, approach to pricing, associated level of exclusivity and interference environment. </w:t>
      </w:r>
      <w:bookmarkStart w:id="16" w:name="_Hlk75769434"/>
      <w:r w:rsidRPr="00BC67B0">
        <w:t>These approaches influence how options can be developed and implemented.</w:t>
      </w:r>
    </w:p>
    <w:p w14:paraId="0A7CF621" w14:textId="6D7A2EA6" w:rsidR="002321A1" w:rsidRDefault="002321A1" w:rsidP="002321A1">
      <w:pPr>
        <w:rPr>
          <w:rFonts w:cs="Arial"/>
        </w:rPr>
      </w:pPr>
      <w:r>
        <w:rPr>
          <w:rFonts w:cs="Arial"/>
        </w:rPr>
        <w:t>On 17 June 2021, amendments to the Act</w:t>
      </w:r>
      <w:r>
        <w:rPr>
          <w:rFonts w:cs="Arial"/>
          <w:i/>
          <w:iCs/>
        </w:rPr>
        <w:t xml:space="preserve"> </w:t>
      </w:r>
      <w:r w:rsidR="001241AF">
        <w:rPr>
          <w:rFonts w:cs="Arial"/>
        </w:rPr>
        <w:t xml:space="preserve">made by </w:t>
      </w:r>
      <w:r>
        <w:rPr>
          <w:rFonts w:cs="Arial"/>
        </w:rPr>
        <w:t xml:space="preserve">the </w:t>
      </w:r>
      <w:r>
        <w:rPr>
          <w:rFonts w:cs="Arial"/>
          <w:i/>
          <w:iCs/>
        </w:rPr>
        <w:t xml:space="preserve">Radiocommunications Legislation Amendment (Reform and Modernisation) Act 2020 </w:t>
      </w:r>
      <w:r>
        <w:rPr>
          <w:rFonts w:cs="Arial"/>
        </w:rPr>
        <w:t xml:space="preserve">(the Modernisation Act) came into force. The amendments allow for greater flexibility for the ACMA to manage spectrum and greater clarity </w:t>
      </w:r>
      <w:r w:rsidR="00E87F4F">
        <w:rPr>
          <w:rFonts w:cs="Arial"/>
        </w:rPr>
        <w:t xml:space="preserve">for </w:t>
      </w:r>
      <w:r>
        <w:rPr>
          <w:rFonts w:cs="Arial"/>
        </w:rPr>
        <w:t>licensees</w:t>
      </w:r>
      <w:bookmarkStart w:id="17" w:name="_Hlk75769689"/>
      <w:r>
        <w:rPr>
          <w:rFonts w:cs="Arial"/>
        </w:rPr>
        <w:t xml:space="preserve">. More information on the amendments can be found on the </w:t>
      </w:r>
      <w:hyperlink r:id="rId35" w:history="1">
        <w:r>
          <w:rPr>
            <w:rStyle w:val="Hyperlink"/>
          </w:rPr>
          <w:t>ACMA website</w:t>
        </w:r>
      </w:hyperlink>
      <w:r>
        <w:rPr>
          <w:rFonts w:cs="Arial"/>
        </w:rPr>
        <w:t xml:space="preserve">. </w:t>
      </w:r>
      <w:r w:rsidR="00E87F4F">
        <w:rPr>
          <w:rFonts w:cs="Arial"/>
        </w:rPr>
        <w:t>We have</w:t>
      </w:r>
      <w:r>
        <w:rPr>
          <w:rFonts w:cs="Arial"/>
        </w:rPr>
        <w:t xml:space="preserve"> developed an </w:t>
      </w:r>
      <w:hyperlink r:id="rId36" w:history="1">
        <w:r>
          <w:rPr>
            <w:rStyle w:val="Hyperlink"/>
          </w:rPr>
          <w:t>overview</w:t>
        </w:r>
      </w:hyperlink>
      <w:r>
        <w:rPr>
          <w:rFonts w:cs="Arial"/>
        </w:rPr>
        <w:t xml:space="preserve"> of </w:t>
      </w:r>
      <w:r w:rsidR="00E87F4F">
        <w:rPr>
          <w:rFonts w:cs="Arial"/>
        </w:rPr>
        <w:t xml:space="preserve">our </w:t>
      </w:r>
      <w:r>
        <w:rPr>
          <w:rFonts w:cs="Arial"/>
        </w:rPr>
        <w:t>approach to implementing the changes to licensing and allocation.</w:t>
      </w:r>
      <w:bookmarkEnd w:id="16"/>
      <w:bookmarkEnd w:id="17"/>
    </w:p>
    <w:p w14:paraId="76FAF407" w14:textId="5B321B13" w:rsidR="002321A1" w:rsidRDefault="002321A1" w:rsidP="002321A1">
      <w:pPr>
        <w:ind w:right="16"/>
      </w:pPr>
      <w:r>
        <w:t xml:space="preserve">A spectrum licence authorises the operation of devices within a defined frequency range and geographic area, with a high degree of exclusivity. The geographic area can vary in size and can comprise the entire country. Spectrum licences are usually </w:t>
      </w:r>
      <w:r w:rsidR="00A362CF">
        <w:t xml:space="preserve">initially </w:t>
      </w:r>
      <w:r>
        <w:t>allocated by an auction and have historically been utilised for most bands used to deploy commercial mobile broadband networks. Spectrum licences may be allocated for up to 20 years.</w:t>
      </w:r>
    </w:p>
    <w:p w14:paraId="1470988C" w14:textId="174904C4" w:rsidR="002321A1" w:rsidRDefault="002321A1" w:rsidP="002321A1">
      <w:pPr>
        <w:ind w:right="16"/>
      </w:pPr>
      <w:r>
        <w:t>An inherent feature of spectrum licensing is technological flexibility</w:t>
      </w:r>
      <w:r w:rsidR="00E87F4F">
        <w:t xml:space="preserve"> – </w:t>
      </w:r>
      <w:r>
        <w:t>that is, the licence conditions and associated technical framework, while usually optimised for an expected technology, specify generic technical conditions</w:t>
      </w:r>
      <w:r>
        <w:rPr>
          <w:vertAlign w:val="superscript"/>
        </w:rPr>
        <w:footnoteReference w:id="4"/>
      </w:r>
      <w:r>
        <w:t xml:space="preserve"> and do not usually expressly mandate or limit specific technologies or services. This allows a licensee to deploy any technology that complies with the conditions of the licence. It is up to the licensee to manage interference between their </w:t>
      </w:r>
      <w:r w:rsidR="007A5CDC">
        <w:t xml:space="preserve">radiocommunications </w:t>
      </w:r>
      <w:r>
        <w:t>devices (note that the adoption of international standards within the technical framework mitigates the potential for interference between devices). Spectrum licences are more conducive to secondary trading than apparatus licences, due to design features such as their longer tenure and their ability to be sub-divided.</w:t>
      </w:r>
    </w:p>
    <w:p w14:paraId="3E98EAD5" w14:textId="035C93AA" w:rsidR="002321A1" w:rsidRDefault="002321A1" w:rsidP="002321A1">
      <w:pPr>
        <w:pStyle w:val="Paragraph"/>
        <w:rPr>
          <w:rFonts w:ascii="Times New Roman" w:hAnsi="Times New Roman"/>
          <w:szCs w:val="20"/>
          <w:lang w:val="en-US"/>
        </w:rPr>
      </w:pPr>
      <w:r>
        <w:rPr>
          <w:szCs w:val="20"/>
        </w:rPr>
        <w:t xml:space="preserve">An apparatus licence authorises the use of a radiocommunications device (or group of devices) operating under a specific radiocommunications service type, in a specific frequency range, and traditionally at one or more specific geographic locations for a period of up to 20 years. They are typically issued ‘over-the-counter’ in accordance with coordination policies developed by the ACMA. The ACMA </w:t>
      </w:r>
      <w:hyperlink r:id="rId37" w:tgtFrame="_blank" w:history="1">
        <w:r>
          <w:rPr>
            <w:rStyle w:val="Hyperlink"/>
            <w:szCs w:val="20"/>
          </w:rPr>
          <w:t xml:space="preserve">imposes cost recovery </w:t>
        </w:r>
      </w:hyperlink>
      <w:r>
        <w:rPr>
          <w:color w:val="0000FF"/>
          <w:szCs w:val="20"/>
          <w:u w:val="single"/>
        </w:rPr>
        <w:t>charges, and separate legislation imposes taxes,</w:t>
      </w:r>
      <w:r>
        <w:rPr>
          <w:szCs w:val="20"/>
        </w:rPr>
        <w:t xml:space="preserve"> </w:t>
      </w:r>
      <w:r w:rsidR="00E87F4F">
        <w:rPr>
          <w:szCs w:val="20"/>
        </w:rPr>
        <w:t>for</w:t>
      </w:r>
      <w:r>
        <w:rPr>
          <w:szCs w:val="20"/>
        </w:rPr>
        <w:t xml:space="preserve"> apparatus licences. These amounts cover our costs and give </w:t>
      </w:r>
      <w:r w:rsidR="001241AF">
        <w:rPr>
          <w:szCs w:val="20"/>
        </w:rPr>
        <w:t xml:space="preserve">licensees </w:t>
      </w:r>
      <w:r>
        <w:rPr>
          <w:szCs w:val="20"/>
        </w:rPr>
        <w:t>incentive to use spectrum efficiently.</w:t>
      </w:r>
      <w:r>
        <w:rPr>
          <w:rFonts w:ascii="Times New Roman" w:hAnsi="Times New Roman"/>
          <w:szCs w:val="20"/>
          <w:lang w:val="en-US"/>
        </w:rPr>
        <w:t> </w:t>
      </w:r>
    </w:p>
    <w:p w14:paraId="0B75BB28" w14:textId="4D59C223" w:rsidR="002321A1" w:rsidRDefault="002321A1" w:rsidP="002321A1">
      <w:pPr>
        <w:pStyle w:val="Paragraph"/>
        <w:rPr>
          <w:lang w:val="en-US"/>
        </w:rPr>
      </w:pPr>
      <w:r>
        <w:lastRenderedPageBreak/>
        <w:t>The ACMA has also created a new apparatus licence type</w:t>
      </w:r>
      <w:r w:rsidR="00E87F4F">
        <w:t xml:space="preserve"> – </w:t>
      </w:r>
      <w:r>
        <w:t xml:space="preserve">the </w:t>
      </w:r>
      <w:hyperlink r:id="rId38" w:tgtFrame="_blank" w:history="1">
        <w:r>
          <w:rPr>
            <w:rStyle w:val="Hyperlink"/>
          </w:rPr>
          <w:t>area-wide apparatus licence</w:t>
        </w:r>
      </w:hyperlink>
      <w:r>
        <w:t xml:space="preserve">. This authorises the operation of one or more radiocommunications devices within a defined geographic area within frequencies specified in the licence, subject to the conditions included </w:t>
      </w:r>
      <w:r w:rsidR="001241AF">
        <w:t xml:space="preserve">in </w:t>
      </w:r>
      <w:r>
        <w:t>the licence. Th</w:t>
      </w:r>
      <w:r w:rsidR="001641D2">
        <w:t>is</w:t>
      </w:r>
      <w:r>
        <w:t xml:space="preserve"> licence type is scalable, enabling its use for authorising different-sized geographic areas and bandwidths. Unlike existing apparatus licence types</w:t>
      </w:r>
      <w:r w:rsidR="00E87F4F">
        <w:t xml:space="preserve">, </w:t>
      </w:r>
      <w:r>
        <w:t>which typically align with specific uses and purposes</w:t>
      </w:r>
      <w:r w:rsidR="00E87F4F">
        <w:t xml:space="preserve">, </w:t>
      </w:r>
      <w:r>
        <w:t>the area-wide apparatus licence is capable of authorising a variety of services, uses, applications and technologies.</w:t>
      </w:r>
    </w:p>
    <w:p w14:paraId="3E99B5D6" w14:textId="0DB49B75" w:rsidR="002321A1" w:rsidRDefault="002321A1" w:rsidP="002321A1">
      <w:pPr>
        <w:pStyle w:val="Paragraph"/>
        <w:rPr>
          <w:lang w:val="en-US"/>
        </w:rPr>
      </w:pPr>
      <w:r>
        <w:t xml:space="preserve">Class licences are a standing authorisation to access spectrum without the need to apply to the ACMA for an individual licence </w:t>
      </w:r>
      <w:r w:rsidR="00880B61">
        <w:t>(or to incur any taxes or charges</w:t>
      </w:r>
      <w:r>
        <w:t>), subject to the conditions of the relevant class licence. These conditions include technical and geographic matters and/or pertain to the type of use or class of user.</w:t>
      </w:r>
    </w:p>
    <w:p w14:paraId="29E1B773" w14:textId="77777777" w:rsidR="002321A1" w:rsidRDefault="002321A1" w:rsidP="00E200E5">
      <w:pPr>
        <w:pStyle w:val="Heading3"/>
      </w:pPr>
      <w:r>
        <w:t>Spectrum planning options development</w:t>
      </w:r>
    </w:p>
    <w:p w14:paraId="53476F0C" w14:textId="076A3F09" w:rsidR="002321A1" w:rsidRDefault="002321A1" w:rsidP="002321A1">
      <w:pPr>
        <w:ind w:right="16"/>
      </w:pPr>
      <w:r>
        <w:t xml:space="preserve">We are guided in our spectrum management functions by the object of the Act, set out in the </w:t>
      </w:r>
      <w:r>
        <w:fldChar w:fldCharType="begin"/>
      </w:r>
      <w:r>
        <w:rPr>
          <w:i/>
          <w:iCs/>
        </w:rPr>
        <w:instrText xml:space="preserve"> REF _Ref78198576 \h </w:instrText>
      </w:r>
      <w:r>
        <w:fldChar w:fldCharType="separate"/>
      </w:r>
      <w:r>
        <w:rPr>
          <w:i/>
          <w:iCs/>
        </w:rPr>
        <w:t>Guiding legislation and policy</w:t>
      </w:r>
      <w:r>
        <w:fldChar w:fldCharType="end"/>
      </w:r>
      <w:r w:rsidR="004321BF">
        <w:t xml:space="preserve"> </w:t>
      </w:r>
      <w:r w:rsidR="00E87F4F">
        <w:t xml:space="preserve">section </w:t>
      </w:r>
      <w:r w:rsidR="004321BF">
        <w:t>above</w:t>
      </w:r>
      <w:r>
        <w:t xml:space="preserve">. A balanced application of regulatory and market mechanisms is often necessary </w:t>
      </w:r>
      <w:r w:rsidR="00987DBF">
        <w:t>to</w:t>
      </w:r>
      <w:r>
        <w:t xml:space="preserve"> achieve key elements of the object of the Act, in particular</w:t>
      </w:r>
      <w:r w:rsidR="00E87F4F">
        <w:t>,</w:t>
      </w:r>
      <w:r>
        <w:t xml:space="preserve"> maximising the overall public benefit from the efficient allocation and use of the radiofrequency spectrum</w:t>
      </w:r>
      <w:r w:rsidR="00E87F4F">
        <w:t>,</w:t>
      </w:r>
      <w:r>
        <w:t xml:space="preserve"> and meeting the government’s policy objectives. </w:t>
      </w:r>
    </w:p>
    <w:p w14:paraId="767C0901" w14:textId="164F1161" w:rsidR="002321A1" w:rsidRDefault="002321A1" w:rsidP="002321A1">
      <w:pPr>
        <w:ind w:right="16"/>
      </w:pPr>
      <w:r>
        <w:t xml:space="preserve">Figure </w:t>
      </w:r>
      <w:r w:rsidR="00D32B86">
        <w:t>1</w:t>
      </w:r>
      <w:r>
        <w:t xml:space="preserve"> </w:t>
      </w:r>
      <w:r w:rsidR="00E87F4F">
        <w:t xml:space="preserve">outlines </w:t>
      </w:r>
      <w:r>
        <w:t xml:space="preserve">the approach the ACMA </w:t>
      </w:r>
      <w:r w:rsidR="00D32B86">
        <w:t>propose</w:t>
      </w:r>
      <w:r w:rsidR="00E87F4F">
        <w:t>s</w:t>
      </w:r>
      <w:r w:rsidR="00D32B86">
        <w:t xml:space="preserve"> to </w:t>
      </w:r>
      <w:r>
        <w:t xml:space="preserve">use in </w:t>
      </w:r>
      <w:r w:rsidR="00190D4F">
        <w:t xml:space="preserve">reviewing </w:t>
      </w:r>
      <w:r w:rsidR="007B635B">
        <w:t xml:space="preserve">and </w:t>
      </w:r>
      <w:r w:rsidR="00D32B86">
        <w:t>developing</w:t>
      </w:r>
      <w:r>
        <w:t xml:space="preserve"> </w:t>
      </w:r>
      <w:r w:rsidR="00D32B86">
        <w:t>the 1.9 GHz band</w:t>
      </w:r>
      <w:r w:rsidR="00190D4F">
        <w:t xml:space="preserve"> in this paper and possible future papers</w:t>
      </w:r>
      <w:r w:rsidR="00D32B86">
        <w:t>.</w:t>
      </w:r>
      <w:r>
        <w:t xml:space="preserve"> </w:t>
      </w:r>
      <w:r w:rsidR="00E87F4F">
        <w:t xml:space="preserve">We </w:t>
      </w:r>
      <w:r>
        <w:t xml:space="preserve">will continue to apply this general approach as </w:t>
      </w:r>
      <w:r w:rsidR="00E87F4F">
        <w:t xml:space="preserve">we </w:t>
      </w:r>
      <w:r>
        <w:t xml:space="preserve">consider the responses to this </w:t>
      </w:r>
      <w:r w:rsidR="00190D4F">
        <w:t>paper</w:t>
      </w:r>
      <w:r>
        <w:t>.</w:t>
      </w:r>
    </w:p>
    <w:p w14:paraId="0F726FEA" w14:textId="77777777" w:rsidR="002321A1" w:rsidRDefault="002321A1" w:rsidP="00E200E5">
      <w:pPr>
        <w:pStyle w:val="Figureheading"/>
      </w:pPr>
      <w:r>
        <w:t>Spectrum planning options framework</w:t>
      </w:r>
    </w:p>
    <w:p w14:paraId="343C23EC" w14:textId="77777777" w:rsidR="002321A1" w:rsidRDefault="002321A1" w:rsidP="002321A1">
      <w:pPr>
        <w:pStyle w:val="ACMASpaceaftertable"/>
        <w:rPr>
          <w:szCs w:val="26"/>
        </w:rPr>
      </w:pPr>
      <w:bookmarkStart w:id="18" w:name="_Toc466017062"/>
      <w:bookmarkStart w:id="19" w:name="_Toc468438957"/>
      <w:bookmarkStart w:id="20" w:name="_Toc468705312"/>
      <w:bookmarkStart w:id="21" w:name="_Ref517340300"/>
      <w:r>
        <w:rPr>
          <w:noProof/>
        </w:rPr>
        <w:drawing>
          <wp:inline distT="0" distB="0" distL="0" distR="0" wp14:anchorId="29863316" wp14:editId="333336FC">
            <wp:extent cx="6694311" cy="3686101"/>
            <wp:effectExtent l="0" t="0" r="0" b="0"/>
            <wp:docPr id="19" name="Picture 19" descr="Figure 1: Spectrum planning opt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Spectrum planning options framewor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18834" cy="3699604"/>
                    </a:xfrm>
                    <a:prstGeom prst="rect">
                      <a:avLst/>
                    </a:prstGeom>
                    <a:noFill/>
                    <a:ln>
                      <a:noFill/>
                    </a:ln>
                  </pic:spPr>
                </pic:pic>
              </a:graphicData>
            </a:graphic>
          </wp:inline>
        </w:drawing>
      </w:r>
      <w:bookmarkEnd w:id="18"/>
      <w:bookmarkEnd w:id="19"/>
      <w:bookmarkEnd w:id="20"/>
      <w:bookmarkEnd w:id="21"/>
    </w:p>
    <w:p w14:paraId="2A081DC1" w14:textId="77777777" w:rsidR="004F21E5" w:rsidRDefault="004F21E5">
      <w:pPr>
        <w:spacing w:after="0" w:line="240" w:lineRule="auto"/>
        <w:rPr>
          <w:rFonts w:cs="Arial"/>
          <w:b/>
          <w:bCs/>
          <w:iCs/>
          <w:sz w:val="28"/>
          <w:szCs w:val="28"/>
        </w:rPr>
      </w:pPr>
      <w:r>
        <w:br w:type="page"/>
      </w:r>
    </w:p>
    <w:p w14:paraId="72D63E15" w14:textId="1F375D6F" w:rsidR="005E250B" w:rsidRPr="00C35CCE" w:rsidRDefault="007F0E93" w:rsidP="005C34EF">
      <w:pPr>
        <w:pStyle w:val="Heading2"/>
      </w:pPr>
      <w:bookmarkStart w:id="22" w:name="_Toc87534274"/>
      <w:r>
        <w:lastRenderedPageBreak/>
        <w:t>Case for action</w:t>
      </w:r>
      <w:bookmarkEnd w:id="22"/>
    </w:p>
    <w:p w14:paraId="7D1E501E" w14:textId="1D78B676" w:rsidR="00B3008E" w:rsidRDefault="00DA7B3F" w:rsidP="00B3008E">
      <w:r>
        <w:t xml:space="preserve">Spectrum arrangements in the 1.9 GHz band have their origin in the </w:t>
      </w:r>
      <w:hyperlink r:id="rId40" w:history="1">
        <w:r w:rsidR="00B3008E" w:rsidRPr="00DA7B3F">
          <w:rPr>
            <w:rStyle w:val="Hyperlink"/>
          </w:rPr>
          <w:t xml:space="preserve">1.9 GHz </w:t>
        </w:r>
        <w:r w:rsidR="00E87F4F" w:rsidRPr="00DA7B3F">
          <w:rPr>
            <w:rStyle w:val="Hyperlink"/>
          </w:rPr>
          <w:t>b</w:t>
        </w:r>
        <w:r w:rsidR="00B3008E" w:rsidRPr="00DA7B3F">
          <w:rPr>
            <w:rStyle w:val="Hyperlink"/>
          </w:rPr>
          <w:t xml:space="preserve">and </w:t>
        </w:r>
        <w:r w:rsidR="00E87F4F" w:rsidRPr="00DA7B3F">
          <w:rPr>
            <w:rStyle w:val="Hyperlink"/>
          </w:rPr>
          <w:t>p</w:t>
        </w:r>
        <w:r w:rsidR="00B3008E" w:rsidRPr="00DA7B3F">
          <w:rPr>
            <w:rStyle w:val="Hyperlink"/>
          </w:rPr>
          <w:t>lan</w:t>
        </w:r>
      </w:hyperlink>
      <w:r>
        <w:t xml:space="preserve">, repealed in 2015, </w:t>
      </w:r>
      <w:r w:rsidR="00EE18CE">
        <w:t>established</w:t>
      </w:r>
      <w:r w:rsidR="00B3008E">
        <w:t xml:space="preserve"> in 1996 to support the introduction of cordless telecommunications services in the 1880</w:t>
      </w:r>
      <w:r w:rsidR="00E87F4F">
        <w:t>–</w:t>
      </w:r>
      <w:r w:rsidR="00B3008E">
        <w:t xml:space="preserve">1900 MHz frequency range in Australia. </w:t>
      </w:r>
      <w:r w:rsidR="00D353E0">
        <w:t xml:space="preserve">It </w:t>
      </w:r>
      <w:r w:rsidR="00EE18CE">
        <w:t>supported</w:t>
      </w:r>
      <w:r w:rsidR="00B3008E">
        <w:t xml:space="preserve"> the operation of cordless telecommunications services </w:t>
      </w:r>
      <w:r w:rsidR="00D353E0">
        <w:t>and ensured</w:t>
      </w:r>
      <w:r w:rsidR="00B3008E">
        <w:t xml:space="preserve"> that no new licences were issued for fixed point-to-point links (which operated in the 1.9 GHz band at that time).</w:t>
      </w:r>
      <w:r w:rsidR="00BF7EC1">
        <w:t xml:space="preserve"> While there have been amendments to the </w:t>
      </w:r>
      <w:hyperlink r:id="rId41" w:history="1">
        <w:r w:rsidRPr="00DA7B3F">
          <w:rPr>
            <w:rStyle w:val="Hyperlink"/>
          </w:rPr>
          <w:t xml:space="preserve">cordless communications devices </w:t>
        </w:r>
        <w:r w:rsidR="00BF7EC1" w:rsidRPr="00DA7B3F">
          <w:rPr>
            <w:rStyle w:val="Hyperlink"/>
          </w:rPr>
          <w:t>class licence</w:t>
        </w:r>
      </w:hyperlink>
      <w:r w:rsidR="004F21E5">
        <w:t xml:space="preserve"> that </w:t>
      </w:r>
      <w:r>
        <w:t xml:space="preserve">now </w:t>
      </w:r>
      <w:r w:rsidR="004F21E5">
        <w:t>supports the framework</w:t>
      </w:r>
      <w:r w:rsidR="00BF7EC1">
        <w:t xml:space="preserve">, the </w:t>
      </w:r>
      <w:r w:rsidR="00D353E0">
        <w:t>overall</w:t>
      </w:r>
      <w:r w:rsidR="00BF7EC1">
        <w:t xml:space="preserve"> arrangements have not been reviewed</w:t>
      </w:r>
      <w:r w:rsidR="00EE18CE">
        <w:t xml:space="preserve"> since then</w:t>
      </w:r>
      <w:r w:rsidR="00BF7EC1">
        <w:t>.</w:t>
      </w:r>
    </w:p>
    <w:p w14:paraId="60545D91" w14:textId="68475E05" w:rsidR="007639F6" w:rsidRDefault="002A0C6B" w:rsidP="007639F6">
      <w:r w:rsidRPr="00B53F89">
        <w:t>Metropolitan areas of the 1900–1920 MHz band were spectrum licens</w:t>
      </w:r>
      <w:r w:rsidR="00B3008E">
        <w:t>ed in 2000</w:t>
      </w:r>
      <w:r w:rsidRPr="00B53F89">
        <w:t>. However, when</w:t>
      </w:r>
      <w:r w:rsidR="00B3008E">
        <w:t xml:space="preserve"> the</w:t>
      </w:r>
      <w:r w:rsidRPr="00B53F89">
        <w:t xml:space="preserve"> licences expired in 2017, licensees did not seek to have them re-issued. </w:t>
      </w:r>
      <w:bookmarkStart w:id="23" w:name="_Hlk85032881"/>
      <w:r w:rsidRPr="00B53F89">
        <w:t>While the band is identified internationally for IMT by the ITU, to date, domestic</w:t>
      </w:r>
      <w:r>
        <w:t xml:space="preserve"> use</w:t>
      </w:r>
      <w:r w:rsidRPr="00B53F89">
        <w:t xml:space="preserve"> for </w:t>
      </w:r>
      <w:r w:rsidR="00DA7B3F">
        <w:t>WBB</w:t>
      </w:r>
      <w:r w:rsidRPr="00B53F89">
        <w:t xml:space="preserve"> services has been low.</w:t>
      </w:r>
      <w:r>
        <w:t xml:space="preserve"> </w:t>
      </w:r>
    </w:p>
    <w:p w14:paraId="644BB01D" w14:textId="4DFAD7C8" w:rsidR="002A0C6B" w:rsidRDefault="002A0C6B" w:rsidP="002A0C6B">
      <w:r>
        <w:t xml:space="preserve">Other </w:t>
      </w:r>
      <w:r w:rsidR="00B05249">
        <w:t xml:space="preserve">recent international </w:t>
      </w:r>
      <w:r>
        <w:t>developments include standardisation work on DECT-2020</w:t>
      </w:r>
      <w:r>
        <w:rPr>
          <w:rStyle w:val="FootnoteReference"/>
        </w:rPr>
        <w:footnoteReference w:id="5"/>
      </w:r>
      <w:r>
        <w:t xml:space="preserve"> and the European review of </w:t>
      </w:r>
      <w:r w:rsidR="0005799C">
        <w:t xml:space="preserve">the </w:t>
      </w:r>
      <w:r>
        <w:t xml:space="preserve">1900–1910 MHz band for </w:t>
      </w:r>
      <w:r w:rsidR="000764D8">
        <w:t>F</w:t>
      </w:r>
      <w:r>
        <w:t xml:space="preserve">uture </w:t>
      </w:r>
      <w:r w:rsidR="000764D8">
        <w:t>R</w:t>
      </w:r>
      <w:r>
        <w:t xml:space="preserve">ailway </w:t>
      </w:r>
      <w:r w:rsidR="000764D8">
        <w:t>M</w:t>
      </w:r>
      <w:r>
        <w:t xml:space="preserve">obile </w:t>
      </w:r>
      <w:r w:rsidR="000764D8">
        <w:t>C</w:t>
      </w:r>
      <w:r>
        <w:t xml:space="preserve">ommunication </w:t>
      </w:r>
      <w:r w:rsidR="000764D8">
        <w:t>S</w:t>
      </w:r>
      <w:r>
        <w:t>ystems (FRMCS).</w:t>
      </w:r>
      <w:r>
        <w:rPr>
          <w:rStyle w:val="FootnoteReference"/>
        </w:rPr>
        <w:footnoteReference w:id="6"/>
      </w:r>
      <w:r>
        <w:t xml:space="preserve"> </w:t>
      </w:r>
    </w:p>
    <w:bookmarkEnd w:id="23"/>
    <w:p w14:paraId="37B19539" w14:textId="243D4652" w:rsidR="00EE18CE" w:rsidRDefault="00A1729B" w:rsidP="003E0DF0">
      <w:r>
        <w:t>S</w:t>
      </w:r>
      <w:r w:rsidR="007B07F2" w:rsidRPr="007B07F2">
        <w:t>ubmissions</w:t>
      </w:r>
      <w:r w:rsidR="007B07F2">
        <w:t xml:space="preserve"> to the </w:t>
      </w:r>
      <w:r>
        <w:t>ACMA</w:t>
      </w:r>
      <w:r w:rsidR="00D957D3">
        <w:t xml:space="preserve"> also </w:t>
      </w:r>
      <w:r w:rsidR="007B07F2" w:rsidRPr="007B07F2">
        <w:t xml:space="preserve">supported a review of arrangements in the band. </w:t>
      </w:r>
      <w:r w:rsidR="00B000E5">
        <w:t>Feedback</w:t>
      </w:r>
      <w:r w:rsidR="009F484B">
        <w:t xml:space="preserve"> from </w:t>
      </w:r>
      <w:r w:rsidR="00D80C92">
        <w:t xml:space="preserve">the </w:t>
      </w:r>
      <w:r w:rsidR="009F484B">
        <w:t xml:space="preserve">wireless microphone </w:t>
      </w:r>
      <w:r w:rsidR="00D80C92">
        <w:t>industry</w:t>
      </w:r>
      <w:r w:rsidR="00D957D3">
        <w:t xml:space="preserve">, including submissions to the </w:t>
      </w:r>
      <w:hyperlink r:id="rId42" w:history="1">
        <w:r w:rsidR="00D957D3" w:rsidRPr="00F22F74">
          <w:rPr>
            <w:rStyle w:val="Hyperlink"/>
          </w:rPr>
          <w:t>FYSO</w:t>
        </w:r>
      </w:hyperlink>
      <w:r w:rsidR="00D957D3">
        <w:t xml:space="preserve"> </w:t>
      </w:r>
      <w:r w:rsidR="000764D8">
        <w:t>2021</w:t>
      </w:r>
      <w:r w:rsidR="000764D8" w:rsidRPr="00B53F89">
        <w:t>–</w:t>
      </w:r>
      <w:r w:rsidR="000764D8">
        <w:t xml:space="preserve">26 </w:t>
      </w:r>
      <w:r w:rsidR="00D957D3">
        <w:t xml:space="preserve">from </w:t>
      </w:r>
      <w:r w:rsidR="001241AF">
        <w:t xml:space="preserve">the </w:t>
      </w:r>
      <w:r w:rsidR="00FE4EE7" w:rsidRPr="00FE4EE7">
        <w:t xml:space="preserve">Australian Commercial </w:t>
      </w:r>
      <w:r w:rsidR="00FE4EE7">
        <w:t>&amp;</w:t>
      </w:r>
      <w:r w:rsidR="00FE4EE7" w:rsidRPr="00FE4EE7">
        <w:t xml:space="preserve"> Entertainment Technologies Association</w:t>
      </w:r>
      <w:r w:rsidR="00D957D3">
        <w:t xml:space="preserve">, Shure, Jands and </w:t>
      </w:r>
      <w:r w:rsidR="00B06BE7">
        <w:t>Sennheiser</w:t>
      </w:r>
      <w:r w:rsidR="00D957D3">
        <w:t>,</w:t>
      </w:r>
      <w:r w:rsidR="00D957D3" w:rsidRPr="007B07F2">
        <w:t xml:space="preserve"> </w:t>
      </w:r>
      <w:r w:rsidR="00D957D3">
        <w:t>indicated</w:t>
      </w:r>
      <w:r w:rsidR="007B07F2">
        <w:t xml:space="preserve"> an</w:t>
      </w:r>
      <w:r w:rsidR="007B07F2" w:rsidRPr="007B07F2">
        <w:t xml:space="preserve"> interest in ensuring ongoing support </w:t>
      </w:r>
      <w:r w:rsidR="00D80C92" w:rsidRPr="007B07F2">
        <w:t xml:space="preserve">for DECT </w:t>
      </w:r>
      <w:r w:rsidR="00D80C92">
        <w:t>in</w:t>
      </w:r>
      <w:r w:rsidR="007B07F2" w:rsidRPr="007B07F2">
        <w:t xml:space="preserve"> the 1880–19</w:t>
      </w:r>
      <w:r w:rsidR="00240CE7">
        <w:t>0</w:t>
      </w:r>
      <w:r w:rsidR="007B07F2" w:rsidRPr="007B07F2">
        <w:t>0</w:t>
      </w:r>
      <w:r w:rsidR="0005799C">
        <w:t> </w:t>
      </w:r>
      <w:r w:rsidR="007B07F2" w:rsidRPr="007B07F2">
        <w:t xml:space="preserve">MHz frequency range and a possible expansion of arrangements into the 1900–1920 MHz band. </w:t>
      </w:r>
    </w:p>
    <w:p w14:paraId="04E3D1CF" w14:textId="15154F46" w:rsidR="009F484B" w:rsidRDefault="007B07F2" w:rsidP="003E0DF0">
      <w:r w:rsidRPr="007B07F2">
        <w:t xml:space="preserve">There </w:t>
      </w:r>
      <w:r w:rsidR="00D957D3">
        <w:t>is</w:t>
      </w:r>
      <w:r w:rsidRPr="007B07F2">
        <w:t xml:space="preserve"> also interest</w:t>
      </w:r>
      <w:r w:rsidR="00D957D3">
        <w:t>, as supported by the Australasian Railway</w:t>
      </w:r>
      <w:r w:rsidRPr="007B07F2">
        <w:t xml:space="preserve"> </w:t>
      </w:r>
      <w:r w:rsidR="00D957D3">
        <w:t>Association</w:t>
      </w:r>
      <w:r w:rsidR="00FE4EE7">
        <w:t>’s</w:t>
      </w:r>
      <w:r w:rsidR="00D957D3">
        <w:t xml:space="preserve"> submission to the </w:t>
      </w:r>
      <w:r w:rsidR="00B06BE7">
        <w:t>FYSO</w:t>
      </w:r>
      <w:r w:rsidR="00D957D3">
        <w:t xml:space="preserve">, </w:t>
      </w:r>
      <w:r w:rsidRPr="007B07F2">
        <w:t>in investigating possible use of the 1900–1910 MHz frequency range for FRMCS. Th</w:t>
      </w:r>
      <w:r w:rsidR="00D80C92">
        <w:t xml:space="preserve">ey claim </w:t>
      </w:r>
      <w:r w:rsidRPr="007B07F2">
        <w:t xml:space="preserve">there are significant benefits </w:t>
      </w:r>
      <w:r w:rsidR="00BF21D0">
        <w:t>that</w:t>
      </w:r>
      <w:r w:rsidRPr="007B07F2">
        <w:t xml:space="preserve"> could be realised by the Australian rail industry by aligning with any European arrangements </w:t>
      </w:r>
      <w:r w:rsidR="0005799C">
        <w:t>through its use</w:t>
      </w:r>
      <w:r w:rsidR="009F484B">
        <w:t>.</w:t>
      </w:r>
    </w:p>
    <w:p w14:paraId="7E084D28" w14:textId="6D8EE1F4" w:rsidR="009F484B" w:rsidRDefault="009F484B" w:rsidP="003E0DF0">
      <w:r w:rsidRPr="001708B4">
        <w:t>The ACMA is</w:t>
      </w:r>
      <w:r>
        <w:t xml:space="preserve"> also</w:t>
      </w:r>
      <w:r w:rsidRPr="001708B4">
        <w:t xml:space="preserve"> </w:t>
      </w:r>
      <w:r w:rsidR="001E34EB">
        <w:t>aware</w:t>
      </w:r>
      <w:r w:rsidRPr="001708B4">
        <w:t xml:space="preserve"> of an increasing interest from operators in accessing more apparatus</w:t>
      </w:r>
      <w:r w:rsidR="00E73385">
        <w:t>-</w:t>
      </w:r>
      <w:r w:rsidRPr="001708B4">
        <w:t>licensed spectrum for fixed and mobile wireless broadband services</w:t>
      </w:r>
      <w:r w:rsidR="00EE18CE">
        <w:t xml:space="preserve">, noting </w:t>
      </w:r>
      <w:r>
        <w:t xml:space="preserve">technology developments in </w:t>
      </w:r>
      <w:r w:rsidRPr="00B53F89">
        <w:t xml:space="preserve">wireless broadband </w:t>
      </w:r>
      <w:r>
        <w:t>for</w:t>
      </w:r>
      <w:r w:rsidRPr="00B53F89">
        <w:t xml:space="preserve"> business enterprise services operated by private entities within the confines of their own premises</w:t>
      </w:r>
      <w:r>
        <w:t xml:space="preserve"> (generically referred to as ‘private </w:t>
      </w:r>
      <w:r w:rsidR="00D80C92">
        <w:t>networks</w:t>
      </w:r>
      <w:r>
        <w:t>’) in the 1.9 GHz band.</w:t>
      </w:r>
    </w:p>
    <w:p w14:paraId="3EA0B894" w14:textId="383904E0" w:rsidR="00A74C64" w:rsidRDefault="00A74C64" w:rsidP="00285E8F">
      <w:pPr>
        <w:pStyle w:val="Paragraph"/>
      </w:pPr>
      <w:r w:rsidRPr="00A74C64">
        <w:t>Given the evolving technolog</w:t>
      </w:r>
      <w:r w:rsidR="00BA39DE">
        <w:t>ies</w:t>
      </w:r>
      <w:r w:rsidRPr="00A74C64">
        <w:t xml:space="preserve"> and use cases in the band, </w:t>
      </w:r>
      <w:r w:rsidR="00E73385">
        <w:t>we are</w:t>
      </w:r>
      <w:r w:rsidRPr="00A74C64">
        <w:t xml:space="preserve"> of the </w:t>
      </w:r>
      <w:r>
        <w:t>p</w:t>
      </w:r>
      <w:r w:rsidRPr="00A74C64">
        <w:t xml:space="preserve">reliminary view that the current regulatory </w:t>
      </w:r>
      <w:r w:rsidR="00833E94" w:rsidRPr="00A74C64">
        <w:t>arrangement</w:t>
      </w:r>
      <w:r w:rsidR="00833E94">
        <w:t>s</w:t>
      </w:r>
      <w:r w:rsidRPr="00A74C64">
        <w:t xml:space="preserve"> in the band </w:t>
      </w:r>
      <w:r w:rsidR="00BA39DE">
        <w:t>are</w:t>
      </w:r>
      <w:r w:rsidRPr="00A74C64">
        <w:t xml:space="preserve"> unlikely to </w:t>
      </w:r>
      <w:r w:rsidR="00BA39DE">
        <w:t xml:space="preserve">now </w:t>
      </w:r>
      <w:r w:rsidRPr="00A74C64">
        <w:t xml:space="preserve">align with the spectrum uses and users that best promote the long-term </w:t>
      </w:r>
      <w:r w:rsidRPr="00A74C64" w:rsidDel="00B80858">
        <w:t>public interest</w:t>
      </w:r>
      <w:r w:rsidRPr="00A74C64">
        <w:t xml:space="preserve"> derive</w:t>
      </w:r>
      <w:r w:rsidR="00D80C92">
        <w:t>d</w:t>
      </w:r>
      <w:r w:rsidRPr="00A74C64">
        <w:t xml:space="preserve"> from use of the spectrum. </w:t>
      </w:r>
      <w:r w:rsidR="00BA39DE">
        <w:t>Consequently, t</w:t>
      </w:r>
      <w:r w:rsidRPr="00A74C64">
        <w:t>he</w:t>
      </w:r>
      <w:r w:rsidR="00EE18CE">
        <w:t xml:space="preserve">re is </w:t>
      </w:r>
      <w:r w:rsidRPr="00A74C64">
        <w:t xml:space="preserve">a case for arrangements to be reviewed and potentially changed. </w:t>
      </w:r>
    </w:p>
    <w:p w14:paraId="6E32C19F" w14:textId="0EC5E4EF" w:rsidR="000B4664" w:rsidRDefault="00A230AA">
      <w:pPr>
        <w:pStyle w:val="Heading1"/>
      </w:pPr>
      <w:bookmarkStart w:id="28" w:name="_Current_domestic_arrangements"/>
      <w:bookmarkStart w:id="29" w:name="_Toc87534275"/>
      <w:bookmarkEnd w:id="28"/>
      <w:r>
        <w:lastRenderedPageBreak/>
        <w:t>Current domestic</w:t>
      </w:r>
      <w:r w:rsidR="007F0E93">
        <w:t xml:space="preserve"> arrangements</w:t>
      </w:r>
      <w:bookmarkEnd w:id="29"/>
    </w:p>
    <w:p w14:paraId="52FEC740" w14:textId="77777777" w:rsidR="00254869" w:rsidRDefault="00254869" w:rsidP="00285E8F">
      <w:pPr>
        <w:pStyle w:val="Heading2"/>
      </w:pPr>
      <w:bookmarkStart w:id="30" w:name="_Toc87534276"/>
      <w:r>
        <w:t>Overview</w:t>
      </w:r>
      <w:bookmarkEnd w:id="30"/>
      <w:r>
        <w:t xml:space="preserve"> </w:t>
      </w:r>
    </w:p>
    <w:p w14:paraId="784EB375" w14:textId="7E7CC9DB" w:rsidR="0038649B" w:rsidRDefault="00BE6BFD" w:rsidP="00BE6BFD">
      <w:r>
        <w:t xml:space="preserve">The </w:t>
      </w:r>
      <w:r w:rsidR="00862E2E">
        <w:t>1.9 GHz</w:t>
      </w:r>
      <w:r w:rsidR="00005161">
        <w:t xml:space="preserve"> band</w:t>
      </w:r>
      <w:r>
        <w:t xml:space="preserve"> is allocated in the </w:t>
      </w:r>
      <w:hyperlink r:id="rId43" w:history="1">
        <w:r w:rsidRPr="00A96E34">
          <w:rPr>
            <w:rStyle w:val="Hyperlink"/>
          </w:rPr>
          <w:t>Australian Radiofrequency Spectrum Plan</w:t>
        </w:r>
        <w:r w:rsidR="00A96E34" w:rsidRPr="00A96E34">
          <w:rPr>
            <w:rStyle w:val="Hyperlink"/>
          </w:rPr>
          <w:t xml:space="preserve"> 2021</w:t>
        </w:r>
      </w:hyperlink>
      <w:r w:rsidR="00A96E34">
        <w:t xml:space="preserve"> </w:t>
      </w:r>
      <w:r>
        <w:t xml:space="preserve">(ARSP) to fixed and mobile services on a primary basis. </w:t>
      </w:r>
    </w:p>
    <w:p w14:paraId="2EB7AFFB" w14:textId="25856197" w:rsidR="00CE691B" w:rsidRDefault="00CE691B" w:rsidP="00CE691B">
      <w:pPr>
        <w:spacing w:after="80"/>
      </w:pPr>
      <w:r>
        <w:t>In Australia, arrangements are currently in place to support the following uses in</w:t>
      </w:r>
      <w:r w:rsidR="00B07581">
        <w:t>,</w:t>
      </w:r>
      <w:r>
        <w:t xml:space="preserve"> </w:t>
      </w:r>
      <w:r w:rsidR="00654FA3">
        <w:t>and adjacent to</w:t>
      </w:r>
      <w:r w:rsidR="00B07581">
        <w:t>,</w:t>
      </w:r>
      <w:r w:rsidR="00654FA3">
        <w:t xml:space="preserve"> </w:t>
      </w:r>
      <w:r>
        <w:t xml:space="preserve">the </w:t>
      </w:r>
      <w:r w:rsidR="00862E2E">
        <w:t>1.9 GHz band</w:t>
      </w:r>
      <w:r>
        <w:t xml:space="preserve">: </w:t>
      </w:r>
    </w:p>
    <w:p w14:paraId="175F6EFB" w14:textId="77777777" w:rsidR="00254869" w:rsidRDefault="00254869" w:rsidP="00CE691B">
      <w:pPr>
        <w:pStyle w:val="ListBullet"/>
        <w:numPr>
          <w:ilvl w:val="0"/>
          <w:numId w:val="1"/>
        </w:numPr>
      </w:pPr>
      <w:r>
        <w:t>In band:</w:t>
      </w:r>
    </w:p>
    <w:p w14:paraId="1122179C" w14:textId="1458D783" w:rsidR="00243C2C" w:rsidRDefault="00E73385" w:rsidP="00E200E5">
      <w:pPr>
        <w:pStyle w:val="Bulletlevel2"/>
      </w:pPr>
      <w:r>
        <w:t>f</w:t>
      </w:r>
      <w:r w:rsidR="00CE691B" w:rsidRPr="00EA7356">
        <w:t>ixed point</w:t>
      </w:r>
      <w:r w:rsidR="00CE691B">
        <w:t>-</w:t>
      </w:r>
      <w:r w:rsidR="00CE691B" w:rsidRPr="00EA7356">
        <w:t>to</w:t>
      </w:r>
      <w:r w:rsidR="00CE691B">
        <w:t>-</w:t>
      </w:r>
      <w:r w:rsidR="00CE691B" w:rsidRPr="00EA7356">
        <w:t xml:space="preserve">point </w:t>
      </w:r>
      <w:r w:rsidR="007674C8">
        <w:t xml:space="preserve">(PTP) </w:t>
      </w:r>
      <w:r w:rsidR="00CE691B" w:rsidRPr="00EA7356">
        <w:t>services</w:t>
      </w:r>
      <w:r>
        <w:t>,</w:t>
      </w:r>
      <w:r w:rsidR="00CE691B" w:rsidRPr="00EA7356">
        <w:t xml:space="preserve"> as detailed in </w:t>
      </w:r>
      <w:r w:rsidR="009C66C2" w:rsidRPr="00EA7356">
        <w:t>in</w:t>
      </w:r>
      <w:r w:rsidR="009C66C2">
        <w:t xml:space="preserve"> the </w:t>
      </w:r>
      <w:hyperlink r:id="rId44" w:history="1">
        <w:r w:rsidR="009C66C2" w:rsidRPr="00CB724C">
          <w:rPr>
            <w:rStyle w:val="Hyperlink"/>
          </w:rPr>
          <w:t>1900-1920 MHz Frequency Band Plan 2012</w:t>
        </w:r>
      </w:hyperlink>
      <w:r w:rsidR="009C66C2">
        <w:t xml:space="preserve"> and</w:t>
      </w:r>
      <w:r w:rsidR="009C66C2" w:rsidRPr="00EA7356">
        <w:t xml:space="preserve"> </w:t>
      </w:r>
      <w:hyperlink r:id="rId45" w:history="1">
        <w:r w:rsidR="00654FA3" w:rsidRPr="00A53981">
          <w:rPr>
            <w:rStyle w:val="Hyperlink"/>
          </w:rPr>
          <w:t>RALI FX 3</w:t>
        </w:r>
      </w:hyperlink>
    </w:p>
    <w:p w14:paraId="57E70D18" w14:textId="59AC5153" w:rsidR="00CE691B" w:rsidRPr="00EA7356" w:rsidRDefault="00E73385" w:rsidP="00E200E5">
      <w:pPr>
        <w:pStyle w:val="Bulletlevel2"/>
      </w:pPr>
      <w:r>
        <w:t>p</w:t>
      </w:r>
      <w:r w:rsidR="00243C2C">
        <w:t>oint-to-</w:t>
      </w:r>
      <w:r>
        <w:t>m</w:t>
      </w:r>
      <w:r w:rsidR="00243C2C">
        <w:t xml:space="preserve">ultipoint (PMP) </w:t>
      </w:r>
      <w:r>
        <w:t>s</w:t>
      </w:r>
      <w:r w:rsidR="00243C2C">
        <w:t>ervices</w:t>
      </w:r>
      <w:r>
        <w:t>,</w:t>
      </w:r>
      <w:r w:rsidR="00654FA3">
        <w:t xml:space="preserve"> as </w:t>
      </w:r>
      <w:r w:rsidR="008B5F31">
        <w:t>detailed in</w:t>
      </w:r>
      <w:r w:rsidR="00654FA3">
        <w:t xml:space="preserve"> </w:t>
      </w:r>
      <w:r w:rsidR="009C66C2">
        <w:t xml:space="preserve">the </w:t>
      </w:r>
      <w:hyperlink r:id="rId46" w:history="1">
        <w:r w:rsidR="009C66C2" w:rsidRPr="00CB724C">
          <w:rPr>
            <w:rStyle w:val="Hyperlink"/>
          </w:rPr>
          <w:t>1900-1920 MHz Frequency Band Plan 2012</w:t>
        </w:r>
      </w:hyperlink>
      <w:r w:rsidR="009C66C2">
        <w:t xml:space="preserve"> and </w:t>
      </w:r>
      <w:hyperlink r:id="rId47" w:history="1">
        <w:r w:rsidR="00E62713" w:rsidRPr="000613C4">
          <w:rPr>
            <w:rStyle w:val="Hyperlink"/>
          </w:rPr>
          <w:t>RALI FX19</w:t>
        </w:r>
      </w:hyperlink>
      <w:r w:rsidR="00E62713">
        <w:rPr>
          <w:rStyle w:val="Hyperlink"/>
        </w:rPr>
        <w:t xml:space="preserve"> </w:t>
      </w:r>
    </w:p>
    <w:p w14:paraId="2221CE3E" w14:textId="75B179C9" w:rsidR="00CE691B" w:rsidRDefault="007A72E8" w:rsidP="00E200E5">
      <w:pPr>
        <w:pStyle w:val="Bulletlevel2"/>
      </w:pPr>
      <w:r>
        <w:t>c</w:t>
      </w:r>
      <w:r w:rsidR="00243C2C" w:rsidRPr="003F4B36">
        <w:t xml:space="preserve">ordless </w:t>
      </w:r>
      <w:r>
        <w:t>t</w:t>
      </w:r>
      <w:r w:rsidR="00243C2C" w:rsidRPr="003F4B36">
        <w:t xml:space="preserve">elecommunications </w:t>
      </w:r>
      <w:r>
        <w:t>s</w:t>
      </w:r>
      <w:r w:rsidR="00243C2C" w:rsidRPr="003F4B36">
        <w:t>ervices</w:t>
      </w:r>
      <w:r w:rsidR="00243C2C" w:rsidRPr="00243C2C">
        <w:t xml:space="preserve"> (CTS)</w:t>
      </w:r>
      <w:r w:rsidR="00243C2C">
        <w:t xml:space="preserve"> technologies</w:t>
      </w:r>
      <w:r w:rsidR="00654FA3">
        <w:t xml:space="preserve"> (including DECT and Personal Handy</w:t>
      </w:r>
      <w:r w:rsidR="00FE7E0B">
        <w:t>-p</w:t>
      </w:r>
      <w:r w:rsidR="00654FA3">
        <w:t>hone (PHS) systems)</w:t>
      </w:r>
      <w:r w:rsidR="00CE691B">
        <w:t xml:space="preserve">, under the </w:t>
      </w:r>
      <w:hyperlink r:id="rId48" w:history="1">
        <w:r w:rsidR="00CE691B" w:rsidRPr="004878E5">
          <w:rPr>
            <w:rStyle w:val="Hyperlink"/>
          </w:rPr>
          <w:t>Radiocommunications (Cordless Communications Devices) Class Licence 2014</w:t>
        </w:r>
      </w:hyperlink>
      <w:r w:rsidR="00E73385" w:rsidRPr="00E200E5">
        <w:t>.</w:t>
      </w:r>
      <w:r w:rsidR="00F5099F" w:rsidRPr="00BC67B0">
        <w:t xml:space="preserve"> </w:t>
      </w:r>
    </w:p>
    <w:p w14:paraId="7258D9C0" w14:textId="5B33BBFE" w:rsidR="00254869" w:rsidRDefault="00254869" w:rsidP="00E200E5">
      <w:pPr>
        <w:pStyle w:val="Bulletlevel1"/>
      </w:pPr>
      <w:r>
        <w:t>Adjacent band</w:t>
      </w:r>
      <w:r w:rsidR="00131E8A">
        <w:t>s</w:t>
      </w:r>
      <w:r w:rsidR="00B07581">
        <w:t>:</w:t>
      </w:r>
    </w:p>
    <w:p w14:paraId="322A0CE6" w14:textId="349A03F7" w:rsidR="00BF72F6" w:rsidRDefault="00586B4D" w:rsidP="00E200E5">
      <w:pPr>
        <w:pStyle w:val="Bulletlevel2"/>
      </w:pPr>
      <w:r>
        <w:t>P</w:t>
      </w:r>
      <w:r w:rsidRPr="00586B4D">
        <w:t xml:space="preserve">ublic </w:t>
      </w:r>
      <w:r>
        <w:t>M</w:t>
      </w:r>
      <w:r w:rsidRPr="00586B4D">
        <w:t xml:space="preserve">obile </w:t>
      </w:r>
      <w:r>
        <w:t>T</w:t>
      </w:r>
      <w:r w:rsidRPr="00586B4D">
        <w:t xml:space="preserve">elecommunications </w:t>
      </w:r>
      <w:r>
        <w:t>S</w:t>
      </w:r>
      <w:r w:rsidRPr="00586B4D">
        <w:t>ervice</w:t>
      </w:r>
      <w:r>
        <w:t xml:space="preserve"> (</w:t>
      </w:r>
      <w:r w:rsidR="00CE691B">
        <w:t>PMT</w:t>
      </w:r>
      <w:r>
        <w:t xml:space="preserve">S Class B </w:t>
      </w:r>
      <w:r w:rsidR="00E73385">
        <w:t>and</w:t>
      </w:r>
      <w:r>
        <w:t xml:space="preserve"> Class C)</w:t>
      </w:r>
      <w:r w:rsidR="00E73385">
        <w:t>,</w:t>
      </w:r>
      <w:r w:rsidR="00045A62">
        <w:t xml:space="preserve"> as detailed in</w:t>
      </w:r>
      <w:r w:rsidR="00F52EFA">
        <w:t xml:space="preserve"> </w:t>
      </w:r>
      <w:hyperlink r:id="rId49" w:history="1">
        <w:r w:rsidR="00F52EFA" w:rsidRPr="00F52EFA">
          <w:rPr>
            <w:rStyle w:val="Hyperlink"/>
          </w:rPr>
          <w:t>RALI MS33</w:t>
        </w:r>
      </w:hyperlink>
      <w:r w:rsidR="00F52EFA">
        <w:t xml:space="preserve"> and</w:t>
      </w:r>
      <w:r w:rsidR="00F52EFA" w:rsidDel="00A0273D">
        <w:t xml:space="preserve"> </w:t>
      </w:r>
      <w:hyperlink r:id="rId50" w:history="1">
        <w:r w:rsidR="00045A62" w:rsidRPr="00045A62">
          <w:rPr>
            <w:rStyle w:val="Hyperlink"/>
          </w:rPr>
          <w:t>RALI MS 34</w:t>
        </w:r>
      </w:hyperlink>
    </w:p>
    <w:p w14:paraId="445F51F1" w14:textId="78056537" w:rsidR="00654FA3" w:rsidRDefault="00654FA3" w:rsidP="00E200E5">
      <w:pPr>
        <w:pStyle w:val="Bulletlevel2"/>
      </w:pPr>
      <w:r>
        <w:t>1800 MHz spectrum licences</w:t>
      </w:r>
      <w:r w:rsidR="00045A62">
        <w:t xml:space="preserve"> as defined in the </w:t>
      </w:r>
      <w:hyperlink r:id="rId51" w:history="1">
        <w:r w:rsidR="00045A62" w:rsidRPr="00045A62">
          <w:rPr>
            <w:rStyle w:val="Hyperlink"/>
          </w:rPr>
          <w:t>1800 MHz technical framework</w:t>
        </w:r>
      </w:hyperlink>
    </w:p>
    <w:p w14:paraId="44391825" w14:textId="7864C07E" w:rsidR="00654FA3" w:rsidRDefault="00654FA3" w:rsidP="00E200E5">
      <w:pPr>
        <w:pStyle w:val="Bulletlevel2last"/>
      </w:pPr>
      <w:r>
        <w:t>2 GHz spectrum licences</w:t>
      </w:r>
      <w:r w:rsidR="00045A62">
        <w:t xml:space="preserve"> as defined in the </w:t>
      </w:r>
      <w:hyperlink r:id="rId52" w:history="1">
        <w:r w:rsidR="00045A62" w:rsidRPr="00045A62">
          <w:rPr>
            <w:rStyle w:val="Hyperlink"/>
          </w:rPr>
          <w:t>2 GHz technical framework</w:t>
        </w:r>
      </w:hyperlink>
      <w:r w:rsidR="00E73385" w:rsidRPr="00BC67B0">
        <w:rPr>
          <w:rStyle w:val="Hyperlink"/>
          <w:color w:val="auto"/>
          <w:u w:val="none"/>
        </w:rPr>
        <w:t>.</w:t>
      </w:r>
    </w:p>
    <w:p w14:paraId="4F926A22" w14:textId="27CFB64A" w:rsidR="00550569" w:rsidRDefault="007B4576" w:rsidP="00550569">
      <w:pPr>
        <w:pStyle w:val="Paragraph"/>
      </w:pPr>
      <w:r w:rsidRPr="007B4576">
        <w:t xml:space="preserve">An </w:t>
      </w:r>
      <w:r w:rsidR="00196E16">
        <w:t>overview</w:t>
      </w:r>
      <w:r w:rsidR="00196E16" w:rsidRPr="007B4576">
        <w:t xml:space="preserve"> </w:t>
      </w:r>
      <w:r w:rsidRPr="007B4576">
        <w:t xml:space="preserve">of these arrangements is provided in Figure </w:t>
      </w:r>
      <w:r w:rsidR="00907118">
        <w:t>2</w:t>
      </w:r>
      <w:r w:rsidRPr="007B4576">
        <w:t>.</w:t>
      </w:r>
      <w:r w:rsidR="00550569">
        <w:t xml:space="preserve"> </w:t>
      </w:r>
    </w:p>
    <w:p w14:paraId="6FB46715" w14:textId="1D998019" w:rsidR="007B4576" w:rsidRDefault="007B4576" w:rsidP="00E200E5">
      <w:pPr>
        <w:pStyle w:val="Figureheading"/>
      </w:pPr>
      <w:r>
        <w:t xml:space="preserve">Illustration of current </w:t>
      </w:r>
      <w:r w:rsidRPr="00792602">
        <w:t>arrangements</w:t>
      </w:r>
      <w:r>
        <w:t xml:space="preserve"> in and adjacent to </w:t>
      </w:r>
      <w:r w:rsidR="00E73385">
        <w:br/>
      </w:r>
      <w:r w:rsidRPr="007B4576">
        <w:t>1880</w:t>
      </w:r>
      <w:r w:rsidR="00E73385">
        <w:t>–</w:t>
      </w:r>
      <w:r w:rsidRPr="007B4576">
        <w:t>1920</w:t>
      </w:r>
      <w:r w:rsidR="00E73385">
        <w:t> </w:t>
      </w:r>
      <w:r w:rsidRPr="007B4576">
        <w:t>MHz</w:t>
      </w:r>
    </w:p>
    <w:p w14:paraId="64D82EA4" w14:textId="544F12E7" w:rsidR="007B4576" w:rsidRDefault="00C829F4" w:rsidP="00E200E5">
      <w:pPr>
        <w:pStyle w:val="Paragraph"/>
        <w:spacing w:after="360"/>
        <w:rPr>
          <w:sz w:val="18"/>
          <w:szCs w:val="18"/>
        </w:rPr>
      </w:pPr>
      <w:r>
        <w:rPr>
          <w:noProof/>
        </w:rPr>
        <w:drawing>
          <wp:inline distT="0" distB="0" distL="0" distR="0" wp14:anchorId="2756F637" wp14:editId="7ADA5730">
            <wp:extent cx="6605270" cy="1495425"/>
            <wp:effectExtent l="0" t="0" r="5080" b="9525"/>
            <wp:docPr id="27" name="Picture 27"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f you need help accessing or reading this diagram, please contact the ACMA's Customer Service Centre by phone on 1300 850 115 or by email at  info@acma.gov.au"/>
                    <pic:cNvPicPr/>
                  </pic:nvPicPr>
                  <pic:blipFill>
                    <a:blip r:embed="rId53"/>
                    <a:stretch>
                      <a:fillRect/>
                    </a:stretch>
                  </pic:blipFill>
                  <pic:spPr>
                    <a:xfrm>
                      <a:off x="0" y="0"/>
                      <a:ext cx="6611800" cy="1496903"/>
                    </a:xfrm>
                    <a:prstGeom prst="rect">
                      <a:avLst/>
                    </a:prstGeom>
                  </pic:spPr>
                </pic:pic>
              </a:graphicData>
            </a:graphic>
          </wp:inline>
        </w:drawing>
      </w:r>
    </w:p>
    <w:p w14:paraId="14E94C80" w14:textId="4B8ED103" w:rsidR="007A0892" w:rsidRDefault="007A0892" w:rsidP="00E200E5">
      <w:pPr>
        <w:spacing w:before="240"/>
        <w:rPr>
          <w:b/>
          <w:bCs/>
          <w:color w:val="323232"/>
          <w:szCs w:val="20"/>
        </w:rPr>
      </w:pPr>
      <w:r>
        <w:t xml:space="preserve">A </w:t>
      </w:r>
      <w:r w:rsidR="00907118">
        <w:t>numerical</w:t>
      </w:r>
      <w:r>
        <w:t xml:space="preserve"> breakdown of apparatus-licensed services in the </w:t>
      </w:r>
      <w:r w:rsidR="00862E2E">
        <w:t>1.9 GHz band</w:t>
      </w:r>
      <w:r>
        <w:t xml:space="preserve"> and the 10 MHz adjacent to the </w:t>
      </w:r>
      <w:r w:rsidR="00862E2E">
        <w:t>1.9 GHz band</w:t>
      </w:r>
      <w:r>
        <w:t xml:space="preserve"> is provided in Table 1. </w:t>
      </w:r>
      <w:r w:rsidR="00B94373">
        <w:t>Th</w:t>
      </w:r>
      <w:r>
        <w:t xml:space="preserve">ere are </w:t>
      </w:r>
      <w:r w:rsidR="00CE76FE">
        <w:t>122 point-to-multipoint and 44</w:t>
      </w:r>
      <w:r>
        <w:t xml:space="preserve"> point-to-point </w:t>
      </w:r>
      <w:r w:rsidR="00CE76FE">
        <w:t>assignments</w:t>
      </w:r>
      <w:r>
        <w:t xml:space="preserve"> </w:t>
      </w:r>
      <w:r w:rsidR="00CE76FE">
        <w:t>in the 1</w:t>
      </w:r>
      <w:r w:rsidR="007674C8">
        <w:t>.</w:t>
      </w:r>
      <w:r w:rsidR="00CE76FE">
        <w:t xml:space="preserve">9 </w:t>
      </w:r>
      <w:r w:rsidR="007674C8">
        <w:t>G</w:t>
      </w:r>
      <w:r w:rsidR="00CE76FE">
        <w:t>Hz</w:t>
      </w:r>
      <w:r w:rsidR="007674C8">
        <w:t xml:space="preserve"> band</w:t>
      </w:r>
      <w:r w:rsidR="00CE76FE">
        <w:t xml:space="preserve">. </w:t>
      </w:r>
      <w:bookmarkStart w:id="31" w:name="_Hlk86929380"/>
      <w:r w:rsidR="00CA3E6A">
        <w:t>T</w:t>
      </w:r>
      <w:r w:rsidR="00CE76FE">
        <w:t xml:space="preserve">here are </w:t>
      </w:r>
      <w:r w:rsidR="00F52ED2">
        <w:t>many</w:t>
      </w:r>
      <w:r w:rsidR="00CE76FE">
        <w:t xml:space="preserve"> </w:t>
      </w:r>
      <w:r w:rsidR="00E200E5" w:rsidRPr="00697D79">
        <w:t>spectrum</w:t>
      </w:r>
      <w:r w:rsidR="00697D79">
        <w:t>-</w:t>
      </w:r>
      <w:r w:rsidR="00E200E5" w:rsidRPr="00697D79">
        <w:t>licensed</w:t>
      </w:r>
      <w:r w:rsidR="00E73385" w:rsidRPr="00697D79">
        <w:t xml:space="preserve"> </w:t>
      </w:r>
      <w:r w:rsidR="00CE76FE" w:rsidRPr="00697D79">
        <w:t xml:space="preserve">PMTS Class B </w:t>
      </w:r>
      <w:r w:rsidR="009B30E2" w:rsidRPr="00697D79">
        <w:t xml:space="preserve">and </w:t>
      </w:r>
      <w:r w:rsidR="0055149E" w:rsidRPr="00697D79">
        <w:t>some</w:t>
      </w:r>
      <w:r w:rsidR="009B30E2" w:rsidRPr="00697D79">
        <w:t xml:space="preserve"> PMTS Class C </w:t>
      </w:r>
      <w:r w:rsidR="00CE76FE" w:rsidRPr="00697D79">
        <w:t>services in the 10</w:t>
      </w:r>
      <w:r w:rsidR="002773FB" w:rsidRPr="00697D79">
        <w:t> </w:t>
      </w:r>
      <w:r w:rsidR="00CE76FE" w:rsidRPr="00697D79">
        <w:t xml:space="preserve">MHz adjacent to the </w:t>
      </w:r>
      <w:r w:rsidR="00862E2E" w:rsidRPr="00697D79">
        <w:t>1.9 GHz band</w:t>
      </w:r>
      <w:r w:rsidR="00CE76FE" w:rsidRPr="00697D79">
        <w:t>.</w:t>
      </w:r>
      <w:r w:rsidRPr="00697D79">
        <w:t xml:space="preserve"> </w:t>
      </w:r>
      <w:bookmarkEnd w:id="31"/>
      <w:r w:rsidR="005E5054" w:rsidRPr="00697D79">
        <w:t>There are currently no scientific</w:t>
      </w:r>
      <w:r w:rsidR="00E73385" w:rsidRPr="00697D79">
        <w:t>-</w:t>
      </w:r>
      <w:r w:rsidR="005E5054" w:rsidRPr="00697D79">
        <w:t xml:space="preserve">assigned </w:t>
      </w:r>
      <w:r w:rsidR="00B16ADF" w:rsidRPr="00697D79">
        <w:t>licences</w:t>
      </w:r>
      <w:r w:rsidR="005E5054" w:rsidRPr="00697D79">
        <w:t xml:space="preserve"> in the 1.9</w:t>
      </w:r>
      <w:r w:rsidR="001241AF" w:rsidRPr="00697D79">
        <w:t xml:space="preserve"> </w:t>
      </w:r>
      <w:r w:rsidR="005E5054" w:rsidRPr="00697D79">
        <w:t>GHz band</w:t>
      </w:r>
      <w:r w:rsidR="00985630" w:rsidRPr="00697D79">
        <w:t xml:space="preserve">. </w:t>
      </w:r>
      <w:r w:rsidRPr="00697D79">
        <w:t xml:space="preserve">As the ACMA does not record the number and location of devices operating under class licences, we </w:t>
      </w:r>
      <w:r w:rsidR="00CF0D3C" w:rsidRPr="00697D79">
        <w:t>cannot</w:t>
      </w:r>
      <w:r w:rsidRPr="00697D79">
        <w:t xml:space="preserve"> provide information about the number of </w:t>
      </w:r>
      <w:r w:rsidR="00CE76FE" w:rsidRPr="00697D79">
        <w:t>class</w:t>
      </w:r>
      <w:r w:rsidR="00E73385" w:rsidRPr="00697D79">
        <w:t>-</w:t>
      </w:r>
      <w:r w:rsidR="00CE76FE" w:rsidRPr="00697D79">
        <w:t>licensed</w:t>
      </w:r>
      <w:r w:rsidRPr="00697D79">
        <w:t xml:space="preserve"> </w:t>
      </w:r>
      <w:r w:rsidR="00CE76FE" w:rsidRPr="00697D79">
        <w:t>DECT devices</w:t>
      </w:r>
      <w:r w:rsidRPr="00697D79">
        <w:t xml:space="preserve"> that have been deployed in the </w:t>
      </w:r>
      <w:r w:rsidR="00CF0D3C" w:rsidRPr="00697D79">
        <w:t>1.9</w:t>
      </w:r>
      <w:r w:rsidR="00F5099F" w:rsidRPr="00697D79">
        <w:t> </w:t>
      </w:r>
      <w:r w:rsidR="00CF0D3C" w:rsidRPr="00697D79">
        <w:t>GHz band</w:t>
      </w:r>
      <w:r w:rsidR="00EA5E2E" w:rsidRPr="00697D79">
        <w:t>, though the ACMA is aware that</w:t>
      </w:r>
      <w:r w:rsidR="00EA5E2E">
        <w:t xml:space="preserve"> many DECT devices remain commercially available in Australia</w:t>
      </w:r>
      <w:r>
        <w:t xml:space="preserve">. </w:t>
      </w:r>
    </w:p>
    <w:p w14:paraId="14719C94" w14:textId="77777777" w:rsidR="00CE76FE" w:rsidRDefault="00CE76FE">
      <w:pPr>
        <w:spacing w:after="0" w:line="240" w:lineRule="auto"/>
        <w:rPr>
          <w:b/>
          <w:bCs/>
          <w:color w:val="323232"/>
          <w:szCs w:val="20"/>
        </w:rPr>
      </w:pPr>
      <w:r>
        <w:br w:type="page"/>
      </w:r>
    </w:p>
    <w:p w14:paraId="1E3DB0EC" w14:textId="50798DE1" w:rsidR="00C408C5" w:rsidRDefault="00C408C5" w:rsidP="001F08F2">
      <w:pPr>
        <w:pStyle w:val="Tableheading"/>
      </w:pPr>
      <w:r>
        <w:lastRenderedPageBreak/>
        <w:t>Number of apparatus-licensed services between 1870–1930 MHz</w:t>
      </w:r>
    </w:p>
    <w:tbl>
      <w:tblPr>
        <w:tblW w:w="8328" w:type="dxa"/>
        <w:tblBorders>
          <w:top w:val="single" w:sz="4" w:space="0" w:color="auto"/>
          <w:bottom w:val="single" w:sz="4" w:space="0" w:color="auto"/>
          <w:insideH w:val="single" w:sz="4" w:space="0" w:color="auto"/>
        </w:tblBorders>
        <w:tblCellMar>
          <w:top w:w="85" w:type="dxa"/>
          <w:bottom w:w="85" w:type="dxa"/>
        </w:tblCellMar>
        <w:tblLook w:val="07E0" w:firstRow="1" w:lastRow="1" w:firstColumn="1" w:lastColumn="1" w:noHBand="1" w:noVBand="1"/>
        <w:tblCaption w:val="Table title to go here"/>
        <w:tblDescription w:val="Table description to go here"/>
      </w:tblPr>
      <w:tblGrid>
        <w:gridCol w:w="2800"/>
        <w:gridCol w:w="1843"/>
        <w:gridCol w:w="1843"/>
        <w:gridCol w:w="1842"/>
      </w:tblGrid>
      <w:tr w:rsidR="009A1022" w:rsidRPr="00517F15" w14:paraId="3C0B260C" w14:textId="77777777" w:rsidTr="009A1022">
        <w:tc>
          <w:tcPr>
            <w:tcW w:w="2800" w:type="dxa"/>
            <w:vMerge w:val="restart"/>
            <w:shd w:val="clear" w:color="auto" w:fill="404040" w:themeFill="text1" w:themeFillTint="BF"/>
            <w:vAlign w:val="center"/>
          </w:tcPr>
          <w:p w14:paraId="080D4A5F" w14:textId="44BC4D26" w:rsidR="009A1022" w:rsidRPr="00BC67B0" w:rsidRDefault="009A1022" w:rsidP="00C408C5">
            <w:pPr>
              <w:pStyle w:val="TableHeading0"/>
              <w:rPr>
                <w:rFonts w:cs="Arial"/>
                <w:color w:val="FFFFFF" w:themeColor="background1"/>
                <w:szCs w:val="20"/>
              </w:rPr>
            </w:pPr>
            <w:r w:rsidRPr="00BC67B0">
              <w:rPr>
                <w:rFonts w:cs="Arial"/>
                <w:color w:val="FFFFFF" w:themeColor="background1"/>
                <w:szCs w:val="20"/>
              </w:rPr>
              <w:t>Service type</w:t>
            </w:r>
          </w:p>
        </w:tc>
        <w:tc>
          <w:tcPr>
            <w:tcW w:w="5528" w:type="dxa"/>
            <w:gridSpan w:val="3"/>
            <w:shd w:val="clear" w:color="auto" w:fill="404040" w:themeFill="text1" w:themeFillTint="BF"/>
            <w:vAlign w:val="center"/>
          </w:tcPr>
          <w:p w14:paraId="026371A3" w14:textId="4A93A00B" w:rsidR="009A1022" w:rsidRPr="00517F15" w:rsidRDefault="009A1022" w:rsidP="00C408C5">
            <w:pPr>
              <w:pStyle w:val="TableHeading0"/>
              <w:jc w:val="center"/>
              <w:rPr>
                <w:rFonts w:cs="Arial"/>
                <w:color w:val="FFFFFF" w:themeColor="background1"/>
                <w:szCs w:val="20"/>
              </w:rPr>
            </w:pPr>
            <w:r w:rsidRPr="00517F15">
              <w:rPr>
                <w:rFonts w:cs="Arial"/>
                <w:color w:val="FFFFFF" w:themeColor="background1"/>
                <w:szCs w:val="20"/>
              </w:rPr>
              <w:t>Number of assignments</w:t>
            </w:r>
          </w:p>
        </w:tc>
      </w:tr>
      <w:tr w:rsidR="009A1022" w:rsidRPr="00517F15" w14:paraId="3FFD6C24" w14:textId="77777777" w:rsidTr="009A1022">
        <w:tc>
          <w:tcPr>
            <w:tcW w:w="2800" w:type="dxa"/>
            <w:vMerge/>
            <w:shd w:val="clear" w:color="auto" w:fill="404040" w:themeFill="text1" w:themeFillTint="BF"/>
            <w:vAlign w:val="center"/>
          </w:tcPr>
          <w:p w14:paraId="283313CB" w14:textId="77777777" w:rsidR="009A1022" w:rsidRPr="00517F15" w:rsidRDefault="009A1022" w:rsidP="00C408C5">
            <w:pPr>
              <w:pStyle w:val="TableHeading0"/>
              <w:rPr>
                <w:rFonts w:cs="Arial"/>
                <w:color w:val="FFFFFF" w:themeColor="background1"/>
                <w:szCs w:val="20"/>
              </w:rPr>
            </w:pPr>
          </w:p>
        </w:tc>
        <w:tc>
          <w:tcPr>
            <w:tcW w:w="1843" w:type="dxa"/>
            <w:tcBorders>
              <w:bottom w:val="single" w:sz="4" w:space="0" w:color="auto"/>
            </w:tcBorders>
            <w:shd w:val="clear" w:color="auto" w:fill="404040" w:themeFill="text1" w:themeFillTint="BF"/>
            <w:vAlign w:val="center"/>
          </w:tcPr>
          <w:p w14:paraId="56DB97F1" w14:textId="05B1AF35" w:rsidR="009A1022" w:rsidRPr="00517F15" w:rsidRDefault="009A1022" w:rsidP="00E200E5">
            <w:pPr>
              <w:pStyle w:val="TableHeading0"/>
              <w:jc w:val="right"/>
              <w:rPr>
                <w:rFonts w:cs="Arial"/>
                <w:color w:val="FFFFFF" w:themeColor="background1"/>
                <w:szCs w:val="20"/>
              </w:rPr>
            </w:pPr>
            <w:r w:rsidRPr="00517F15">
              <w:rPr>
                <w:rFonts w:cs="Arial"/>
                <w:color w:val="FFFFFF" w:themeColor="background1"/>
                <w:szCs w:val="20"/>
              </w:rPr>
              <w:t>1870–1880 MHz</w:t>
            </w:r>
          </w:p>
        </w:tc>
        <w:tc>
          <w:tcPr>
            <w:tcW w:w="1843" w:type="dxa"/>
            <w:tcBorders>
              <w:bottom w:val="single" w:sz="4" w:space="0" w:color="auto"/>
            </w:tcBorders>
            <w:shd w:val="clear" w:color="auto" w:fill="404040" w:themeFill="text1" w:themeFillTint="BF"/>
            <w:vAlign w:val="center"/>
          </w:tcPr>
          <w:p w14:paraId="4160D5FD" w14:textId="38CCFD15" w:rsidR="009A1022" w:rsidRPr="00517F15" w:rsidRDefault="009A1022" w:rsidP="00E200E5">
            <w:pPr>
              <w:pStyle w:val="TableHeading0"/>
              <w:jc w:val="right"/>
              <w:rPr>
                <w:rFonts w:cs="Arial"/>
                <w:color w:val="FFFFFF" w:themeColor="background1"/>
                <w:szCs w:val="20"/>
              </w:rPr>
            </w:pPr>
            <w:r w:rsidRPr="00517F15">
              <w:rPr>
                <w:rFonts w:cs="Arial"/>
                <w:color w:val="FFFFFF" w:themeColor="background1"/>
                <w:szCs w:val="20"/>
              </w:rPr>
              <w:t>1880–1920 MHz</w:t>
            </w:r>
          </w:p>
        </w:tc>
        <w:tc>
          <w:tcPr>
            <w:tcW w:w="1842" w:type="dxa"/>
            <w:tcBorders>
              <w:bottom w:val="single" w:sz="4" w:space="0" w:color="auto"/>
            </w:tcBorders>
            <w:shd w:val="clear" w:color="auto" w:fill="404040" w:themeFill="text1" w:themeFillTint="BF"/>
            <w:vAlign w:val="center"/>
          </w:tcPr>
          <w:p w14:paraId="3AFE11CB" w14:textId="00BB09D5" w:rsidR="009A1022" w:rsidRPr="00517F15" w:rsidRDefault="009A1022" w:rsidP="00E200E5">
            <w:pPr>
              <w:pStyle w:val="TableHeading0"/>
              <w:jc w:val="right"/>
              <w:rPr>
                <w:rFonts w:cs="Arial"/>
                <w:color w:val="FFFFFF" w:themeColor="background1"/>
                <w:szCs w:val="20"/>
              </w:rPr>
            </w:pPr>
            <w:r w:rsidRPr="00517F15">
              <w:rPr>
                <w:rFonts w:cs="Arial"/>
                <w:color w:val="FFFFFF" w:themeColor="background1"/>
                <w:szCs w:val="20"/>
              </w:rPr>
              <w:t>1920–1930 MHz</w:t>
            </w:r>
          </w:p>
        </w:tc>
      </w:tr>
      <w:tr w:rsidR="00C408C5" w:rsidRPr="00517F15" w14:paraId="4F9D050F" w14:textId="77777777" w:rsidTr="009A1022">
        <w:tc>
          <w:tcPr>
            <w:tcW w:w="2800" w:type="dxa"/>
            <w:tcBorders>
              <w:bottom w:val="single" w:sz="4" w:space="0" w:color="auto"/>
              <w:right w:val="single" w:sz="4" w:space="0" w:color="auto"/>
            </w:tcBorders>
            <w:vAlign w:val="center"/>
          </w:tcPr>
          <w:p w14:paraId="12BF7E2B" w14:textId="346FCCC2" w:rsidR="00C408C5" w:rsidRPr="00E200E5" w:rsidRDefault="00C408C5" w:rsidP="00C408C5">
            <w:pPr>
              <w:spacing w:after="0" w:line="240" w:lineRule="auto"/>
              <w:rPr>
                <w:rFonts w:cs="Arial"/>
                <w:color w:val="000000"/>
                <w:szCs w:val="20"/>
              </w:rPr>
            </w:pPr>
            <w:r w:rsidRPr="001F08F2">
              <w:rPr>
                <w:rFonts w:cs="Arial"/>
                <w:color w:val="000000"/>
                <w:szCs w:val="20"/>
              </w:rPr>
              <w:t xml:space="preserve">1800 MHz </w:t>
            </w:r>
            <w:r w:rsidR="00E73385">
              <w:rPr>
                <w:rFonts w:cs="Arial"/>
                <w:color w:val="000000"/>
                <w:szCs w:val="20"/>
              </w:rPr>
              <w:t>s</w:t>
            </w:r>
            <w:r w:rsidRPr="00E200E5">
              <w:rPr>
                <w:rFonts w:cs="Arial"/>
                <w:color w:val="000000"/>
                <w:szCs w:val="20"/>
              </w:rPr>
              <w:t xml:space="preserve">pectrum </w:t>
            </w:r>
            <w:r w:rsidR="00E73385">
              <w:rPr>
                <w:rFonts w:cs="Arial"/>
                <w:color w:val="000000"/>
                <w:szCs w:val="20"/>
              </w:rPr>
              <w:t>l</w:t>
            </w:r>
            <w:r w:rsidRPr="00E200E5">
              <w:rPr>
                <w:rFonts w:cs="Arial"/>
                <w:color w:val="000000"/>
                <w:szCs w:val="20"/>
              </w:rPr>
              <w:t>icence</w:t>
            </w:r>
          </w:p>
        </w:tc>
        <w:tc>
          <w:tcPr>
            <w:tcW w:w="1843" w:type="dxa"/>
            <w:tcBorders>
              <w:left w:val="single" w:sz="4" w:space="0" w:color="auto"/>
              <w:bottom w:val="single" w:sz="4" w:space="0" w:color="auto"/>
              <w:right w:val="single" w:sz="4" w:space="0" w:color="auto"/>
            </w:tcBorders>
            <w:vAlign w:val="center"/>
          </w:tcPr>
          <w:p w14:paraId="6604EBAC" w14:textId="24CBC2A3" w:rsidR="00C408C5" w:rsidRPr="00E200E5" w:rsidRDefault="00C408C5" w:rsidP="001F08F2">
            <w:pPr>
              <w:spacing w:after="0" w:line="240" w:lineRule="auto"/>
              <w:jc w:val="right"/>
              <w:rPr>
                <w:rFonts w:cs="Arial"/>
                <w:color w:val="000000"/>
                <w:szCs w:val="20"/>
              </w:rPr>
            </w:pPr>
            <w:r w:rsidRPr="00E200E5">
              <w:rPr>
                <w:rFonts w:cs="Arial"/>
                <w:color w:val="000000"/>
                <w:szCs w:val="20"/>
              </w:rPr>
              <w:t>3</w:t>
            </w:r>
            <w:r w:rsidR="00E73385">
              <w:rPr>
                <w:rFonts w:cs="Arial"/>
                <w:color w:val="000000"/>
                <w:szCs w:val="20"/>
              </w:rPr>
              <w:t>,</w:t>
            </w:r>
            <w:r w:rsidRPr="00E200E5">
              <w:rPr>
                <w:rFonts w:cs="Arial"/>
                <w:color w:val="000000"/>
                <w:szCs w:val="20"/>
              </w:rPr>
              <w:t>987</w:t>
            </w:r>
          </w:p>
        </w:tc>
        <w:tc>
          <w:tcPr>
            <w:tcW w:w="1843" w:type="dxa"/>
            <w:tcBorders>
              <w:left w:val="single" w:sz="4" w:space="0" w:color="auto"/>
              <w:bottom w:val="single" w:sz="4" w:space="0" w:color="auto"/>
              <w:right w:val="single" w:sz="4" w:space="0" w:color="auto"/>
            </w:tcBorders>
            <w:vAlign w:val="center"/>
          </w:tcPr>
          <w:p w14:paraId="65D1FFFF" w14:textId="77777777" w:rsidR="00C408C5" w:rsidRPr="00E200E5" w:rsidRDefault="00C408C5" w:rsidP="001F08F2">
            <w:pPr>
              <w:spacing w:after="0" w:line="240" w:lineRule="auto"/>
              <w:jc w:val="right"/>
              <w:rPr>
                <w:rFonts w:cs="Arial"/>
                <w:color w:val="000000"/>
                <w:szCs w:val="20"/>
              </w:rPr>
            </w:pPr>
            <w:r w:rsidRPr="00E200E5">
              <w:rPr>
                <w:rFonts w:cs="Arial"/>
                <w:color w:val="000000"/>
                <w:szCs w:val="20"/>
              </w:rPr>
              <w:t>0</w:t>
            </w:r>
          </w:p>
        </w:tc>
        <w:tc>
          <w:tcPr>
            <w:tcW w:w="1842" w:type="dxa"/>
            <w:tcBorders>
              <w:left w:val="single" w:sz="4" w:space="0" w:color="auto"/>
              <w:bottom w:val="single" w:sz="4" w:space="0" w:color="auto"/>
            </w:tcBorders>
            <w:vAlign w:val="center"/>
          </w:tcPr>
          <w:p w14:paraId="4456C3A9" w14:textId="77777777" w:rsidR="00C408C5" w:rsidRPr="00E200E5" w:rsidRDefault="00C408C5" w:rsidP="001F08F2">
            <w:pPr>
              <w:spacing w:after="0" w:line="240" w:lineRule="auto"/>
              <w:jc w:val="right"/>
              <w:rPr>
                <w:rFonts w:cs="Arial"/>
                <w:color w:val="000000"/>
                <w:szCs w:val="20"/>
              </w:rPr>
            </w:pPr>
            <w:r w:rsidRPr="00E200E5">
              <w:rPr>
                <w:rFonts w:cs="Arial"/>
                <w:color w:val="000000"/>
                <w:szCs w:val="20"/>
              </w:rPr>
              <w:t>0</w:t>
            </w:r>
          </w:p>
        </w:tc>
      </w:tr>
      <w:tr w:rsidR="00C408C5" w:rsidRPr="00517F15" w14:paraId="52A97F44" w14:textId="77777777" w:rsidTr="009A1022">
        <w:tc>
          <w:tcPr>
            <w:tcW w:w="2800" w:type="dxa"/>
            <w:tcBorders>
              <w:right w:val="single" w:sz="4" w:space="0" w:color="auto"/>
            </w:tcBorders>
            <w:shd w:val="clear" w:color="auto" w:fill="F2F2F2" w:themeFill="background1" w:themeFillShade="F2"/>
            <w:vAlign w:val="center"/>
          </w:tcPr>
          <w:p w14:paraId="55D7E20C" w14:textId="0FE1E553" w:rsidR="00C408C5" w:rsidRPr="00E200E5" w:rsidRDefault="00C408C5" w:rsidP="00C408C5">
            <w:pPr>
              <w:spacing w:after="0" w:line="240" w:lineRule="auto"/>
              <w:rPr>
                <w:rFonts w:cs="Arial"/>
                <w:color w:val="000000"/>
                <w:szCs w:val="20"/>
              </w:rPr>
            </w:pPr>
            <w:r w:rsidRPr="00E200E5">
              <w:rPr>
                <w:rFonts w:cs="Arial"/>
                <w:color w:val="000000"/>
                <w:szCs w:val="20"/>
              </w:rPr>
              <w:t>PMTS Class B</w:t>
            </w:r>
          </w:p>
        </w:tc>
        <w:tc>
          <w:tcPr>
            <w:tcW w:w="1843" w:type="dxa"/>
            <w:tcBorders>
              <w:left w:val="single" w:sz="4" w:space="0" w:color="auto"/>
              <w:right w:val="single" w:sz="4" w:space="0" w:color="auto"/>
            </w:tcBorders>
            <w:shd w:val="clear" w:color="auto" w:fill="F2F2F2" w:themeFill="background1" w:themeFillShade="F2"/>
            <w:vAlign w:val="center"/>
          </w:tcPr>
          <w:p w14:paraId="0148A302" w14:textId="14E09E1F" w:rsidR="00C408C5" w:rsidRPr="00E200E5" w:rsidRDefault="00C408C5" w:rsidP="00E200E5">
            <w:pPr>
              <w:spacing w:after="0" w:line="240" w:lineRule="auto"/>
              <w:jc w:val="right"/>
              <w:rPr>
                <w:rFonts w:cs="Arial"/>
                <w:color w:val="000000"/>
                <w:szCs w:val="20"/>
              </w:rPr>
            </w:pPr>
            <w:r w:rsidRPr="00E200E5">
              <w:rPr>
                <w:rFonts w:cs="Arial"/>
                <w:color w:val="000000"/>
                <w:szCs w:val="20"/>
              </w:rPr>
              <w:t>252</w:t>
            </w:r>
          </w:p>
        </w:tc>
        <w:tc>
          <w:tcPr>
            <w:tcW w:w="1843" w:type="dxa"/>
            <w:tcBorders>
              <w:left w:val="single" w:sz="4" w:space="0" w:color="auto"/>
              <w:right w:val="single" w:sz="4" w:space="0" w:color="auto"/>
            </w:tcBorders>
            <w:shd w:val="clear" w:color="auto" w:fill="F2F2F2" w:themeFill="background1" w:themeFillShade="F2"/>
            <w:vAlign w:val="center"/>
          </w:tcPr>
          <w:p w14:paraId="5AA228BD" w14:textId="1EBBE802" w:rsidR="00C408C5" w:rsidRPr="00E200E5" w:rsidRDefault="00C408C5" w:rsidP="00E200E5">
            <w:pPr>
              <w:spacing w:after="0" w:line="240" w:lineRule="auto"/>
              <w:jc w:val="right"/>
              <w:rPr>
                <w:rFonts w:cs="Arial"/>
                <w:color w:val="000000"/>
                <w:szCs w:val="20"/>
              </w:rPr>
            </w:pPr>
            <w:r w:rsidRPr="00E200E5">
              <w:rPr>
                <w:rFonts w:cs="Arial"/>
                <w:color w:val="000000"/>
                <w:szCs w:val="20"/>
              </w:rPr>
              <w:t>0</w:t>
            </w:r>
          </w:p>
        </w:tc>
        <w:tc>
          <w:tcPr>
            <w:tcW w:w="1842" w:type="dxa"/>
            <w:tcBorders>
              <w:left w:val="single" w:sz="4" w:space="0" w:color="auto"/>
            </w:tcBorders>
            <w:shd w:val="clear" w:color="auto" w:fill="F2F2F2" w:themeFill="background1" w:themeFillShade="F2"/>
            <w:vAlign w:val="center"/>
          </w:tcPr>
          <w:p w14:paraId="1A01D087" w14:textId="6C7C3BF7" w:rsidR="00C408C5" w:rsidRPr="00E200E5" w:rsidRDefault="00C408C5" w:rsidP="00E200E5">
            <w:pPr>
              <w:spacing w:after="0" w:line="240" w:lineRule="auto"/>
              <w:jc w:val="right"/>
              <w:rPr>
                <w:rFonts w:cs="Arial"/>
                <w:color w:val="000000"/>
                <w:szCs w:val="20"/>
              </w:rPr>
            </w:pPr>
            <w:r w:rsidRPr="00E200E5">
              <w:rPr>
                <w:rFonts w:cs="Arial"/>
                <w:color w:val="000000"/>
                <w:szCs w:val="20"/>
              </w:rPr>
              <w:t>1</w:t>
            </w:r>
            <w:r w:rsidR="008E3683">
              <w:rPr>
                <w:rFonts w:cs="Arial"/>
                <w:color w:val="000000"/>
                <w:szCs w:val="20"/>
              </w:rPr>
              <w:t>,</w:t>
            </w:r>
            <w:r w:rsidRPr="00E200E5">
              <w:rPr>
                <w:rFonts w:cs="Arial"/>
                <w:color w:val="000000"/>
                <w:szCs w:val="20"/>
              </w:rPr>
              <w:t>088</w:t>
            </w:r>
          </w:p>
        </w:tc>
      </w:tr>
      <w:tr w:rsidR="009B30E2" w:rsidRPr="00517F15" w14:paraId="478A0EF2" w14:textId="77777777" w:rsidTr="009A1022">
        <w:tc>
          <w:tcPr>
            <w:tcW w:w="2800" w:type="dxa"/>
            <w:tcBorders>
              <w:right w:val="single" w:sz="4" w:space="0" w:color="auto"/>
            </w:tcBorders>
            <w:shd w:val="clear" w:color="auto" w:fill="auto"/>
            <w:vAlign w:val="center"/>
          </w:tcPr>
          <w:p w14:paraId="1B0B647C" w14:textId="3941FC54" w:rsidR="009B30E2" w:rsidRPr="00E200E5" w:rsidRDefault="009B30E2" w:rsidP="00C408C5">
            <w:pPr>
              <w:spacing w:after="0" w:line="240" w:lineRule="auto"/>
              <w:rPr>
                <w:rFonts w:cs="Arial"/>
                <w:color w:val="000000"/>
                <w:szCs w:val="20"/>
              </w:rPr>
            </w:pPr>
            <w:r w:rsidRPr="00E200E5">
              <w:rPr>
                <w:rFonts w:cs="Arial"/>
                <w:color w:val="000000"/>
                <w:szCs w:val="20"/>
              </w:rPr>
              <w:t>PMTS Class C</w:t>
            </w:r>
          </w:p>
        </w:tc>
        <w:tc>
          <w:tcPr>
            <w:tcW w:w="1843" w:type="dxa"/>
            <w:tcBorders>
              <w:left w:val="single" w:sz="4" w:space="0" w:color="auto"/>
              <w:right w:val="single" w:sz="4" w:space="0" w:color="auto"/>
            </w:tcBorders>
            <w:shd w:val="clear" w:color="auto" w:fill="auto"/>
            <w:vAlign w:val="center"/>
          </w:tcPr>
          <w:p w14:paraId="1F1A99AE" w14:textId="3379FD41" w:rsidR="009B30E2" w:rsidRPr="00E200E5" w:rsidRDefault="009B30E2" w:rsidP="00E200E5">
            <w:pPr>
              <w:spacing w:after="0" w:line="240" w:lineRule="auto"/>
              <w:jc w:val="right"/>
              <w:rPr>
                <w:rFonts w:cs="Arial"/>
                <w:color w:val="000000"/>
                <w:szCs w:val="20"/>
              </w:rPr>
            </w:pPr>
            <w:r w:rsidRPr="00E200E5">
              <w:rPr>
                <w:rFonts w:cs="Arial"/>
                <w:color w:val="000000"/>
                <w:szCs w:val="20"/>
              </w:rPr>
              <w:t>3</w:t>
            </w:r>
          </w:p>
        </w:tc>
        <w:tc>
          <w:tcPr>
            <w:tcW w:w="1843" w:type="dxa"/>
            <w:tcBorders>
              <w:left w:val="single" w:sz="4" w:space="0" w:color="auto"/>
              <w:right w:val="single" w:sz="4" w:space="0" w:color="auto"/>
            </w:tcBorders>
            <w:shd w:val="clear" w:color="auto" w:fill="auto"/>
            <w:vAlign w:val="center"/>
          </w:tcPr>
          <w:p w14:paraId="5A866E45" w14:textId="69F57F2D" w:rsidR="009B30E2" w:rsidRPr="00E200E5" w:rsidRDefault="009B30E2" w:rsidP="00E200E5">
            <w:pPr>
              <w:spacing w:after="0" w:line="240" w:lineRule="auto"/>
              <w:jc w:val="right"/>
              <w:rPr>
                <w:rFonts w:cs="Arial"/>
                <w:color w:val="000000"/>
                <w:szCs w:val="20"/>
              </w:rPr>
            </w:pPr>
            <w:r w:rsidRPr="00E200E5">
              <w:rPr>
                <w:rFonts w:cs="Arial"/>
                <w:color w:val="000000"/>
                <w:szCs w:val="20"/>
              </w:rPr>
              <w:t>0</w:t>
            </w:r>
          </w:p>
        </w:tc>
        <w:tc>
          <w:tcPr>
            <w:tcW w:w="1842" w:type="dxa"/>
            <w:tcBorders>
              <w:left w:val="single" w:sz="4" w:space="0" w:color="auto"/>
            </w:tcBorders>
            <w:shd w:val="clear" w:color="auto" w:fill="auto"/>
            <w:vAlign w:val="center"/>
          </w:tcPr>
          <w:p w14:paraId="72412089" w14:textId="0A1CD604" w:rsidR="009B30E2" w:rsidRPr="00E200E5" w:rsidRDefault="009B30E2" w:rsidP="00E200E5">
            <w:pPr>
              <w:spacing w:after="0" w:line="240" w:lineRule="auto"/>
              <w:jc w:val="right"/>
              <w:rPr>
                <w:rFonts w:cs="Arial"/>
                <w:color w:val="000000"/>
                <w:szCs w:val="20"/>
              </w:rPr>
            </w:pPr>
            <w:r w:rsidRPr="00E200E5">
              <w:rPr>
                <w:rFonts w:cs="Arial"/>
                <w:color w:val="000000"/>
                <w:szCs w:val="20"/>
              </w:rPr>
              <w:t>0</w:t>
            </w:r>
          </w:p>
        </w:tc>
      </w:tr>
      <w:tr w:rsidR="009B30E2" w:rsidRPr="00517F15" w14:paraId="111CB526" w14:textId="77777777" w:rsidTr="009A1022">
        <w:tc>
          <w:tcPr>
            <w:tcW w:w="2800" w:type="dxa"/>
            <w:tcBorders>
              <w:right w:val="single" w:sz="4" w:space="0" w:color="auto"/>
            </w:tcBorders>
            <w:shd w:val="clear" w:color="auto" w:fill="F2F2F2" w:themeFill="background1" w:themeFillShade="F2"/>
            <w:vAlign w:val="center"/>
          </w:tcPr>
          <w:p w14:paraId="4A0B6364" w14:textId="3F010CAA" w:rsidR="009B30E2" w:rsidRPr="00E200E5" w:rsidRDefault="009B30E2" w:rsidP="00C408C5">
            <w:pPr>
              <w:spacing w:after="0" w:line="240" w:lineRule="auto"/>
              <w:rPr>
                <w:rFonts w:cs="Arial"/>
                <w:color w:val="000000"/>
                <w:szCs w:val="20"/>
              </w:rPr>
            </w:pPr>
            <w:r w:rsidRPr="00E200E5">
              <w:rPr>
                <w:rFonts w:cs="Arial"/>
                <w:color w:val="000000"/>
                <w:szCs w:val="20"/>
              </w:rPr>
              <w:t>Point</w:t>
            </w:r>
            <w:r w:rsidR="00E73385">
              <w:rPr>
                <w:rFonts w:cs="Arial"/>
                <w:color w:val="000000"/>
                <w:szCs w:val="20"/>
              </w:rPr>
              <w:t>-</w:t>
            </w:r>
            <w:r w:rsidRPr="00E200E5">
              <w:rPr>
                <w:rFonts w:cs="Arial"/>
                <w:color w:val="000000"/>
                <w:szCs w:val="20"/>
              </w:rPr>
              <w:t>to</w:t>
            </w:r>
            <w:r w:rsidR="00E73385">
              <w:rPr>
                <w:rFonts w:cs="Arial"/>
                <w:color w:val="000000"/>
                <w:szCs w:val="20"/>
              </w:rPr>
              <w:t>-</w:t>
            </w:r>
            <w:r w:rsidRPr="00E200E5">
              <w:rPr>
                <w:rFonts w:cs="Arial"/>
                <w:color w:val="000000"/>
                <w:szCs w:val="20"/>
              </w:rPr>
              <w:t>point</w:t>
            </w:r>
          </w:p>
        </w:tc>
        <w:tc>
          <w:tcPr>
            <w:tcW w:w="1843" w:type="dxa"/>
            <w:tcBorders>
              <w:left w:val="single" w:sz="4" w:space="0" w:color="auto"/>
              <w:right w:val="single" w:sz="4" w:space="0" w:color="auto"/>
            </w:tcBorders>
            <w:shd w:val="clear" w:color="auto" w:fill="F2F2F2" w:themeFill="background1" w:themeFillShade="F2"/>
            <w:vAlign w:val="center"/>
          </w:tcPr>
          <w:p w14:paraId="31F0D8DB" w14:textId="102C3C6D" w:rsidR="009B30E2" w:rsidRPr="00E200E5" w:rsidRDefault="009B30E2" w:rsidP="00E200E5">
            <w:pPr>
              <w:spacing w:after="0" w:line="240" w:lineRule="auto"/>
              <w:jc w:val="right"/>
              <w:rPr>
                <w:rFonts w:cs="Arial"/>
                <w:color w:val="000000"/>
                <w:szCs w:val="20"/>
              </w:rPr>
            </w:pPr>
            <w:r w:rsidRPr="00E200E5">
              <w:rPr>
                <w:rFonts w:cs="Arial"/>
                <w:color w:val="000000"/>
                <w:szCs w:val="20"/>
              </w:rPr>
              <w:t>28</w:t>
            </w:r>
          </w:p>
        </w:tc>
        <w:tc>
          <w:tcPr>
            <w:tcW w:w="1843" w:type="dxa"/>
            <w:tcBorders>
              <w:left w:val="single" w:sz="4" w:space="0" w:color="auto"/>
              <w:right w:val="single" w:sz="4" w:space="0" w:color="auto"/>
            </w:tcBorders>
            <w:shd w:val="clear" w:color="auto" w:fill="F2F2F2" w:themeFill="background1" w:themeFillShade="F2"/>
            <w:vAlign w:val="center"/>
          </w:tcPr>
          <w:p w14:paraId="7FBC281D" w14:textId="6301AB2F" w:rsidR="009B30E2" w:rsidRPr="00E200E5" w:rsidRDefault="009B30E2" w:rsidP="00E200E5">
            <w:pPr>
              <w:spacing w:after="0" w:line="240" w:lineRule="auto"/>
              <w:jc w:val="right"/>
              <w:rPr>
                <w:rFonts w:cs="Arial"/>
                <w:color w:val="000000"/>
                <w:szCs w:val="20"/>
              </w:rPr>
            </w:pPr>
            <w:r w:rsidRPr="00E200E5">
              <w:rPr>
                <w:rFonts w:cs="Arial"/>
                <w:color w:val="000000"/>
                <w:szCs w:val="20"/>
              </w:rPr>
              <w:t>44</w:t>
            </w:r>
          </w:p>
        </w:tc>
        <w:tc>
          <w:tcPr>
            <w:tcW w:w="1842" w:type="dxa"/>
            <w:tcBorders>
              <w:left w:val="single" w:sz="4" w:space="0" w:color="auto"/>
            </w:tcBorders>
            <w:shd w:val="clear" w:color="auto" w:fill="F2F2F2" w:themeFill="background1" w:themeFillShade="F2"/>
            <w:vAlign w:val="center"/>
          </w:tcPr>
          <w:p w14:paraId="705BE994" w14:textId="75A42D94" w:rsidR="009B30E2" w:rsidRPr="00E200E5" w:rsidRDefault="009B30E2" w:rsidP="00E200E5">
            <w:pPr>
              <w:spacing w:after="0" w:line="240" w:lineRule="auto"/>
              <w:jc w:val="right"/>
              <w:rPr>
                <w:rFonts w:cs="Arial"/>
                <w:color w:val="000000"/>
                <w:szCs w:val="20"/>
              </w:rPr>
            </w:pPr>
            <w:r w:rsidRPr="00E200E5">
              <w:rPr>
                <w:rFonts w:cs="Arial"/>
                <w:color w:val="000000"/>
                <w:szCs w:val="20"/>
              </w:rPr>
              <w:t>44</w:t>
            </w:r>
          </w:p>
        </w:tc>
      </w:tr>
      <w:tr w:rsidR="00C408C5" w:rsidRPr="00517F15" w14:paraId="7B150BC7" w14:textId="77777777" w:rsidTr="009A1022">
        <w:tc>
          <w:tcPr>
            <w:tcW w:w="2800" w:type="dxa"/>
            <w:tcBorders>
              <w:bottom w:val="single" w:sz="4" w:space="0" w:color="auto"/>
              <w:right w:val="single" w:sz="4" w:space="0" w:color="auto"/>
            </w:tcBorders>
            <w:vAlign w:val="center"/>
          </w:tcPr>
          <w:p w14:paraId="4B8444B2" w14:textId="1C79B154" w:rsidR="00C408C5" w:rsidRPr="00E200E5" w:rsidRDefault="00C408C5" w:rsidP="00C408C5">
            <w:pPr>
              <w:spacing w:after="0" w:line="240" w:lineRule="auto"/>
              <w:rPr>
                <w:rFonts w:cs="Arial"/>
                <w:color w:val="000000"/>
                <w:szCs w:val="20"/>
              </w:rPr>
            </w:pPr>
            <w:r w:rsidRPr="00E200E5">
              <w:rPr>
                <w:rFonts w:cs="Arial"/>
                <w:color w:val="000000"/>
                <w:szCs w:val="20"/>
              </w:rPr>
              <w:t>Point</w:t>
            </w:r>
            <w:r w:rsidR="00E73385">
              <w:rPr>
                <w:rFonts w:cs="Arial"/>
                <w:color w:val="000000"/>
                <w:szCs w:val="20"/>
              </w:rPr>
              <w:t>-</w:t>
            </w:r>
            <w:r w:rsidRPr="00E200E5">
              <w:rPr>
                <w:rFonts w:cs="Arial"/>
                <w:color w:val="000000"/>
                <w:szCs w:val="20"/>
              </w:rPr>
              <w:t>to</w:t>
            </w:r>
            <w:r w:rsidR="00E73385">
              <w:rPr>
                <w:rFonts w:cs="Arial"/>
                <w:color w:val="000000"/>
                <w:szCs w:val="20"/>
              </w:rPr>
              <w:t>-</w:t>
            </w:r>
            <w:r w:rsidR="009B30E2" w:rsidRPr="00E200E5">
              <w:rPr>
                <w:rFonts w:cs="Arial"/>
                <w:color w:val="000000"/>
                <w:szCs w:val="20"/>
              </w:rPr>
              <w:t>multipoint</w:t>
            </w:r>
          </w:p>
        </w:tc>
        <w:tc>
          <w:tcPr>
            <w:tcW w:w="1843" w:type="dxa"/>
            <w:tcBorders>
              <w:left w:val="single" w:sz="4" w:space="0" w:color="auto"/>
              <w:bottom w:val="single" w:sz="4" w:space="0" w:color="auto"/>
              <w:right w:val="single" w:sz="4" w:space="0" w:color="auto"/>
            </w:tcBorders>
            <w:vAlign w:val="center"/>
          </w:tcPr>
          <w:p w14:paraId="02EEBE3B" w14:textId="5215F476" w:rsidR="00C408C5" w:rsidRPr="00E200E5" w:rsidRDefault="009B30E2" w:rsidP="00E200E5">
            <w:pPr>
              <w:spacing w:after="0" w:line="240" w:lineRule="auto"/>
              <w:jc w:val="right"/>
              <w:rPr>
                <w:rFonts w:cs="Arial"/>
                <w:color w:val="000000"/>
                <w:szCs w:val="20"/>
              </w:rPr>
            </w:pPr>
            <w:r w:rsidRPr="00E200E5">
              <w:rPr>
                <w:rFonts w:cs="Arial"/>
                <w:color w:val="000000"/>
                <w:szCs w:val="20"/>
              </w:rPr>
              <w:t>0</w:t>
            </w:r>
          </w:p>
        </w:tc>
        <w:tc>
          <w:tcPr>
            <w:tcW w:w="1843" w:type="dxa"/>
            <w:tcBorders>
              <w:left w:val="single" w:sz="4" w:space="0" w:color="auto"/>
              <w:bottom w:val="single" w:sz="4" w:space="0" w:color="auto"/>
              <w:right w:val="single" w:sz="4" w:space="0" w:color="auto"/>
            </w:tcBorders>
            <w:vAlign w:val="center"/>
          </w:tcPr>
          <w:p w14:paraId="1C0485F9" w14:textId="4DADBB1E" w:rsidR="00C408C5" w:rsidRPr="00E200E5" w:rsidRDefault="009B30E2" w:rsidP="00E200E5">
            <w:pPr>
              <w:spacing w:after="0" w:line="240" w:lineRule="auto"/>
              <w:jc w:val="right"/>
              <w:rPr>
                <w:rFonts w:cs="Arial"/>
                <w:color w:val="000000"/>
                <w:szCs w:val="20"/>
              </w:rPr>
            </w:pPr>
            <w:r w:rsidRPr="00E200E5">
              <w:rPr>
                <w:rFonts w:cs="Arial"/>
                <w:color w:val="000000"/>
                <w:szCs w:val="20"/>
              </w:rPr>
              <w:t>122</w:t>
            </w:r>
          </w:p>
        </w:tc>
        <w:tc>
          <w:tcPr>
            <w:tcW w:w="1842" w:type="dxa"/>
            <w:tcBorders>
              <w:left w:val="single" w:sz="4" w:space="0" w:color="auto"/>
              <w:bottom w:val="single" w:sz="4" w:space="0" w:color="auto"/>
            </w:tcBorders>
            <w:vAlign w:val="center"/>
          </w:tcPr>
          <w:p w14:paraId="74945F33" w14:textId="4941EC3A" w:rsidR="00C408C5" w:rsidRPr="00E200E5" w:rsidRDefault="009B30E2" w:rsidP="00E200E5">
            <w:pPr>
              <w:spacing w:after="0" w:line="240" w:lineRule="auto"/>
              <w:jc w:val="right"/>
              <w:rPr>
                <w:rFonts w:cs="Arial"/>
                <w:color w:val="000000"/>
                <w:szCs w:val="20"/>
              </w:rPr>
            </w:pPr>
            <w:r w:rsidRPr="00E200E5">
              <w:rPr>
                <w:rFonts w:cs="Arial"/>
                <w:color w:val="000000"/>
                <w:szCs w:val="20"/>
              </w:rPr>
              <w:t>0</w:t>
            </w:r>
          </w:p>
        </w:tc>
      </w:tr>
      <w:tr w:rsidR="00C408C5" w:rsidRPr="00517F15" w14:paraId="4ED08D47" w14:textId="77777777" w:rsidTr="009A1022">
        <w:tc>
          <w:tcPr>
            <w:tcW w:w="2800" w:type="dxa"/>
            <w:tcBorders>
              <w:right w:val="single" w:sz="4" w:space="0" w:color="auto"/>
            </w:tcBorders>
            <w:shd w:val="clear" w:color="auto" w:fill="F2F2F2" w:themeFill="background1" w:themeFillShade="F2"/>
            <w:vAlign w:val="center"/>
          </w:tcPr>
          <w:p w14:paraId="7171D2FE" w14:textId="1EA130D2" w:rsidR="00C408C5" w:rsidRPr="00E200E5" w:rsidRDefault="009B30E2" w:rsidP="00C408C5">
            <w:pPr>
              <w:spacing w:after="0" w:line="240" w:lineRule="auto"/>
              <w:rPr>
                <w:rFonts w:cs="Arial"/>
                <w:color w:val="000000"/>
                <w:szCs w:val="20"/>
              </w:rPr>
            </w:pPr>
            <w:r w:rsidRPr="00E200E5">
              <w:rPr>
                <w:rFonts w:cs="Arial"/>
                <w:color w:val="000000"/>
                <w:szCs w:val="20"/>
              </w:rPr>
              <w:t xml:space="preserve">2 GHz </w:t>
            </w:r>
            <w:r w:rsidR="00E73385">
              <w:rPr>
                <w:rFonts w:cs="Arial"/>
                <w:color w:val="000000"/>
                <w:szCs w:val="20"/>
              </w:rPr>
              <w:t>s</w:t>
            </w:r>
            <w:r w:rsidRPr="00E200E5">
              <w:rPr>
                <w:rFonts w:cs="Arial"/>
                <w:color w:val="000000"/>
                <w:szCs w:val="20"/>
              </w:rPr>
              <w:t xml:space="preserve">pectrum </w:t>
            </w:r>
            <w:r w:rsidR="00E73385">
              <w:rPr>
                <w:rFonts w:cs="Arial"/>
                <w:color w:val="000000"/>
                <w:szCs w:val="20"/>
              </w:rPr>
              <w:t>l</w:t>
            </w:r>
            <w:r w:rsidRPr="00E200E5">
              <w:rPr>
                <w:rFonts w:cs="Arial"/>
                <w:color w:val="000000"/>
                <w:szCs w:val="20"/>
              </w:rPr>
              <w:t>icence</w:t>
            </w:r>
          </w:p>
        </w:tc>
        <w:tc>
          <w:tcPr>
            <w:tcW w:w="1843" w:type="dxa"/>
            <w:tcBorders>
              <w:left w:val="single" w:sz="4" w:space="0" w:color="auto"/>
              <w:right w:val="single" w:sz="4" w:space="0" w:color="auto"/>
            </w:tcBorders>
            <w:shd w:val="clear" w:color="auto" w:fill="F2F2F2" w:themeFill="background1" w:themeFillShade="F2"/>
            <w:vAlign w:val="center"/>
          </w:tcPr>
          <w:p w14:paraId="5620F259" w14:textId="1C1FFBED" w:rsidR="00C408C5" w:rsidRPr="00E200E5" w:rsidRDefault="00C408C5" w:rsidP="00E200E5">
            <w:pPr>
              <w:spacing w:after="0" w:line="240" w:lineRule="auto"/>
              <w:jc w:val="right"/>
              <w:rPr>
                <w:rFonts w:cs="Arial"/>
                <w:color w:val="000000"/>
                <w:szCs w:val="20"/>
              </w:rPr>
            </w:pPr>
            <w:r w:rsidRPr="00E200E5">
              <w:rPr>
                <w:rFonts w:cs="Arial"/>
                <w:color w:val="000000"/>
                <w:szCs w:val="20"/>
              </w:rPr>
              <w:t>0</w:t>
            </w:r>
          </w:p>
        </w:tc>
        <w:tc>
          <w:tcPr>
            <w:tcW w:w="1843" w:type="dxa"/>
            <w:tcBorders>
              <w:left w:val="single" w:sz="4" w:space="0" w:color="auto"/>
              <w:right w:val="single" w:sz="4" w:space="0" w:color="auto"/>
            </w:tcBorders>
            <w:shd w:val="clear" w:color="auto" w:fill="F2F2F2" w:themeFill="background1" w:themeFillShade="F2"/>
            <w:vAlign w:val="center"/>
          </w:tcPr>
          <w:p w14:paraId="48FE18E6" w14:textId="12106561" w:rsidR="00C408C5" w:rsidRPr="00E200E5" w:rsidRDefault="009B30E2" w:rsidP="00E200E5">
            <w:pPr>
              <w:spacing w:after="0" w:line="240" w:lineRule="auto"/>
              <w:jc w:val="right"/>
              <w:rPr>
                <w:rFonts w:cs="Arial"/>
                <w:color w:val="000000"/>
                <w:szCs w:val="20"/>
              </w:rPr>
            </w:pPr>
            <w:r w:rsidRPr="00E200E5">
              <w:rPr>
                <w:rFonts w:cs="Arial"/>
                <w:color w:val="000000"/>
                <w:szCs w:val="20"/>
              </w:rPr>
              <w:t>0</w:t>
            </w:r>
          </w:p>
        </w:tc>
        <w:tc>
          <w:tcPr>
            <w:tcW w:w="1842" w:type="dxa"/>
            <w:tcBorders>
              <w:left w:val="single" w:sz="4" w:space="0" w:color="auto"/>
            </w:tcBorders>
            <w:shd w:val="clear" w:color="auto" w:fill="F2F2F2" w:themeFill="background1" w:themeFillShade="F2"/>
            <w:vAlign w:val="center"/>
          </w:tcPr>
          <w:p w14:paraId="570DFDDB" w14:textId="75155CAD" w:rsidR="00C408C5" w:rsidRPr="00E200E5" w:rsidRDefault="009B30E2" w:rsidP="00E200E5">
            <w:pPr>
              <w:spacing w:after="0" w:line="240" w:lineRule="auto"/>
              <w:jc w:val="right"/>
              <w:rPr>
                <w:rFonts w:cs="Arial"/>
                <w:color w:val="000000"/>
                <w:szCs w:val="20"/>
              </w:rPr>
            </w:pPr>
            <w:r w:rsidRPr="00E200E5">
              <w:rPr>
                <w:rFonts w:cs="Arial"/>
                <w:color w:val="000000"/>
                <w:szCs w:val="20"/>
              </w:rPr>
              <w:t>20</w:t>
            </w:r>
            <w:r w:rsidR="008E3683">
              <w:rPr>
                <w:rFonts w:cs="Arial"/>
                <w:color w:val="000000"/>
                <w:szCs w:val="20"/>
              </w:rPr>
              <w:t>,</w:t>
            </w:r>
            <w:r w:rsidRPr="00E200E5">
              <w:rPr>
                <w:rFonts w:cs="Arial"/>
                <w:color w:val="000000"/>
                <w:szCs w:val="20"/>
              </w:rPr>
              <w:t>987</w:t>
            </w:r>
          </w:p>
        </w:tc>
      </w:tr>
      <w:tr w:rsidR="00C408C5" w:rsidRPr="00517F15" w14:paraId="654E1998" w14:textId="77777777" w:rsidTr="009A1022">
        <w:tc>
          <w:tcPr>
            <w:tcW w:w="2800" w:type="dxa"/>
            <w:tcBorders>
              <w:right w:val="single" w:sz="4" w:space="0" w:color="auto"/>
            </w:tcBorders>
            <w:shd w:val="clear" w:color="auto" w:fill="D9D9D9" w:themeFill="background1" w:themeFillShade="D9"/>
            <w:vAlign w:val="center"/>
          </w:tcPr>
          <w:p w14:paraId="6052F848" w14:textId="77777777" w:rsidR="00C408C5" w:rsidRPr="00E200E5" w:rsidRDefault="00C408C5" w:rsidP="00553208">
            <w:pPr>
              <w:spacing w:after="0" w:line="240" w:lineRule="auto"/>
              <w:rPr>
                <w:rFonts w:cs="Arial"/>
                <w:b/>
                <w:color w:val="000000"/>
                <w:szCs w:val="20"/>
              </w:rPr>
            </w:pPr>
            <w:r w:rsidRPr="00E200E5">
              <w:rPr>
                <w:rFonts w:cs="Arial"/>
                <w:b/>
                <w:color w:val="000000"/>
                <w:szCs w:val="20"/>
              </w:rPr>
              <w:t>Total</w:t>
            </w:r>
          </w:p>
        </w:tc>
        <w:tc>
          <w:tcPr>
            <w:tcW w:w="1843" w:type="dxa"/>
            <w:tcBorders>
              <w:left w:val="single" w:sz="4" w:space="0" w:color="auto"/>
              <w:right w:val="single" w:sz="4" w:space="0" w:color="auto"/>
            </w:tcBorders>
            <w:shd w:val="clear" w:color="auto" w:fill="D9D9D9" w:themeFill="background1" w:themeFillShade="D9"/>
            <w:vAlign w:val="center"/>
          </w:tcPr>
          <w:p w14:paraId="5ED07BF6" w14:textId="22C61D6C" w:rsidR="00C408C5" w:rsidRPr="00E200E5" w:rsidRDefault="00C408C5" w:rsidP="00E200E5">
            <w:pPr>
              <w:spacing w:after="0" w:line="240" w:lineRule="auto"/>
              <w:jc w:val="right"/>
              <w:rPr>
                <w:rFonts w:cs="Arial"/>
                <w:b/>
                <w:color w:val="000000"/>
                <w:szCs w:val="20"/>
              </w:rPr>
            </w:pPr>
            <w:r w:rsidRPr="00E200E5">
              <w:rPr>
                <w:rFonts w:cs="Arial"/>
                <w:b/>
                <w:color w:val="000000"/>
                <w:szCs w:val="20"/>
              </w:rPr>
              <w:t>4</w:t>
            </w:r>
            <w:r w:rsidR="008E3683">
              <w:rPr>
                <w:rFonts w:cs="Arial"/>
                <w:b/>
                <w:color w:val="000000"/>
                <w:szCs w:val="20"/>
              </w:rPr>
              <w:t>,</w:t>
            </w:r>
            <w:r w:rsidRPr="00E200E5">
              <w:rPr>
                <w:rFonts w:cs="Arial"/>
                <w:b/>
                <w:color w:val="000000"/>
                <w:szCs w:val="20"/>
              </w:rPr>
              <w:t>27</w:t>
            </w:r>
            <w:r w:rsidR="00D94947">
              <w:rPr>
                <w:rFonts w:cs="Arial"/>
                <w:b/>
                <w:color w:val="000000"/>
                <w:szCs w:val="20"/>
              </w:rPr>
              <w:t>0</w:t>
            </w:r>
          </w:p>
        </w:tc>
        <w:tc>
          <w:tcPr>
            <w:tcW w:w="1843" w:type="dxa"/>
            <w:tcBorders>
              <w:left w:val="single" w:sz="4" w:space="0" w:color="auto"/>
              <w:right w:val="single" w:sz="4" w:space="0" w:color="auto"/>
            </w:tcBorders>
            <w:shd w:val="clear" w:color="auto" w:fill="D9D9D9" w:themeFill="background1" w:themeFillShade="D9"/>
            <w:vAlign w:val="center"/>
          </w:tcPr>
          <w:p w14:paraId="7F308705" w14:textId="0624AE6A" w:rsidR="00C408C5" w:rsidRPr="00E200E5" w:rsidRDefault="00C408C5" w:rsidP="00E200E5">
            <w:pPr>
              <w:spacing w:after="0" w:line="240" w:lineRule="auto"/>
              <w:jc w:val="right"/>
              <w:rPr>
                <w:rFonts w:cs="Arial"/>
                <w:b/>
                <w:color w:val="000000"/>
                <w:szCs w:val="20"/>
              </w:rPr>
            </w:pPr>
            <w:r w:rsidRPr="00E200E5">
              <w:rPr>
                <w:rFonts w:cs="Arial"/>
                <w:b/>
                <w:color w:val="000000"/>
                <w:szCs w:val="20"/>
              </w:rPr>
              <w:t>166</w:t>
            </w:r>
          </w:p>
        </w:tc>
        <w:tc>
          <w:tcPr>
            <w:tcW w:w="1842" w:type="dxa"/>
            <w:tcBorders>
              <w:left w:val="single" w:sz="4" w:space="0" w:color="auto"/>
            </w:tcBorders>
            <w:shd w:val="clear" w:color="auto" w:fill="D9D9D9" w:themeFill="background1" w:themeFillShade="D9"/>
            <w:vAlign w:val="center"/>
          </w:tcPr>
          <w:p w14:paraId="03B8D849" w14:textId="4F91530E" w:rsidR="00C408C5" w:rsidRPr="00E200E5" w:rsidRDefault="00C408C5" w:rsidP="00E200E5">
            <w:pPr>
              <w:spacing w:after="0" w:line="240" w:lineRule="auto"/>
              <w:jc w:val="right"/>
              <w:rPr>
                <w:rFonts w:cs="Arial"/>
                <w:b/>
                <w:color w:val="000000"/>
                <w:szCs w:val="20"/>
              </w:rPr>
            </w:pPr>
            <w:r w:rsidRPr="00E200E5">
              <w:rPr>
                <w:rFonts w:cs="Arial"/>
                <w:b/>
                <w:color w:val="000000"/>
                <w:szCs w:val="20"/>
              </w:rPr>
              <w:t>22</w:t>
            </w:r>
            <w:r w:rsidR="008E3683">
              <w:rPr>
                <w:rFonts w:cs="Arial"/>
                <w:b/>
                <w:color w:val="000000"/>
                <w:szCs w:val="20"/>
              </w:rPr>
              <w:t>,</w:t>
            </w:r>
            <w:r w:rsidRPr="00E200E5">
              <w:rPr>
                <w:rFonts w:cs="Arial"/>
                <w:b/>
                <w:color w:val="000000"/>
                <w:szCs w:val="20"/>
              </w:rPr>
              <w:t>119</w:t>
            </w:r>
          </w:p>
        </w:tc>
      </w:tr>
    </w:tbl>
    <w:p w14:paraId="23D9E067" w14:textId="7380FEA2" w:rsidR="007B4576" w:rsidRPr="00B000E5" w:rsidRDefault="00195DF7" w:rsidP="00B000E5">
      <w:pPr>
        <w:spacing w:before="80" w:after="0" w:line="240" w:lineRule="auto"/>
        <w:rPr>
          <w:sz w:val="16"/>
          <w:szCs w:val="16"/>
        </w:rPr>
      </w:pPr>
      <w:r w:rsidRPr="006F4B63">
        <w:rPr>
          <w:i/>
          <w:sz w:val="16"/>
          <w:szCs w:val="16"/>
        </w:rPr>
        <w:t xml:space="preserve">Data taken from </w:t>
      </w:r>
      <w:hyperlink r:id="rId54"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sidR="00897E3B">
        <w:rPr>
          <w:i/>
          <w:sz w:val="16"/>
          <w:szCs w:val="16"/>
        </w:rPr>
        <w:t>2</w:t>
      </w:r>
      <w:r w:rsidRPr="006F4B63">
        <w:rPr>
          <w:i/>
          <w:sz w:val="16"/>
          <w:szCs w:val="16"/>
        </w:rPr>
        <w:t xml:space="preserve"> </w:t>
      </w:r>
      <w:r w:rsidR="00897E3B">
        <w:rPr>
          <w:i/>
          <w:sz w:val="16"/>
          <w:szCs w:val="16"/>
        </w:rPr>
        <w:t>August</w:t>
      </w:r>
      <w:r w:rsidRPr="006F4B63">
        <w:rPr>
          <w:i/>
          <w:sz w:val="16"/>
          <w:szCs w:val="16"/>
        </w:rPr>
        <w:t xml:space="preserve"> 20</w:t>
      </w:r>
      <w:r w:rsidR="00897E3B">
        <w:rPr>
          <w:i/>
          <w:sz w:val="16"/>
          <w:szCs w:val="16"/>
        </w:rPr>
        <w:t>21</w:t>
      </w:r>
      <w:r>
        <w:rPr>
          <w:i/>
          <w:sz w:val="16"/>
          <w:szCs w:val="16"/>
        </w:rPr>
        <w:t>.</w:t>
      </w:r>
    </w:p>
    <w:p w14:paraId="370923F6" w14:textId="52F5B65D" w:rsidR="00026609" w:rsidRDefault="00DF0044" w:rsidP="00CE76FE">
      <w:pPr>
        <w:pStyle w:val="Heading2"/>
      </w:pPr>
      <w:bookmarkStart w:id="32" w:name="_Toc87534277"/>
      <w:r w:rsidRPr="001A7456">
        <w:t>Point-to-</w:t>
      </w:r>
      <w:r w:rsidR="00E91421">
        <w:t>p</w:t>
      </w:r>
      <w:r w:rsidRPr="001A7456">
        <w:t xml:space="preserve">oint </w:t>
      </w:r>
      <w:r w:rsidR="00E91421">
        <w:t>s</w:t>
      </w:r>
      <w:r w:rsidR="00026609" w:rsidRPr="001A7456">
        <w:t>ervices</w:t>
      </w:r>
      <w:bookmarkEnd w:id="32"/>
    </w:p>
    <w:p w14:paraId="085235D6" w14:textId="2993F4F1" w:rsidR="0021225B" w:rsidRDefault="00E13A40" w:rsidP="0021225B">
      <w:pPr>
        <w:pStyle w:val="Paragraph"/>
      </w:pPr>
      <w:r w:rsidRPr="00E13A40">
        <w:t>Point-to-</w:t>
      </w:r>
      <w:r w:rsidR="008D7BD6">
        <w:t>p</w:t>
      </w:r>
      <w:r>
        <w:t>oint</w:t>
      </w:r>
      <w:r w:rsidRPr="00E13A40">
        <w:t xml:space="preserve"> services in the 1.9 GHz band are</w:t>
      </w:r>
      <w:r w:rsidR="00172A82">
        <w:t xml:space="preserve"> generally</w:t>
      </w:r>
      <w:r w:rsidRPr="00E13A40">
        <w:t xml:space="preserve"> used </w:t>
      </w:r>
      <w:r w:rsidR="00172A82">
        <w:t xml:space="preserve">for low to medium capacity radio </w:t>
      </w:r>
      <w:r w:rsidR="00C74F72">
        <w:t>links</w:t>
      </w:r>
      <w:r w:rsidR="00172A82">
        <w:t xml:space="preserve"> </w:t>
      </w:r>
      <w:r w:rsidR="005E1270">
        <w:t>by tel</w:t>
      </w:r>
      <w:r w:rsidR="00C31A00">
        <w:t>e</w:t>
      </w:r>
      <w:r w:rsidR="005E1270">
        <w:t>co</w:t>
      </w:r>
      <w:r w:rsidR="00C31A00">
        <w:t>mmunications operator</w:t>
      </w:r>
      <w:r w:rsidR="005E1270">
        <w:t>s and industries such as mining.</w:t>
      </w:r>
      <w:r w:rsidRPr="00E13A40" w:rsidDel="005E1270">
        <w:t xml:space="preserve"> </w:t>
      </w:r>
      <w:hyperlink r:id="rId55" w:history="1">
        <w:r w:rsidR="00424838" w:rsidRPr="00996355">
          <w:rPr>
            <w:rStyle w:val="Hyperlink"/>
          </w:rPr>
          <w:t>RALI FX3</w:t>
        </w:r>
      </w:hyperlink>
      <w:r w:rsidR="00424838">
        <w:t xml:space="preserve"> </w:t>
      </w:r>
      <w:r w:rsidR="005823E3">
        <w:t>provides the planning guidelines for fixed point</w:t>
      </w:r>
      <w:r w:rsidR="009476E9">
        <w:t>-</w:t>
      </w:r>
      <w:r w:rsidR="005823E3">
        <w:t>to</w:t>
      </w:r>
      <w:r w:rsidR="009476E9">
        <w:t>-</w:t>
      </w:r>
      <w:r w:rsidR="005823E3">
        <w:t>point service</w:t>
      </w:r>
      <w:r w:rsidR="005A3697">
        <w:t>s</w:t>
      </w:r>
      <w:r w:rsidR="005823E3">
        <w:t>.</w:t>
      </w:r>
      <w:r w:rsidR="0021225B">
        <w:t xml:space="preserve"> </w:t>
      </w:r>
      <w:r w:rsidR="005A3697">
        <w:t>T</w:t>
      </w:r>
      <w:r w:rsidR="0021225B">
        <w:t xml:space="preserve">here are </w:t>
      </w:r>
      <w:r w:rsidR="00BC67B0">
        <w:t xml:space="preserve">2 </w:t>
      </w:r>
      <w:r w:rsidR="0021225B">
        <w:t>fixed point</w:t>
      </w:r>
      <w:r w:rsidR="005823E3">
        <w:t>-</w:t>
      </w:r>
      <w:r w:rsidR="0021225B">
        <w:t>to</w:t>
      </w:r>
      <w:r w:rsidR="005823E3">
        <w:t>-</w:t>
      </w:r>
      <w:r w:rsidR="0021225B">
        <w:t xml:space="preserve">point </w:t>
      </w:r>
      <w:r w:rsidR="005823E3">
        <w:t>channel plans</w:t>
      </w:r>
      <w:r w:rsidR="00BC67B0">
        <w:t xml:space="preserve"> – </w:t>
      </w:r>
      <w:r w:rsidR="005823E3">
        <w:t>1.8 GHz and 2</w:t>
      </w:r>
      <w:r w:rsidR="00CD51ED">
        <w:t>.1</w:t>
      </w:r>
      <w:r w:rsidR="005823E3">
        <w:t xml:space="preserve"> GHz</w:t>
      </w:r>
      <w:r w:rsidR="00BC67B0">
        <w:t xml:space="preserve"> – </w:t>
      </w:r>
      <w:r w:rsidR="005A3697">
        <w:t>that overlap</w:t>
      </w:r>
      <w:r w:rsidR="00424838">
        <w:t xml:space="preserve"> the 1.9 GHz band. Figure </w:t>
      </w:r>
      <w:r w:rsidR="00331DD9">
        <w:t xml:space="preserve">3 </w:t>
      </w:r>
      <w:r w:rsidR="00424838" w:rsidRPr="007A39A0">
        <w:t xml:space="preserve">provides an illustration of the </w:t>
      </w:r>
      <w:r w:rsidR="00131E8A">
        <w:t xml:space="preserve">various </w:t>
      </w:r>
      <w:r w:rsidR="00424838" w:rsidRPr="007A39A0">
        <w:t>channelling arrangements</w:t>
      </w:r>
      <w:r w:rsidR="00424838">
        <w:t>.</w:t>
      </w:r>
    </w:p>
    <w:p w14:paraId="7DB5D319" w14:textId="2C287A6C" w:rsidR="009E2EE3" w:rsidRDefault="003C7203" w:rsidP="009E2EE3">
      <w:pPr>
        <w:pStyle w:val="Figureheading"/>
      </w:pPr>
      <w:r>
        <w:t>Point-to-point channelling arrangements in</w:t>
      </w:r>
      <w:r w:rsidR="009E2EE3">
        <w:t xml:space="preserve"> </w:t>
      </w:r>
      <w:r w:rsidR="009E2EE3" w:rsidRPr="007B4576">
        <w:t>1880</w:t>
      </w:r>
      <w:r w:rsidR="000764D8">
        <w:t>–</w:t>
      </w:r>
      <w:r w:rsidR="009E2EE3" w:rsidRPr="007B4576">
        <w:t>1920 MHz</w:t>
      </w:r>
    </w:p>
    <w:p w14:paraId="247027DB" w14:textId="2A65E4BA" w:rsidR="009E2EE3" w:rsidRDefault="002B04E3" w:rsidP="0021225B">
      <w:pPr>
        <w:pStyle w:val="Paragraph"/>
      </w:pPr>
      <w:r>
        <w:rPr>
          <w:noProof/>
        </w:rPr>
        <w:drawing>
          <wp:inline distT="0" distB="0" distL="0" distR="0" wp14:anchorId="47699D14" wp14:editId="3379BEF7">
            <wp:extent cx="5809957" cy="3194056"/>
            <wp:effectExtent l="0" t="0" r="0" b="6350"/>
            <wp:docPr id="15" name="Picture 15"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f you need help accessing or reading this diagram, please contact the ACMA's Customer Service Centre by phone on 1300 850 115 or by email at  info@acma.gov.a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22094" cy="3200728"/>
                    </a:xfrm>
                    <a:prstGeom prst="rect">
                      <a:avLst/>
                    </a:prstGeom>
                    <a:noFill/>
                  </pic:spPr>
                </pic:pic>
              </a:graphicData>
            </a:graphic>
          </wp:inline>
        </w:drawing>
      </w:r>
    </w:p>
    <w:p w14:paraId="3A284037" w14:textId="0A6EA650" w:rsidR="00984812" w:rsidRDefault="005A3697" w:rsidP="00A85750">
      <w:pPr>
        <w:pStyle w:val="Paragraphbeforelist"/>
        <w:keepNext/>
        <w:keepLines/>
        <w:spacing w:before="360"/>
      </w:pPr>
      <w:r>
        <w:lastRenderedPageBreak/>
        <w:t>T</w:t>
      </w:r>
      <w:r w:rsidR="00FF0B35">
        <w:t xml:space="preserve">he use of </w:t>
      </w:r>
      <w:r w:rsidR="00327D6D">
        <w:t xml:space="preserve">the </w:t>
      </w:r>
      <w:r w:rsidR="00000488">
        <w:t>1.9 GHz band</w:t>
      </w:r>
      <w:r w:rsidR="00984812">
        <w:t xml:space="preserve"> by point-to-point </w:t>
      </w:r>
      <w:r w:rsidR="00CF1EF2">
        <w:t>services</w:t>
      </w:r>
      <w:r>
        <w:t xml:space="preserve"> is restricted by the following</w:t>
      </w:r>
      <w:r w:rsidR="00984812">
        <w:t>:</w:t>
      </w:r>
    </w:p>
    <w:p w14:paraId="2FD28F68" w14:textId="320380BA" w:rsidR="00A70AC1" w:rsidRDefault="00D82479" w:rsidP="00A85750">
      <w:pPr>
        <w:pStyle w:val="Bulletlevel1"/>
        <w:keepNext/>
        <w:keepLines/>
      </w:pPr>
      <w:hyperlink r:id="rId57" w:history="1">
        <w:r w:rsidR="009476E9" w:rsidRPr="006E092E">
          <w:rPr>
            <w:rStyle w:val="Hyperlink"/>
          </w:rPr>
          <w:t>1.9 GHz spectrum arrangements</w:t>
        </w:r>
      </w:hyperlink>
      <w:r w:rsidR="00607E08">
        <w:t xml:space="preserve"> </w:t>
      </w:r>
      <w:r w:rsidR="00607E08" w:rsidRPr="00F555D6">
        <w:t xml:space="preserve">have been </w:t>
      </w:r>
      <w:r w:rsidR="00635F7B" w:rsidRPr="00F555D6">
        <w:t xml:space="preserve">implemented </w:t>
      </w:r>
      <w:r w:rsidR="00F555D6" w:rsidRPr="00F555D6">
        <w:t>to preserve</w:t>
      </w:r>
      <w:r w:rsidR="00812BB7" w:rsidRPr="00F555D6">
        <w:t xml:space="preserve"> the utility of the 1.9 GHz band for use by cordless telecommunications services</w:t>
      </w:r>
      <w:r w:rsidR="00635F7B" w:rsidRPr="00F555D6">
        <w:t xml:space="preserve">. These arrangements </w:t>
      </w:r>
      <w:r w:rsidR="00054BF8" w:rsidRPr="00F555D6">
        <w:t xml:space="preserve">prohibit the </w:t>
      </w:r>
      <w:r w:rsidR="00A5796B" w:rsidRPr="00F555D6">
        <w:t>authorisation of</w:t>
      </w:r>
      <w:r w:rsidR="00812BB7" w:rsidRPr="00F555D6">
        <w:t xml:space="preserve"> new licences for other services to operate in the 1880 to 1900 MHz frequency range</w:t>
      </w:r>
      <w:r w:rsidR="008826EB" w:rsidRPr="00F555D6">
        <w:t xml:space="preserve">. </w:t>
      </w:r>
    </w:p>
    <w:p w14:paraId="53520DD8" w14:textId="594E16F7" w:rsidR="00270CD0" w:rsidRDefault="00D82479" w:rsidP="00A85750">
      <w:pPr>
        <w:pStyle w:val="Bulletlevel1"/>
        <w:keepNext/>
        <w:keepLines/>
      </w:pPr>
      <w:hyperlink r:id="rId58" w:history="1">
        <w:r w:rsidR="00270CD0" w:rsidRPr="005F3BAB">
          <w:rPr>
            <w:rStyle w:val="Hyperlink"/>
          </w:rPr>
          <w:t>Embargo</w:t>
        </w:r>
        <w:r w:rsidR="00270CD0">
          <w:rPr>
            <w:rStyle w:val="Hyperlink"/>
          </w:rPr>
          <w:t> </w:t>
        </w:r>
        <w:r w:rsidR="00270CD0" w:rsidRPr="005F3BAB">
          <w:rPr>
            <w:rStyle w:val="Hyperlink"/>
          </w:rPr>
          <w:t>76</w:t>
        </w:r>
      </w:hyperlink>
      <w:r w:rsidR="00270CD0">
        <w:t xml:space="preserve"> applies to the 1900–1920 MHz band, </w:t>
      </w:r>
      <w:r w:rsidR="00BD766F">
        <w:t>restricting</w:t>
      </w:r>
      <w:r w:rsidR="00270CD0">
        <w:t xml:space="preserve"> new apparatus licences for point-to-point services in metropolitan areas.</w:t>
      </w:r>
    </w:p>
    <w:p w14:paraId="11820AC6" w14:textId="04A08B57" w:rsidR="00A70AC1" w:rsidRDefault="00D82479" w:rsidP="00A85750">
      <w:pPr>
        <w:pStyle w:val="Bulletlevel1last"/>
        <w:keepNext/>
        <w:keepLines/>
      </w:pPr>
      <w:hyperlink r:id="rId59" w:history="1">
        <w:r w:rsidR="00A70AC1" w:rsidRPr="001A24D5">
          <w:rPr>
            <w:rStyle w:val="Hyperlink"/>
          </w:rPr>
          <w:t>1900–1920 MHz Frequency Band Plan 2012</w:t>
        </w:r>
      </w:hyperlink>
      <w:r w:rsidR="00A70AC1">
        <w:t xml:space="preserve"> </w:t>
      </w:r>
      <w:r w:rsidR="00127B62">
        <w:t xml:space="preserve">gives primary status to both </w:t>
      </w:r>
      <w:r w:rsidR="00BC67B0">
        <w:t xml:space="preserve">fixed </w:t>
      </w:r>
      <w:r w:rsidR="00127B62">
        <w:t xml:space="preserve">(point-to-multipoint) and </w:t>
      </w:r>
      <w:r w:rsidR="00BC67B0">
        <w:t xml:space="preserve">mobile </w:t>
      </w:r>
      <w:r w:rsidR="00127B62">
        <w:t>services</w:t>
      </w:r>
      <w:r w:rsidR="00BC67B0">
        <w:t>,</w:t>
      </w:r>
      <w:r w:rsidR="00127B62">
        <w:t xml:space="preserve"> and secondary status to </w:t>
      </w:r>
      <w:r w:rsidR="00BC67B0">
        <w:t xml:space="preserve">fixed </w:t>
      </w:r>
      <w:r w:rsidR="00127B62">
        <w:t>(point-to-point) services in the 1900–1920 MHz band.</w:t>
      </w:r>
    </w:p>
    <w:p w14:paraId="175AB5D7" w14:textId="7AE65FED" w:rsidR="00EA6F38" w:rsidRDefault="00523D1A" w:rsidP="009476E9">
      <w:pPr>
        <w:pStyle w:val="Paragraph"/>
      </w:pPr>
      <w:r>
        <w:t>Consequently</w:t>
      </w:r>
      <w:r w:rsidR="00EA6F38" w:rsidRPr="00F555D6">
        <w:t xml:space="preserve">, </w:t>
      </w:r>
      <w:r w:rsidR="009476E9" w:rsidRPr="00F555D6">
        <w:t>only the 1900</w:t>
      </w:r>
      <w:r w:rsidR="00EA6F38" w:rsidRPr="00F555D6">
        <w:t xml:space="preserve"> to </w:t>
      </w:r>
      <w:r w:rsidR="009476E9" w:rsidRPr="00F555D6">
        <w:t>1920 MHz portion of the</w:t>
      </w:r>
      <w:r w:rsidR="00B05823">
        <w:t xml:space="preserve"> 1</w:t>
      </w:r>
      <w:r w:rsidR="00341DAD">
        <w:t>.9 GHz</w:t>
      </w:r>
      <w:r w:rsidR="009476E9" w:rsidRPr="00F555D6">
        <w:t xml:space="preserve"> band </w:t>
      </w:r>
      <w:r w:rsidR="00341DAD">
        <w:t xml:space="preserve">in regional and remote areas </w:t>
      </w:r>
      <w:r w:rsidR="009476E9" w:rsidRPr="00F555D6">
        <w:t>is available for new point-to-point</w:t>
      </w:r>
      <w:r w:rsidR="00D76DAB">
        <w:t xml:space="preserve"> fixed</w:t>
      </w:r>
      <w:r w:rsidR="009476E9" w:rsidRPr="00F555D6">
        <w:t xml:space="preserve"> licences</w:t>
      </w:r>
      <w:r w:rsidR="00341DAD">
        <w:t xml:space="preserve"> </w:t>
      </w:r>
      <w:r w:rsidR="005D43A2">
        <w:t>(</w:t>
      </w:r>
      <w:r w:rsidR="00341DAD">
        <w:t>on a secondary basis</w:t>
      </w:r>
      <w:r w:rsidR="005D43A2">
        <w:t>)</w:t>
      </w:r>
      <w:r w:rsidR="009476E9">
        <w:t xml:space="preserve">. </w:t>
      </w:r>
      <w:r w:rsidR="00EC069C">
        <w:t xml:space="preserve">Figure </w:t>
      </w:r>
      <w:r w:rsidR="00331DD9">
        <w:t>4</w:t>
      </w:r>
      <w:r w:rsidR="00002215">
        <w:t xml:space="preserve"> </w:t>
      </w:r>
      <w:r w:rsidR="002A79F5">
        <w:t>provides an illustration of the general location</w:t>
      </w:r>
      <w:r w:rsidR="005D43A2">
        <w:t>s</w:t>
      </w:r>
      <w:r w:rsidR="002A79F5">
        <w:t xml:space="preserve"> of the point-to-point services in Australia</w:t>
      </w:r>
      <w:r w:rsidR="00010E61">
        <w:t xml:space="preserve"> as at 2 August 2021</w:t>
      </w:r>
      <w:r w:rsidR="002A79F5">
        <w:t xml:space="preserve">. </w:t>
      </w:r>
      <w:r w:rsidR="00420669">
        <w:t xml:space="preserve">All the point-to-point assignments </w:t>
      </w:r>
      <w:r w:rsidR="00331DD9">
        <w:t>are in</w:t>
      </w:r>
      <w:r w:rsidR="00420669">
        <w:t xml:space="preserve"> regional and remote areas, as expected.</w:t>
      </w:r>
    </w:p>
    <w:p w14:paraId="68D937D0" w14:textId="1E0E3CFC" w:rsidR="00002215" w:rsidRDefault="00002215" w:rsidP="001E65C3">
      <w:pPr>
        <w:pStyle w:val="Figureheading"/>
      </w:pPr>
      <w:r>
        <w:t xml:space="preserve">Map of point-to-point </w:t>
      </w:r>
      <w:r w:rsidR="00BC67B0">
        <w:t xml:space="preserve">(PTP) </w:t>
      </w:r>
      <w:r w:rsidR="00FB2426">
        <w:t>assignments</w:t>
      </w:r>
      <w:r>
        <w:t xml:space="preserve"> in </w:t>
      </w:r>
      <w:r w:rsidRPr="007B4576">
        <w:t>1880</w:t>
      </w:r>
      <w:r w:rsidR="00BC67B0">
        <w:t>–</w:t>
      </w:r>
      <w:r w:rsidRPr="007B4576">
        <w:t>1920 MHz</w:t>
      </w:r>
    </w:p>
    <w:p w14:paraId="3CBF4964" w14:textId="40CF6E16" w:rsidR="00002215" w:rsidRDefault="00871766" w:rsidP="009476E9">
      <w:pPr>
        <w:pStyle w:val="Paragraph"/>
      </w:pPr>
      <w:r>
        <w:rPr>
          <w:noProof/>
        </w:rPr>
        <w:drawing>
          <wp:inline distT="0" distB="0" distL="0" distR="0" wp14:anchorId="593AD3DD" wp14:editId="23C84CE2">
            <wp:extent cx="4860000" cy="3832981"/>
            <wp:effectExtent l="0" t="0" r="0" b="0"/>
            <wp:docPr id="23" name="Picture 23"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f you need help accessing or reading this diagram, please contact the ACMA's Customer Service Centre by phone on 1300 850 115 or by email at  info@acma.gov.au"/>
                    <pic:cNvPicPr/>
                  </pic:nvPicPr>
                  <pic:blipFill>
                    <a:blip r:embed="rId60"/>
                    <a:stretch>
                      <a:fillRect/>
                    </a:stretch>
                  </pic:blipFill>
                  <pic:spPr>
                    <a:xfrm>
                      <a:off x="0" y="0"/>
                      <a:ext cx="4860000" cy="3832981"/>
                    </a:xfrm>
                    <a:prstGeom prst="rect">
                      <a:avLst/>
                    </a:prstGeom>
                  </pic:spPr>
                </pic:pic>
              </a:graphicData>
            </a:graphic>
          </wp:inline>
        </w:drawing>
      </w:r>
    </w:p>
    <w:p w14:paraId="6AD9215F" w14:textId="21E1B135" w:rsidR="00115764" w:rsidRDefault="00115764" w:rsidP="0023349C">
      <w:r>
        <w:t>T</w:t>
      </w:r>
      <w:r w:rsidR="0023349C">
        <w:t xml:space="preserve">here are 44 point-to-point assignments in the 1.9 GHz band, </w:t>
      </w:r>
      <w:r w:rsidR="000F3468">
        <w:t>22</w:t>
      </w:r>
      <w:r w:rsidR="0023349C">
        <w:t> </w:t>
      </w:r>
      <w:r w:rsidR="00B1314E">
        <w:t xml:space="preserve">transmitters and </w:t>
      </w:r>
      <w:r w:rsidR="00BC67B0">
        <w:t>22 </w:t>
      </w:r>
      <w:r w:rsidR="00B1314E">
        <w:t>receivers</w:t>
      </w:r>
      <w:r w:rsidR="00BC67B0">
        <w:t>.</w:t>
      </w:r>
      <w:r w:rsidR="00496640">
        <w:rPr>
          <w:rStyle w:val="FootnoteReference"/>
        </w:rPr>
        <w:footnoteReference w:id="7"/>
      </w:r>
      <w:r w:rsidR="00B1314E">
        <w:t xml:space="preserve"> </w:t>
      </w:r>
      <w:r w:rsidR="00E74A54">
        <w:t>For</w:t>
      </w:r>
      <w:r w:rsidR="009F7266">
        <w:t xml:space="preserve"> the 1.8 GHz band</w:t>
      </w:r>
      <w:r w:rsidR="00BC67B0">
        <w:t>,</w:t>
      </w:r>
      <w:r w:rsidR="009F7266">
        <w:t xml:space="preserve"> </w:t>
      </w:r>
      <w:r w:rsidR="00727793">
        <w:t xml:space="preserve">there are </w:t>
      </w:r>
      <w:r w:rsidR="000A6708">
        <w:t>34</w:t>
      </w:r>
      <w:r w:rsidR="00727793">
        <w:t xml:space="preserve"> </w:t>
      </w:r>
      <w:r w:rsidR="009F7266">
        <w:t>point-to-point assignments,</w:t>
      </w:r>
      <w:r w:rsidR="00EB6B95">
        <w:t xml:space="preserve"> </w:t>
      </w:r>
      <w:r w:rsidR="00727793">
        <w:t xml:space="preserve">consisting of </w:t>
      </w:r>
      <w:r w:rsidR="0048681A">
        <w:t xml:space="preserve">7 MHz </w:t>
      </w:r>
      <w:r w:rsidR="00E74A54">
        <w:t>assignments</w:t>
      </w:r>
      <w:r w:rsidR="00BC67B0">
        <w:t xml:space="preserve"> (10)</w:t>
      </w:r>
      <w:r w:rsidR="0048681A">
        <w:t>, 10 MHz assignments</w:t>
      </w:r>
      <w:r w:rsidR="00BC67B0">
        <w:t xml:space="preserve"> (2)</w:t>
      </w:r>
      <w:r w:rsidR="0048681A">
        <w:t xml:space="preserve"> and 14 MHz </w:t>
      </w:r>
      <w:r w:rsidR="00526EB4">
        <w:t>assignments</w:t>
      </w:r>
      <w:r w:rsidR="00BC67B0">
        <w:t xml:space="preserve"> (22)</w:t>
      </w:r>
      <w:r w:rsidR="00526EB4">
        <w:t xml:space="preserve">. </w:t>
      </w:r>
    </w:p>
    <w:p w14:paraId="4AA86E75" w14:textId="77777777" w:rsidR="00115764" w:rsidRDefault="00526EB4" w:rsidP="0023349C">
      <w:r>
        <w:t xml:space="preserve">For the 2.1 GHz band point-to-point assignments, there </w:t>
      </w:r>
      <w:r w:rsidR="00C04B93">
        <w:t>are 10</w:t>
      </w:r>
      <w:r>
        <w:t xml:space="preserve"> assignments</w:t>
      </w:r>
      <w:r w:rsidR="003F55D7">
        <w:t xml:space="preserve"> </w:t>
      </w:r>
      <w:r w:rsidR="00727793">
        <w:t xml:space="preserve">overlapping </w:t>
      </w:r>
      <w:r w:rsidR="003F55D7">
        <w:t xml:space="preserve">the 1.9 GHz band and </w:t>
      </w:r>
      <w:r w:rsidR="00C04B93">
        <w:t>44 assignments in the adjacent frequency range.</w:t>
      </w:r>
      <w:r w:rsidR="00212667">
        <w:t xml:space="preserve"> </w:t>
      </w:r>
    </w:p>
    <w:p w14:paraId="57D623E3" w14:textId="60EE42A2" w:rsidR="00526EB4" w:rsidRDefault="00EC3CCA" w:rsidP="0023349C">
      <w:r>
        <w:lastRenderedPageBreak/>
        <w:t xml:space="preserve">Table </w:t>
      </w:r>
      <w:r w:rsidR="00781B94">
        <w:t>2</w:t>
      </w:r>
      <w:r>
        <w:t xml:space="preserve"> provides a breakdown of the major licensees and </w:t>
      </w:r>
      <w:r w:rsidR="00212667">
        <w:t xml:space="preserve">Figure </w:t>
      </w:r>
      <w:r w:rsidR="00112018">
        <w:t>5</w:t>
      </w:r>
      <w:r w:rsidR="00212667">
        <w:t xml:space="preserve"> </w:t>
      </w:r>
      <w:r w:rsidR="00560E8C">
        <w:t xml:space="preserve">shows the breakdown of </w:t>
      </w:r>
      <w:r w:rsidR="00CE2866">
        <w:t>assignments</w:t>
      </w:r>
      <w:r w:rsidR="00560E8C">
        <w:t xml:space="preserve"> per </w:t>
      </w:r>
      <w:r w:rsidR="00560E8C" w:rsidDel="00BC0C91">
        <w:t xml:space="preserve">channel. </w:t>
      </w:r>
      <w:r w:rsidR="00BC0C91">
        <w:t>The</w:t>
      </w:r>
      <w:r w:rsidR="00560E8C">
        <w:t xml:space="preserve"> majority of </w:t>
      </w:r>
      <w:r w:rsidR="00CE2866">
        <w:t>assignments</w:t>
      </w:r>
      <w:r w:rsidR="00560E8C">
        <w:t xml:space="preserve"> </w:t>
      </w:r>
      <w:r w:rsidR="004C264C">
        <w:t>in the 1.9 GHz band</w:t>
      </w:r>
      <w:r w:rsidR="00560E8C">
        <w:t xml:space="preserve"> </w:t>
      </w:r>
      <w:r w:rsidR="00284518">
        <w:t>are</w:t>
      </w:r>
      <w:r w:rsidR="00560E8C">
        <w:t xml:space="preserve"> in the 1900 to 1920 MHz range.</w:t>
      </w:r>
    </w:p>
    <w:p w14:paraId="73070FC7" w14:textId="6A580B34" w:rsidR="00EC3CCA" w:rsidRDefault="005A4486" w:rsidP="00A85750">
      <w:pPr>
        <w:pStyle w:val="Tableheading"/>
        <w:keepNext w:val="0"/>
      </w:pPr>
      <w:r>
        <w:t>Point-to-point</w:t>
      </w:r>
      <w:r w:rsidR="00517F15">
        <w:t xml:space="preserve"> (PTP)</w:t>
      </w:r>
      <w:r w:rsidR="00EC3CCA">
        <w:t xml:space="preserve"> </w:t>
      </w:r>
      <w:r w:rsidR="00CD19FA">
        <w:t xml:space="preserve">assignments by </w:t>
      </w:r>
      <w:r w:rsidR="00EC3CCA">
        <w:t xml:space="preserve">licensees in the </w:t>
      </w:r>
      <w:r>
        <w:t>1.9</w:t>
      </w:r>
      <w:r w:rsidR="00EC3CCA">
        <w:t xml:space="preserve"> GHz band</w:t>
      </w:r>
    </w:p>
    <w:tbl>
      <w:tblPr>
        <w:tblW w:w="7797" w:type="dxa"/>
        <w:tblLook w:val="04A0" w:firstRow="1" w:lastRow="0" w:firstColumn="1" w:lastColumn="0" w:noHBand="0" w:noVBand="1"/>
      </w:tblPr>
      <w:tblGrid>
        <w:gridCol w:w="2694"/>
        <w:gridCol w:w="1701"/>
        <w:gridCol w:w="1701"/>
        <w:gridCol w:w="1701"/>
      </w:tblGrid>
      <w:tr w:rsidR="009A1022" w:rsidRPr="00517F15" w14:paraId="6494626E" w14:textId="77777777" w:rsidTr="009A1022">
        <w:trPr>
          <w:trHeight w:val="315"/>
        </w:trPr>
        <w:tc>
          <w:tcPr>
            <w:tcW w:w="2694" w:type="dxa"/>
            <w:vMerge w:val="restart"/>
            <w:tcBorders>
              <w:top w:val="single" w:sz="8" w:space="0" w:color="auto"/>
              <w:left w:val="nil"/>
              <w:right w:val="nil"/>
            </w:tcBorders>
            <w:shd w:val="clear" w:color="000000" w:fill="404040"/>
            <w:vAlign w:val="center"/>
            <w:hideMark/>
          </w:tcPr>
          <w:p w14:paraId="194B5DE8" w14:textId="07D320C6" w:rsidR="009A1022" w:rsidRPr="00517F15" w:rsidRDefault="009A1022" w:rsidP="00A85750">
            <w:pPr>
              <w:spacing w:after="0" w:line="240" w:lineRule="auto"/>
              <w:rPr>
                <w:rFonts w:cs="Arial"/>
                <w:b/>
                <w:bCs/>
                <w:color w:val="FFFFFF"/>
                <w:szCs w:val="20"/>
              </w:rPr>
            </w:pPr>
            <w:r w:rsidRPr="00517F15">
              <w:rPr>
                <w:rFonts w:cs="Arial"/>
                <w:b/>
                <w:bCs/>
                <w:color w:val="FFFFFF" w:themeColor="background1"/>
                <w:szCs w:val="20"/>
              </w:rPr>
              <w:t>Licensee</w:t>
            </w:r>
          </w:p>
          <w:p w14:paraId="1DF5AB04" w14:textId="7B5E4DF1" w:rsidR="009A1022" w:rsidRPr="00517F15" w:rsidRDefault="009A1022" w:rsidP="00A85750">
            <w:pPr>
              <w:spacing w:after="0" w:line="240" w:lineRule="auto"/>
              <w:rPr>
                <w:rFonts w:cs="Arial"/>
                <w:b/>
                <w:bCs/>
                <w:color w:val="FFFFFF"/>
                <w:szCs w:val="20"/>
              </w:rPr>
            </w:pPr>
            <w:r w:rsidRPr="00517F15">
              <w:rPr>
                <w:rFonts w:cs="Arial"/>
                <w:b/>
                <w:bCs/>
                <w:color w:val="FFFFFF" w:themeColor="background1"/>
                <w:szCs w:val="20"/>
              </w:rPr>
              <w:t> </w:t>
            </w:r>
          </w:p>
        </w:tc>
        <w:tc>
          <w:tcPr>
            <w:tcW w:w="5103" w:type="dxa"/>
            <w:gridSpan w:val="3"/>
            <w:tcBorders>
              <w:top w:val="single" w:sz="8" w:space="0" w:color="auto"/>
              <w:left w:val="nil"/>
              <w:bottom w:val="single" w:sz="8" w:space="0" w:color="auto"/>
              <w:right w:val="nil"/>
            </w:tcBorders>
            <w:shd w:val="clear" w:color="000000" w:fill="404040"/>
            <w:vAlign w:val="center"/>
            <w:hideMark/>
          </w:tcPr>
          <w:p w14:paraId="74AE7A3D" w14:textId="60323F32" w:rsidR="009A1022" w:rsidRPr="00517F15" w:rsidRDefault="009A1022" w:rsidP="00A85750">
            <w:pPr>
              <w:spacing w:after="0" w:line="240" w:lineRule="auto"/>
              <w:jc w:val="center"/>
              <w:rPr>
                <w:rFonts w:cs="Arial"/>
                <w:b/>
                <w:bCs/>
                <w:color w:val="FFFFFF"/>
                <w:szCs w:val="20"/>
              </w:rPr>
            </w:pPr>
            <w:r w:rsidRPr="00517F15">
              <w:rPr>
                <w:rFonts w:cs="Arial"/>
                <w:b/>
                <w:bCs/>
                <w:color w:val="FFFFFF" w:themeColor="background1"/>
                <w:szCs w:val="20"/>
              </w:rPr>
              <w:t>Number of PTP assignments</w:t>
            </w:r>
          </w:p>
        </w:tc>
      </w:tr>
      <w:tr w:rsidR="009A1022" w:rsidRPr="00517F15" w14:paraId="5E52073A" w14:textId="77777777" w:rsidTr="009A1022">
        <w:trPr>
          <w:trHeight w:val="315"/>
        </w:trPr>
        <w:tc>
          <w:tcPr>
            <w:tcW w:w="2694" w:type="dxa"/>
            <w:vMerge/>
            <w:tcBorders>
              <w:left w:val="nil"/>
              <w:bottom w:val="single" w:sz="8" w:space="0" w:color="auto"/>
              <w:right w:val="nil"/>
            </w:tcBorders>
            <w:shd w:val="clear" w:color="000000" w:fill="404040"/>
            <w:vAlign w:val="center"/>
            <w:hideMark/>
          </w:tcPr>
          <w:p w14:paraId="2B9101EF" w14:textId="31976D5D" w:rsidR="009A1022" w:rsidRPr="00517F15" w:rsidRDefault="009A1022" w:rsidP="00A85750">
            <w:pPr>
              <w:spacing w:after="0" w:line="240" w:lineRule="auto"/>
              <w:rPr>
                <w:rFonts w:cs="Arial"/>
                <w:b/>
                <w:bCs/>
                <w:color w:val="FFFFFF"/>
                <w:szCs w:val="20"/>
              </w:rPr>
            </w:pPr>
          </w:p>
        </w:tc>
        <w:tc>
          <w:tcPr>
            <w:tcW w:w="1701" w:type="dxa"/>
            <w:tcBorders>
              <w:top w:val="nil"/>
              <w:left w:val="nil"/>
              <w:bottom w:val="single" w:sz="8" w:space="0" w:color="auto"/>
              <w:right w:val="nil"/>
            </w:tcBorders>
            <w:shd w:val="clear" w:color="000000" w:fill="404040"/>
            <w:vAlign w:val="center"/>
            <w:hideMark/>
          </w:tcPr>
          <w:p w14:paraId="7503FDD8" w14:textId="4EB2B8A2" w:rsidR="009A1022" w:rsidRPr="00517F15" w:rsidRDefault="009A1022" w:rsidP="00A85750">
            <w:pPr>
              <w:spacing w:after="0" w:line="240" w:lineRule="auto"/>
              <w:jc w:val="right"/>
              <w:rPr>
                <w:rFonts w:cs="Arial"/>
                <w:b/>
                <w:bCs/>
                <w:color w:val="FFFFFF"/>
                <w:szCs w:val="20"/>
              </w:rPr>
            </w:pPr>
            <w:r w:rsidRPr="00517F15">
              <w:rPr>
                <w:rFonts w:cs="Arial"/>
                <w:b/>
                <w:bCs/>
                <w:color w:val="FFFFFF" w:themeColor="background1"/>
                <w:szCs w:val="20"/>
              </w:rPr>
              <w:t>1870</w:t>
            </w:r>
            <w:r w:rsidRPr="00756411">
              <w:rPr>
                <w:rFonts w:cs="Arial"/>
                <w:color w:val="FFFFFF" w:themeColor="background1"/>
                <w:szCs w:val="20"/>
              </w:rPr>
              <w:t>–</w:t>
            </w:r>
            <w:r w:rsidRPr="00517F15">
              <w:rPr>
                <w:rFonts w:cs="Arial"/>
                <w:b/>
                <w:bCs/>
                <w:color w:val="FFFFFF" w:themeColor="background1"/>
                <w:szCs w:val="20"/>
              </w:rPr>
              <w:t>1880 MHz</w:t>
            </w:r>
          </w:p>
        </w:tc>
        <w:tc>
          <w:tcPr>
            <w:tcW w:w="1701" w:type="dxa"/>
            <w:tcBorders>
              <w:top w:val="nil"/>
              <w:left w:val="nil"/>
              <w:bottom w:val="single" w:sz="8" w:space="0" w:color="auto"/>
              <w:right w:val="nil"/>
            </w:tcBorders>
            <w:shd w:val="clear" w:color="000000" w:fill="404040"/>
            <w:vAlign w:val="center"/>
            <w:hideMark/>
          </w:tcPr>
          <w:p w14:paraId="352E475F" w14:textId="39620A86" w:rsidR="009A1022" w:rsidRPr="00517F15" w:rsidRDefault="009A1022" w:rsidP="00A85750">
            <w:pPr>
              <w:spacing w:after="0" w:line="240" w:lineRule="auto"/>
              <w:jc w:val="right"/>
              <w:rPr>
                <w:rFonts w:cs="Arial"/>
                <w:b/>
                <w:bCs/>
                <w:color w:val="FFFFFF"/>
                <w:szCs w:val="20"/>
              </w:rPr>
            </w:pPr>
            <w:r w:rsidRPr="00517F15">
              <w:rPr>
                <w:rFonts w:cs="Arial"/>
                <w:b/>
                <w:bCs/>
                <w:color w:val="FFFFFF" w:themeColor="background1"/>
                <w:szCs w:val="20"/>
              </w:rPr>
              <w:t>1880</w:t>
            </w:r>
            <w:r w:rsidRPr="00756411">
              <w:rPr>
                <w:rFonts w:cs="Arial"/>
                <w:color w:val="FFFFFF" w:themeColor="background1"/>
                <w:szCs w:val="20"/>
              </w:rPr>
              <w:t>–</w:t>
            </w:r>
            <w:r w:rsidRPr="00517F15">
              <w:rPr>
                <w:rFonts w:cs="Arial"/>
                <w:b/>
                <w:bCs/>
                <w:color w:val="FFFFFF" w:themeColor="background1"/>
                <w:szCs w:val="20"/>
              </w:rPr>
              <w:t>1920 MHz</w:t>
            </w:r>
          </w:p>
        </w:tc>
        <w:tc>
          <w:tcPr>
            <w:tcW w:w="1701" w:type="dxa"/>
            <w:tcBorders>
              <w:top w:val="nil"/>
              <w:left w:val="nil"/>
              <w:bottom w:val="single" w:sz="8" w:space="0" w:color="auto"/>
              <w:right w:val="nil"/>
            </w:tcBorders>
            <w:shd w:val="clear" w:color="000000" w:fill="404040"/>
            <w:vAlign w:val="center"/>
            <w:hideMark/>
          </w:tcPr>
          <w:p w14:paraId="4B74E3C0" w14:textId="013A9132" w:rsidR="009A1022" w:rsidRPr="00517F15" w:rsidRDefault="009A1022" w:rsidP="00A85750">
            <w:pPr>
              <w:spacing w:after="0" w:line="240" w:lineRule="auto"/>
              <w:jc w:val="right"/>
              <w:rPr>
                <w:rFonts w:cs="Arial"/>
                <w:b/>
                <w:bCs/>
                <w:color w:val="FFFFFF"/>
                <w:szCs w:val="20"/>
              </w:rPr>
            </w:pPr>
            <w:r w:rsidRPr="00517F15">
              <w:rPr>
                <w:rFonts w:cs="Arial"/>
                <w:b/>
                <w:bCs/>
                <w:color w:val="FFFFFF" w:themeColor="background1"/>
                <w:szCs w:val="20"/>
              </w:rPr>
              <w:t>1920</w:t>
            </w:r>
            <w:r w:rsidRPr="00756411">
              <w:rPr>
                <w:rFonts w:cs="Arial"/>
                <w:color w:val="FFFFFF" w:themeColor="background1"/>
                <w:szCs w:val="20"/>
              </w:rPr>
              <w:t>–</w:t>
            </w:r>
            <w:r w:rsidRPr="00517F15">
              <w:rPr>
                <w:rFonts w:cs="Arial"/>
                <w:b/>
                <w:bCs/>
                <w:color w:val="FFFFFF" w:themeColor="background1"/>
                <w:szCs w:val="20"/>
              </w:rPr>
              <w:t>1930 MHz</w:t>
            </w:r>
          </w:p>
        </w:tc>
      </w:tr>
      <w:tr w:rsidR="007C1B0D" w:rsidRPr="00517F15" w14:paraId="2FB30ED9" w14:textId="77777777" w:rsidTr="009A1022">
        <w:trPr>
          <w:trHeight w:val="315"/>
        </w:trPr>
        <w:tc>
          <w:tcPr>
            <w:tcW w:w="2694" w:type="dxa"/>
            <w:tcBorders>
              <w:top w:val="nil"/>
              <w:left w:val="nil"/>
              <w:bottom w:val="single" w:sz="8" w:space="0" w:color="auto"/>
              <w:right w:val="nil"/>
            </w:tcBorders>
            <w:shd w:val="clear" w:color="auto" w:fill="auto"/>
            <w:vAlign w:val="center"/>
            <w:hideMark/>
          </w:tcPr>
          <w:p w14:paraId="0BEC2B0B" w14:textId="3EE0EED3" w:rsidR="007C1B0D" w:rsidRPr="00E200E5" w:rsidRDefault="007C1B0D" w:rsidP="00A85750">
            <w:pPr>
              <w:spacing w:after="0" w:line="240" w:lineRule="auto"/>
              <w:rPr>
                <w:rFonts w:cs="Arial"/>
                <w:color w:val="000000"/>
                <w:szCs w:val="20"/>
              </w:rPr>
            </w:pPr>
            <w:r w:rsidRPr="00E200E5">
              <w:rPr>
                <w:rFonts w:cs="Arial"/>
                <w:color w:val="000000"/>
                <w:szCs w:val="20"/>
              </w:rPr>
              <w:t>BHP B</w:t>
            </w:r>
            <w:r w:rsidR="002152E6">
              <w:rPr>
                <w:rFonts w:cs="Arial"/>
                <w:color w:val="000000"/>
                <w:szCs w:val="20"/>
              </w:rPr>
              <w:t>illiton Iron Ore Pty. Ltd.</w:t>
            </w:r>
          </w:p>
        </w:tc>
        <w:tc>
          <w:tcPr>
            <w:tcW w:w="1701" w:type="dxa"/>
            <w:tcBorders>
              <w:top w:val="nil"/>
              <w:left w:val="single" w:sz="8" w:space="0" w:color="auto"/>
              <w:bottom w:val="single" w:sz="8" w:space="0" w:color="auto"/>
              <w:right w:val="nil"/>
            </w:tcBorders>
            <w:shd w:val="clear" w:color="auto" w:fill="auto"/>
            <w:vAlign w:val="center"/>
            <w:hideMark/>
          </w:tcPr>
          <w:p w14:paraId="7E3BF8D8" w14:textId="1168B8BB"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c>
          <w:tcPr>
            <w:tcW w:w="1701" w:type="dxa"/>
            <w:tcBorders>
              <w:top w:val="nil"/>
              <w:left w:val="single" w:sz="4" w:space="0" w:color="auto"/>
              <w:bottom w:val="single" w:sz="8" w:space="0" w:color="auto"/>
              <w:right w:val="single" w:sz="4" w:space="0" w:color="auto"/>
            </w:tcBorders>
            <w:shd w:val="clear" w:color="auto" w:fill="auto"/>
            <w:vAlign w:val="center"/>
            <w:hideMark/>
          </w:tcPr>
          <w:p w14:paraId="5DC66AFB"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4</w:t>
            </w:r>
          </w:p>
        </w:tc>
        <w:tc>
          <w:tcPr>
            <w:tcW w:w="1701" w:type="dxa"/>
            <w:tcBorders>
              <w:top w:val="nil"/>
              <w:left w:val="nil"/>
              <w:bottom w:val="single" w:sz="8" w:space="0" w:color="auto"/>
              <w:right w:val="nil"/>
            </w:tcBorders>
            <w:shd w:val="clear" w:color="auto" w:fill="auto"/>
            <w:vAlign w:val="center"/>
            <w:hideMark/>
          </w:tcPr>
          <w:p w14:paraId="20030A69" w14:textId="7983899D"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r>
      <w:tr w:rsidR="007C1B0D" w:rsidRPr="00517F15" w14:paraId="6CD0D5F6" w14:textId="77777777" w:rsidTr="009A1022">
        <w:trPr>
          <w:trHeight w:val="315"/>
        </w:trPr>
        <w:tc>
          <w:tcPr>
            <w:tcW w:w="2694" w:type="dxa"/>
            <w:tcBorders>
              <w:top w:val="nil"/>
              <w:left w:val="nil"/>
              <w:bottom w:val="single" w:sz="8" w:space="0" w:color="auto"/>
              <w:right w:val="nil"/>
            </w:tcBorders>
            <w:shd w:val="clear" w:color="000000" w:fill="F2F2F2"/>
            <w:vAlign w:val="center"/>
            <w:hideMark/>
          </w:tcPr>
          <w:p w14:paraId="034D7739" w14:textId="77777777" w:rsidR="007C1B0D" w:rsidRPr="00E200E5" w:rsidRDefault="007C1B0D" w:rsidP="00A85750">
            <w:pPr>
              <w:spacing w:after="0" w:line="240" w:lineRule="auto"/>
              <w:rPr>
                <w:rFonts w:cs="Arial"/>
                <w:color w:val="000000"/>
                <w:szCs w:val="20"/>
              </w:rPr>
            </w:pPr>
            <w:r w:rsidRPr="00E200E5">
              <w:rPr>
                <w:rFonts w:cs="Arial"/>
                <w:color w:val="000000"/>
                <w:szCs w:val="20"/>
              </w:rPr>
              <w:t>Prime Television (Southern) Pty. Limited</w:t>
            </w:r>
          </w:p>
        </w:tc>
        <w:tc>
          <w:tcPr>
            <w:tcW w:w="1701" w:type="dxa"/>
            <w:tcBorders>
              <w:top w:val="nil"/>
              <w:left w:val="single" w:sz="8" w:space="0" w:color="auto"/>
              <w:bottom w:val="single" w:sz="8" w:space="0" w:color="auto"/>
              <w:right w:val="nil"/>
            </w:tcBorders>
            <w:shd w:val="clear" w:color="000000" w:fill="F2F2F2"/>
            <w:vAlign w:val="center"/>
            <w:hideMark/>
          </w:tcPr>
          <w:p w14:paraId="4DE377C2" w14:textId="46434844"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c>
          <w:tcPr>
            <w:tcW w:w="1701" w:type="dxa"/>
            <w:tcBorders>
              <w:top w:val="nil"/>
              <w:left w:val="single" w:sz="4" w:space="0" w:color="auto"/>
              <w:bottom w:val="single" w:sz="8" w:space="0" w:color="auto"/>
              <w:right w:val="single" w:sz="4" w:space="0" w:color="auto"/>
            </w:tcBorders>
            <w:shd w:val="clear" w:color="000000" w:fill="F2F2F2"/>
            <w:vAlign w:val="center"/>
            <w:hideMark/>
          </w:tcPr>
          <w:p w14:paraId="2A763435" w14:textId="1E3838D7"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c>
          <w:tcPr>
            <w:tcW w:w="1701" w:type="dxa"/>
            <w:tcBorders>
              <w:top w:val="nil"/>
              <w:left w:val="nil"/>
              <w:bottom w:val="single" w:sz="8" w:space="0" w:color="auto"/>
              <w:right w:val="nil"/>
            </w:tcBorders>
            <w:shd w:val="clear" w:color="000000" w:fill="F2F2F2"/>
            <w:vAlign w:val="center"/>
            <w:hideMark/>
          </w:tcPr>
          <w:p w14:paraId="13BDA0DC"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2</w:t>
            </w:r>
          </w:p>
        </w:tc>
      </w:tr>
      <w:tr w:rsidR="007C1B0D" w:rsidRPr="00517F15" w14:paraId="78FA5471" w14:textId="77777777" w:rsidTr="009A1022">
        <w:trPr>
          <w:trHeight w:val="315"/>
        </w:trPr>
        <w:tc>
          <w:tcPr>
            <w:tcW w:w="2694" w:type="dxa"/>
            <w:tcBorders>
              <w:top w:val="nil"/>
              <w:left w:val="nil"/>
              <w:bottom w:val="single" w:sz="8" w:space="0" w:color="auto"/>
              <w:right w:val="nil"/>
            </w:tcBorders>
            <w:shd w:val="clear" w:color="auto" w:fill="auto"/>
            <w:vAlign w:val="center"/>
            <w:hideMark/>
          </w:tcPr>
          <w:p w14:paraId="22AD277E" w14:textId="77777777" w:rsidR="007C1B0D" w:rsidRPr="00E200E5" w:rsidRDefault="007C1B0D" w:rsidP="00A85750">
            <w:pPr>
              <w:spacing w:after="0" w:line="240" w:lineRule="auto"/>
              <w:rPr>
                <w:rFonts w:cs="Arial"/>
                <w:color w:val="000000"/>
                <w:szCs w:val="20"/>
              </w:rPr>
            </w:pPr>
            <w:r w:rsidRPr="00E200E5">
              <w:rPr>
                <w:rFonts w:cs="Arial"/>
                <w:color w:val="000000"/>
                <w:szCs w:val="20"/>
              </w:rPr>
              <w:t>Santos Limited</w:t>
            </w:r>
          </w:p>
        </w:tc>
        <w:tc>
          <w:tcPr>
            <w:tcW w:w="1701" w:type="dxa"/>
            <w:tcBorders>
              <w:top w:val="nil"/>
              <w:left w:val="single" w:sz="8" w:space="0" w:color="auto"/>
              <w:bottom w:val="single" w:sz="8" w:space="0" w:color="auto"/>
              <w:right w:val="nil"/>
            </w:tcBorders>
            <w:shd w:val="clear" w:color="auto" w:fill="auto"/>
            <w:vAlign w:val="center"/>
            <w:hideMark/>
          </w:tcPr>
          <w:p w14:paraId="67D0E09E"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2</w:t>
            </w:r>
          </w:p>
        </w:tc>
        <w:tc>
          <w:tcPr>
            <w:tcW w:w="1701" w:type="dxa"/>
            <w:tcBorders>
              <w:top w:val="nil"/>
              <w:left w:val="single" w:sz="4" w:space="0" w:color="auto"/>
              <w:bottom w:val="single" w:sz="8" w:space="0" w:color="auto"/>
              <w:right w:val="single" w:sz="4" w:space="0" w:color="auto"/>
            </w:tcBorders>
            <w:shd w:val="clear" w:color="auto" w:fill="auto"/>
            <w:vAlign w:val="center"/>
            <w:hideMark/>
          </w:tcPr>
          <w:p w14:paraId="5345F10D"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4</w:t>
            </w:r>
          </w:p>
        </w:tc>
        <w:tc>
          <w:tcPr>
            <w:tcW w:w="1701" w:type="dxa"/>
            <w:tcBorders>
              <w:top w:val="nil"/>
              <w:left w:val="nil"/>
              <w:bottom w:val="single" w:sz="8" w:space="0" w:color="auto"/>
              <w:right w:val="nil"/>
            </w:tcBorders>
            <w:shd w:val="clear" w:color="auto" w:fill="auto"/>
            <w:vAlign w:val="center"/>
            <w:hideMark/>
          </w:tcPr>
          <w:p w14:paraId="3D3D6FE4" w14:textId="6DE9454D"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r>
      <w:tr w:rsidR="007C1B0D" w:rsidRPr="00517F15" w14:paraId="10D9C59E" w14:textId="77777777" w:rsidTr="009A1022">
        <w:trPr>
          <w:trHeight w:val="615"/>
        </w:trPr>
        <w:tc>
          <w:tcPr>
            <w:tcW w:w="2694" w:type="dxa"/>
            <w:tcBorders>
              <w:top w:val="nil"/>
              <w:left w:val="nil"/>
              <w:bottom w:val="single" w:sz="8" w:space="0" w:color="auto"/>
              <w:right w:val="nil"/>
            </w:tcBorders>
            <w:shd w:val="clear" w:color="000000" w:fill="F2F2F2"/>
            <w:vAlign w:val="center"/>
            <w:hideMark/>
          </w:tcPr>
          <w:p w14:paraId="3686725B" w14:textId="75C90F8F" w:rsidR="007C1B0D" w:rsidRPr="00E200E5" w:rsidRDefault="007C1B0D" w:rsidP="00A85750">
            <w:pPr>
              <w:spacing w:after="0" w:line="240" w:lineRule="auto"/>
              <w:rPr>
                <w:rFonts w:cs="Arial"/>
                <w:color w:val="000000"/>
                <w:szCs w:val="20"/>
              </w:rPr>
            </w:pPr>
            <w:r w:rsidRPr="00E200E5">
              <w:rPr>
                <w:rFonts w:cs="Arial"/>
                <w:color w:val="000000"/>
                <w:szCs w:val="20"/>
              </w:rPr>
              <w:t>TEC D</w:t>
            </w:r>
            <w:r w:rsidR="002152E6">
              <w:rPr>
                <w:rFonts w:cs="Arial"/>
                <w:color w:val="000000"/>
                <w:szCs w:val="20"/>
              </w:rPr>
              <w:t xml:space="preserve">esert Pty Ltd and </w:t>
            </w:r>
            <w:r w:rsidRPr="00E200E5">
              <w:rPr>
                <w:rFonts w:cs="Arial"/>
                <w:color w:val="000000"/>
                <w:szCs w:val="20"/>
              </w:rPr>
              <w:t xml:space="preserve">TEC </w:t>
            </w:r>
            <w:r w:rsidR="002152E6" w:rsidRPr="00E200E5">
              <w:rPr>
                <w:rFonts w:cs="Arial"/>
                <w:color w:val="000000"/>
                <w:szCs w:val="20"/>
              </w:rPr>
              <w:t>D</w:t>
            </w:r>
            <w:r w:rsidR="002152E6">
              <w:rPr>
                <w:rFonts w:cs="Arial"/>
                <w:color w:val="000000"/>
                <w:szCs w:val="20"/>
              </w:rPr>
              <w:t>esert</w:t>
            </w:r>
            <w:r w:rsidR="002152E6" w:rsidRPr="00E200E5">
              <w:rPr>
                <w:rFonts w:cs="Arial"/>
                <w:color w:val="000000"/>
                <w:szCs w:val="20"/>
              </w:rPr>
              <w:t xml:space="preserve"> </w:t>
            </w:r>
            <w:r w:rsidRPr="00E200E5">
              <w:rPr>
                <w:rFonts w:cs="Arial"/>
                <w:color w:val="000000"/>
                <w:szCs w:val="20"/>
              </w:rPr>
              <w:t>N</w:t>
            </w:r>
            <w:r w:rsidR="002152E6">
              <w:rPr>
                <w:rFonts w:cs="Arial"/>
                <w:color w:val="000000"/>
                <w:szCs w:val="20"/>
              </w:rPr>
              <w:t>o</w:t>
            </w:r>
            <w:r w:rsidRPr="00E200E5">
              <w:rPr>
                <w:rFonts w:cs="Arial"/>
                <w:color w:val="000000"/>
                <w:szCs w:val="20"/>
              </w:rPr>
              <w:t>.2 L</w:t>
            </w:r>
            <w:r w:rsidR="002152E6">
              <w:rPr>
                <w:rFonts w:cs="Arial"/>
                <w:color w:val="000000"/>
                <w:szCs w:val="20"/>
              </w:rPr>
              <w:t>td</w:t>
            </w:r>
          </w:p>
        </w:tc>
        <w:tc>
          <w:tcPr>
            <w:tcW w:w="1701" w:type="dxa"/>
            <w:tcBorders>
              <w:top w:val="nil"/>
              <w:left w:val="single" w:sz="8" w:space="0" w:color="auto"/>
              <w:bottom w:val="single" w:sz="8" w:space="0" w:color="auto"/>
              <w:right w:val="nil"/>
            </w:tcBorders>
            <w:shd w:val="clear" w:color="000000" w:fill="F2F2F2"/>
            <w:vAlign w:val="center"/>
            <w:hideMark/>
          </w:tcPr>
          <w:p w14:paraId="5EDDD7E9" w14:textId="291499D4"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c>
          <w:tcPr>
            <w:tcW w:w="1701" w:type="dxa"/>
            <w:tcBorders>
              <w:top w:val="nil"/>
              <w:left w:val="single" w:sz="4" w:space="0" w:color="auto"/>
              <w:bottom w:val="single" w:sz="8" w:space="0" w:color="auto"/>
              <w:right w:val="single" w:sz="4" w:space="0" w:color="auto"/>
            </w:tcBorders>
            <w:shd w:val="clear" w:color="000000" w:fill="F2F2F2"/>
            <w:vAlign w:val="center"/>
            <w:hideMark/>
          </w:tcPr>
          <w:p w14:paraId="7FB0F117"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2</w:t>
            </w:r>
          </w:p>
        </w:tc>
        <w:tc>
          <w:tcPr>
            <w:tcW w:w="1701" w:type="dxa"/>
            <w:tcBorders>
              <w:top w:val="nil"/>
              <w:left w:val="nil"/>
              <w:bottom w:val="single" w:sz="8" w:space="0" w:color="auto"/>
              <w:right w:val="nil"/>
            </w:tcBorders>
            <w:shd w:val="clear" w:color="000000" w:fill="F2F2F2"/>
            <w:vAlign w:val="center"/>
            <w:hideMark/>
          </w:tcPr>
          <w:p w14:paraId="421DEB54" w14:textId="165E216D" w:rsidR="007C1B0D" w:rsidRPr="00E200E5" w:rsidRDefault="00346ED4" w:rsidP="00A85750">
            <w:pPr>
              <w:spacing w:after="0" w:line="240" w:lineRule="auto"/>
              <w:jc w:val="right"/>
              <w:rPr>
                <w:rFonts w:cs="Arial"/>
                <w:color w:val="000000"/>
                <w:szCs w:val="20"/>
              </w:rPr>
            </w:pPr>
            <w:r w:rsidRPr="00E200E5">
              <w:rPr>
                <w:rFonts w:cs="Arial"/>
                <w:color w:val="000000"/>
                <w:szCs w:val="20"/>
              </w:rPr>
              <w:t>-</w:t>
            </w:r>
          </w:p>
        </w:tc>
      </w:tr>
      <w:tr w:rsidR="007C1B0D" w:rsidRPr="00517F15" w14:paraId="3233C66A" w14:textId="77777777" w:rsidTr="009A1022">
        <w:trPr>
          <w:trHeight w:val="315"/>
        </w:trPr>
        <w:tc>
          <w:tcPr>
            <w:tcW w:w="2694" w:type="dxa"/>
            <w:tcBorders>
              <w:top w:val="nil"/>
              <w:left w:val="nil"/>
              <w:bottom w:val="single" w:sz="8" w:space="0" w:color="auto"/>
              <w:right w:val="nil"/>
            </w:tcBorders>
            <w:shd w:val="clear" w:color="auto" w:fill="auto"/>
            <w:vAlign w:val="center"/>
            <w:hideMark/>
          </w:tcPr>
          <w:p w14:paraId="0D7EF88C" w14:textId="77777777" w:rsidR="007C1B0D" w:rsidRPr="00E200E5" w:rsidRDefault="007C1B0D" w:rsidP="00A85750">
            <w:pPr>
              <w:spacing w:after="0" w:line="240" w:lineRule="auto"/>
              <w:rPr>
                <w:rFonts w:cs="Arial"/>
                <w:color w:val="000000"/>
                <w:szCs w:val="20"/>
              </w:rPr>
            </w:pPr>
            <w:r w:rsidRPr="00E200E5">
              <w:rPr>
                <w:rFonts w:cs="Arial"/>
                <w:color w:val="000000"/>
                <w:szCs w:val="20"/>
              </w:rPr>
              <w:t>Telstra Corporation Limited</w:t>
            </w:r>
          </w:p>
        </w:tc>
        <w:tc>
          <w:tcPr>
            <w:tcW w:w="1701" w:type="dxa"/>
            <w:tcBorders>
              <w:top w:val="nil"/>
              <w:left w:val="single" w:sz="8" w:space="0" w:color="auto"/>
              <w:bottom w:val="single" w:sz="8" w:space="0" w:color="auto"/>
              <w:right w:val="nil"/>
            </w:tcBorders>
            <w:shd w:val="clear" w:color="auto" w:fill="auto"/>
            <w:vAlign w:val="center"/>
            <w:hideMark/>
          </w:tcPr>
          <w:p w14:paraId="5B11C489"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26</w:t>
            </w:r>
          </w:p>
        </w:tc>
        <w:tc>
          <w:tcPr>
            <w:tcW w:w="1701" w:type="dxa"/>
            <w:tcBorders>
              <w:top w:val="nil"/>
              <w:left w:val="single" w:sz="4" w:space="0" w:color="auto"/>
              <w:bottom w:val="single" w:sz="8" w:space="0" w:color="auto"/>
              <w:right w:val="single" w:sz="4" w:space="0" w:color="auto"/>
            </w:tcBorders>
            <w:shd w:val="clear" w:color="auto" w:fill="auto"/>
            <w:vAlign w:val="center"/>
            <w:hideMark/>
          </w:tcPr>
          <w:p w14:paraId="53ADA604"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34</w:t>
            </w:r>
          </w:p>
        </w:tc>
        <w:tc>
          <w:tcPr>
            <w:tcW w:w="1701" w:type="dxa"/>
            <w:tcBorders>
              <w:top w:val="nil"/>
              <w:left w:val="nil"/>
              <w:bottom w:val="single" w:sz="8" w:space="0" w:color="auto"/>
              <w:right w:val="nil"/>
            </w:tcBorders>
            <w:shd w:val="clear" w:color="auto" w:fill="auto"/>
            <w:vAlign w:val="center"/>
            <w:hideMark/>
          </w:tcPr>
          <w:p w14:paraId="47C6D705" w14:textId="77777777" w:rsidR="007C1B0D" w:rsidRPr="00E200E5" w:rsidRDefault="007C1B0D" w:rsidP="00A85750">
            <w:pPr>
              <w:spacing w:after="0" w:line="240" w:lineRule="auto"/>
              <w:jc w:val="right"/>
              <w:rPr>
                <w:rFonts w:cs="Arial"/>
                <w:color w:val="000000"/>
                <w:szCs w:val="20"/>
              </w:rPr>
            </w:pPr>
            <w:r w:rsidRPr="00E200E5">
              <w:rPr>
                <w:rFonts w:cs="Arial"/>
                <w:color w:val="000000"/>
                <w:szCs w:val="20"/>
              </w:rPr>
              <w:t>42</w:t>
            </w:r>
          </w:p>
        </w:tc>
      </w:tr>
    </w:tbl>
    <w:p w14:paraId="5C5CD576" w14:textId="0D491B14" w:rsidR="00EC3CCA" w:rsidRDefault="007C1B0D" w:rsidP="00A85750">
      <w:pPr>
        <w:pStyle w:val="ACMANotes"/>
      </w:pPr>
      <w:r>
        <w:t>*</w:t>
      </w:r>
      <w:r w:rsidR="00EC3CCA">
        <w:t>Data taken from RRL as at 2 August 2021.</w:t>
      </w:r>
    </w:p>
    <w:p w14:paraId="7828E430" w14:textId="77777777" w:rsidR="00EC3CCA" w:rsidRDefault="00EC3CCA" w:rsidP="00A85750">
      <w:pPr>
        <w:pStyle w:val="ACMANotes"/>
      </w:pPr>
    </w:p>
    <w:p w14:paraId="04D348C5" w14:textId="3D66E5A6" w:rsidR="00C04B93" w:rsidRDefault="00C04B93" w:rsidP="00A85750">
      <w:pPr>
        <w:pStyle w:val="Figureheading"/>
        <w:keepNext w:val="0"/>
      </w:pPr>
      <w:r>
        <w:t xml:space="preserve">Point-to-point </w:t>
      </w:r>
      <w:r w:rsidR="00CF3B7E">
        <w:t>assignments per centre frequency</w:t>
      </w:r>
      <w:r>
        <w:t xml:space="preserve"> in </w:t>
      </w:r>
      <w:r w:rsidRPr="007B4576">
        <w:t>1880</w:t>
      </w:r>
      <w:r w:rsidR="00BC67B0">
        <w:t>–</w:t>
      </w:r>
      <w:r w:rsidRPr="007B4576">
        <w:t>1920 MHz</w:t>
      </w:r>
    </w:p>
    <w:p w14:paraId="7045F698" w14:textId="54E1B95E" w:rsidR="009476E9" w:rsidRDefault="00CE2B32" w:rsidP="00285E8F">
      <w:pPr>
        <w:pStyle w:val="Paragraph"/>
        <w:spacing w:after="0"/>
      </w:pPr>
      <w:r>
        <w:rPr>
          <w:noProof/>
        </w:rPr>
        <w:drawing>
          <wp:inline distT="0" distB="0" distL="0" distR="0" wp14:anchorId="5CCB66E5" wp14:editId="409D8E85">
            <wp:extent cx="6119446" cy="3998067"/>
            <wp:effectExtent l="0" t="0" r="0" b="2540"/>
            <wp:docPr id="17" name="Picture 17"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f you need help accessing or reading this diagram, please contact the ACMA's Customer Service Centre by phone on 1300 850 115 or by email at  info@acma.gov.a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8781" cy="4004166"/>
                    </a:xfrm>
                    <a:prstGeom prst="rect">
                      <a:avLst/>
                    </a:prstGeom>
                    <a:noFill/>
                  </pic:spPr>
                </pic:pic>
              </a:graphicData>
            </a:graphic>
          </wp:inline>
        </w:drawing>
      </w:r>
    </w:p>
    <w:p w14:paraId="72912F1A" w14:textId="46C8DE1F" w:rsidR="00C3113D" w:rsidRDefault="00C3113D" w:rsidP="0021225B">
      <w:pPr>
        <w:pStyle w:val="Paragraph"/>
        <w:rPr>
          <w:i/>
          <w:sz w:val="16"/>
          <w:szCs w:val="16"/>
        </w:rPr>
      </w:pPr>
      <w:r w:rsidRPr="006F4B63">
        <w:rPr>
          <w:i/>
          <w:sz w:val="16"/>
          <w:szCs w:val="16"/>
        </w:rPr>
        <w:t xml:space="preserve">Data taken from </w:t>
      </w:r>
      <w:hyperlink r:id="rId62"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Pr>
          <w:i/>
          <w:sz w:val="16"/>
          <w:szCs w:val="16"/>
        </w:rPr>
        <w:t>2</w:t>
      </w:r>
      <w:r w:rsidRPr="006F4B63">
        <w:rPr>
          <w:i/>
          <w:sz w:val="16"/>
          <w:szCs w:val="16"/>
        </w:rPr>
        <w:t xml:space="preserve"> </w:t>
      </w:r>
      <w:r>
        <w:rPr>
          <w:i/>
          <w:sz w:val="16"/>
          <w:szCs w:val="16"/>
        </w:rPr>
        <w:t>August</w:t>
      </w:r>
      <w:r w:rsidRPr="006F4B63">
        <w:rPr>
          <w:i/>
          <w:sz w:val="16"/>
          <w:szCs w:val="16"/>
        </w:rPr>
        <w:t xml:space="preserve"> 20</w:t>
      </w:r>
      <w:r>
        <w:rPr>
          <w:i/>
          <w:sz w:val="16"/>
          <w:szCs w:val="16"/>
        </w:rPr>
        <w:t>21.</w:t>
      </w:r>
    </w:p>
    <w:p w14:paraId="68EB97DF" w14:textId="2F84DF28" w:rsidR="00406DD3" w:rsidRDefault="00406DD3" w:rsidP="00A85750">
      <w:pPr>
        <w:pStyle w:val="Paragraph"/>
        <w:keepNext/>
        <w:keepLines/>
      </w:pPr>
      <w:r>
        <w:lastRenderedPageBreak/>
        <w:t xml:space="preserve">Figure </w:t>
      </w:r>
      <w:r w:rsidR="00112018">
        <w:t>6</w:t>
      </w:r>
      <w:r>
        <w:t xml:space="preserve"> shows the year-on-year trend for point-to-point assignments for the last </w:t>
      </w:r>
      <w:r w:rsidR="00BC67B0">
        <w:t>7 </w:t>
      </w:r>
      <w:r>
        <w:t>year</w:t>
      </w:r>
      <w:r w:rsidR="00D46994">
        <w:t>s</w:t>
      </w:r>
      <w:r>
        <w:t>. There was a steady decline in point-to-point assignments from 2015 to 2017. From 2018</w:t>
      </w:r>
      <w:r w:rsidR="00BC67B0">
        <w:t>,</w:t>
      </w:r>
      <w:r>
        <w:t xml:space="preserve"> the number of point-to-point assignments has stayed relatively </w:t>
      </w:r>
      <w:r w:rsidR="00D80C92">
        <w:t>constant at</w:t>
      </w:r>
      <w:r>
        <w:t xml:space="preserve"> around 50.</w:t>
      </w:r>
    </w:p>
    <w:p w14:paraId="01B37EFD" w14:textId="04644F6C" w:rsidR="00406DD3" w:rsidRDefault="007C021F" w:rsidP="00A85750">
      <w:pPr>
        <w:pStyle w:val="Figureheading"/>
        <w:keepLines/>
      </w:pPr>
      <w:r>
        <w:t>Seven</w:t>
      </w:r>
      <w:r w:rsidR="00406DD3">
        <w:t xml:space="preserve">-year trend for </w:t>
      </w:r>
      <w:r w:rsidR="00BC67B0">
        <w:t>p</w:t>
      </w:r>
      <w:r w:rsidR="00406DD3">
        <w:t>oint-to-point assignments</w:t>
      </w:r>
    </w:p>
    <w:p w14:paraId="56E6C20C" w14:textId="4543B878" w:rsidR="00406DD3" w:rsidRDefault="00406DD3" w:rsidP="00A85750">
      <w:pPr>
        <w:pStyle w:val="Paragraph"/>
        <w:keepNext/>
        <w:keepLines/>
        <w:spacing w:after="0"/>
        <w:rPr>
          <w:i/>
          <w:sz w:val="16"/>
          <w:szCs w:val="16"/>
        </w:rPr>
      </w:pPr>
      <w:r>
        <w:rPr>
          <w:i/>
          <w:noProof/>
          <w:sz w:val="16"/>
          <w:szCs w:val="16"/>
        </w:rPr>
        <w:drawing>
          <wp:inline distT="0" distB="0" distL="0" distR="0" wp14:anchorId="48CD4E55" wp14:editId="6F333D23">
            <wp:extent cx="5784082" cy="3778960"/>
            <wp:effectExtent l="0" t="0" r="7620" b="0"/>
            <wp:docPr id="24" name="Picture 24"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f you need help accessing or reading this diagram, please contact the ACMA's Customer Service Centre by phone on 1300 850 115 or by email at  info@acma.gov.a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5033" cy="3786115"/>
                    </a:xfrm>
                    <a:prstGeom prst="rect">
                      <a:avLst/>
                    </a:prstGeom>
                    <a:noFill/>
                  </pic:spPr>
                </pic:pic>
              </a:graphicData>
            </a:graphic>
          </wp:inline>
        </w:drawing>
      </w:r>
    </w:p>
    <w:p w14:paraId="5208B0A7" w14:textId="492CD404" w:rsidR="00406DD3" w:rsidRDefault="00406DD3" w:rsidP="00A85750">
      <w:pPr>
        <w:pStyle w:val="Paragraph"/>
        <w:keepNext/>
        <w:keepLines/>
        <w:rPr>
          <w:i/>
          <w:sz w:val="16"/>
          <w:szCs w:val="16"/>
        </w:rPr>
      </w:pPr>
      <w:r w:rsidRPr="006F4B63">
        <w:rPr>
          <w:i/>
          <w:sz w:val="16"/>
          <w:szCs w:val="16"/>
        </w:rPr>
        <w:t xml:space="preserve">Data taken from </w:t>
      </w:r>
      <w:hyperlink r:id="rId64"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Pr>
          <w:i/>
          <w:sz w:val="16"/>
          <w:szCs w:val="16"/>
        </w:rPr>
        <w:t>first Monday of August</w:t>
      </w:r>
      <w:r w:rsidRPr="006F4B63">
        <w:rPr>
          <w:i/>
          <w:sz w:val="16"/>
          <w:szCs w:val="16"/>
        </w:rPr>
        <w:t xml:space="preserve"> </w:t>
      </w:r>
      <w:r>
        <w:rPr>
          <w:i/>
          <w:sz w:val="16"/>
          <w:szCs w:val="16"/>
        </w:rPr>
        <w:t>for each year.</w:t>
      </w:r>
    </w:p>
    <w:p w14:paraId="5E059604" w14:textId="464C37B2" w:rsidR="00DF0044" w:rsidRPr="001A7456" w:rsidRDefault="00DF0044" w:rsidP="00CE76FE">
      <w:pPr>
        <w:pStyle w:val="Heading2"/>
      </w:pPr>
      <w:bookmarkStart w:id="33" w:name="_Toc87534278"/>
      <w:r w:rsidRPr="001A7456">
        <w:t>Point-to-</w:t>
      </w:r>
      <w:r w:rsidR="00E91421">
        <w:t>m</w:t>
      </w:r>
      <w:r w:rsidRPr="001A7456">
        <w:t xml:space="preserve">ultipoint </w:t>
      </w:r>
      <w:r w:rsidR="00E91421">
        <w:t>s</w:t>
      </w:r>
      <w:r w:rsidR="0003288A">
        <w:t>ervices</w:t>
      </w:r>
      <w:bookmarkEnd w:id="33"/>
      <w:r w:rsidR="0003288A">
        <w:t xml:space="preserve"> </w:t>
      </w:r>
    </w:p>
    <w:p w14:paraId="4F85CBBA" w14:textId="310D8FDE" w:rsidR="0040460F" w:rsidRDefault="004F1F50" w:rsidP="00186998">
      <w:pPr>
        <w:pStyle w:val="Paragraph"/>
      </w:pPr>
      <w:r>
        <w:t xml:space="preserve">Point-to-multipoint </w:t>
      </w:r>
      <w:r w:rsidR="00257D32">
        <w:t xml:space="preserve">services </w:t>
      </w:r>
      <w:r>
        <w:t>in the 1.9 GHz band are used in Australia predominantly</w:t>
      </w:r>
      <w:r w:rsidRPr="005C74DB">
        <w:t xml:space="preserve"> by</w:t>
      </w:r>
      <w:r>
        <w:t xml:space="preserve"> regional operators to provide wireless broadband services</w:t>
      </w:r>
      <w:r w:rsidR="00721B80">
        <w:t xml:space="preserve"> for both public and private network applications</w:t>
      </w:r>
      <w:r>
        <w:t xml:space="preserve">. </w:t>
      </w:r>
      <w:hyperlink r:id="rId65" w:history="1">
        <w:r w:rsidR="00186998" w:rsidRPr="000613C4">
          <w:rPr>
            <w:rStyle w:val="Hyperlink"/>
          </w:rPr>
          <w:t>RALI FX19</w:t>
        </w:r>
      </w:hyperlink>
      <w:r w:rsidR="00284518">
        <w:rPr>
          <w:rStyle w:val="Hyperlink"/>
        </w:rPr>
        <w:t xml:space="preserve"> </w:t>
      </w:r>
      <w:r w:rsidR="00284518">
        <w:t>provides the planning guidelines for fixed point-to-multipoint services</w:t>
      </w:r>
      <w:r w:rsidR="00284518" w:rsidRPr="00284518">
        <w:t xml:space="preserve"> </w:t>
      </w:r>
      <w:r w:rsidR="00284518">
        <w:t>in the 1900–1920 MHz frequency range</w:t>
      </w:r>
      <w:r w:rsidR="00186998">
        <w:t xml:space="preserve">. </w:t>
      </w:r>
      <w:r w:rsidR="009B5E25">
        <w:t xml:space="preserve">Point-to-multipoint </w:t>
      </w:r>
      <w:r w:rsidR="00AC1DAD">
        <w:t>services</w:t>
      </w:r>
      <w:r w:rsidR="009B5E25">
        <w:t xml:space="preserve"> </w:t>
      </w:r>
      <w:r w:rsidR="00AC1DAD">
        <w:t xml:space="preserve">have </w:t>
      </w:r>
      <w:r w:rsidR="00BC67B0">
        <w:t xml:space="preserve">3 </w:t>
      </w:r>
      <w:r w:rsidR="00A3184E">
        <w:t>different bandwidth options: 5</w:t>
      </w:r>
      <w:r w:rsidR="0086515B">
        <w:t> </w:t>
      </w:r>
      <w:r w:rsidR="00A3184E">
        <w:t xml:space="preserve">MHz, 10 MHz and 20 MHz. </w:t>
      </w:r>
      <w:r w:rsidR="00C6340E">
        <w:t xml:space="preserve">RALI FX19 does not prescribe a </w:t>
      </w:r>
      <w:r w:rsidR="00B75535">
        <w:t>set channelling arrangement</w:t>
      </w:r>
      <w:r w:rsidR="00DC293E">
        <w:t xml:space="preserve"> for </w:t>
      </w:r>
      <w:r w:rsidR="00A3184E">
        <w:t>these bandwidth options.</w:t>
      </w:r>
      <w:r w:rsidR="003F74F8">
        <w:t xml:space="preserve"> </w:t>
      </w:r>
      <w:r w:rsidR="00103636">
        <w:t xml:space="preserve">Instead, it </w:t>
      </w:r>
      <w:r w:rsidR="00D80C92">
        <w:t>specifies an</w:t>
      </w:r>
      <w:r w:rsidR="00103636">
        <w:t xml:space="preserve"> assignment priority based on </w:t>
      </w:r>
      <w:r w:rsidR="00F75D27">
        <w:t xml:space="preserve">existing assignments, number of channels </w:t>
      </w:r>
      <w:r w:rsidR="00711B67">
        <w:t xml:space="preserve">and channel bandwidth </w:t>
      </w:r>
      <w:r w:rsidR="00284518">
        <w:t>required</w:t>
      </w:r>
      <w:r w:rsidR="00711B67">
        <w:t>.</w:t>
      </w:r>
    </w:p>
    <w:p w14:paraId="48983EA1" w14:textId="7055013A" w:rsidR="0040460F" w:rsidRDefault="00C40CEB" w:rsidP="004C264C">
      <w:pPr>
        <w:pStyle w:val="Paragraph"/>
        <w:rPr>
          <w:b/>
          <w:bCs/>
          <w:color w:val="323232"/>
          <w:szCs w:val="20"/>
        </w:rPr>
      </w:pPr>
      <w:r>
        <w:t xml:space="preserve">Like </w:t>
      </w:r>
      <w:r w:rsidR="00C32206">
        <w:t>point-to-point services,</w:t>
      </w:r>
      <w:r w:rsidR="00186998">
        <w:t xml:space="preserve"> </w:t>
      </w:r>
      <w:hyperlink r:id="rId66" w:history="1">
        <w:r w:rsidR="00186998" w:rsidRPr="005F3BAB">
          <w:rPr>
            <w:rStyle w:val="Hyperlink"/>
          </w:rPr>
          <w:t>Embargo</w:t>
        </w:r>
        <w:r w:rsidR="00186998">
          <w:rPr>
            <w:rStyle w:val="Hyperlink"/>
          </w:rPr>
          <w:t> </w:t>
        </w:r>
        <w:r w:rsidR="00186998" w:rsidRPr="005F3BAB">
          <w:rPr>
            <w:rStyle w:val="Hyperlink"/>
          </w:rPr>
          <w:t>76</w:t>
        </w:r>
      </w:hyperlink>
      <w:r w:rsidR="00186998">
        <w:t xml:space="preserve"> </w:t>
      </w:r>
      <w:r w:rsidR="00675FF1">
        <w:t>restricts</w:t>
      </w:r>
      <w:r w:rsidR="00186998">
        <w:t xml:space="preserve"> new apparatus licences for point-to-multipoint services in metropolitan areas.</w:t>
      </w:r>
      <w:r w:rsidR="00A539C4">
        <w:t xml:space="preserve"> Figure </w:t>
      </w:r>
      <w:r w:rsidR="00112018">
        <w:t>7</w:t>
      </w:r>
      <w:r w:rsidR="00A539C4">
        <w:t xml:space="preserve"> </w:t>
      </w:r>
      <w:r w:rsidR="00BC67B0">
        <w:t xml:space="preserve">shows </w:t>
      </w:r>
      <w:r w:rsidR="00A539C4">
        <w:t>the general location of the point-to-multipoint services in Australia</w:t>
      </w:r>
      <w:r w:rsidR="00991BCE">
        <w:t xml:space="preserve"> as at 2 August 2021</w:t>
      </w:r>
      <w:r w:rsidR="00A539C4">
        <w:t xml:space="preserve">. All the point-to-point assignments </w:t>
      </w:r>
      <w:r w:rsidR="002773FB">
        <w:t>are in</w:t>
      </w:r>
      <w:r w:rsidR="00A539C4">
        <w:t xml:space="preserve"> regional and remote areas, as expected</w:t>
      </w:r>
      <w:r w:rsidR="004C1AFE">
        <w:t xml:space="preserve"> given the current regulatory framework</w:t>
      </w:r>
      <w:r w:rsidR="00A539C4">
        <w:t>.</w:t>
      </w:r>
    </w:p>
    <w:p w14:paraId="5968BA60" w14:textId="081CF626" w:rsidR="0040460F" w:rsidRDefault="0040460F" w:rsidP="0040460F">
      <w:pPr>
        <w:pStyle w:val="Figureheading"/>
      </w:pPr>
      <w:r>
        <w:lastRenderedPageBreak/>
        <w:t>Map of point-to-multipoint assignments in 190</w:t>
      </w:r>
      <w:r w:rsidRPr="007B4576">
        <w:t>0</w:t>
      </w:r>
      <w:r w:rsidR="00BC67B0">
        <w:t>–</w:t>
      </w:r>
      <w:r w:rsidRPr="007B4576">
        <w:t>1920 MHz</w:t>
      </w:r>
    </w:p>
    <w:p w14:paraId="0BD32907" w14:textId="43CAC9AE" w:rsidR="00DF6717" w:rsidRDefault="005B67B9" w:rsidP="00186998">
      <w:pPr>
        <w:pStyle w:val="Paragraph"/>
      </w:pPr>
      <w:r>
        <w:rPr>
          <w:noProof/>
        </w:rPr>
        <w:drawing>
          <wp:inline distT="0" distB="0" distL="0" distR="0" wp14:anchorId="1D5E7308" wp14:editId="07BF4C39">
            <wp:extent cx="6175717" cy="4926244"/>
            <wp:effectExtent l="0" t="0" r="0" b="8255"/>
            <wp:docPr id="20" name="Picture 20"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f you need help accessing or reading this diagram, please contact the ACMA's Customer Service Centre by phone on 1300 850 115 or by email at  info@acma.gov.au"/>
                    <pic:cNvPicPr/>
                  </pic:nvPicPr>
                  <pic:blipFill>
                    <a:blip r:embed="rId67"/>
                    <a:stretch>
                      <a:fillRect/>
                    </a:stretch>
                  </pic:blipFill>
                  <pic:spPr>
                    <a:xfrm>
                      <a:off x="0" y="0"/>
                      <a:ext cx="6188895" cy="4936756"/>
                    </a:xfrm>
                    <a:prstGeom prst="rect">
                      <a:avLst/>
                    </a:prstGeom>
                  </pic:spPr>
                </pic:pic>
              </a:graphicData>
            </a:graphic>
          </wp:inline>
        </w:drawing>
      </w:r>
    </w:p>
    <w:p w14:paraId="48418B09" w14:textId="4D91FDD5" w:rsidR="00BB66A4" w:rsidRDefault="009A16BE" w:rsidP="00186998">
      <w:pPr>
        <w:pStyle w:val="Paragraph"/>
      </w:pPr>
      <w:r>
        <w:t>T</w:t>
      </w:r>
      <w:r w:rsidR="00BB66A4">
        <w:t xml:space="preserve">here are 122 </w:t>
      </w:r>
      <w:r w:rsidR="00F63507">
        <w:t>point-to-multipoint assignments</w:t>
      </w:r>
      <w:r w:rsidR="00991BCE">
        <w:rPr>
          <w:rStyle w:val="FootnoteReference"/>
        </w:rPr>
        <w:footnoteReference w:id="8"/>
      </w:r>
      <w:r w:rsidR="00F63507">
        <w:t xml:space="preserve"> in the 1.9 GHz band.</w:t>
      </w:r>
      <w:r w:rsidR="00C75A78">
        <w:t xml:space="preserve"> </w:t>
      </w:r>
      <w:r w:rsidR="00517F15">
        <w:t>Of these,</w:t>
      </w:r>
      <w:r w:rsidR="000764D8">
        <w:t xml:space="preserve"> </w:t>
      </w:r>
      <w:r w:rsidR="00127B9D">
        <w:t xml:space="preserve">18 </w:t>
      </w:r>
      <w:r w:rsidR="00A50E15">
        <w:t>assignments</w:t>
      </w:r>
      <w:r w:rsidR="00A14880">
        <w:t xml:space="preserve"> </w:t>
      </w:r>
      <w:r w:rsidR="00AE680D">
        <w:t>have</w:t>
      </w:r>
      <w:r w:rsidR="00A17EF5">
        <w:t xml:space="preserve"> a </w:t>
      </w:r>
      <w:r w:rsidR="002210BA">
        <w:t xml:space="preserve">5 MHz channel bandwidth, while the rest of the 104 assignments </w:t>
      </w:r>
      <w:r w:rsidR="00AE680D">
        <w:t>have</w:t>
      </w:r>
      <w:r w:rsidR="002210BA">
        <w:t xml:space="preserve"> a 10 MHz channel bandwidth.</w:t>
      </w:r>
      <w:r w:rsidR="00B21BA6">
        <w:t xml:space="preserve"> </w:t>
      </w:r>
      <w:r w:rsidR="00781B94">
        <w:t xml:space="preserve">Table 3 provides a breakdown of the major licensees and </w:t>
      </w:r>
      <w:r w:rsidR="00B21BA6">
        <w:t xml:space="preserve">Figure </w:t>
      </w:r>
      <w:r w:rsidR="00112018">
        <w:t>8</w:t>
      </w:r>
      <w:r w:rsidR="00B21BA6">
        <w:t xml:space="preserve"> shows the breakdown of </w:t>
      </w:r>
      <w:r w:rsidR="00074B34">
        <w:t>assignments</w:t>
      </w:r>
      <w:r w:rsidR="00B21BA6">
        <w:t xml:space="preserve"> per channel.</w:t>
      </w:r>
    </w:p>
    <w:p w14:paraId="77789C95" w14:textId="5A1BCED1" w:rsidR="004423F3" w:rsidRDefault="004423F3" w:rsidP="00A85750">
      <w:pPr>
        <w:pStyle w:val="Tableheading"/>
        <w:keepLines/>
      </w:pPr>
      <w:r>
        <w:lastRenderedPageBreak/>
        <w:t>Point-to-multipoint licensees in the 1.9 GHz band</w:t>
      </w:r>
    </w:p>
    <w:tbl>
      <w:tblPr>
        <w:tblW w:w="7194" w:type="dxa"/>
        <w:tblBorders>
          <w:top w:val="single" w:sz="4" w:space="0" w:color="auto"/>
          <w:bottom w:val="single" w:sz="4" w:space="0" w:color="auto"/>
          <w:insideH w:val="single" w:sz="4" w:space="0" w:color="auto"/>
        </w:tblBorders>
        <w:tblCellMar>
          <w:top w:w="57" w:type="dxa"/>
          <w:left w:w="57" w:type="dxa"/>
          <w:bottom w:w="57" w:type="dxa"/>
          <w:right w:w="57" w:type="dxa"/>
        </w:tblCellMar>
        <w:tblLook w:val="07E0" w:firstRow="1" w:lastRow="1" w:firstColumn="1" w:lastColumn="1" w:noHBand="1" w:noVBand="1"/>
        <w:tblCaption w:val="Table title to go here"/>
        <w:tblDescription w:val="Table description to go here"/>
      </w:tblPr>
      <w:tblGrid>
        <w:gridCol w:w="4218"/>
        <w:gridCol w:w="2976"/>
      </w:tblGrid>
      <w:tr w:rsidR="00781B94" w:rsidRPr="00517F15" w14:paraId="657470F1" w14:textId="77777777" w:rsidTr="009A1022">
        <w:tc>
          <w:tcPr>
            <w:tcW w:w="4218" w:type="dxa"/>
            <w:shd w:val="clear" w:color="auto" w:fill="404040" w:themeFill="text1" w:themeFillTint="BF"/>
            <w:vAlign w:val="center"/>
          </w:tcPr>
          <w:p w14:paraId="528ACFC0" w14:textId="77777777" w:rsidR="00781B94" w:rsidRPr="00517F15" w:rsidRDefault="00781B94" w:rsidP="00A85750">
            <w:pPr>
              <w:pStyle w:val="TableHeading0"/>
              <w:keepNext/>
              <w:keepLines/>
              <w:rPr>
                <w:rFonts w:cs="Arial"/>
                <w:color w:val="FFFFFF" w:themeColor="background1"/>
                <w:szCs w:val="20"/>
              </w:rPr>
            </w:pPr>
            <w:r w:rsidRPr="00517F15">
              <w:rPr>
                <w:rFonts w:cs="Arial"/>
                <w:color w:val="FFFFFF" w:themeColor="background1"/>
                <w:szCs w:val="20"/>
              </w:rPr>
              <w:t>Location</w:t>
            </w:r>
          </w:p>
        </w:tc>
        <w:tc>
          <w:tcPr>
            <w:tcW w:w="2976" w:type="dxa"/>
            <w:shd w:val="clear" w:color="auto" w:fill="404040" w:themeFill="text1" w:themeFillTint="BF"/>
            <w:vAlign w:val="center"/>
          </w:tcPr>
          <w:p w14:paraId="3250EBD7" w14:textId="6956D501" w:rsidR="00781B94" w:rsidRPr="00517F15" w:rsidRDefault="00781B94" w:rsidP="00A85750">
            <w:pPr>
              <w:pStyle w:val="TableHeading0"/>
              <w:keepNext/>
              <w:keepLines/>
              <w:jc w:val="right"/>
              <w:rPr>
                <w:rFonts w:cs="Arial"/>
                <w:color w:val="FFFFFF" w:themeColor="background1"/>
                <w:szCs w:val="20"/>
              </w:rPr>
            </w:pPr>
            <w:r w:rsidRPr="00517F15">
              <w:rPr>
                <w:rFonts w:cs="Arial"/>
                <w:color w:val="FFFFFF" w:themeColor="background1"/>
                <w:szCs w:val="20"/>
              </w:rPr>
              <w:t xml:space="preserve">Number of </w:t>
            </w:r>
            <w:r w:rsidR="004423F3" w:rsidRPr="00517F15">
              <w:rPr>
                <w:rFonts w:cs="Arial"/>
                <w:color w:val="FFFFFF" w:themeColor="background1"/>
                <w:szCs w:val="20"/>
              </w:rPr>
              <w:t xml:space="preserve">PMP </w:t>
            </w:r>
            <w:r w:rsidR="003D1ADA" w:rsidRPr="00517F15">
              <w:rPr>
                <w:rFonts w:cs="Arial"/>
                <w:color w:val="FFFFFF" w:themeColor="background1"/>
                <w:szCs w:val="20"/>
              </w:rPr>
              <w:t>assignments</w:t>
            </w:r>
          </w:p>
        </w:tc>
      </w:tr>
      <w:tr w:rsidR="003D1ADA" w:rsidRPr="00517F15" w14:paraId="39268054" w14:textId="77777777" w:rsidTr="009A1022">
        <w:tc>
          <w:tcPr>
            <w:tcW w:w="4218" w:type="dxa"/>
            <w:tcBorders>
              <w:bottom w:val="single" w:sz="4" w:space="0" w:color="auto"/>
            </w:tcBorders>
            <w:vAlign w:val="center"/>
          </w:tcPr>
          <w:p w14:paraId="3F1DC596" w14:textId="4CD2F586"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Arrow Energy Ltd</w:t>
            </w:r>
          </w:p>
        </w:tc>
        <w:tc>
          <w:tcPr>
            <w:tcW w:w="2976" w:type="dxa"/>
            <w:tcBorders>
              <w:bottom w:val="single" w:sz="4" w:space="0" w:color="auto"/>
            </w:tcBorders>
            <w:vAlign w:val="center"/>
          </w:tcPr>
          <w:p w14:paraId="7431E4E1" w14:textId="376CB647"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6</w:t>
            </w:r>
          </w:p>
        </w:tc>
      </w:tr>
      <w:tr w:rsidR="003D1ADA" w:rsidRPr="00517F15" w14:paraId="35B0AFE1" w14:textId="77777777" w:rsidTr="009A1022">
        <w:tc>
          <w:tcPr>
            <w:tcW w:w="4218" w:type="dxa"/>
            <w:shd w:val="clear" w:color="auto" w:fill="F2F2F2" w:themeFill="background1" w:themeFillShade="F2"/>
            <w:vAlign w:val="center"/>
          </w:tcPr>
          <w:p w14:paraId="1515E245" w14:textId="00C35E37"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Aussie Broadband Pty Ltd</w:t>
            </w:r>
          </w:p>
        </w:tc>
        <w:tc>
          <w:tcPr>
            <w:tcW w:w="2976" w:type="dxa"/>
            <w:shd w:val="clear" w:color="auto" w:fill="F2F2F2" w:themeFill="background1" w:themeFillShade="F2"/>
            <w:vAlign w:val="center"/>
          </w:tcPr>
          <w:p w14:paraId="03963D0C" w14:textId="06C0645E"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12</w:t>
            </w:r>
          </w:p>
        </w:tc>
      </w:tr>
      <w:tr w:rsidR="003D1ADA" w:rsidRPr="00517F15" w14:paraId="4CEF2AD7" w14:textId="77777777" w:rsidTr="009A1022">
        <w:tc>
          <w:tcPr>
            <w:tcW w:w="4218" w:type="dxa"/>
            <w:tcBorders>
              <w:bottom w:val="single" w:sz="4" w:space="0" w:color="auto"/>
            </w:tcBorders>
            <w:vAlign w:val="center"/>
          </w:tcPr>
          <w:p w14:paraId="56581F42" w14:textId="62729F75"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Australia Pacific LNG Pty Limited</w:t>
            </w:r>
          </w:p>
        </w:tc>
        <w:tc>
          <w:tcPr>
            <w:tcW w:w="2976" w:type="dxa"/>
            <w:tcBorders>
              <w:bottom w:val="single" w:sz="4" w:space="0" w:color="auto"/>
            </w:tcBorders>
            <w:vAlign w:val="center"/>
          </w:tcPr>
          <w:p w14:paraId="0DB3FC9F" w14:textId="0595812F"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44</w:t>
            </w:r>
          </w:p>
        </w:tc>
      </w:tr>
      <w:tr w:rsidR="003D1ADA" w:rsidRPr="00517F15" w14:paraId="640DF3A9" w14:textId="77777777" w:rsidTr="009A1022">
        <w:tc>
          <w:tcPr>
            <w:tcW w:w="4218" w:type="dxa"/>
            <w:shd w:val="clear" w:color="auto" w:fill="F2F2F2" w:themeFill="background1" w:themeFillShade="F2"/>
            <w:vAlign w:val="center"/>
          </w:tcPr>
          <w:p w14:paraId="0E4B5419" w14:textId="4C4C98C7"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BHP B</w:t>
            </w:r>
            <w:r w:rsidR="002152E6">
              <w:rPr>
                <w:rFonts w:cs="Arial"/>
                <w:color w:val="000000"/>
                <w:szCs w:val="20"/>
              </w:rPr>
              <w:t xml:space="preserve">illiton </w:t>
            </w:r>
            <w:r w:rsidRPr="00E200E5">
              <w:rPr>
                <w:rFonts w:cs="Arial"/>
                <w:color w:val="000000"/>
                <w:szCs w:val="20"/>
              </w:rPr>
              <w:t>I</w:t>
            </w:r>
            <w:r w:rsidR="002152E6">
              <w:rPr>
                <w:rFonts w:cs="Arial"/>
                <w:color w:val="000000"/>
                <w:szCs w:val="20"/>
              </w:rPr>
              <w:t xml:space="preserve">ron Ore </w:t>
            </w:r>
            <w:r w:rsidRPr="00E200E5">
              <w:rPr>
                <w:rFonts w:cs="Arial"/>
                <w:color w:val="000000"/>
                <w:szCs w:val="20"/>
              </w:rPr>
              <w:t>P</w:t>
            </w:r>
            <w:r w:rsidR="002152E6">
              <w:rPr>
                <w:rFonts w:cs="Arial"/>
                <w:color w:val="000000"/>
                <w:szCs w:val="20"/>
              </w:rPr>
              <w:t>ty</w:t>
            </w:r>
            <w:r w:rsidRPr="00E200E5">
              <w:rPr>
                <w:rFonts w:cs="Arial"/>
                <w:color w:val="000000"/>
                <w:szCs w:val="20"/>
              </w:rPr>
              <w:t>. L</w:t>
            </w:r>
            <w:r w:rsidR="002152E6">
              <w:rPr>
                <w:rFonts w:cs="Arial"/>
                <w:color w:val="000000"/>
                <w:szCs w:val="20"/>
              </w:rPr>
              <w:t>td</w:t>
            </w:r>
            <w:r w:rsidRPr="00E200E5">
              <w:rPr>
                <w:rFonts w:cs="Arial"/>
                <w:color w:val="000000"/>
                <w:szCs w:val="20"/>
              </w:rPr>
              <w:t>.</w:t>
            </w:r>
          </w:p>
        </w:tc>
        <w:tc>
          <w:tcPr>
            <w:tcW w:w="2976" w:type="dxa"/>
            <w:shd w:val="clear" w:color="auto" w:fill="F2F2F2" w:themeFill="background1" w:themeFillShade="F2"/>
            <w:vAlign w:val="center"/>
          </w:tcPr>
          <w:p w14:paraId="7AE5FC53" w14:textId="7FD46FD7"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4</w:t>
            </w:r>
          </w:p>
        </w:tc>
      </w:tr>
      <w:tr w:rsidR="003D1ADA" w:rsidRPr="00517F15" w14:paraId="6A4D53BF" w14:textId="77777777" w:rsidTr="009A1022">
        <w:tc>
          <w:tcPr>
            <w:tcW w:w="4218" w:type="dxa"/>
            <w:tcBorders>
              <w:bottom w:val="single" w:sz="4" w:space="0" w:color="auto"/>
            </w:tcBorders>
            <w:vAlign w:val="center"/>
          </w:tcPr>
          <w:p w14:paraId="06498FD0" w14:textId="3449963F"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Bm Alliance Coal Operations Pty Limited</w:t>
            </w:r>
          </w:p>
        </w:tc>
        <w:tc>
          <w:tcPr>
            <w:tcW w:w="2976" w:type="dxa"/>
            <w:tcBorders>
              <w:bottom w:val="single" w:sz="4" w:space="0" w:color="auto"/>
            </w:tcBorders>
            <w:vAlign w:val="center"/>
          </w:tcPr>
          <w:p w14:paraId="4F1EC3E0" w14:textId="08F9A4D4"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14</w:t>
            </w:r>
          </w:p>
        </w:tc>
      </w:tr>
      <w:tr w:rsidR="003D1ADA" w:rsidRPr="00517F15" w14:paraId="05CA88DA" w14:textId="77777777" w:rsidTr="009A1022">
        <w:tc>
          <w:tcPr>
            <w:tcW w:w="4218" w:type="dxa"/>
            <w:shd w:val="clear" w:color="auto" w:fill="F2F2F2" w:themeFill="background1" w:themeFillShade="F2"/>
            <w:vAlign w:val="center"/>
          </w:tcPr>
          <w:p w14:paraId="4F2C0CCA" w14:textId="1BECB36F"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HV O</w:t>
            </w:r>
            <w:r w:rsidR="002152E6">
              <w:rPr>
                <w:rFonts w:cs="Arial"/>
                <w:color w:val="000000"/>
                <w:szCs w:val="20"/>
              </w:rPr>
              <w:t xml:space="preserve">perations Pty Ltd </w:t>
            </w:r>
          </w:p>
        </w:tc>
        <w:tc>
          <w:tcPr>
            <w:tcW w:w="2976" w:type="dxa"/>
            <w:shd w:val="clear" w:color="auto" w:fill="F2F2F2" w:themeFill="background1" w:themeFillShade="F2"/>
            <w:vAlign w:val="center"/>
          </w:tcPr>
          <w:p w14:paraId="67F38F3A" w14:textId="58C02D99"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10</w:t>
            </w:r>
          </w:p>
        </w:tc>
      </w:tr>
      <w:tr w:rsidR="003D1ADA" w:rsidRPr="00517F15" w14:paraId="75F9CA0D" w14:textId="77777777" w:rsidTr="009A1022">
        <w:tc>
          <w:tcPr>
            <w:tcW w:w="4218" w:type="dxa"/>
            <w:tcBorders>
              <w:bottom w:val="single" w:sz="4" w:space="0" w:color="auto"/>
            </w:tcBorders>
            <w:vAlign w:val="center"/>
          </w:tcPr>
          <w:p w14:paraId="3A1076C1" w14:textId="6D54B7C7"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Kalgoorlie Consolidated Gold Mines Pty Ltd</w:t>
            </w:r>
          </w:p>
        </w:tc>
        <w:tc>
          <w:tcPr>
            <w:tcW w:w="2976" w:type="dxa"/>
            <w:tcBorders>
              <w:bottom w:val="single" w:sz="4" w:space="0" w:color="auto"/>
            </w:tcBorders>
            <w:vAlign w:val="center"/>
          </w:tcPr>
          <w:p w14:paraId="24A8ACCC" w14:textId="3F7BDE44"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6</w:t>
            </w:r>
          </w:p>
        </w:tc>
      </w:tr>
      <w:tr w:rsidR="003D1ADA" w:rsidRPr="00517F15" w14:paraId="22222D81" w14:textId="77777777" w:rsidTr="009A1022">
        <w:tc>
          <w:tcPr>
            <w:tcW w:w="4218" w:type="dxa"/>
            <w:tcBorders>
              <w:bottom w:val="single" w:sz="4" w:space="0" w:color="auto"/>
            </w:tcBorders>
            <w:shd w:val="clear" w:color="auto" w:fill="F2F2F2" w:themeFill="background1" w:themeFillShade="F2"/>
            <w:vAlign w:val="center"/>
          </w:tcPr>
          <w:p w14:paraId="4E9F7A50" w14:textId="53816874" w:rsidR="003D1ADA" w:rsidRPr="00E200E5" w:rsidRDefault="003D1ADA" w:rsidP="00A85750">
            <w:pPr>
              <w:keepNext/>
              <w:keepLines/>
              <w:autoSpaceDE w:val="0"/>
              <w:autoSpaceDN w:val="0"/>
              <w:adjustRightInd w:val="0"/>
              <w:spacing w:after="0" w:line="240" w:lineRule="auto"/>
              <w:rPr>
                <w:rFonts w:cs="Arial"/>
                <w:color w:val="000000"/>
                <w:szCs w:val="20"/>
              </w:rPr>
            </w:pPr>
            <w:r w:rsidRPr="00E200E5">
              <w:rPr>
                <w:rFonts w:cs="Arial"/>
                <w:color w:val="000000"/>
                <w:szCs w:val="20"/>
              </w:rPr>
              <w:t>P</w:t>
            </w:r>
            <w:r w:rsidR="002152E6">
              <w:rPr>
                <w:rFonts w:cs="Arial"/>
                <w:color w:val="000000"/>
                <w:szCs w:val="20"/>
              </w:rPr>
              <w:t xml:space="preserve">eabody Energy Australia </w:t>
            </w:r>
            <w:r w:rsidRPr="00E200E5">
              <w:rPr>
                <w:rFonts w:cs="Arial"/>
                <w:color w:val="000000"/>
                <w:szCs w:val="20"/>
              </w:rPr>
              <w:t>PCI (C&amp;M M</w:t>
            </w:r>
            <w:r w:rsidR="002152E6">
              <w:rPr>
                <w:rFonts w:cs="Arial"/>
                <w:color w:val="000000"/>
                <w:szCs w:val="20"/>
              </w:rPr>
              <w:t>anagement</w:t>
            </w:r>
            <w:r w:rsidRPr="00E200E5">
              <w:rPr>
                <w:rFonts w:cs="Arial"/>
                <w:color w:val="000000"/>
                <w:szCs w:val="20"/>
              </w:rPr>
              <w:t>) P</w:t>
            </w:r>
            <w:r w:rsidR="002152E6">
              <w:rPr>
                <w:rFonts w:cs="Arial"/>
                <w:color w:val="000000"/>
                <w:szCs w:val="20"/>
              </w:rPr>
              <w:t>ty Ltd</w:t>
            </w:r>
          </w:p>
        </w:tc>
        <w:tc>
          <w:tcPr>
            <w:tcW w:w="2976" w:type="dxa"/>
            <w:tcBorders>
              <w:bottom w:val="single" w:sz="4" w:space="0" w:color="auto"/>
            </w:tcBorders>
            <w:shd w:val="clear" w:color="auto" w:fill="F2F2F2" w:themeFill="background1" w:themeFillShade="F2"/>
            <w:vAlign w:val="center"/>
          </w:tcPr>
          <w:p w14:paraId="57242EBF" w14:textId="0057CF2F" w:rsidR="003D1ADA" w:rsidRPr="00E200E5" w:rsidRDefault="003D1ADA" w:rsidP="00A85750">
            <w:pPr>
              <w:keepNext/>
              <w:keepLines/>
              <w:autoSpaceDE w:val="0"/>
              <w:autoSpaceDN w:val="0"/>
              <w:adjustRightInd w:val="0"/>
              <w:spacing w:after="0" w:line="240" w:lineRule="auto"/>
              <w:jc w:val="right"/>
              <w:rPr>
                <w:rFonts w:cs="Arial"/>
                <w:color w:val="000000"/>
                <w:szCs w:val="20"/>
              </w:rPr>
            </w:pPr>
            <w:r w:rsidRPr="00E200E5">
              <w:rPr>
                <w:rFonts w:cs="Arial"/>
                <w:color w:val="000000"/>
                <w:szCs w:val="20"/>
              </w:rPr>
              <w:t>26</w:t>
            </w:r>
          </w:p>
        </w:tc>
      </w:tr>
    </w:tbl>
    <w:p w14:paraId="027D5653" w14:textId="5061EAF9" w:rsidR="00781B94" w:rsidRDefault="00781B94" w:rsidP="00A85750">
      <w:pPr>
        <w:pStyle w:val="ACMANotes"/>
        <w:keepNext/>
        <w:keepLines/>
        <w:spacing w:after="240"/>
      </w:pPr>
      <w:r>
        <w:t xml:space="preserve">Data </w:t>
      </w:r>
      <w:r w:rsidR="004423F3">
        <w:t>taken from RRL as at 2 August 2021.</w:t>
      </w:r>
    </w:p>
    <w:p w14:paraId="7310BBFD" w14:textId="578042EC" w:rsidR="00F41070" w:rsidRDefault="00F41070" w:rsidP="00A85750">
      <w:pPr>
        <w:pStyle w:val="Figureheading"/>
        <w:keepNext w:val="0"/>
      </w:pPr>
      <w:r>
        <w:t xml:space="preserve">Point-to-multipoint assignments per centre frequency in </w:t>
      </w:r>
      <w:r w:rsidRPr="007B4576">
        <w:t>1</w:t>
      </w:r>
      <w:r>
        <w:t>90</w:t>
      </w:r>
      <w:r w:rsidRPr="007B4576">
        <w:t>0</w:t>
      </w:r>
      <w:r w:rsidR="00517F15">
        <w:t>–</w:t>
      </w:r>
      <w:r w:rsidRPr="007B4576">
        <w:t>1920 MHz</w:t>
      </w:r>
    </w:p>
    <w:p w14:paraId="007DBEE3" w14:textId="22FE37D6" w:rsidR="00F41070" w:rsidRDefault="001755F1" w:rsidP="00285E8F">
      <w:pPr>
        <w:pStyle w:val="Paragraph"/>
        <w:spacing w:after="0"/>
      </w:pPr>
      <w:r>
        <w:rPr>
          <w:noProof/>
        </w:rPr>
        <w:drawing>
          <wp:inline distT="0" distB="0" distL="0" distR="0" wp14:anchorId="65196140" wp14:editId="0F576839">
            <wp:extent cx="6147582" cy="4021928"/>
            <wp:effectExtent l="0" t="0" r="5715" b="0"/>
            <wp:docPr id="7" name="Picture 7"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f you need help accessing or reading this diagram, please contact the ACMA's Customer Service Centre by phone on 1300 850 115 or by email at  info@acma.gov.au"/>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9737" cy="4029880"/>
                    </a:xfrm>
                    <a:prstGeom prst="rect">
                      <a:avLst/>
                    </a:prstGeom>
                    <a:noFill/>
                  </pic:spPr>
                </pic:pic>
              </a:graphicData>
            </a:graphic>
          </wp:inline>
        </w:drawing>
      </w:r>
    </w:p>
    <w:p w14:paraId="779F1AF7" w14:textId="058572D2" w:rsidR="009501BE" w:rsidRDefault="00C3113D" w:rsidP="00C05DCE">
      <w:pPr>
        <w:pStyle w:val="Paragraph"/>
        <w:rPr>
          <w:sz w:val="18"/>
          <w:szCs w:val="18"/>
        </w:rPr>
      </w:pPr>
      <w:r w:rsidRPr="006F4B63">
        <w:rPr>
          <w:i/>
          <w:sz w:val="16"/>
          <w:szCs w:val="16"/>
        </w:rPr>
        <w:t xml:space="preserve">Data taken from </w:t>
      </w:r>
      <w:hyperlink r:id="rId69"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Pr>
          <w:i/>
          <w:sz w:val="16"/>
          <w:szCs w:val="16"/>
        </w:rPr>
        <w:t>2</w:t>
      </w:r>
      <w:r w:rsidRPr="006F4B63">
        <w:rPr>
          <w:i/>
          <w:sz w:val="16"/>
          <w:szCs w:val="16"/>
        </w:rPr>
        <w:t xml:space="preserve"> </w:t>
      </w:r>
      <w:r>
        <w:rPr>
          <w:i/>
          <w:sz w:val="16"/>
          <w:szCs w:val="16"/>
        </w:rPr>
        <w:t>August</w:t>
      </w:r>
      <w:r w:rsidRPr="006F4B63">
        <w:rPr>
          <w:i/>
          <w:sz w:val="16"/>
          <w:szCs w:val="16"/>
        </w:rPr>
        <w:t xml:space="preserve"> 20</w:t>
      </w:r>
      <w:r>
        <w:rPr>
          <w:i/>
          <w:sz w:val="16"/>
          <w:szCs w:val="16"/>
        </w:rPr>
        <w:t>21.</w:t>
      </w:r>
      <w:r w:rsidR="00C05DCE">
        <w:rPr>
          <w:sz w:val="18"/>
          <w:szCs w:val="18"/>
        </w:rPr>
        <w:t xml:space="preserve"> </w:t>
      </w:r>
    </w:p>
    <w:p w14:paraId="1E37ED7A" w14:textId="6E944A39" w:rsidR="00406DD3" w:rsidRDefault="00406DD3" w:rsidP="00A85750">
      <w:pPr>
        <w:pStyle w:val="Paragraph"/>
        <w:keepNext/>
        <w:keepLines/>
      </w:pPr>
      <w:r>
        <w:lastRenderedPageBreak/>
        <w:t xml:space="preserve">Figure </w:t>
      </w:r>
      <w:r w:rsidR="00616A65">
        <w:t>9</w:t>
      </w:r>
      <w:r>
        <w:t xml:space="preserve"> shows the year-on-year trend for point-to-</w:t>
      </w:r>
      <w:r w:rsidR="00616A65">
        <w:t>multi</w:t>
      </w:r>
      <w:r>
        <w:t xml:space="preserve">point assignments for the last </w:t>
      </w:r>
      <w:r w:rsidR="00517F15">
        <w:t>7 </w:t>
      </w:r>
      <w:r>
        <w:t>year</w:t>
      </w:r>
      <w:r w:rsidR="00752830">
        <w:t>s</w:t>
      </w:r>
      <w:r>
        <w:t>. There was a steady decline in point-to-</w:t>
      </w:r>
      <w:r w:rsidR="00616A65">
        <w:t>multi</w:t>
      </w:r>
      <w:r>
        <w:t>point assignments from 2015 to 201</w:t>
      </w:r>
      <w:r w:rsidR="00F5099F">
        <w:t>8</w:t>
      </w:r>
      <w:r>
        <w:t>. From 2018</w:t>
      </w:r>
      <w:r w:rsidR="00517F15">
        <w:t>,</w:t>
      </w:r>
      <w:r>
        <w:t xml:space="preserve"> the number of point-to-</w:t>
      </w:r>
      <w:r w:rsidR="00616A65">
        <w:t>multi</w:t>
      </w:r>
      <w:r>
        <w:t xml:space="preserve">point assignments </w:t>
      </w:r>
      <w:r w:rsidR="00752830">
        <w:t xml:space="preserve">has </w:t>
      </w:r>
      <w:r w:rsidR="00616A65">
        <w:t>steadily increased</w:t>
      </w:r>
      <w:r>
        <w:t>.</w:t>
      </w:r>
      <w:r w:rsidR="00616A65">
        <w:t xml:space="preserve"> This increase </w:t>
      </w:r>
      <w:r w:rsidR="007B6BF7">
        <w:t xml:space="preserve">has been driven by mining and energy companies using point-to-multipoint </w:t>
      </w:r>
      <w:r w:rsidR="00752830">
        <w:t>services for</w:t>
      </w:r>
      <w:r w:rsidR="007B6BF7">
        <w:t xml:space="preserve"> private networks</w:t>
      </w:r>
      <w:r w:rsidR="00EA5E2E">
        <w:t xml:space="preserve"> in regional and remote areas</w:t>
      </w:r>
      <w:r w:rsidR="007B6BF7">
        <w:t>.</w:t>
      </w:r>
      <w:r w:rsidR="00F5099F">
        <w:t xml:space="preserve"> </w:t>
      </w:r>
    </w:p>
    <w:p w14:paraId="012C1D82" w14:textId="24F41666" w:rsidR="00616A65" w:rsidRDefault="007C021F" w:rsidP="00A85750">
      <w:pPr>
        <w:pStyle w:val="Figureheading"/>
        <w:keepLines/>
      </w:pPr>
      <w:r>
        <w:t>Seven</w:t>
      </w:r>
      <w:r w:rsidR="00616A65">
        <w:t xml:space="preserve">-year trend for </w:t>
      </w:r>
      <w:r w:rsidR="00517F15">
        <w:t>p</w:t>
      </w:r>
      <w:r w:rsidR="00616A65">
        <w:t>oint-to-multipoint assignments</w:t>
      </w:r>
    </w:p>
    <w:p w14:paraId="489F36D6" w14:textId="54B07B68" w:rsidR="00616A65" w:rsidRDefault="00616A65" w:rsidP="00A85750">
      <w:pPr>
        <w:pStyle w:val="Paragraph"/>
        <w:keepNext/>
        <w:keepLines/>
        <w:spacing w:after="0"/>
      </w:pPr>
      <w:r>
        <w:rPr>
          <w:noProof/>
        </w:rPr>
        <w:drawing>
          <wp:inline distT="0" distB="0" distL="0" distR="0" wp14:anchorId="7FBFE497" wp14:editId="32A95E81">
            <wp:extent cx="6115096" cy="3995225"/>
            <wp:effectExtent l="0" t="0" r="0" b="5715"/>
            <wp:docPr id="25" name="Picture 25"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f you need help accessing or reading this diagram, please contact the ACMA's Customer Service Centre by phone on 1300 850 115 or by email at  info@acma.gov.a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0685" cy="4005410"/>
                    </a:xfrm>
                    <a:prstGeom prst="rect">
                      <a:avLst/>
                    </a:prstGeom>
                    <a:noFill/>
                  </pic:spPr>
                </pic:pic>
              </a:graphicData>
            </a:graphic>
          </wp:inline>
        </w:drawing>
      </w:r>
    </w:p>
    <w:p w14:paraId="060F90F0" w14:textId="343DA532" w:rsidR="00406DD3" w:rsidRPr="00285E8F" w:rsidRDefault="007B6BF7" w:rsidP="00A85750">
      <w:pPr>
        <w:pStyle w:val="Paragraph"/>
        <w:keepNext/>
        <w:keepLines/>
        <w:rPr>
          <w:i/>
          <w:sz w:val="16"/>
          <w:szCs w:val="16"/>
        </w:rPr>
      </w:pPr>
      <w:r w:rsidRPr="006F4B63">
        <w:rPr>
          <w:i/>
          <w:sz w:val="16"/>
          <w:szCs w:val="16"/>
        </w:rPr>
        <w:t xml:space="preserve">Data taken from </w:t>
      </w:r>
      <w:hyperlink r:id="rId71"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Pr>
          <w:i/>
          <w:sz w:val="16"/>
          <w:szCs w:val="16"/>
        </w:rPr>
        <w:t>first Monday of August</w:t>
      </w:r>
      <w:r w:rsidRPr="006F4B63">
        <w:rPr>
          <w:i/>
          <w:sz w:val="16"/>
          <w:szCs w:val="16"/>
        </w:rPr>
        <w:t xml:space="preserve"> </w:t>
      </w:r>
      <w:r>
        <w:rPr>
          <w:i/>
          <w:sz w:val="16"/>
          <w:szCs w:val="16"/>
        </w:rPr>
        <w:t>for each year.</w:t>
      </w:r>
    </w:p>
    <w:p w14:paraId="6F2EC97B" w14:textId="469456F6" w:rsidR="00CE76FE" w:rsidRDefault="00FE044E" w:rsidP="00A85750">
      <w:pPr>
        <w:pStyle w:val="Heading2"/>
        <w:keepNext w:val="0"/>
        <w:rPr>
          <w:sz w:val="22"/>
          <w:szCs w:val="22"/>
        </w:rPr>
      </w:pPr>
      <w:bookmarkStart w:id="34" w:name="_Toc87534279"/>
      <w:r>
        <w:t xml:space="preserve">Cordless </w:t>
      </w:r>
      <w:r w:rsidR="007A72E8">
        <w:t>t</w:t>
      </w:r>
      <w:r w:rsidR="00CE76FE">
        <w:t xml:space="preserve">elecommunications </w:t>
      </w:r>
      <w:r w:rsidR="007A72E8">
        <w:t>s</w:t>
      </w:r>
      <w:r w:rsidR="00CE76FE">
        <w:t>ervices</w:t>
      </w:r>
      <w:bookmarkEnd w:id="34"/>
      <w:r w:rsidR="00CE76FE">
        <w:t xml:space="preserve"> </w:t>
      </w:r>
    </w:p>
    <w:p w14:paraId="70F466C5" w14:textId="7EE73935" w:rsidR="00CE76FE" w:rsidRDefault="006B565E" w:rsidP="00CE76FE">
      <w:pPr>
        <w:pStyle w:val="Paragraph"/>
      </w:pPr>
      <w:r>
        <w:t>These services are mostly cordless telephones used in both residential and commercial settings but can also include wireless microphones and headsets</w:t>
      </w:r>
      <w:r w:rsidR="005E1270">
        <w:t>.</w:t>
      </w:r>
      <w:r>
        <w:t xml:space="preserve"> </w:t>
      </w:r>
      <w:r w:rsidR="00CE76FE">
        <w:t>The current arrangements in the 1880</w:t>
      </w:r>
      <w:r w:rsidR="00517F15">
        <w:t>–</w:t>
      </w:r>
      <w:r w:rsidR="00CE76FE">
        <w:t xml:space="preserve">1900 MHz range support the operation of cordless telecommunications services (CTS). The operation of these services is authorised under the </w:t>
      </w:r>
      <w:hyperlink r:id="rId72" w:history="1">
        <w:r w:rsidR="00CE76FE" w:rsidRPr="00EE64B5">
          <w:rPr>
            <w:rStyle w:val="Hyperlink"/>
          </w:rPr>
          <w:t>Radiocommunications (Cordless Communications Devices) Class Licence 2014</w:t>
        </w:r>
      </w:hyperlink>
      <w:r w:rsidR="00CE76FE">
        <w:t xml:space="preserve">. </w:t>
      </w:r>
      <w:r w:rsidR="005B2FD4">
        <w:t>These c</w:t>
      </w:r>
      <w:r w:rsidR="00CE76FE">
        <w:t xml:space="preserve">lass licences do not require devices to be registered. Consequently, it is </w:t>
      </w:r>
      <w:r w:rsidR="00D94947">
        <w:t>not possible</w:t>
      </w:r>
      <w:r w:rsidR="00CE76FE">
        <w:t xml:space="preserve"> to determine how </w:t>
      </w:r>
      <w:r w:rsidR="005B2FD4">
        <w:t xml:space="preserve">many </w:t>
      </w:r>
      <w:r w:rsidR="00CD19FA">
        <w:t>class</w:t>
      </w:r>
      <w:r w:rsidR="009C625B">
        <w:t>-</w:t>
      </w:r>
      <w:r w:rsidR="00CD19FA">
        <w:t xml:space="preserve">licensed devices </w:t>
      </w:r>
      <w:r w:rsidR="00D94947">
        <w:t xml:space="preserve">there are </w:t>
      </w:r>
      <w:r w:rsidR="005B2FD4">
        <w:t>and where they are deployed</w:t>
      </w:r>
      <w:r w:rsidR="00CE76FE">
        <w:t>.</w:t>
      </w:r>
    </w:p>
    <w:p w14:paraId="6B1793C4" w14:textId="49D47E1A" w:rsidR="00CE76FE" w:rsidRDefault="00CE76FE" w:rsidP="00E200E5">
      <w:pPr>
        <w:pStyle w:val="Paragraphbeforelist"/>
      </w:pPr>
      <w:r>
        <w:t xml:space="preserve">There are </w:t>
      </w:r>
      <w:r w:rsidR="00517F15">
        <w:t xml:space="preserve">2 </w:t>
      </w:r>
      <w:r>
        <w:t xml:space="preserve">technologies that are </w:t>
      </w:r>
      <w:r w:rsidR="00CA3CF4">
        <w:t>supported</w:t>
      </w:r>
      <w:r>
        <w:t xml:space="preserve"> in the </w:t>
      </w:r>
      <w:r w:rsidR="00517F15">
        <w:t>c</w:t>
      </w:r>
      <w:r>
        <w:t xml:space="preserve">ordless </w:t>
      </w:r>
      <w:r w:rsidR="00517F15">
        <w:t>c</w:t>
      </w:r>
      <w:r>
        <w:t xml:space="preserve">ommunications </w:t>
      </w:r>
      <w:r w:rsidR="00517F15">
        <w:t>d</w:t>
      </w:r>
      <w:r>
        <w:t xml:space="preserve">evices </w:t>
      </w:r>
      <w:r w:rsidR="00517F15">
        <w:t>c</w:t>
      </w:r>
      <w:r>
        <w:t xml:space="preserve">lass </w:t>
      </w:r>
      <w:r w:rsidR="00517F15">
        <w:t>l</w:t>
      </w:r>
      <w:r>
        <w:t>icence for use in the 1880</w:t>
      </w:r>
      <w:r w:rsidR="00517F15">
        <w:t>–</w:t>
      </w:r>
      <w:r>
        <w:t xml:space="preserve">1920 MHz band. </w:t>
      </w:r>
      <w:r w:rsidR="006A5127">
        <w:t>These are the:</w:t>
      </w:r>
    </w:p>
    <w:p w14:paraId="6C6DE37E" w14:textId="77F685BB" w:rsidR="00CE76FE" w:rsidRDefault="00CE76FE" w:rsidP="00E200E5">
      <w:pPr>
        <w:pStyle w:val="Bulletlevel1"/>
      </w:pPr>
      <w:r w:rsidRPr="00FE7E0B">
        <w:rPr>
          <w:b/>
          <w:bCs/>
        </w:rPr>
        <w:t>Personal Handy</w:t>
      </w:r>
      <w:r w:rsidR="00FE7E0B" w:rsidRPr="00E200E5">
        <w:rPr>
          <w:b/>
          <w:bCs/>
        </w:rPr>
        <w:t>-p</w:t>
      </w:r>
      <w:r w:rsidRPr="001E65C3">
        <w:rPr>
          <w:b/>
          <w:bCs/>
        </w:rPr>
        <w:t>hone System (PHS</w:t>
      </w:r>
      <w:r w:rsidR="00E74BD7" w:rsidRPr="001E65C3">
        <w:rPr>
          <w:b/>
          <w:bCs/>
        </w:rPr>
        <w:t>)</w:t>
      </w:r>
      <w:r w:rsidR="00E74BD7" w:rsidRPr="001E65C3">
        <w:t>:</w:t>
      </w:r>
      <w:r w:rsidR="00E74BD7" w:rsidRPr="006474BC">
        <w:t xml:space="preserve"> The</w:t>
      </w:r>
      <w:r>
        <w:t xml:space="preserve"> </w:t>
      </w:r>
      <w:r w:rsidR="006A5127">
        <w:t>d</w:t>
      </w:r>
      <w:r>
        <w:t xml:space="preserve">evices using the PHS are permitted to operate in the </w:t>
      </w:r>
      <w:r w:rsidR="00AA1439">
        <w:t>1895</w:t>
      </w:r>
      <w:r>
        <w:t xml:space="preserve">–1899.8 MHz </w:t>
      </w:r>
      <w:r w:rsidR="00CA3CF4">
        <w:t>range</w:t>
      </w:r>
      <w:r>
        <w:t>.</w:t>
      </w:r>
      <w:r w:rsidR="00E74BD7">
        <w:t xml:space="preserve"> </w:t>
      </w:r>
    </w:p>
    <w:p w14:paraId="0B898ACB" w14:textId="747EE36C" w:rsidR="004D4DC6" w:rsidRDefault="00FE7E0B" w:rsidP="00E200E5">
      <w:pPr>
        <w:pStyle w:val="Bulletlevel1last"/>
      </w:pPr>
      <w:r>
        <w:rPr>
          <w:b/>
          <w:bCs/>
        </w:rPr>
        <w:t>d</w:t>
      </w:r>
      <w:r w:rsidR="00CE76FE" w:rsidRPr="00D07F1C">
        <w:rPr>
          <w:b/>
          <w:bCs/>
        </w:rPr>
        <w:t xml:space="preserve">igital </w:t>
      </w:r>
      <w:r>
        <w:rPr>
          <w:b/>
          <w:bCs/>
        </w:rPr>
        <w:t>e</w:t>
      </w:r>
      <w:r w:rsidR="00CE76FE" w:rsidRPr="00D07F1C">
        <w:rPr>
          <w:b/>
          <w:bCs/>
        </w:rPr>
        <w:t xml:space="preserve">nhanced </w:t>
      </w:r>
      <w:r>
        <w:rPr>
          <w:b/>
          <w:bCs/>
        </w:rPr>
        <w:t>c</w:t>
      </w:r>
      <w:r w:rsidR="00CE76FE" w:rsidRPr="00D07F1C">
        <w:rPr>
          <w:b/>
          <w:bCs/>
        </w:rPr>
        <w:t xml:space="preserve">ordless </w:t>
      </w:r>
      <w:r>
        <w:rPr>
          <w:b/>
          <w:bCs/>
        </w:rPr>
        <w:t>t</w:t>
      </w:r>
      <w:r w:rsidR="00CE76FE" w:rsidRPr="00D07F1C">
        <w:rPr>
          <w:b/>
          <w:bCs/>
        </w:rPr>
        <w:t>elecommunications (DECT)</w:t>
      </w:r>
      <w:r w:rsidR="00D07F1C" w:rsidRPr="00D07F1C">
        <w:rPr>
          <w:b/>
          <w:bCs/>
        </w:rPr>
        <w:t>:</w:t>
      </w:r>
      <w:r w:rsidR="00D07F1C">
        <w:t xml:space="preserve"> </w:t>
      </w:r>
      <w:r w:rsidR="003136DF">
        <w:t>D</w:t>
      </w:r>
      <w:r w:rsidR="00CE76FE">
        <w:t xml:space="preserve">evices using DECT may operate across the </w:t>
      </w:r>
      <w:r w:rsidR="00CA3CF4">
        <w:t>wider</w:t>
      </w:r>
      <w:r w:rsidR="00CE76FE">
        <w:t xml:space="preserve"> 1880–1900 MHz </w:t>
      </w:r>
      <w:r w:rsidR="00CA3CF4">
        <w:t>range</w:t>
      </w:r>
      <w:r w:rsidR="00CE76FE">
        <w:t xml:space="preserve"> and those devices must comply with the </w:t>
      </w:r>
      <w:hyperlink r:id="rId73" w:history="1">
        <w:r w:rsidR="00CE76FE" w:rsidRPr="00B262B8">
          <w:rPr>
            <w:rStyle w:val="Hyperlink"/>
          </w:rPr>
          <w:t>Radiocommunications (Digital Cordless Communications Devices — DECT Devices) Standard 2017</w:t>
        </w:r>
      </w:hyperlink>
      <w:r w:rsidR="00CE76FE">
        <w:t>.</w:t>
      </w:r>
    </w:p>
    <w:p w14:paraId="200D634C" w14:textId="77777777" w:rsidR="00517F15" w:rsidRDefault="00517F15"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295"/>
      </w:pPr>
      <w:r w:rsidRPr="00E200E5">
        <w:rPr>
          <w:b/>
          <w:bCs/>
        </w:rPr>
        <w:lastRenderedPageBreak/>
        <w:t>Issue for comment 1:</w:t>
      </w:r>
    </w:p>
    <w:p w14:paraId="339D3337" w14:textId="40F531C3" w:rsidR="0019628B" w:rsidRPr="0019628B" w:rsidRDefault="00196AFE"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spacing w:after="120"/>
        <w:ind w:left="295"/>
      </w:pPr>
      <w:r>
        <w:t>What is t</w:t>
      </w:r>
      <w:r w:rsidR="0019628B" w:rsidRPr="0019628B">
        <w:t>he relevance of the Personal Handy</w:t>
      </w:r>
      <w:r w:rsidR="00FE7E0B">
        <w:t>-p</w:t>
      </w:r>
      <w:r w:rsidR="0019628B" w:rsidRPr="0019628B">
        <w:t xml:space="preserve">hone System (PHS) and </w:t>
      </w:r>
      <w:r>
        <w:t xml:space="preserve">should </w:t>
      </w:r>
      <w:r w:rsidR="0019628B" w:rsidRPr="0019628B">
        <w:t>this use be retained</w:t>
      </w:r>
      <w:r>
        <w:t>?</w:t>
      </w:r>
    </w:p>
    <w:p w14:paraId="66F6921B" w14:textId="7F0DC446" w:rsidR="001A788B" w:rsidRDefault="00A62DC5" w:rsidP="00A62DC5">
      <w:pPr>
        <w:pStyle w:val="Heading2"/>
      </w:pPr>
      <w:bookmarkStart w:id="35" w:name="_Toc87534280"/>
      <w:r>
        <w:t>Adjacent</w:t>
      </w:r>
      <w:r w:rsidR="00517F15">
        <w:t>-</w:t>
      </w:r>
      <w:r>
        <w:t>band s</w:t>
      </w:r>
      <w:r w:rsidR="001A788B">
        <w:t>pectrum</w:t>
      </w:r>
      <w:r w:rsidR="00517F15">
        <w:t>-</w:t>
      </w:r>
      <w:r w:rsidR="001A788B">
        <w:t>licensed and PMTS B and C apparatus</w:t>
      </w:r>
      <w:r w:rsidR="00517F15">
        <w:t>-</w:t>
      </w:r>
      <w:r w:rsidR="001A788B">
        <w:t>licensed services</w:t>
      </w:r>
      <w:bookmarkEnd w:id="35"/>
    </w:p>
    <w:p w14:paraId="1B926708" w14:textId="731E084F" w:rsidR="001A788B" w:rsidRDefault="00CE4402" w:rsidP="00D043E6">
      <w:pPr>
        <w:pStyle w:val="Paragraph"/>
        <w:rPr>
          <w:szCs w:val="20"/>
        </w:rPr>
      </w:pPr>
      <w:r>
        <w:rPr>
          <w:szCs w:val="20"/>
        </w:rPr>
        <w:t>There are s</w:t>
      </w:r>
      <w:r w:rsidR="00BB317D">
        <w:rPr>
          <w:szCs w:val="20"/>
        </w:rPr>
        <w:t>pectrum</w:t>
      </w:r>
      <w:r w:rsidR="00517F15">
        <w:rPr>
          <w:szCs w:val="20"/>
        </w:rPr>
        <w:t>-</w:t>
      </w:r>
      <w:r>
        <w:rPr>
          <w:szCs w:val="20"/>
        </w:rPr>
        <w:t>l</w:t>
      </w:r>
      <w:r w:rsidR="00BB317D">
        <w:rPr>
          <w:szCs w:val="20"/>
        </w:rPr>
        <w:t>icen</w:t>
      </w:r>
      <w:r>
        <w:rPr>
          <w:szCs w:val="20"/>
        </w:rPr>
        <w:t>s</w:t>
      </w:r>
      <w:r w:rsidR="00BB317D">
        <w:rPr>
          <w:szCs w:val="20"/>
        </w:rPr>
        <w:t>e</w:t>
      </w:r>
      <w:r>
        <w:rPr>
          <w:szCs w:val="20"/>
        </w:rPr>
        <w:t>d</w:t>
      </w:r>
      <w:r w:rsidR="00BB317D">
        <w:rPr>
          <w:szCs w:val="20"/>
        </w:rPr>
        <w:t xml:space="preserve"> </w:t>
      </w:r>
      <w:r>
        <w:rPr>
          <w:szCs w:val="20"/>
        </w:rPr>
        <w:t>bands</w:t>
      </w:r>
      <w:r w:rsidR="00BB317D">
        <w:rPr>
          <w:szCs w:val="20"/>
        </w:rPr>
        <w:t xml:space="preserve"> </w:t>
      </w:r>
      <w:r w:rsidR="005B495F">
        <w:rPr>
          <w:szCs w:val="20"/>
        </w:rPr>
        <w:t>either side of the 1.9 GHz band</w:t>
      </w:r>
      <w:r w:rsidR="003E5B16">
        <w:rPr>
          <w:szCs w:val="20"/>
        </w:rPr>
        <w:t>. T</w:t>
      </w:r>
      <w:r w:rsidR="0001594F">
        <w:rPr>
          <w:szCs w:val="20"/>
        </w:rPr>
        <w:t>he 1800 MHz spectrum licence</w:t>
      </w:r>
      <w:r w:rsidR="009C66C2">
        <w:rPr>
          <w:szCs w:val="20"/>
        </w:rPr>
        <w:t>d</w:t>
      </w:r>
      <w:r w:rsidR="0001594F">
        <w:rPr>
          <w:szCs w:val="20"/>
        </w:rPr>
        <w:t xml:space="preserve"> band (</w:t>
      </w:r>
      <w:r w:rsidR="003E5B16">
        <w:rPr>
          <w:szCs w:val="20"/>
        </w:rPr>
        <w:t xml:space="preserve">1710–1785 </w:t>
      </w:r>
      <w:r w:rsidR="002074AA">
        <w:rPr>
          <w:szCs w:val="20"/>
        </w:rPr>
        <w:t xml:space="preserve">MHz </w:t>
      </w:r>
      <w:r w:rsidR="003E5B16">
        <w:rPr>
          <w:szCs w:val="20"/>
        </w:rPr>
        <w:t>and 1805</w:t>
      </w:r>
      <w:r w:rsidR="00517F15">
        <w:rPr>
          <w:szCs w:val="20"/>
        </w:rPr>
        <w:t>–</w:t>
      </w:r>
      <w:r w:rsidR="003E5B16">
        <w:rPr>
          <w:szCs w:val="20"/>
        </w:rPr>
        <w:t>1880 MH</w:t>
      </w:r>
      <w:r w:rsidR="008320F5">
        <w:rPr>
          <w:szCs w:val="20"/>
        </w:rPr>
        <w:t>z</w:t>
      </w:r>
      <w:r w:rsidR="003E5B16">
        <w:rPr>
          <w:szCs w:val="20"/>
        </w:rPr>
        <w:t xml:space="preserve">) </w:t>
      </w:r>
      <w:r w:rsidR="009C491A">
        <w:rPr>
          <w:szCs w:val="20"/>
        </w:rPr>
        <w:t xml:space="preserve">is adjacent to </w:t>
      </w:r>
      <w:r>
        <w:rPr>
          <w:szCs w:val="20"/>
        </w:rPr>
        <w:t xml:space="preserve">the </w:t>
      </w:r>
      <w:r w:rsidR="009C491A">
        <w:rPr>
          <w:szCs w:val="20"/>
        </w:rPr>
        <w:t>lower edge of the 1.9 GHz band</w:t>
      </w:r>
      <w:r w:rsidR="005E7D9F">
        <w:rPr>
          <w:szCs w:val="20"/>
        </w:rPr>
        <w:t>,</w:t>
      </w:r>
      <w:r w:rsidR="009C491A">
        <w:rPr>
          <w:szCs w:val="20"/>
        </w:rPr>
        <w:t xml:space="preserve"> and the 2 GHz spectrum</w:t>
      </w:r>
      <w:r w:rsidR="00517F15">
        <w:rPr>
          <w:szCs w:val="20"/>
        </w:rPr>
        <w:t>-</w:t>
      </w:r>
      <w:r w:rsidR="009C491A">
        <w:rPr>
          <w:szCs w:val="20"/>
        </w:rPr>
        <w:t>licence</w:t>
      </w:r>
      <w:r w:rsidR="005E7D9F">
        <w:rPr>
          <w:szCs w:val="20"/>
        </w:rPr>
        <w:t>d</w:t>
      </w:r>
      <w:r w:rsidR="009C491A">
        <w:rPr>
          <w:szCs w:val="20"/>
        </w:rPr>
        <w:t xml:space="preserve"> </w:t>
      </w:r>
      <w:r>
        <w:rPr>
          <w:szCs w:val="20"/>
        </w:rPr>
        <w:t xml:space="preserve">band </w:t>
      </w:r>
      <w:r w:rsidR="009C491A">
        <w:rPr>
          <w:szCs w:val="20"/>
        </w:rPr>
        <w:t xml:space="preserve">is adjacent </w:t>
      </w:r>
      <w:r>
        <w:rPr>
          <w:szCs w:val="20"/>
        </w:rPr>
        <w:t xml:space="preserve">to </w:t>
      </w:r>
      <w:r w:rsidR="009C491A">
        <w:rPr>
          <w:szCs w:val="20"/>
        </w:rPr>
        <w:t>the upper edge of the 1.9 GHz band.</w:t>
      </w:r>
      <w:r w:rsidR="009258E8">
        <w:rPr>
          <w:szCs w:val="20"/>
        </w:rPr>
        <w:t xml:space="preserve"> </w:t>
      </w:r>
    </w:p>
    <w:p w14:paraId="091388CC" w14:textId="5DCA580F" w:rsidR="00FF6A54" w:rsidRDefault="00FF6A54" w:rsidP="00D043E6">
      <w:pPr>
        <w:pStyle w:val="Paragraph"/>
        <w:rPr>
          <w:szCs w:val="20"/>
        </w:rPr>
      </w:pPr>
      <w:r>
        <w:t>Table 4 provides a</w:t>
      </w:r>
      <w:r w:rsidR="005E7B89">
        <w:t xml:space="preserve">n analysis </w:t>
      </w:r>
      <w:r>
        <w:t xml:space="preserve">of the spectrum licensees in </w:t>
      </w:r>
      <w:r w:rsidR="005E7B89">
        <w:t xml:space="preserve">the </w:t>
      </w:r>
      <w:hyperlink r:id="rId74" w:history="1">
        <w:r w:rsidR="009C66C2" w:rsidRPr="00190F23">
          <w:rPr>
            <w:rStyle w:val="Hyperlink"/>
          </w:rPr>
          <w:t>1800 MHz spectrum licensed band</w:t>
        </w:r>
      </w:hyperlink>
      <w:r>
        <w:t>. There is a total of 88</w:t>
      </w:r>
      <w:r w:rsidR="00517F15">
        <w:t>,</w:t>
      </w:r>
      <w:r>
        <w:t>136 assignments, with 1</w:t>
      </w:r>
      <w:r w:rsidR="00517F15">
        <w:t>,</w:t>
      </w:r>
      <w:r>
        <w:t xml:space="preserve">008 assignments having </w:t>
      </w:r>
      <w:bookmarkStart w:id="36" w:name="_Hlk84411208"/>
      <w:r w:rsidR="00C23590" w:rsidRPr="00C23590">
        <w:t xml:space="preserve">the upper edge of the channel bandwidth </w:t>
      </w:r>
      <w:r w:rsidR="00AC5936">
        <w:t xml:space="preserve">aligned </w:t>
      </w:r>
      <w:r w:rsidR="00C23590" w:rsidRPr="00C23590">
        <w:t xml:space="preserve">with </w:t>
      </w:r>
      <w:bookmarkEnd w:id="36"/>
      <w:r>
        <w:t xml:space="preserve">the 1880 MHz boundary. As the upper part of the band is </w:t>
      </w:r>
      <w:r w:rsidR="009B4852">
        <w:t>used for</w:t>
      </w:r>
      <w:r>
        <w:t xml:space="preserve"> base transmit, </w:t>
      </w:r>
      <w:r w:rsidR="00F52ED2">
        <w:t>most of</w:t>
      </w:r>
      <w:r>
        <w:t xml:space="preserve"> the </w:t>
      </w:r>
      <w:r w:rsidR="00AC5936">
        <w:t xml:space="preserve">recorded </w:t>
      </w:r>
      <w:r>
        <w:t xml:space="preserve">assignments are </w:t>
      </w:r>
      <w:r w:rsidR="002225B0">
        <w:t xml:space="preserve">for use by radiocommunications </w:t>
      </w:r>
      <w:r>
        <w:t>transmitters</w:t>
      </w:r>
      <w:r w:rsidR="002E3389">
        <w:t>.</w:t>
      </w:r>
    </w:p>
    <w:p w14:paraId="0905062C" w14:textId="28AC3EB8" w:rsidR="00E774AC" w:rsidRDefault="00E774AC" w:rsidP="00E200E5">
      <w:pPr>
        <w:pStyle w:val="Tableheading"/>
      </w:pPr>
      <w:r>
        <w:t xml:space="preserve">Number of spectrum-licensed </w:t>
      </w:r>
      <w:r w:rsidR="002225B0">
        <w:t xml:space="preserve">assignments </w:t>
      </w:r>
      <w:r>
        <w:t>between 1805–1880 MHz</w:t>
      </w:r>
    </w:p>
    <w:tbl>
      <w:tblPr>
        <w:tblW w:w="7903" w:type="dxa"/>
        <w:tblBorders>
          <w:top w:val="single" w:sz="4" w:space="0" w:color="auto"/>
          <w:bottom w:val="single" w:sz="4" w:space="0" w:color="auto"/>
          <w:insideH w:val="single" w:sz="4" w:space="0" w:color="auto"/>
        </w:tblBorders>
        <w:tblCellMar>
          <w:top w:w="85" w:type="dxa"/>
          <w:bottom w:w="85" w:type="dxa"/>
        </w:tblCellMar>
        <w:tblLook w:val="07E0" w:firstRow="1" w:lastRow="1" w:firstColumn="1" w:lastColumn="1" w:noHBand="1" w:noVBand="1"/>
        <w:tblCaption w:val="Table title to go here"/>
        <w:tblDescription w:val="Table description to go here"/>
      </w:tblPr>
      <w:tblGrid>
        <w:gridCol w:w="2634"/>
        <w:gridCol w:w="1268"/>
        <w:gridCol w:w="1411"/>
        <w:gridCol w:w="1428"/>
        <w:gridCol w:w="1162"/>
      </w:tblGrid>
      <w:tr w:rsidR="009A1022" w:rsidRPr="006D46E5" w14:paraId="4FF2D673" w14:textId="77777777" w:rsidTr="009A1022">
        <w:tc>
          <w:tcPr>
            <w:tcW w:w="2634" w:type="dxa"/>
            <w:vMerge w:val="restart"/>
            <w:shd w:val="clear" w:color="auto" w:fill="404040" w:themeFill="text1" w:themeFillTint="BF"/>
            <w:vAlign w:val="center"/>
          </w:tcPr>
          <w:p w14:paraId="20CA847A" w14:textId="77777777" w:rsidR="009A1022" w:rsidRPr="00DF4A94" w:rsidRDefault="009A1022" w:rsidP="00AD44B4">
            <w:pPr>
              <w:pStyle w:val="TableHeading0"/>
              <w:rPr>
                <w:color w:val="FFFFFF" w:themeColor="background1"/>
              </w:rPr>
            </w:pPr>
            <w:r>
              <w:rPr>
                <w:color w:val="FFFFFF" w:themeColor="background1"/>
              </w:rPr>
              <w:t>Licensee</w:t>
            </w:r>
          </w:p>
        </w:tc>
        <w:tc>
          <w:tcPr>
            <w:tcW w:w="5269" w:type="dxa"/>
            <w:gridSpan w:val="4"/>
            <w:shd w:val="clear" w:color="auto" w:fill="404040" w:themeFill="text1" w:themeFillTint="BF"/>
            <w:vAlign w:val="center"/>
          </w:tcPr>
          <w:p w14:paraId="14490288" w14:textId="77777777" w:rsidR="009A1022" w:rsidRPr="00DF4A94" w:rsidRDefault="009A1022" w:rsidP="00AD44B4">
            <w:pPr>
              <w:pStyle w:val="TableHeading0"/>
              <w:jc w:val="center"/>
              <w:rPr>
                <w:color w:val="FFFFFF" w:themeColor="background1"/>
              </w:rPr>
            </w:pPr>
            <w:r>
              <w:rPr>
                <w:color w:val="FFFFFF" w:themeColor="background1"/>
              </w:rPr>
              <w:t>Number of assignments</w:t>
            </w:r>
          </w:p>
        </w:tc>
      </w:tr>
      <w:tr w:rsidR="009A1022" w:rsidRPr="006D46E5" w14:paraId="653AB76A" w14:textId="77777777" w:rsidTr="009A1022">
        <w:tc>
          <w:tcPr>
            <w:tcW w:w="2634" w:type="dxa"/>
            <w:vMerge/>
            <w:shd w:val="clear" w:color="auto" w:fill="404040" w:themeFill="text1" w:themeFillTint="BF"/>
            <w:vAlign w:val="center"/>
          </w:tcPr>
          <w:p w14:paraId="3219D8B6" w14:textId="77777777" w:rsidR="009A1022" w:rsidRPr="00DF4A94" w:rsidRDefault="009A1022" w:rsidP="00AD44B4">
            <w:pPr>
              <w:pStyle w:val="TableHeading0"/>
              <w:rPr>
                <w:color w:val="FFFFFF" w:themeColor="background1"/>
              </w:rPr>
            </w:pPr>
          </w:p>
        </w:tc>
        <w:tc>
          <w:tcPr>
            <w:tcW w:w="1268" w:type="dxa"/>
            <w:tcBorders>
              <w:bottom w:val="single" w:sz="4" w:space="0" w:color="auto"/>
            </w:tcBorders>
            <w:shd w:val="clear" w:color="auto" w:fill="404040" w:themeFill="text1" w:themeFillTint="BF"/>
            <w:vAlign w:val="center"/>
          </w:tcPr>
          <w:p w14:paraId="249B9D47" w14:textId="77777777" w:rsidR="009A1022" w:rsidRPr="00DF4A94" w:rsidRDefault="009A1022" w:rsidP="00E200E5">
            <w:pPr>
              <w:pStyle w:val="TableHeading0"/>
              <w:jc w:val="right"/>
              <w:rPr>
                <w:color w:val="FFFFFF" w:themeColor="background1"/>
              </w:rPr>
            </w:pPr>
            <w:r>
              <w:rPr>
                <w:color w:val="FFFFFF" w:themeColor="background1"/>
              </w:rPr>
              <w:t>Total</w:t>
            </w:r>
          </w:p>
        </w:tc>
        <w:tc>
          <w:tcPr>
            <w:tcW w:w="1411" w:type="dxa"/>
            <w:tcBorders>
              <w:bottom w:val="single" w:sz="4" w:space="0" w:color="auto"/>
            </w:tcBorders>
            <w:shd w:val="clear" w:color="auto" w:fill="404040" w:themeFill="text1" w:themeFillTint="BF"/>
          </w:tcPr>
          <w:p w14:paraId="00ED7A7F" w14:textId="77777777" w:rsidR="009A1022" w:rsidRDefault="009A1022" w:rsidP="00E200E5">
            <w:pPr>
              <w:pStyle w:val="TableHeading0"/>
              <w:jc w:val="right"/>
              <w:rPr>
                <w:color w:val="FFFFFF" w:themeColor="background1"/>
              </w:rPr>
            </w:pPr>
            <w:r>
              <w:rPr>
                <w:color w:val="FFFFFF" w:themeColor="background1"/>
              </w:rPr>
              <w:t>Directly adjacent</w:t>
            </w:r>
          </w:p>
        </w:tc>
        <w:tc>
          <w:tcPr>
            <w:tcW w:w="1428" w:type="dxa"/>
            <w:tcBorders>
              <w:bottom w:val="single" w:sz="4" w:space="0" w:color="auto"/>
            </w:tcBorders>
            <w:shd w:val="clear" w:color="auto" w:fill="404040" w:themeFill="text1" w:themeFillTint="BF"/>
            <w:vAlign w:val="center"/>
          </w:tcPr>
          <w:p w14:paraId="31811B7A" w14:textId="77777777" w:rsidR="009A1022" w:rsidRPr="00DF4A94" w:rsidRDefault="009A1022" w:rsidP="00E200E5">
            <w:pPr>
              <w:pStyle w:val="TableHeading0"/>
              <w:jc w:val="right"/>
              <w:rPr>
                <w:color w:val="FFFFFF" w:themeColor="background1"/>
              </w:rPr>
            </w:pPr>
            <w:r>
              <w:rPr>
                <w:color w:val="FFFFFF" w:themeColor="background1"/>
              </w:rPr>
              <w:t>Transmitters</w:t>
            </w:r>
          </w:p>
        </w:tc>
        <w:tc>
          <w:tcPr>
            <w:tcW w:w="1162" w:type="dxa"/>
            <w:tcBorders>
              <w:bottom w:val="single" w:sz="4" w:space="0" w:color="auto"/>
            </w:tcBorders>
            <w:shd w:val="clear" w:color="auto" w:fill="404040" w:themeFill="text1" w:themeFillTint="BF"/>
            <w:vAlign w:val="center"/>
          </w:tcPr>
          <w:p w14:paraId="4107D9C8" w14:textId="77777777" w:rsidR="009A1022" w:rsidRPr="00DF4A94" w:rsidRDefault="009A1022" w:rsidP="00E200E5">
            <w:pPr>
              <w:pStyle w:val="TableHeading0"/>
              <w:jc w:val="right"/>
              <w:rPr>
                <w:color w:val="FFFFFF" w:themeColor="background1"/>
              </w:rPr>
            </w:pPr>
            <w:r>
              <w:rPr>
                <w:color w:val="FFFFFF" w:themeColor="background1"/>
              </w:rPr>
              <w:t>Receivers</w:t>
            </w:r>
          </w:p>
        </w:tc>
      </w:tr>
      <w:tr w:rsidR="00FF6A54" w:rsidRPr="006D46E5" w14:paraId="7625F304" w14:textId="77777777" w:rsidTr="009A1022">
        <w:tc>
          <w:tcPr>
            <w:tcW w:w="2634" w:type="dxa"/>
            <w:tcBorders>
              <w:bottom w:val="single" w:sz="4" w:space="0" w:color="auto"/>
              <w:right w:val="single" w:sz="4" w:space="0" w:color="auto"/>
            </w:tcBorders>
            <w:vAlign w:val="center"/>
          </w:tcPr>
          <w:p w14:paraId="189B594B" w14:textId="049A55E6" w:rsidR="00FF6A54" w:rsidRPr="00E72A92" w:rsidRDefault="00FF6A54">
            <w:pPr>
              <w:spacing w:after="0" w:line="240" w:lineRule="auto"/>
              <w:rPr>
                <w:rFonts w:ascii="Calibri" w:hAnsi="Calibri"/>
                <w:color w:val="000000"/>
                <w:sz w:val="22"/>
                <w:szCs w:val="22"/>
              </w:rPr>
            </w:pPr>
            <w:r w:rsidRPr="0000562B">
              <w:t>Optus Mobile Pty Limited</w:t>
            </w:r>
          </w:p>
        </w:tc>
        <w:tc>
          <w:tcPr>
            <w:tcW w:w="1268" w:type="dxa"/>
            <w:tcBorders>
              <w:left w:val="single" w:sz="4" w:space="0" w:color="auto"/>
              <w:bottom w:val="single" w:sz="4" w:space="0" w:color="auto"/>
              <w:right w:val="single" w:sz="4" w:space="0" w:color="auto"/>
            </w:tcBorders>
            <w:vAlign w:val="center"/>
          </w:tcPr>
          <w:p w14:paraId="1ABD486C" w14:textId="7A11A192" w:rsidR="00FF6A54" w:rsidRPr="00E72A92" w:rsidRDefault="00FF6A54" w:rsidP="00E200E5">
            <w:pPr>
              <w:spacing w:after="0" w:line="240" w:lineRule="auto"/>
              <w:jc w:val="right"/>
              <w:rPr>
                <w:rFonts w:ascii="Calibri" w:hAnsi="Calibri"/>
                <w:color w:val="000000"/>
                <w:sz w:val="22"/>
                <w:szCs w:val="22"/>
              </w:rPr>
            </w:pPr>
            <w:r w:rsidRPr="0000562B">
              <w:t>20</w:t>
            </w:r>
            <w:r w:rsidR="00517F15">
              <w:t>,</w:t>
            </w:r>
            <w:r w:rsidRPr="0000562B">
              <w:t>379</w:t>
            </w:r>
          </w:p>
        </w:tc>
        <w:tc>
          <w:tcPr>
            <w:tcW w:w="1411" w:type="dxa"/>
            <w:tcBorders>
              <w:left w:val="single" w:sz="4" w:space="0" w:color="auto"/>
              <w:bottom w:val="single" w:sz="4" w:space="0" w:color="auto"/>
              <w:right w:val="single" w:sz="4" w:space="0" w:color="auto"/>
            </w:tcBorders>
            <w:vAlign w:val="center"/>
          </w:tcPr>
          <w:p w14:paraId="6A901739" w14:textId="2FA9D1C9" w:rsidR="00FF6A54" w:rsidRPr="00E72A92" w:rsidRDefault="00FF6A54" w:rsidP="00E200E5">
            <w:pPr>
              <w:spacing w:after="0" w:line="240" w:lineRule="auto"/>
              <w:jc w:val="right"/>
              <w:rPr>
                <w:rFonts w:ascii="Calibri" w:hAnsi="Calibri"/>
                <w:color w:val="000000"/>
                <w:sz w:val="22"/>
                <w:szCs w:val="22"/>
              </w:rPr>
            </w:pPr>
            <w:r w:rsidRPr="0000562B">
              <w:t>256</w:t>
            </w:r>
          </w:p>
        </w:tc>
        <w:tc>
          <w:tcPr>
            <w:tcW w:w="1428" w:type="dxa"/>
            <w:tcBorders>
              <w:left w:val="single" w:sz="4" w:space="0" w:color="auto"/>
              <w:bottom w:val="single" w:sz="4" w:space="0" w:color="auto"/>
              <w:right w:val="single" w:sz="4" w:space="0" w:color="auto"/>
            </w:tcBorders>
            <w:vAlign w:val="center"/>
          </w:tcPr>
          <w:p w14:paraId="34D7C431" w14:textId="271A3A9F" w:rsidR="00FF6A54" w:rsidRPr="00E72A92" w:rsidRDefault="00FF6A54" w:rsidP="00E200E5">
            <w:pPr>
              <w:spacing w:after="0" w:line="240" w:lineRule="auto"/>
              <w:jc w:val="right"/>
              <w:rPr>
                <w:rFonts w:ascii="Calibri" w:hAnsi="Calibri"/>
                <w:color w:val="000000"/>
                <w:sz w:val="22"/>
                <w:szCs w:val="22"/>
              </w:rPr>
            </w:pPr>
            <w:r w:rsidRPr="0000562B">
              <w:t>20</w:t>
            </w:r>
            <w:r w:rsidR="00517F15">
              <w:t>,</w:t>
            </w:r>
            <w:r w:rsidRPr="0000562B">
              <w:t>356</w:t>
            </w:r>
          </w:p>
        </w:tc>
        <w:tc>
          <w:tcPr>
            <w:tcW w:w="1162" w:type="dxa"/>
            <w:tcBorders>
              <w:left w:val="single" w:sz="4" w:space="0" w:color="auto"/>
              <w:bottom w:val="single" w:sz="4" w:space="0" w:color="auto"/>
            </w:tcBorders>
            <w:vAlign w:val="center"/>
          </w:tcPr>
          <w:p w14:paraId="548E6783" w14:textId="2754EF97" w:rsidR="00FF6A54" w:rsidRPr="00E72A92" w:rsidRDefault="00FF6A54" w:rsidP="00E200E5">
            <w:pPr>
              <w:spacing w:after="0" w:line="240" w:lineRule="auto"/>
              <w:jc w:val="right"/>
              <w:rPr>
                <w:rFonts w:ascii="Calibri" w:hAnsi="Calibri"/>
                <w:color w:val="000000"/>
                <w:sz w:val="22"/>
                <w:szCs w:val="22"/>
              </w:rPr>
            </w:pPr>
            <w:r w:rsidRPr="0000562B">
              <w:t>23</w:t>
            </w:r>
          </w:p>
        </w:tc>
      </w:tr>
      <w:tr w:rsidR="007411F2" w:rsidRPr="006D46E5" w14:paraId="32C8918C" w14:textId="77777777" w:rsidTr="009A1022">
        <w:tc>
          <w:tcPr>
            <w:tcW w:w="2634" w:type="dxa"/>
            <w:tcBorders>
              <w:right w:val="single" w:sz="4" w:space="0" w:color="auto"/>
            </w:tcBorders>
            <w:shd w:val="clear" w:color="auto" w:fill="F2F2F2" w:themeFill="background1" w:themeFillShade="F2"/>
            <w:vAlign w:val="center"/>
          </w:tcPr>
          <w:p w14:paraId="28E8C5E8" w14:textId="2004D176" w:rsidR="00FF6A54" w:rsidRPr="00E72A92" w:rsidRDefault="00FF6A54">
            <w:pPr>
              <w:spacing w:after="0" w:line="240" w:lineRule="auto"/>
              <w:rPr>
                <w:rFonts w:ascii="Calibri" w:hAnsi="Calibri"/>
                <w:color w:val="000000"/>
                <w:sz w:val="22"/>
                <w:szCs w:val="22"/>
              </w:rPr>
            </w:pPr>
            <w:r w:rsidRPr="0000562B">
              <w:t>Telstra Corporation Limited</w:t>
            </w:r>
          </w:p>
        </w:tc>
        <w:tc>
          <w:tcPr>
            <w:tcW w:w="1268" w:type="dxa"/>
            <w:tcBorders>
              <w:left w:val="single" w:sz="4" w:space="0" w:color="auto"/>
              <w:right w:val="single" w:sz="4" w:space="0" w:color="auto"/>
            </w:tcBorders>
            <w:shd w:val="clear" w:color="auto" w:fill="F2F2F2" w:themeFill="background1" w:themeFillShade="F2"/>
            <w:vAlign w:val="center"/>
          </w:tcPr>
          <w:p w14:paraId="04FD2D07" w14:textId="6237692B" w:rsidR="00FF6A54" w:rsidRPr="00E72A92" w:rsidRDefault="00FF6A54" w:rsidP="00E200E5">
            <w:pPr>
              <w:spacing w:after="0" w:line="240" w:lineRule="auto"/>
              <w:jc w:val="right"/>
              <w:rPr>
                <w:rFonts w:ascii="Calibri" w:hAnsi="Calibri"/>
                <w:color w:val="000000"/>
                <w:sz w:val="22"/>
                <w:szCs w:val="22"/>
              </w:rPr>
            </w:pPr>
            <w:r w:rsidRPr="0000562B">
              <w:t>28</w:t>
            </w:r>
            <w:r w:rsidR="00517F15">
              <w:t>,</w:t>
            </w:r>
            <w:r w:rsidRPr="0000562B">
              <w:t>761</w:t>
            </w:r>
          </w:p>
        </w:tc>
        <w:tc>
          <w:tcPr>
            <w:tcW w:w="1411" w:type="dxa"/>
            <w:tcBorders>
              <w:left w:val="single" w:sz="4" w:space="0" w:color="auto"/>
              <w:right w:val="single" w:sz="4" w:space="0" w:color="auto"/>
            </w:tcBorders>
            <w:shd w:val="clear" w:color="auto" w:fill="F2F2F2" w:themeFill="background1" w:themeFillShade="F2"/>
            <w:vAlign w:val="center"/>
          </w:tcPr>
          <w:p w14:paraId="7FB50D8D" w14:textId="254FBDD9" w:rsidR="00FF6A54" w:rsidRDefault="00FF6A54" w:rsidP="00E200E5">
            <w:pPr>
              <w:spacing w:after="0" w:line="240" w:lineRule="auto"/>
              <w:jc w:val="right"/>
              <w:rPr>
                <w:rFonts w:ascii="Calibri" w:hAnsi="Calibri"/>
                <w:color w:val="000000"/>
                <w:sz w:val="22"/>
                <w:szCs w:val="22"/>
              </w:rPr>
            </w:pPr>
            <w:r w:rsidRPr="0000562B">
              <w:t>0</w:t>
            </w:r>
          </w:p>
        </w:tc>
        <w:tc>
          <w:tcPr>
            <w:tcW w:w="1428" w:type="dxa"/>
            <w:tcBorders>
              <w:left w:val="single" w:sz="4" w:space="0" w:color="auto"/>
              <w:right w:val="single" w:sz="4" w:space="0" w:color="auto"/>
            </w:tcBorders>
            <w:shd w:val="clear" w:color="auto" w:fill="F2F2F2" w:themeFill="background1" w:themeFillShade="F2"/>
            <w:vAlign w:val="center"/>
          </w:tcPr>
          <w:p w14:paraId="5FD5DA46" w14:textId="7A530853" w:rsidR="00FF6A54" w:rsidRPr="00E72A92" w:rsidRDefault="00FF6A54" w:rsidP="00E200E5">
            <w:pPr>
              <w:spacing w:after="0" w:line="240" w:lineRule="auto"/>
              <w:jc w:val="right"/>
              <w:rPr>
                <w:rFonts w:ascii="Calibri" w:hAnsi="Calibri"/>
                <w:color w:val="000000"/>
                <w:sz w:val="22"/>
                <w:szCs w:val="22"/>
              </w:rPr>
            </w:pPr>
            <w:r w:rsidRPr="0000562B">
              <w:t>28</w:t>
            </w:r>
            <w:r w:rsidR="00517F15">
              <w:t>,</w:t>
            </w:r>
            <w:r w:rsidRPr="0000562B">
              <w:t>761</w:t>
            </w:r>
          </w:p>
        </w:tc>
        <w:tc>
          <w:tcPr>
            <w:tcW w:w="1162" w:type="dxa"/>
            <w:tcBorders>
              <w:left w:val="single" w:sz="4" w:space="0" w:color="auto"/>
            </w:tcBorders>
            <w:shd w:val="clear" w:color="auto" w:fill="F2F2F2" w:themeFill="background1" w:themeFillShade="F2"/>
            <w:vAlign w:val="center"/>
          </w:tcPr>
          <w:p w14:paraId="2A23999B" w14:textId="3ADEB576" w:rsidR="00FF6A54" w:rsidRPr="00E72A92" w:rsidRDefault="00FF6A54" w:rsidP="00E200E5">
            <w:pPr>
              <w:spacing w:after="0" w:line="240" w:lineRule="auto"/>
              <w:jc w:val="right"/>
              <w:rPr>
                <w:rFonts w:ascii="Calibri" w:hAnsi="Calibri"/>
                <w:color w:val="000000"/>
                <w:sz w:val="22"/>
                <w:szCs w:val="22"/>
              </w:rPr>
            </w:pPr>
            <w:r w:rsidRPr="0000562B">
              <w:t>0</w:t>
            </w:r>
          </w:p>
        </w:tc>
      </w:tr>
      <w:tr w:rsidR="00FF6A54" w:rsidRPr="006D46E5" w14:paraId="610FFC60" w14:textId="77777777" w:rsidTr="009A1022">
        <w:tc>
          <w:tcPr>
            <w:tcW w:w="2634" w:type="dxa"/>
            <w:tcBorders>
              <w:right w:val="single" w:sz="4" w:space="0" w:color="auto"/>
            </w:tcBorders>
            <w:shd w:val="clear" w:color="auto" w:fill="auto"/>
            <w:vAlign w:val="center"/>
          </w:tcPr>
          <w:p w14:paraId="53847137" w14:textId="2C907A91" w:rsidR="00FF6A54" w:rsidRDefault="00FF6A54">
            <w:pPr>
              <w:spacing w:after="0" w:line="240" w:lineRule="auto"/>
              <w:rPr>
                <w:rFonts w:ascii="Calibri" w:hAnsi="Calibri"/>
                <w:color w:val="000000"/>
                <w:sz w:val="22"/>
                <w:szCs w:val="22"/>
              </w:rPr>
            </w:pPr>
            <w:r w:rsidRPr="0000562B">
              <w:t>Vodafone Australia Pty Limited</w:t>
            </w:r>
          </w:p>
        </w:tc>
        <w:tc>
          <w:tcPr>
            <w:tcW w:w="1268" w:type="dxa"/>
            <w:tcBorders>
              <w:left w:val="single" w:sz="4" w:space="0" w:color="auto"/>
              <w:right w:val="single" w:sz="4" w:space="0" w:color="auto"/>
            </w:tcBorders>
            <w:shd w:val="clear" w:color="auto" w:fill="auto"/>
            <w:vAlign w:val="center"/>
          </w:tcPr>
          <w:p w14:paraId="1AF81E27" w14:textId="008C46E2" w:rsidR="00FF6A54" w:rsidRDefault="00FF6A54" w:rsidP="00E200E5">
            <w:pPr>
              <w:spacing w:after="0" w:line="240" w:lineRule="auto"/>
              <w:jc w:val="right"/>
              <w:rPr>
                <w:rFonts w:ascii="Calibri" w:hAnsi="Calibri"/>
                <w:color w:val="000000"/>
                <w:sz w:val="22"/>
                <w:szCs w:val="22"/>
              </w:rPr>
            </w:pPr>
            <w:r w:rsidRPr="0000562B">
              <w:t>22</w:t>
            </w:r>
            <w:r w:rsidR="00517F15">
              <w:t>,</w:t>
            </w:r>
            <w:r w:rsidRPr="0000562B">
              <w:t>090</w:t>
            </w:r>
          </w:p>
        </w:tc>
        <w:tc>
          <w:tcPr>
            <w:tcW w:w="1411" w:type="dxa"/>
            <w:tcBorders>
              <w:left w:val="single" w:sz="4" w:space="0" w:color="auto"/>
              <w:right w:val="single" w:sz="4" w:space="0" w:color="auto"/>
            </w:tcBorders>
            <w:vAlign w:val="center"/>
          </w:tcPr>
          <w:p w14:paraId="3BA98979" w14:textId="7412C090" w:rsidR="00FF6A54" w:rsidRDefault="00FF6A54" w:rsidP="00E200E5">
            <w:pPr>
              <w:spacing w:after="0" w:line="240" w:lineRule="auto"/>
              <w:jc w:val="right"/>
              <w:rPr>
                <w:rFonts w:ascii="Calibri" w:hAnsi="Calibri"/>
                <w:color w:val="000000"/>
                <w:sz w:val="22"/>
                <w:szCs w:val="22"/>
              </w:rPr>
            </w:pPr>
            <w:r w:rsidRPr="0000562B">
              <w:t>0</w:t>
            </w:r>
          </w:p>
        </w:tc>
        <w:tc>
          <w:tcPr>
            <w:tcW w:w="1428" w:type="dxa"/>
            <w:tcBorders>
              <w:left w:val="single" w:sz="4" w:space="0" w:color="auto"/>
              <w:right w:val="single" w:sz="4" w:space="0" w:color="auto"/>
            </w:tcBorders>
            <w:shd w:val="clear" w:color="auto" w:fill="auto"/>
            <w:vAlign w:val="center"/>
          </w:tcPr>
          <w:p w14:paraId="720BAF7C" w14:textId="2EA68973" w:rsidR="00FF6A54" w:rsidRDefault="00FF6A54" w:rsidP="00E200E5">
            <w:pPr>
              <w:spacing w:after="0" w:line="240" w:lineRule="auto"/>
              <w:jc w:val="right"/>
              <w:rPr>
                <w:rFonts w:ascii="Calibri" w:hAnsi="Calibri"/>
                <w:color w:val="000000"/>
                <w:sz w:val="22"/>
                <w:szCs w:val="22"/>
              </w:rPr>
            </w:pPr>
            <w:r w:rsidRPr="0000562B">
              <w:t>22</w:t>
            </w:r>
            <w:r w:rsidR="00517F15">
              <w:t>,</w:t>
            </w:r>
            <w:r w:rsidRPr="0000562B">
              <w:t>063</w:t>
            </w:r>
          </w:p>
        </w:tc>
        <w:tc>
          <w:tcPr>
            <w:tcW w:w="1162" w:type="dxa"/>
            <w:tcBorders>
              <w:left w:val="single" w:sz="4" w:space="0" w:color="auto"/>
            </w:tcBorders>
            <w:shd w:val="clear" w:color="auto" w:fill="auto"/>
            <w:vAlign w:val="center"/>
          </w:tcPr>
          <w:p w14:paraId="455821A8" w14:textId="37ADA4BC" w:rsidR="00FF6A54" w:rsidRDefault="00FF6A54" w:rsidP="00E200E5">
            <w:pPr>
              <w:spacing w:after="0" w:line="240" w:lineRule="auto"/>
              <w:jc w:val="right"/>
              <w:rPr>
                <w:rFonts w:ascii="Calibri" w:hAnsi="Calibri"/>
                <w:color w:val="000000"/>
                <w:sz w:val="22"/>
                <w:szCs w:val="22"/>
              </w:rPr>
            </w:pPr>
            <w:r w:rsidRPr="0000562B">
              <w:t>27</w:t>
            </w:r>
          </w:p>
        </w:tc>
      </w:tr>
      <w:tr w:rsidR="007411F2" w:rsidRPr="006D46E5" w14:paraId="4C488994" w14:textId="77777777" w:rsidTr="009A1022">
        <w:tc>
          <w:tcPr>
            <w:tcW w:w="2634" w:type="dxa"/>
            <w:tcBorders>
              <w:right w:val="single" w:sz="4" w:space="0" w:color="auto"/>
            </w:tcBorders>
            <w:shd w:val="clear" w:color="auto" w:fill="F2F2F2" w:themeFill="background1" w:themeFillShade="F2"/>
            <w:vAlign w:val="center"/>
          </w:tcPr>
          <w:p w14:paraId="3D51E09E" w14:textId="521F46BA" w:rsidR="00FF6A54" w:rsidRDefault="00FF6A54">
            <w:pPr>
              <w:spacing w:after="0" w:line="240" w:lineRule="auto"/>
              <w:rPr>
                <w:rFonts w:ascii="Calibri" w:hAnsi="Calibri"/>
                <w:color w:val="000000"/>
                <w:sz w:val="22"/>
                <w:szCs w:val="22"/>
              </w:rPr>
            </w:pPr>
            <w:r w:rsidRPr="0000562B">
              <w:t>Vodafone Hutchison Australia Pty Limited</w:t>
            </w:r>
          </w:p>
        </w:tc>
        <w:tc>
          <w:tcPr>
            <w:tcW w:w="1268" w:type="dxa"/>
            <w:tcBorders>
              <w:left w:val="single" w:sz="4" w:space="0" w:color="auto"/>
              <w:right w:val="single" w:sz="4" w:space="0" w:color="auto"/>
            </w:tcBorders>
            <w:shd w:val="clear" w:color="auto" w:fill="F2F2F2" w:themeFill="background1" w:themeFillShade="F2"/>
            <w:vAlign w:val="center"/>
          </w:tcPr>
          <w:p w14:paraId="0922DCE7" w14:textId="49F32CFE" w:rsidR="00FF6A54" w:rsidRDefault="00FF6A54" w:rsidP="00E200E5">
            <w:pPr>
              <w:spacing w:after="0" w:line="240" w:lineRule="auto"/>
              <w:jc w:val="right"/>
              <w:rPr>
                <w:rFonts w:ascii="Calibri" w:hAnsi="Calibri"/>
                <w:color w:val="000000"/>
                <w:sz w:val="22"/>
                <w:szCs w:val="22"/>
              </w:rPr>
            </w:pPr>
            <w:r w:rsidRPr="0000562B">
              <w:t>13</w:t>
            </w:r>
            <w:r w:rsidR="00517F15">
              <w:t>,</w:t>
            </w:r>
            <w:r w:rsidRPr="0000562B">
              <w:t>035</w:t>
            </w:r>
          </w:p>
        </w:tc>
        <w:tc>
          <w:tcPr>
            <w:tcW w:w="1411" w:type="dxa"/>
            <w:tcBorders>
              <w:left w:val="single" w:sz="4" w:space="0" w:color="auto"/>
              <w:right w:val="single" w:sz="4" w:space="0" w:color="auto"/>
            </w:tcBorders>
            <w:shd w:val="clear" w:color="auto" w:fill="F2F2F2" w:themeFill="background1" w:themeFillShade="F2"/>
            <w:vAlign w:val="center"/>
          </w:tcPr>
          <w:p w14:paraId="198132AE" w14:textId="7297EAB2" w:rsidR="00FF6A54" w:rsidRDefault="00FF6A54" w:rsidP="00E200E5">
            <w:pPr>
              <w:spacing w:after="0" w:line="240" w:lineRule="auto"/>
              <w:jc w:val="right"/>
              <w:rPr>
                <w:rFonts w:ascii="Calibri" w:hAnsi="Calibri"/>
                <w:color w:val="000000"/>
                <w:sz w:val="22"/>
                <w:szCs w:val="22"/>
              </w:rPr>
            </w:pPr>
            <w:r w:rsidRPr="0000562B">
              <w:t>484</w:t>
            </w:r>
          </w:p>
        </w:tc>
        <w:tc>
          <w:tcPr>
            <w:tcW w:w="1428" w:type="dxa"/>
            <w:tcBorders>
              <w:left w:val="single" w:sz="4" w:space="0" w:color="auto"/>
              <w:right w:val="single" w:sz="4" w:space="0" w:color="auto"/>
            </w:tcBorders>
            <w:shd w:val="clear" w:color="auto" w:fill="F2F2F2" w:themeFill="background1" w:themeFillShade="F2"/>
            <w:vAlign w:val="center"/>
          </w:tcPr>
          <w:p w14:paraId="0C820FDC" w14:textId="37B0E874" w:rsidR="00FF6A54" w:rsidRDefault="00FF6A54" w:rsidP="00E200E5">
            <w:pPr>
              <w:spacing w:after="0" w:line="240" w:lineRule="auto"/>
              <w:jc w:val="right"/>
              <w:rPr>
                <w:rFonts w:ascii="Calibri" w:hAnsi="Calibri"/>
                <w:color w:val="000000"/>
                <w:sz w:val="22"/>
                <w:szCs w:val="22"/>
              </w:rPr>
            </w:pPr>
            <w:r w:rsidRPr="0000562B">
              <w:t>13</w:t>
            </w:r>
            <w:r w:rsidR="00517F15">
              <w:t>,</w:t>
            </w:r>
            <w:r w:rsidRPr="0000562B">
              <w:t>023</w:t>
            </w:r>
          </w:p>
        </w:tc>
        <w:tc>
          <w:tcPr>
            <w:tcW w:w="1162" w:type="dxa"/>
            <w:tcBorders>
              <w:left w:val="single" w:sz="4" w:space="0" w:color="auto"/>
            </w:tcBorders>
            <w:shd w:val="clear" w:color="auto" w:fill="F2F2F2" w:themeFill="background1" w:themeFillShade="F2"/>
            <w:vAlign w:val="center"/>
          </w:tcPr>
          <w:p w14:paraId="74A72BCF" w14:textId="222CEE2D" w:rsidR="00FF6A54" w:rsidRDefault="00FF6A54" w:rsidP="00E200E5">
            <w:pPr>
              <w:spacing w:after="0" w:line="240" w:lineRule="auto"/>
              <w:jc w:val="right"/>
              <w:rPr>
                <w:rFonts w:ascii="Calibri" w:hAnsi="Calibri"/>
                <w:color w:val="000000"/>
                <w:sz w:val="22"/>
                <w:szCs w:val="22"/>
              </w:rPr>
            </w:pPr>
            <w:r w:rsidRPr="0000562B">
              <w:t>12</w:t>
            </w:r>
          </w:p>
        </w:tc>
      </w:tr>
      <w:tr w:rsidR="00FF6A54" w:rsidRPr="006D46E5" w14:paraId="4B6351EA" w14:textId="77777777" w:rsidTr="009A1022">
        <w:tc>
          <w:tcPr>
            <w:tcW w:w="2634" w:type="dxa"/>
            <w:tcBorders>
              <w:bottom w:val="single" w:sz="4" w:space="0" w:color="auto"/>
              <w:right w:val="single" w:sz="4" w:space="0" w:color="auto"/>
            </w:tcBorders>
            <w:vAlign w:val="center"/>
          </w:tcPr>
          <w:p w14:paraId="15D2C377" w14:textId="6C0A0141" w:rsidR="00FF6A54" w:rsidRPr="00E72A92" w:rsidRDefault="00FF6A54">
            <w:pPr>
              <w:spacing w:after="0" w:line="240" w:lineRule="auto"/>
              <w:rPr>
                <w:rFonts w:ascii="Calibri" w:hAnsi="Calibri"/>
                <w:color w:val="000000"/>
                <w:sz w:val="22"/>
                <w:szCs w:val="22"/>
              </w:rPr>
            </w:pPr>
            <w:r w:rsidRPr="0000562B">
              <w:t>Public Transport Authority of Western Australia</w:t>
            </w:r>
          </w:p>
        </w:tc>
        <w:tc>
          <w:tcPr>
            <w:tcW w:w="1268" w:type="dxa"/>
            <w:tcBorders>
              <w:left w:val="single" w:sz="4" w:space="0" w:color="auto"/>
              <w:bottom w:val="single" w:sz="4" w:space="0" w:color="auto"/>
              <w:right w:val="single" w:sz="4" w:space="0" w:color="auto"/>
            </w:tcBorders>
            <w:vAlign w:val="center"/>
          </w:tcPr>
          <w:p w14:paraId="51A177C2" w14:textId="46AD45EA" w:rsidR="00FF6A54" w:rsidRPr="00E72A92" w:rsidRDefault="00FF6A54" w:rsidP="00E200E5">
            <w:pPr>
              <w:spacing w:after="0" w:line="240" w:lineRule="auto"/>
              <w:jc w:val="right"/>
              <w:rPr>
                <w:rFonts w:ascii="Calibri" w:hAnsi="Calibri"/>
                <w:color w:val="000000"/>
                <w:sz w:val="22"/>
                <w:szCs w:val="22"/>
              </w:rPr>
            </w:pPr>
            <w:r w:rsidRPr="0000562B">
              <w:t>25</w:t>
            </w:r>
          </w:p>
        </w:tc>
        <w:tc>
          <w:tcPr>
            <w:tcW w:w="1411" w:type="dxa"/>
            <w:tcBorders>
              <w:left w:val="single" w:sz="4" w:space="0" w:color="auto"/>
              <w:bottom w:val="single" w:sz="4" w:space="0" w:color="auto"/>
              <w:right w:val="single" w:sz="4" w:space="0" w:color="auto"/>
            </w:tcBorders>
            <w:vAlign w:val="center"/>
          </w:tcPr>
          <w:p w14:paraId="3A7C2AEA" w14:textId="7C08B41D" w:rsidR="00FF6A54" w:rsidRDefault="00FF6A54" w:rsidP="00E200E5">
            <w:pPr>
              <w:spacing w:after="0" w:line="240" w:lineRule="auto"/>
              <w:jc w:val="right"/>
              <w:rPr>
                <w:rFonts w:ascii="Calibri" w:hAnsi="Calibri"/>
                <w:color w:val="000000"/>
                <w:sz w:val="22"/>
                <w:szCs w:val="22"/>
              </w:rPr>
            </w:pPr>
            <w:r w:rsidRPr="0000562B">
              <w:t>13</w:t>
            </w:r>
          </w:p>
        </w:tc>
        <w:tc>
          <w:tcPr>
            <w:tcW w:w="1428" w:type="dxa"/>
            <w:tcBorders>
              <w:left w:val="single" w:sz="4" w:space="0" w:color="auto"/>
              <w:bottom w:val="single" w:sz="4" w:space="0" w:color="auto"/>
              <w:right w:val="single" w:sz="4" w:space="0" w:color="auto"/>
            </w:tcBorders>
            <w:vAlign w:val="center"/>
          </w:tcPr>
          <w:p w14:paraId="488719E4" w14:textId="1FFA5650" w:rsidR="00FF6A54" w:rsidRPr="00E72A92" w:rsidRDefault="00FF6A54" w:rsidP="00E200E5">
            <w:pPr>
              <w:spacing w:after="0" w:line="240" w:lineRule="auto"/>
              <w:jc w:val="right"/>
              <w:rPr>
                <w:rFonts w:ascii="Calibri" w:hAnsi="Calibri"/>
                <w:color w:val="000000"/>
                <w:sz w:val="22"/>
                <w:szCs w:val="22"/>
              </w:rPr>
            </w:pPr>
            <w:r w:rsidRPr="0000562B">
              <w:t>25</w:t>
            </w:r>
          </w:p>
        </w:tc>
        <w:tc>
          <w:tcPr>
            <w:tcW w:w="1162" w:type="dxa"/>
            <w:tcBorders>
              <w:left w:val="single" w:sz="4" w:space="0" w:color="auto"/>
              <w:bottom w:val="single" w:sz="4" w:space="0" w:color="auto"/>
            </w:tcBorders>
            <w:vAlign w:val="center"/>
          </w:tcPr>
          <w:p w14:paraId="01F9133A" w14:textId="39583B5A" w:rsidR="00FF6A54" w:rsidRPr="00E72A92" w:rsidRDefault="00FF6A54" w:rsidP="00E200E5">
            <w:pPr>
              <w:spacing w:after="0" w:line="240" w:lineRule="auto"/>
              <w:jc w:val="right"/>
              <w:rPr>
                <w:rFonts w:ascii="Calibri" w:hAnsi="Calibri"/>
                <w:color w:val="000000"/>
                <w:sz w:val="22"/>
                <w:szCs w:val="22"/>
              </w:rPr>
            </w:pPr>
            <w:r w:rsidRPr="0000562B">
              <w:t>0</w:t>
            </w:r>
          </w:p>
        </w:tc>
      </w:tr>
      <w:tr w:rsidR="007411F2" w:rsidRPr="006D46E5" w14:paraId="1514DC8A" w14:textId="77777777" w:rsidTr="009A1022">
        <w:tc>
          <w:tcPr>
            <w:tcW w:w="2634" w:type="dxa"/>
            <w:tcBorders>
              <w:bottom w:val="single" w:sz="4" w:space="0" w:color="auto"/>
              <w:right w:val="single" w:sz="4" w:space="0" w:color="auto"/>
            </w:tcBorders>
            <w:shd w:val="clear" w:color="auto" w:fill="F2F2F2" w:themeFill="background1" w:themeFillShade="F2"/>
            <w:vAlign w:val="center"/>
          </w:tcPr>
          <w:p w14:paraId="4240DC1B" w14:textId="08E9AFCF" w:rsidR="00FF6A54" w:rsidRPr="004B7130" w:rsidRDefault="00FF6A54">
            <w:pPr>
              <w:spacing w:after="0" w:line="240" w:lineRule="auto"/>
            </w:pPr>
            <w:r w:rsidRPr="0000562B">
              <w:t>Queensland Rail Limited</w:t>
            </w:r>
          </w:p>
        </w:tc>
        <w:tc>
          <w:tcPr>
            <w:tcW w:w="1268" w:type="dxa"/>
            <w:tcBorders>
              <w:left w:val="single" w:sz="4" w:space="0" w:color="auto"/>
              <w:bottom w:val="single" w:sz="4" w:space="0" w:color="auto"/>
              <w:right w:val="single" w:sz="4" w:space="0" w:color="auto"/>
            </w:tcBorders>
            <w:shd w:val="clear" w:color="auto" w:fill="F2F2F2" w:themeFill="background1" w:themeFillShade="F2"/>
            <w:vAlign w:val="center"/>
          </w:tcPr>
          <w:p w14:paraId="4D48DBB0" w14:textId="080A4FF3" w:rsidR="00FF6A54" w:rsidRPr="006238EA" w:rsidRDefault="00FF6A54" w:rsidP="00E200E5">
            <w:pPr>
              <w:spacing w:after="0" w:line="240" w:lineRule="auto"/>
              <w:jc w:val="right"/>
            </w:pPr>
            <w:r w:rsidRPr="0000562B">
              <w:t>14</w:t>
            </w:r>
          </w:p>
        </w:tc>
        <w:tc>
          <w:tcPr>
            <w:tcW w:w="1411" w:type="dxa"/>
            <w:tcBorders>
              <w:left w:val="single" w:sz="4" w:space="0" w:color="auto"/>
              <w:bottom w:val="single" w:sz="4" w:space="0" w:color="auto"/>
              <w:right w:val="single" w:sz="4" w:space="0" w:color="auto"/>
            </w:tcBorders>
            <w:shd w:val="clear" w:color="auto" w:fill="F2F2F2" w:themeFill="background1" w:themeFillShade="F2"/>
            <w:vAlign w:val="center"/>
          </w:tcPr>
          <w:p w14:paraId="7F20CDA5" w14:textId="0EA9D627" w:rsidR="00FF6A54" w:rsidRPr="006238EA" w:rsidRDefault="00FF6A54" w:rsidP="00E200E5">
            <w:pPr>
              <w:spacing w:after="0" w:line="240" w:lineRule="auto"/>
              <w:jc w:val="right"/>
            </w:pPr>
            <w:r w:rsidRPr="0000562B">
              <w:t>0</w:t>
            </w:r>
          </w:p>
        </w:tc>
        <w:tc>
          <w:tcPr>
            <w:tcW w:w="1428" w:type="dxa"/>
            <w:tcBorders>
              <w:left w:val="single" w:sz="4" w:space="0" w:color="auto"/>
              <w:bottom w:val="single" w:sz="4" w:space="0" w:color="auto"/>
              <w:right w:val="single" w:sz="4" w:space="0" w:color="auto"/>
            </w:tcBorders>
            <w:shd w:val="clear" w:color="auto" w:fill="F2F2F2" w:themeFill="background1" w:themeFillShade="F2"/>
            <w:vAlign w:val="center"/>
          </w:tcPr>
          <w:p w14:paraId="287E238F" w14:textId="2489447A" w:rsidR="00FF6A54" w:rsidRPr="00E76288" w:rsidRDefault="00FF6A54" w:rsidP="00E200E5">
            <w:pPr>
              <w:spacing w:after="0" w:line="240" w:lineRule="auto"/>
              <w:jc w:val="right"/>
            </w:pPr>
            <w:r w:rsidRPr="0000562B">
              <w:t>14</w:t>
            </w:r>
          </w:p>
        </w:tc>
        <w:tc>
          <w:tcPr>
            <w:tcW w:w="1162" w:type="dxa"/>
            <w:tcBorders>
              <w:left w:val="single" w:sz="4" w:space="0" w:color="auto"/>
              <w:bottom w:val="single" w:sz="4" w:space="0" w:color="auto"/>
            </w:tcBorders>
            <w:shd w:val="clear" w:color="auto" w:fill="F2F2F2" w:themeFill="background1" w:themeFillShade="F2"/>
            <w:vAlign w:val="center"/>
          </w:tcPr>
          <w:p w14:paraId="0A26FF17" w14:textId="4114B989" w:rsidR="00FF6A54" w:rsidRPr="00FF1255" w:rsidRDefault="00FF6A54" w:rsidP="00E200E5">
            <w:pPr>
              <w:spacing w:after="0" w:line="240" w:lineRule="auto"/>
              <w:jc w:val="right"/>
            </w:pPr>
            <w:r w:rsidRPr="0000562B">
              <w:t>0</w:t>
            </w:r>
          </w:p>
        </w:tc>
      </w:tr>
      <w:tr w:rsidR="00FF6A54" w:rsidRPr="006D46E5" w14:paraId="7BF6E67B" w14:textId="77777777" w:rsidTr="009A1022">
        <w:tc>
          <w:tcPr>
            <w:tcW w:w="2634" w:type="dxa"/>
            <w:tcBorders>
              <w:bottom w:val="single" w:sz="4" w:space="0" w:color="auto"/>
              <w:right w:val="single" w:sz="4" w:space="0" w:color="auto"/>
            </w:tcBorders>
            <w:vAlign w:val="center"/>
          </w:tcPr>
          <w:p w14:paraId="23021DBF" w14:textId="3BDBE6D8" w:rsidR="00FF6A54" w:rsidRPr="004B7130" w:rsidRDefault="00FF6A54">
            <w:pPr>
              <w:spacing w:after="0" w:line="240" w:lineRule="auto"/>
            </w:pPr>
            <w:r w:rsidRPr="0000562B">
              <w:t>S</w:t>
            </w:r>
            <w:r w:rsidR="00517F15">
              <w:t>ydney Trains</w:t>
            </w:r>
          </w:p>
        </w:tc>
        <w:tc>
          <w:tcPr>
            <w:tcW w:w="1268" w:type="dxa"/>
            <w:tcBorders>
              <w:left w:val="single" w:sz="4" w:space="0" w:color="auto"/>
              <w:bottom w:val="single" w:sz="4" w:space="0" w:color="auto"/>
              <w:right w:val="single" w:sz="4" w:space="0" w:color="auto"/>
            </w:tcBorders>
            <w:vAlign w:val="center"/>
          </w:tcPr>
          <w:p w14:paraId="233BE887" w14:textId="3AD9B21C" w:rsidR="00FF6A54" w:rsidRPr="006238EA" w:rsidRDefault="00FF6A54" w:rsidP="00E200E5">
            <w:pPr>
              <w:spacing w:after="0" w:line="240" w:lineRule="auto"/>
              <w:jc w:val="right"/>
            </w:pPr>
            <w:r w:rsidRPr="0000562B">
              <w:t>2</w:t>
            </w:r>
            <w:r w:rsidR="00517F15">
              <w:t>,</w:t>
            </w:r>
            <w:r w:rsidRPr="0000562B">
              <w:t>993</w:t>
            </w:r>
          </w:p>
        </w:tc>
        <w:tc>
          <w:tcPr>
            <w:tcW w:w="1411" w:type="dxa"/>
            <w:tcBorders>
              <w:left w:val="single" w:sz="4" w:space="0" w:color="auto"/>
              <w:bottom w:val="single" w:sz="4" w:space="0" w:color="auto"/>
              <w:right w:val="single" w:sz="4" w:space="0" w:color="auto"/>
            </w:tcBorders>
            <w:vAlign w:val="center"/>
          </w:tcPr>
          <w:p w14:paraId="4C54491A" w14:textId="66D0C4F1" w:rsidR="00FF6A54" w:rsidRPr="006238EA" w:rsidRDefault="00FF6A54" w:rsidP="00E200E5">
            <w:pPr>
              <w:spacing w:after="0" w:line="240" w:lineRule="auto"/>
              <w:jc w:val="right"/>
            </w:pPr>
            <w:r w:rsidRPr="0000562B">
              <w:t>0</w:t>
            </w:r>
          </w:p>
        </w:tc>
        <w:tc>
          <w:tcPr>
            <w:tcW w:w="1428" w:type="dxa"/>
            <w:tcBorders>
              <w:left w:val="single" w:sz="4" w:space="0" w:color="auto"/>
              <w:bottom w:val="single" w:sz="4" w:space="0" w:color="auto"/>
              <w:right w:val="single" w:sz="4" w:space="0" w:color="auto"/>
            </w:tcBorders>
            <w:vAlign w:val="center"/>
          </w:tcPr>
          <w:p w14:paraId="58853DEA" w14:textId="3971D658" w:rsidR="00FF6A54" w:rsidRPr="00E76288" w:rsidRDefault="00FF6A54" w:rsidP="00E200E5">
            <w:pPr>
              <w:spacing w:after="0" w:line="240" w:lineRule="auto"/>
              <w:jc w:val="right"/>
            </w:pPr>
            <w:r w:rsidRPr="0000562B">
              <w:t>2</w:t>
            </w:r>
            <w:r w:rsidR="00517F15">
              <w:t>,</w:t>
            </w:r>
            <w:r w:rsidRPr="0000562B">
              <w:t>993</w:t>
            </w:r>
          </w:p>
        </w:tc>
        <w:tc>
          <w:tcPr>
            <w:tcW w:w="1162" w:type="dxa"/>
            <w:tcBorders>
              <w:left w:val="single" w:sz="4" w:space="0" w:color="auto"/>
              <w:bottom w:val="single" w:sz="4" w:space="0" w:color="auto"/>
            </w:tcBorders>
            <w:vAlign w:val="center"/>
          </w:tcPr>
          <w:p w14:paraId="0AA52130" w14:textId="5B327EB3" w:rsidR="00FF6A54" w:rsidRPr="00FF1255" w:rsidRDefault="00FF6A54" w:rsidP="00E200E5">
            <w:pPr>
              <w:spacing w:after="0" w:line="240" w:lineRule="auto"/>
              <w:jc w:val="right"/>
            </w:pPr>
            <w:r w:rsidRPr="0000562B">
              <w:t>0</w:t>
            </w:r>
          </w:p>
        </w:tc>
      </w:tr>
      <w:tr w:rsidR="007411F2" w:rsidRPr="006D46E5" w14:paraId="642AA4FF" w14:textId="77777777" w:rsidTr="009A1022">
        <w:tc>
          <w:tcPr>
            <w:tcW w:w="2634" w:type="dxa"/>
            <w:tcBorders>
              <w:bottom w:val="single" w:sz="4" w:space="0" w:color="auto"/>
              <w:right w:val="single" w:sz="4" w:space="0" w:color="auto"/>
            </w:tcBorders>
            <w:shd w:val="clear" w:color="auto" w:fill="F2F2F2" w:themeFill="background1" w:themeFillShade="F2"/>
            <w:vAlign w:val="center"/>
          </w:tcPr>
          <w:p w14:paraId="0FA1D8E4" w14:textId="3B33873F" w:rsidR="00FF6A54" w:rsidRPr="004B7130" w:rsidRDefault="00FF6A54">
            <w:pPr>
              <w:spacing w:after="0" w:line="240" w:lineRule="auto"/>
            </w:pPr>
            <w:r w:rsidRPr="0000562B">
              <w:t>TPG Internet Pty Ltd</w:t>
            </w:r>
          </w:p>
        </w:tc>
        <w:tc>
          <w:tcPr>
            <w:tcW w:w="1268" w:type="dxa"/>
            <w:tcBorders>
              <w:left w:val="single" w:sz="4" w:space="0" w:color="auto"/>
              <w:bottom w:val="single" w:sz="4" w:space="0" w:color="auto"/>
              <w:right w:val="single" w:sz="4" w:space="0" w:color="auto"/>
            </w:tcBorders>
            <w:shd w:val="clear" w:color="auto" w:fill="F2F2F2" w:themeFill="background1" w:themeFillShade="F2"/>
            <w:vAlign w:val="center"/>
          </w:tcPr>
          <w:p w14:paraId="4F0A62D1" w14:textId="42D85D25" w:rsidR="00FF6A54" w:rsidRPr="006238EA" w:rsidRDefault="00FF6A54" w:rsidP="00E200E5">
            <w:pPr>
              <w:spacing w:after="0" w:line="240" w:lineRule="auto"/>
              <w:jc w:val="right"/>
            </w:pPr>
            <w:r w:rsidRPr="0000562B">
              <w:t>329</w:t>
            </w:r>
          </w:p>
        </w:tc>
        <w:tc>
          <w:tcPr>
            <w:tcW w:w="1411" w:type="dxa"/>
            <w:tcBorders>
              <w:left w:val="single" w:sz="4" w:space="0" w:color="auto"/>
              <w:bottom w:val="single" w:sz="4" w:space="0" w:color="auto"/>
              <w:right w:val="single" w:sz="4" w:space="0" w:color="auto"/>
            </w:tcBorders>
            <w:shd w:val="clear" w:color="auto" w:fill="F2F2F2" w:themeFill="background1" w:themeFillShade="F2"/>
            <w:vAlign w:val="center"/>
          </w:tcPr>
          <w:p w14:paraId="5C7DCA69" w14:textId="017A2571" w:rsidR="00FF6A54" w:rsidRPr="006238EA" w:rsidRDefault="00FF6A54" w:rsidP="00E200E5">
            <w:pPr>
              <w:spacing w:after="0" w:line="240" w:lineRule="auto"/>
              <w:jc w:val="right"/>
            </w:pPr>
            <w:r w:rsidRPr="0000562B">
              <w:t>0</w:t>
            </w:r>
          </w:p>
        </w:tc>
        <w:tc>
          <w:tcPr>
            <w:tcW w:w="1428" w:type="dxa"/>
            <w:tcBorders>
              <w:left w:val="single" w:sz="4" w:space="0" w:color="auto"/>
              <w:bottom w:val="single" w:sz="4" w:space="0" w:color="auto"/>
              <w:right w:val="single" w:sz="4" w:space="0" w:color="auto"/>
            </w:tcBorders>
            <w:shd w:val="clear" w:color="auto" w:fill="F2F2F2" w:themeFill="background1" w:themeFillShade="F2"/>
            <w:vAlign w:val="center"/>
          </w:tcPr>
          <w:p w14:paraId="60CAF9DB" w14:textId="45FB2117" w:rsidR="00FF6A54" w:rsidRPr="00E76288" w:rsidRDefault="00FF6A54" w:rsidP="00E200E5">
            <w:pPr>
              <w:spacing w:after="0" w:line="240" w:lineRule="auto"/>
              <w:jc w:val="right"/>
            </w:pPr>
            <w:r w:rsidRPr="0000562B">
              <w:t>329</w:t>
            </w:r>
          </w:p>
        </w:tc>
        <w:tc>
          <w:tcPr>
            <w:tcW w:w="1162" w:type="dxa"/>
            <w:tcBorders>
              <w:left w:val="single" w:sz="4" w:space="0" w:color="auto"/>
              <w:bottom w:val="single" w:sz="4" w:space="0" w:color="auto"/>
            </w:tcBorders>
            <w:shd w:val="clear" w:color="auto" w:fill="F2F2F2" w:themeFill="background1" w:themeFillShade="F2"/>
            <w:vAlign w:val="center"/>
          </w:tcPr>
          <w:p w14:paraId="65E02CFC" w14:textId="4E313C4F" w:rsidR="00FF6A54" w:rsidRPr="00FF1255" w:rsidRDefault="00FF6A54" w:rsidP="00E200E5">
            <w:pPr>
              <w:spacing w:after="0" w:line="240" w:lineRule="auto"/>
              <w:jc w:val="right"/>
            </w:pPr>
            <w:r w:rsidRPr="0000562B">
              <w:t>0</w:t>
            </w:r>
          </w:p>
        </w:tc>
      </w:tr>
      <w:tr w:rsidR="00FF6A54" w:rsidRPr="006D46E5" w14:paraId="4C6F03B5" w14:textId="77777777" w:rsidTr="009A1022">
        <w:tc>
          <w:tcPr>
            <w:tcW w:w="2634" w:type="dxa"/>
            <w:tcBorders>
              <w:bottom w:val="single" w:sz="4" w:space="0" w:color="auto"/>
              <w:right w:val="single" w:sz="4" w:space="0" w:color="auto"/>
            </w:tcBorders>
            <w:vAlign w:val="center"/>
          </w:tcPr>
          <w:p w14:paraId="2A9BCADB" w14:textId="51E3768B" w:rsidR="00FF6A54" w:rsidRPr="004B7130" w:rsidRDefault="00FF6A54">
            <w:pPr>
              <w:spacing w:after="0" w:line="240" w:lineRule="auto"/>
            </w:pPr>
            <w:r w:rsidRPr="0000562B">
              <w:t>Victorian Rail Track</w:t>
            </w:r>
          </w:p>
        </w:tc>
        <w:tc>
          <w:tcPr>
            <w:tcW w:w="1268" w:type="dxa"/>
            <w:tcBorders>
              <w:left w:val="single" w:sz="4" w:space="0" w:color="auto"/>
              <w:bottom w:val="single" w:sz="4" w:space="0" w:color="auto"/>
              <w:right w:val="single" w:sz="4" w:space="0" w:color="auto"/>
            </w:tcBorders>
            <w:vAlign w:val="center"/>
          </w:tcPr>
          <w:p w14:paraId="35C2029C" w14:textId="1E479627" w:rsidR="00FF6A54" w:rsidRPr="006238EA" w:rsidRDefault="00FF6A54" w:rsidP="00E200E5">
            <w:pPr>
              <w:spacing w:after="0" w:line="240" w:lineRule="auto"/>
              <w:jc w:val="right"/>
            </w:pPr>
            <w:r w:rsidRPr="0000562B">
              <w:t>510</w:t>
            </w:r>
          </w:p>
        </w:tc>
        <w:tc>
          <w:tcPr>
            <w:tcW w:w="1411" w:type="dxa"/>
            <w:tcBorders>
              <w:left w:val="single" w:sz="4" w:space="0" w:color="auto"/>
              <w:bottom w:val="single" w:sz="4" w:space="0" w:color="auto"/>
              <w:right w:val="single" w:sz="4" w:space="0" w:color="auto"/>
            </w:tcBorders>
            <w:vAlign w:val="center"/>
          </w:tcPr>
          <w:p w14:paraId="6EEAE659" w14:textId="3B581FF9" w:rsidR="00FF6A54" w:rsidRPr="006238EA" w:rsidRDefault="00FF6A54" w:rsidP="00E200E5">
            <w:pPr>
              <w:spacing w:after="0" w:line="240" w:lineRule="auto"/>
              <w:jc w:val="right"/>
            </w:pPr>
            <w:r w:rsidRPr="0000562B">
              <w:t>255</w:t>
            </w:r>
          </w:p>
        </w:tc>
        <w:tc>
          <w:tcPr>
            <w:tcW w:w="1428" w:type="dxa"/>
            <w:tcBorders>
              <w:left w:val="single" w:sz="4" w:space="0" w:color="auto"/>
              <w:bottom w:val="single" w:sz="4" w:space="0" w:color="auto"/>
              <w:right w:val="single" w:sz="4" w:space="0" w:color="auto"/>
            </w:tcBorders>
            <w:vAlign w:val="center"/>
          </w:tcPr>
          <w:p w14:paraId="4493CFB4" w14:textId="3ECF6A13" w:rsidR="00FF6A54" w:rsidRPr="00E76288" w:rsidRDefault="00FF6A54" w:rsidP="00E200E5">
            <w:pPr>
              <w:spacing w:after="0" w:line="240" w:lineRule="auto"/>
              <w:jc w:val="right"/>
            </w:pPr>
            <w:r w:rsidRPr="0000562B">
              <w:t>490</w:t>
            </w:r>
          </w:p>
        </w:tc>
        <w:tc>
          <w:tcPr>
            <w:tcW w:w="1162" w:type="dxa"/>
            <w:tcBorders>
              <w:left w:val="single" w:sz="4" w:space="0" w:color="auto"/>
              <w:bottom w:val="single" w:sz="4" w:space="0" w:color="auto"/>
            </w:tcBorders>
            <w:vAlign w:val="center"/>
          </w:tcPr>
          <w:p w14:paraId="75941177" w14:textId="362533D8" w:rsidR="00FF6A54" w:rsidRPr="00FF1255" w:rsidRDefault="00FF6A54" w:rsidP="00E200E5">
            <w:pPr>
              <w:spacing w:after="0" w:line="240" w:lineRule="auto"/>
              <w:jc w:val="right"/>
            </w:pPr>
            <w:r w:rsidRPr="0000562B">
              <w:t>20</w:t>
            </w:r>
          </w:p>
        </w:tc>
      </w:tr>
      <w:tr w:rsidR="007411F2" w:rsidRPr="006D46E5" w14:paraId="56693C54" w14:textId="77777777" w:rsidTr="009A1022">
        <w:tc>
          <w:tcPr>
            <w:tcW w:w="2634" w:type="dxa"/>
            <w:tcBorders>
              <w:right w:val="single" w:sz="4" w:space="0" w:color="auto"/>
            </w:tcBorders>
            <w:shd w:val="clear" w:color="auto" w:fill="D9D9D9" w:themeFill="background1" w:themeFillShade="D9"/>
            <w:vAlign w:val="center"/>
          </w:tcPr>
          <w:p w14:paraId="3C4A608B" w14:textId="77777777" w:rsidR="00FF6A54" w:rsidRPr="00AD44B4" w:rsidRDefault="00FF6A54">
            <w:pPr>
              <w:spacing w:after="0" w:line="240" w:lineRule="auto"/>
              <w:rPr>
                <w:rFonts w:ascii="Calibri" w:hAnsi="Calibri"/>
                <w:b/>
                <w:color w:val="000000"/>
                <w:sz w:val="22"/>
                <w:szCs w:val="22"/>
              </w:rPr>
            </w:pPr>
            <w:r w:rsidRPr="00AD44B4">
              <w:rPr>
                <w:rFonts w:ascii="Calibri" w:hAnsi="Calibri"/>
                <w:b/>
                <w:color w:val="000000"/>
                <w:sz w:val="22"/>
                <w:szCs w:val="22"/>
              </w:rPr>
              <w:t>Total</w:t>
            </w:r>
          </w:p>
        </w:tc>
        <w:tc>
          <w:tcPr>
            <w:tcW w:w="1268" w:type="dxa"/>
            <w:tcBorders>
              <w:left w:val="single" w:sz="4" w:space="0" w:color="auto"/>
              <w:right w:val="single" w:sz="4" w:space="0" w:color="auto"/>
            </w:tcBorders>
            <w:shd w:val="clear" w:color="auto" w:fill="D9D9D9" w:themeFill="background1" w:themeFillShade="D9"/>
            <w:vAlign w:val="center"/>
          </w:tcPr>
          <w:p w14:paraId="0C667982" w14:textId="3A257D45" w:rsidR="00FF6A54" w:rsidRPr="00A74C64" w:rsidRDefault="00FF6A54" w:rsidP="00E200E5">
            <w:pPr>
              <w:spacing w:after="0" w:line="240" w:lineRule="auto"/>
              <w:jc w:val="right"/>
              <w:rPr>
                <w:rFonts w:ascii="Calibri" w:hAnsi="Calibri"/>
                <w:b/>
                <w:bCs/>
                <w:color w:val="000000"/>
                <w:sz w:val="22"/>
                <w:szCs w:val="22"/>
              </w:rPr>
            </w:pPr>
            <w:r w:rsidRPr="00285E8F">
              <w:rPr>
                <w:b/>
                <w:bCs/>
              </w:rPr>
              <w:t>88</w:t>
            </w:r>
            <w:r w:rsidR="00517F15">
              <w:rPr>
                <w:b/>
                <w:bCs/>
              </w:rPr>
              <w:t>,</w:t>
            </w:r>
            <w:r w:rsidRPr="00285E8F">
              <w:rPr>
                <w:b/>
                <w:bCs/>
              </w:rPr>
              <w:t>136</w:t>
            </w:r>
          </w:p>
        </w:tc>
        <w:tc>
          <w:tcPr>
            <w:tcW w:w="1411" w:type="dxa"/>
            <w:tcBorders>
              <w:left w:val="single" w:sz="4" w:space="0" w:color="auto"/>
              <w:right w:val="single" w:sz="4" w:space="0" w:color="auto"/>
            </w:tcBorders>
            <w:shd w:val="clear" w:color="auto" w:fill="D9D9D9" w:themeFill="background1" w:themeFillShade="D9"/>
            <w:vAlign w:val="center"/>
          </w:tcPr>
          <w:p w14:paraId="52502EDE" w14:textId="263F7413" w:rsidR="00FF6A54" w:rsidRPr="00A74C64" w:rsidRDefault="00FF6A54" w:rsidP="00E200E5">
            <w:pPr>
              <w:spacing w:after="0" w:line="240" w:lineRule="auto"/>
              <w:jc w:val="right"/>
              <w:rPr>
                <w:rFonts w:ascii="Calibri" w:hAnsi="Calibri"/>
                <w:b/>
                <w:bCs/>
                <w:color w:val="000000"/>
                <w:sz w:val="22"/>
                <w:szCs w:val="22"/>
              </w:rPr>
            </w:pPr>
            <w:r w:rsidRPr="00285E8F">
              <w:rPr>
                <w:b/>
                <w:bCs/>
              </w:rPr>
              <w:t>1</w:t>
            </w:r>
            <w:r w:rsidR="00517F15">
              <w:rPr>
                <w:b/>
                <w:bCs/>
              </w:rPr>
              <w:t>,</w:t>
            </w:r>
            <w:r w:rsidRPr="00285E8F">
              <w:rPr>
                <w:b/>
                <w:bCs/>
              </w:rPr>
              <w:t>008</w:t>
            </w:r>
          </w:p>
        </w:tc>
        <w:tc>
          <w:tcPr>
            <w:tcW w:w="1428" w:type="dxa"/>
            <w:tcBorders>
              <w:left w:val="single" w:sz="4" w:space="0" w:color="auto"/>
              <w:right w:val="single" w:sz="4" w:space="0" w:color="auto"/>
            </w:tcBorders>
            <w:shd w:val="clear" w:color="auto" w:fill="D9D9D9" w:themeFill="background1" w:themeFillShade="D9"/>
            <w:vAlign w:val="center"/>
          </w:tcPr>
          <w:p w14:paraId="6922CECA" w14:textId="3E5D8416" w:rsidR="00FF6A54" w:rsidRPr="00A74C64" w:rsidRDefault="00FF6A54" w:rsidP="00E200E5">
            <w:pPr>
              <w:spacing w:after="0" w:line="240" w:lineRule="auto"/>
              <w:jc w:val="right"/>
              <w:rPr>
                <w:rFonts w:ascii="Calibri" w:hAnsi="Calibri"/>
                <w:b/>
                <w:bCs/>
                <w:color w:val="000000"/>
                <w:sz w:val="22"/>
                <w:szCs w:val="22"/>
              </w:rPr>
            </w:pPr>
            <w:r w:rsidRPr="00285E8F">
              <w:rPr>
                <w:b/>
                <w:bCs/>
              </w:rPr>
              <w:t>88</w:t>
            </w:r>
            <w:r w:rsidR="00517F15">
              <w:rPr>
                <w:b/>
                <w:bCs/>
              </w:rPr>
              <w:t>,</w:t>
            </w:r>
            <w:r w:rsidRPr="00285E8F">
              <w:rPr>
                <w:b/>
                <w:bCs/>
              </w:rPr>
              <w:t>054</w:t>
            </w:r>
          </w:p>
        </w:tc>
        <w:tc>
          <w:tcPr>
            <w:tcW w:w="1162" w:type="dxa"/>
            <w:tcBorders>
              <w:left w:val="single" w:sz="4" w:space="0" w:color="auto"/>
            </w:tcBorders>
            <w:shd w:val="clear" w:color="auto" w:fill="D9D9D9" w:themeFill="background1" w:themeFillShade="D9"/>
            <w:vAlign w:val="center"/>
          </w:tcPr>
          <w:p w14:paraId="77641AE8" w14:textId="0DDF2E73" w:rsidR="00FF6A54" w:rsidRPr="00A74C64" w:rsidRDefault="00FF6A54" w:rsidP="00E200E5">
            <w:pPr>
              <w:spacing w:after="0" w:line="240" w:lineRule="auto"/>
              <w:jc w:val="right"/>
              <w:rPr>
                <w:rFonts w:ascii="Calibri" w:hAnsi="Calibri"/>
                <w:b/>
                <w:bCs/>
                <w:color w:val="000000"/>
                <w:sz w:val="22"/>
                <w:szCs w:val="22"/>
              </w:rPr>
            </w:pPr>
            <w:r w:rsidRPr="00285E8F">
              <w:rPr>
                <w:b/>
                <w:bCs/>
              </w:rPr>
              <w:t>82</w:t>
            </w:r>
          </w:p>
        </w:tc>
      </w:tr>
    </w:tbl>
    <w:p w14:paraId="1E3C3AB5" w14:textId="408AD4DF" w:rsidR="00E774AC" w:rsidRDefault="00E774AC" w:rsidP="00E774AC">
      <w:pPr>
        <w:pStyle w:val="Paragraph"/>
        <w:rPr>
          <w:szCs w:val="20"/>
        </w:rPr>
      </w:pPr>
      <w:r w:rsidRPr="006F4B63">
        <w:rPr>
          <w:i/>
          <w:sz w:val="16"/>
          <w:szCs w:val="16"/>
        </w:rPr>
        <w:t xml:space="preserve">Data taken from </w:t>
      </w:r>
      <w:hyperlink r:id="rId75"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Pr>
          <w:i/>
          <w:sz w:val="16"/>
          <w:szCs w:val="16"/>
        </w:rPr>
        <w:t>2</w:t>
      </w:r>
      <w:r w:rsidRPr="006F4B63">
        <w:rPr>
          <w:i/>
          <w:sz w:val="16"/>
          <w:szCs w:val="16"/>
        </w:rPr>
        <w:t xml:space="preserve"> </w:t>
      </w:r>
      <w:r>
        <w:rPr>
          <w:i/>
          <w:sz w:val="16"/>
          <w:szCs w:val="16"/>
        </w:rPr>
        <w:t>August</w:t>
      </w:r>
      <w:r w:rsidRPr="006F4B63">
        <w:rPr>
          <w:i/>
          <w:sz w:val="16"/>
          <w:szCs w:val="16"/>
        </w:rPr>
        <w:t xml:space="preserve"> 20</w:t>
      </w:r>
      <w:r>
        <w:rPr>
          <w:i/>
          <w:sz w:val="16"/>
          <w:szCs w:val="16"/>
        </w:rPr>
        <w:t>21</w:t>
      </w:r>
      <w:r w:rsidR="00517F15">
        <w:rPr>
          <w:i/>
          <w:sz w:val="16"/>
          <w:szCs w:val="16"/>
        </w:rPr>
        <w:t>.</w:t>
      </w:r>
    </w:p>
    <w:p w14:paraId="6B8BBBE2" w14:textId="6D4AA2CE" w:rsidR="00FF6A54" w:rsidRDefault="00FF6A54" w:rsidP="00285E8F">
      <w:pPr>
        <w:pStyle w:val="Paragraph"/>
        <w:rPr>
          <w:b/>
          <w:bCs/>
          <w:color w:val="323232"/>
          <w:szCs w:val="20"/>
        </w:rPr>
      </w:pPr>
      <w:r>
        <w:t xml:space="preserve">Table 5 provides </w:t>
      </w:r>
      <w:r w:rsidR="00FC3F76">
        <w:t>an analysis</w:t>
      </w:r>
      <w:r>
        <w:t xml:space="preserve"> of the spectrum licensees in </w:t>
      </w:r>
      <w:r w:rsidR="008736E8">
        <w:t xml:space="preserve">the </w:t>
      </w:r>
      <w:hyperlink r:id="rId76" w:history="1">
        <w:r w:rsidR="002225B0" w:rsidRPr="002D40B9">
          <w:rPr>
            <w:rStyle w:val="Hyperlink"/>
          </w:rPr>
          <w:t>2 GHz spectrum licensed band</w:t>
        </w:r>
      </w:hyperlink>
      <w:r>
        <w:t xml:space="preserve">. There is a total of </w:t>
      </w:r>
      <w:r w:rsidR="004F1F50">
        <w:t>110</w:t>
      </w:r>
      <w:r w:rsidR="00E013FC">
        <w:t>,</w:t>
      </w:r>
      <w:r w:rsidR="004A348C">
        <w:t>125</w:t>
      </w:r>
      <w:r>
        <w:t xml:space="preserve"> assignments, with </w:t>
      </w:r>
      <w:r w:rsidR="004F1F50">
        <w:t>2</w:t>
      </w:r>
      <w:r w:rsidR="002152E6">
        <w:t>,</w:t>
      </w:r>
      <w:r w:rsidR="004F1F50">
        <w:t>377</w:t>
      </w:r>
      <w:r>
        <w:t xml:space="preserve"> assignments having </w:t>
      </w:r>
      <w:r w:rsidR="00C23590" w:rsidRPr="00C23590">
        <w:t xml:space="preserve">the </w:t>
      </w:r>
      <w:r w:rsidR="00C23590">
        <w:t>lower</w:t>
      </w:r>
      <w:r w:rsidR="00C23590" w:rsidRPr="00C23590">
        <w:t xml:space="preserve"> edge of the channel bandwidth aligning with </w:t>
      </w:r>
      <w:r>
        <w:t>the 1</w:t>
      </w:r>
      <w:r w:rsidR="004F1F50">
        <w:t>92</w:t>
      </w:r>
      <w:r>
        <w:t xml:space="preserve">0 MHz boundary. As the </w:t>
      </w:r>
      <w:r w:rsidR="004F1F50">
        <w:t>lower</w:t>
      </w:r>
      <w:r>
        <w:t xml:space="preserve"> part of the band is </w:t>
      </w:r>
      <w:r w:rsidR="009B4852">
        <w:t>used for</w:t>
      </w:r>
      <w:r>
        <w:t xml:space="preserve"> base </w:t>
      </w:r>
      <w:r w:rsidR="004F1F50">
        <w:t>receive</w:t>
      </w:r>
      <w:r>
        <w:t xml:space="preserve">, the majority of the assignments are </w:t>
      </w:r>
      <w:r w:rsidR="002225B0">
        <w:t xml:space="preserve">for use by radiocommunications </w:t>
      </w:r>
      <w:r w:rsidR="004F1F50">
        <w:t>receivers</w:t>
      </w:r>
      <w:r w:rsidR="002E3389">
        <w:t>.</w:t>
      </w:r>
    </w:p>
    <w:p w14:paraId="69BCE8EA" w14:textId="3742D78E" w:rsidR="00E774AC" w:rsidRDefault="00E774AC" w:rsidP="00A85750">
      <w:pPr>
        <w:pStyle w:val="Tableheading"/>
        <w:keepLines/>
      </w:pPr>
      <w:r>
        <w:lastRenderedPageBreak/>
        <w:t xml:space="preserve">Number of spectrum-licensed </w:t>
      </w:r>
      <w:r w:rsidR="003E634D">
        <w:t xml:space="preserve">assignments </w:t>
      </w:r>
      <w:r>
        <w:t>between 1920–1980 MHz</w:t>
      </w:r>
    </w:p>
    <w:tbl>
      <w:tblPr>
        <w:tblW w:w="7903" w:type="dxa"/>
        <w:tblBorders>
          <w:top w:val="single" w:sz="4" w:space="0" w:color="auto"/>
          <w:bottom w:val="single" w:sz="4" w:space="0" w:color="auto"/>
          <w:insideH w:val="single" w:sz="4" w:space="0" w:color="auto"/>
        </w:tblBorders>
        <w:tblCellMar>
          <w:top w:w="85" w:type="dxa"/>
          <w:bottom w:w="85" w:type="dxa"/>
        </w:tblCellMar>
        <w:tblLook w:val="07E0" w:firstRow="1" w:lastRow="1" w:firstColumn="1" w:lastColumn="1" w:noHBand="1" w:noVBand="1"/>
        <w:tblCaption w:val="Table title to go here"/>
        <w:tblDescription w:val="Table description to go here"/>
      </w:tblPr>
      <w:tblGrid>
        <w:gridCol w:w="2583"/>
        <w:gridCol w:w="1255"/>
        <w:gridCol w:w="1397"/>
        <w:gridCol w:w="1428"/>
        <w:gridCol w:w="1240"/>
      </w:tblGrid>
      <w:tr w:rsidR="009A1022" w:rsidRPr="006D46E5" w14:paraId="0C9D4DA0" w14:textId="77777777" w:rsidTr="009A1022">
        <w:tc>
          <w:tcPr>
            <w:tcW w:w="2583" w:type="dxa"/>
            <w:vMerge w:val="restart"/>
            <w:shd w:val="clear" w:color="auto" w:fill="404040" w:themeFill="text1" w:themeFillTint="BF"/>
            <w:vAlign w:val="center"/>
          </w:tcPr>
          <w:p w14:paraId="0F40425C" w14:textId="762ACA16" w:rsidR="009A1022" w:rsidRPr="00DF4A94" w:rsidRDefault="009A1022" w:rsidP="00A85750">
            <w:pPr>
              <w:pStyle w:val="TableHeading0"/>
              <w:keepNext/>
              <w:keepLines/>
              <w:rPr>
                <w:color w:val="FFFFFF" w:themeColor="background1"/>
              </w:rPr>
            </w:pPr>
            <w:r>
              <w:rPr>
                <w:color w:val="FFFFFF" w:themeColor="background1"/>
              </w:rPr>
              <w:t>Licensee</w:t>
            </w:r>
          </w:p>
        </w:tc>
        <w:tc>
          <w:tcPr>
            <w:tcW w:w="5320" w:type="dxa"/>
            <w:gridSpan w:val="4"/>
            <w:shd w:val="clear" w:color="auto" w:fill="404040" w:themeFill="text1" w:themeFillTint="BF"/>
            <w:vAlign w:val="center"/>
          </w:tcPr>
          <w:p w14:paraId="2F3E85BC" w14:textId="351122F3" w:rsidR="009A1022" w:rsidRPr="00DF4A94" w:rsidRDefault="009A1022" w:rsidP="00A85750">
            <w:pPr>
              <w:pStyle w:val="TableHeading0"/>
              <w:keepNext/>
              <w:keepLines/>
              <w:jc w:val="center"/>
              <w:rPr>
                <w:color w:val="FFFFFF" w:themeColor="background1"/>
              </w:rPr>
            </w:pPr>
            <w:r>
              <w:rPr>
                <w:color w:val="FFFFFF" w:themeColor="background1"/>
              </w:rPr>
              <w:t>Number of assignments</w:t>
            </w:r>
          </w:p>
        </w:tc>
      </w:tr>
      <w:tr w:rsidR="009A1022" w:rsidRPr="006D46E5" w14:paraId="4912234A" w14:textId="77777777" w:rsidTr="009A1022">
        <w:tc>
          <w:tcPr>
            <w:tcW w:w="2583" w:type="dxa"/>
            <w:vMerge/>
            <w:shd w:val="clear" w:color="auto" w:fill="404040" w:themeFill="text1" w:themeFillTint="BF"/>
            <w:vAlign w:val="center"/>
          </w:tcPr>
          <w:p w14:paraId="09B79BD1" w14:textId="77777777" w:rsidR="009A1022" w:rsidRPr="00DF4A94" w:rsidRDefault="009A1022" w:rsidP="00A85750">
            <w:pPr>
              <w:pStyle w:val="TableHeading0"/>
              <w:keepNext/>
              <w:keepLines/>
              <w:rPr>
                <w:color w:val="FFFFFF" w:themeColor="background1"/>
              </w:rPr>
            </w:pPr>
          </w:p>
        </w:tc>
        <w:tc>
          <w:tcPr>
            <w:tcW w:w="1255" w:type="dxa"/>
            <w:tcBorders>
              <w:bottom w:val="single" w:sz="4" w:space="0" w:color="auto"/>
            </w:tcBorders>
            <w:shd w:val="clear" w:color="auto" w:fill="404040" w:themeFill="text1" w:themeFillTint="BF"/>
            <w:vAlign w:val="center"/>
          </w:tcPr>
          <w:p w14:paraId="63E1463D" w14:textId="0D89E935" w:rsidR="009A1022" w:rsidRPr="00DF4A94" w:rsidRDefault="009A1022" w:rsidP="00A85750">
            <w:pPr>
              <w:pStyle w:val="TableHeading0"/>
              <w:keepNext/>
              <w:keepLines/>
              <w:jc w:val="right"/>
              <w:rPr>
                <w:color w:val="FFFFFF" w:themeColor="background1"/>
              </w:rPr>
            </w:pPr>
            <w:r>
              <w:rPr>
                <w:color w:val="FFFFFF" w:themeColor="background1"/>
              </w:rPr>
              <w:t>Total</w:t>
            </w:r>
          </w:p>
        </w:tc>
        <w:tc>
          <w:tcPr>
            <w:tcW w:w="1397" w:type="dxa"/>
            <w:tcBorders>
              <w:bottom w:val="single" w:sz="4" w:space="0" w:color="auto"/>
            </w:tcBorders>
            <w:shd w:val="clear" w:color="auto" w:fill="404040" w:themeFill="text1" w:themeFillTint="BF"/>
          </w:tcPr>
          <w:p w14:paraId="61B6E5D7" w14:textId="5C78C31E" w:rsidR="009A1022" w:rsidRDefault="009A1022" w:rsidP="00A85750">
            <w:pPr>
              <w:pStyle w:val="TableHeading0"/>
              <w:keepNext/>
              <w:keepLines/>
              <w:jc w:val="right"/>
              <w:rPr>
                <w:color w:val="FFFFFF" w:themeColor="background1"/>
              </w:rPr>
            </w:pPr>
            <w:r>
              <w:rPr>
                <w:color w:val="FFFFFF" w:themeColor="background1"/>
              </w:rPr>
              <w:t>Directly adjacent</w:t>
            </w:r>
          </w:p>
        </w:tc>
        <w:tc>
          <w:tcPr>
            <w:tcW w:w="1428" w:type="dxa"/>
            <w:tcBorders>
              <w:bottom w:val="single" w:sz="4" w:space="0" w:color="auto"/>
            </w:tcBorders>
            <w:shd w:val="clear" w:color="auto" w:fill="404040" w:themeFill="text1" w:themeFillTint="BF"/>
            <w:vAlign w:val="center"/>
          </w:tcPr>
          <w:p w14:paraId="54507D88" w14:textId="4F0F693A" w:rsidR="009A1022" w:rsidRPr="00DF4A94" w:rsidRDefault="009A1022" w:rsidP="00A85750">
            <w:pPr>
              <w:pStyle w:val="TableHeading0"/>
              <w:keepNext/>
              <w:keepLines/>
              <w:jc w:val="right"/>
              <w:rPr>
                <w:color w:val="FFFFFF" w:themeColor="background1"/>
              </w:rPr>
            </w:pPr>
            <w:r>
              <w:rPr>
                <w:color w:val="FFFFFF" w:themeColor="background1"/>
              </w:rPr>
              <w:t>Transmitters</w:t>
            </w:r>
          </w:p>
        </w:tc>
        <w:tc>
          <w:tcPr>
            <w:tcW w:w="1240" w:type="dxa"/>
            <w:tcBorders>
              <w:bottom w:val="single" w:sz="4" w:space="0" w:color="auto"/>
            </w:tcBorders>
            <w:shd w:val="clear" w:color="auto" w:fill="404040" w:themeFill="text1" w:themeFillTint="BF"/>
            <w:vAlign w:val="center"/>
          </w:tcPr>
          <w:p w14:paraId="2EECAF69" w14:textId="4734F379" w:rsidR="009A1022" w:rsidRPr="00DF4A94" w:rsidRDefault="009A1022" w:rsidP="00A85750">
            <w:pPr>
              <w:pStyle w:val="TableHeading0"/>
              <w:keepNext/>
              <w:keepLines/>
              <w:jc w:val="right"/>
              <w:rPr>
                <w:color w:val="FFFFFF" w:themeColor="background1"/>
              </w:rPr>
            </w:pPr>
            <w:r>
              <w:rPr>
                <w:color w:val="FFFFFF" w:themeColor="background1"/>
              </w:rPr>
              <w:t>Receivers</w:t>
            </w:r>
          </w:p>
        </w:tc>
      </w:tr>
      <w:tr w:rsidR="00F97422" w:rsidRPr="006D46E5" w14:paraId="0B25E866" w14:textId="77777777" w:rsidTr="009A1022">
        <w:tc>
          <w:tcPr>
            <w:tcW w:w="2583" w:type="dxa"/>
            <w:tcBorders>
              <w:bottom w:val="single" w:sz="4" w:space="0" w:color="auto"/>
              <w:right w:val="single" w:sz="4" w:space="0" w:color="auto"/>
            </w:tcBorders>
            <w:vAlign w:val="center"/>
          </w:tcPr>
          <w:p w14:paraId="57E0A70C" w14:textId="111D2860" w:rsidR="00E774AC" w:rsidRPr="00E72A92" w:rsidRDefault="00E774AC" w:rsidP="00A85750">
            <w:pPr>
              <w:keepNext/>
              <w:keepLines/>
              <w:spacing w:after="0" w:line="240" w:lineRule="auto"/>
              <w:rPr>
                <w:rFonts w:ascii="Calibri" w:hAnsi="Calibri"/>
                <w:color w:val="000000"/>
                <w:sz w:val="22"/>
                <w:szCs w:val="22"/>
              </w:rPr>
            </w:pPr>
            <w:r w:rsidRPr="004B7130">
              <w:t>Optus Mobile Pty Limited</w:t>
            </w:r>
          </w:p>
        </w:tc>
        <w:tc>
          <w:tcPr>
            <w:tcW w:w="1255" w:type="dxa"/>
            <w:tcBorders>
              <w:left w:val="single" w:sz="4" w:space="0" w:color="auto"/>
              <w:bottom w:val="single" w:sz="4" w:space="0" w:color="auto"/>
              <w:right w:val="single" w:sz="4" w:space="0" w:color="auto"/>
            </w:tcBorders>
            <w:vAlign w:val="center"/>
          </w:tcPr>
          <w:p w14:paraId="6075570B" w14:textId="682BCA69" w:rsidR="00E774AC" w:rsidRPr="00E72A92" w:rsidRDefault="00E774AC" w:rsidP="00A85750">
            <w:pPr>
              <w:keepNext/>
              <w:keepLines/>
              <w:spacing w:after="0" w:line="240" w:lineRule="auto"/>
              <w:jc w:val="right"/>
              <w:rPr>
                <w:rFonts w:ascii="Calibri" w:hAnsi="Calibri"/>
                <w:color w:val="000000"/>
                <w:sz w:val="22"/>
                <w:szCs w:val="22"/>
              </w:rPr>
            </w:pPr>
            <w:r w:rsidRPr="006238EA">
              <w:t>27</w:t>
            </w:r>
            <w:r w:rsidR="002152E6">
              <w:t>,</w:t>
            </w:r>
            <w:r w:rsidRPr="006238EA">
              <w:t>636</w:t>
            </w:r>
          </w:p>
        </w:tc>
        <w:tc>
          <w:tcPr>
            <w:tcW w:w="1397" w:type="dxa"/>
            <w:tcBorders>
              <w:left w:val="single" w:sz="4" w:space="0" w:color="auto"/>
              <w:bottom w:val="single" w:sz="4" w:space="0" w:color="auto"/>
              <w:right w:val="single" w:sz="4" w:space="0" w:color="auto"/>
            </w:tcBorders>
            <w:vAlign w:val="center"/>
          </w:tcPr>
          <w:p w14:paraId="74F3DE61" w14:textId="5175A39A" w:rsidR="00E774AC" w:rsidRPr="00E72A92" w:rsidRDefault="00E774AC" w:rsidP="00A85750">
            <w:pPr>
              <w:keepNext/>
              <w:keepLines/>
              <w:spacing w:after="0" w:line="240" w:lineRule="auto"/>
              <w:jc w:val="right"/>
              <w:rPr>
                <w:rFonts w:ascii="Calibri" w:hAnsi="Calibri"/>
                <w:color w:val="000000"/>
                <w:sz w:val="22"/>
                <w:szCs w:val="22"/>
              </w:rPr>
            </w:pPr>
            <w:r w:rsidRPr="006238EA">
              <w:t>0</w:t>
            </w:r>
          </w:p>
        </w:tc>
        <w:tc>
          <w:tcPr>
            <w:tcW w:w="1428" w:type="dxa"/>
            <w:tcBorders>
              <w:left w:val="single" w:sz="4" w:space="0" w:color="auto"/>
              <w:bottom w:val="single" w:sz="4" w:space="0" w:color="auto"/>
              <w:right w:val="single" w:sz="4" w:space="0" w:color="auto"/>
            </w:tcBorders>
            <w:vAlign w:val="center"/>
          </w:tcPr>
          <w:p w14:paraId="1099191D" w14:textId="10207864" w:rsidR="00E774AC" w:rsidRPr="00E72A92" w:rsidRDefault="00E774AC" w:rsidP="00A85750">
            <w:pPr>
              <w:keepNext/>
              <w:keepLines/>
              <w:spacing w:after="0" w:line="240" w:lineRule="auto"/>
              <w:jc w:val="right"/>
              <w:rPr>
                <w:rFonts w:ascii="Calibri" w:hAnsi="Calibri"/>
                <w:color w:val="000000"/>
                <w:sz w:val="22"/>
                <w:szCs w:val="22"/>
              </w:rPr>
            </w:pPr>
            <w:r w:rsidRPr="00E76288">
              <w:t>114</w:t>
            </w:r>
          </w:p>
        </w:tc>
        <w:tc>
          <w:tcPr>
            <w:tcW w:w="1240" w:type="dxa"/>
            <w:tcBorders>
              <w:left w:val="single" w:sz="4" w:space="0" w:color="auto"/>
              <w:bottom w:val="single" w:sz="4" w:space="0" w:color="auto"/>
            </w:tcBorders>
            <w:vAlign w:val="center"/>
          </w:tcPr>
          <w:p w14:paraId="5C653863" w14:textId="44AF672E" w:rsidR="00E774AC" w:rsidRPr="00E72A92" w:rsidRDefault="00E774AC" w:rsidP="00A85750">
            <w:pPr>
              <w:keepNext/>
              <w:keepLines/>
              <w:spacing w:after="0" w:line="240" w:lineRule="auto"/>
              <w:jc w:val="right"/>
              <w:rPr>
                <w:rFonts w:ascii="Calibri" w:hAnsi="Calibri"/>
                <w:color w:val="000000"/>
                <w:sz w:val="22"/>
                <w:szCs w:val="22"/>
              </w:rPr>
            </w:pPr>
            <w:r w:rsidRPr="00FF1255">
              <w:t>27</w:t>
            </w:r>
            <w:r w:rsidR="002152E6">
              <w:t>,</w:t>
            </w:r>
            <w:r w:rsidRPr="00FF1255">
              <w:t>522</w:t>
            </w:r>
          </w:p>
        </w:tc>
      </w:tr>
      <w:tr w:rsidR="007411F2" w:rsidRPr="006D46E5" w14:paraId="685EE1BA" w14:textId="77777777" w:rsidTr="009A1022">
        <w:tc>
          <w:tcPr>
            <w:tcW w:w="2583" w:type="dxa"/>
            <w:tcBorders>
              <w:right w:val="single" w:sz="4" w:space="0" w:color="auto"/>
            </w:tcBorders>
            <w:shd w:val="clear" w:color="auto" w:fill="F2F2F2" w:themeFill="background1" w:themeFillShade="F2"/>
            <w:vAlign w:val="center"/>
          </w:tcPr>
          <w:p w14:paraId="20A8BD1E" w14:textId="490EC3F1" w:rsidR="00E774AC" w:rsidRPr="00E72A92" w:rsidRDefault="00E774AC" w:rsidP="00A85750">
            <w:pPr>
              <w:keepNext/>
              <w:keepLines/>
              <w:spacing w:after="0" w:line="240" w:lineRule="auto"/>
              <w:rPr>
                <w:rFonts w:ascii="Calibri" w:hAnsi="Calibri"/>
                <w:color w:val="000000"/>
                <w:sz w:val="22"/>
                <w:szCs w:val="22"/>
              </w:rPr>
            </w:pPr>
            <w:r w:rsidRPr="004B7130">
              <w:t>Telstra 3G Spectrum Holdings Pty Ltd</w:t>
            </w:r>
          </w:p>
        </w:tc>
        <w:tc>
          <w:tcPr>
            <w:tcW w:w="1255" w:type="dxa"/>
            <w:tcBorders>
              <w:left w:val="single" w:sz="4" w:space="0" w:color="auto"/>
              <w:right w:val="single" w:sz="4" w:space="0" w:color="auto"/>
            </w:tcBorders>
            <w:shd w:val="clear" w:color="auto" w:fill="F2F2F2" w:themeFill="background1" w:themeFillShade="F2"/>
            <w:vAlign w:val="center"/>
          </w:tcPr>
          <w:p w14:paraId="046BF7ED" w14:textId="76B7447A" w:rsidR="00E774AC" w:rsidRPr="00E72A92" w:rsidRDefault="00E774AC" w:rsidP="00A85750">
            <w:pPr>
              <w:keepNext/>
              <w:keepLines/>
              <w:spacing w:after="0" w:line="240" w:lineRule="auto"/>
              <w:jc w:val="right"/>
              <w:rPr>
                <w:rFonts w:ascii="Calibri" w:hAnsi="Calibri"/>
                <w:color w:val="000000"/>
                <w:sz w:val="22"/>
                <w:szCs w:val="22"/>
              </w:rPr>
            </w:pPr>
            <w:r w:rsidRPr="006238EA">
              <w:t>31</w:t>
            </w:r>
            <w:r w:rsidR="002152E6">
              <w:t>,</w:t>
            </w:r>
            <w:r w:rsidRPr="006238EA">
              <w:t>080</w:t>
            </w:r>
          </w:p>
        </w:tc>
        <w:tc>
          <w:tcPr>
            <w:tcW w:w="1397" w:type="dxa"/>
            <w:tcBorders>
              <w:left w:val="single" w:sz="4" w:space="0" w:color="auto"/>
              <w:right w:val="single" w:sz="4" w:space="0" w:color="auto"/>
            </w:tcBorders>
            <w:shd w:val="clear" w:color="auto" w:fill="F2F2F2" w:themeFill="background1" w:themeFillShade="F2"/>
            <w:vAlign w:val="center"/>
          </w:tcPr>
          <w:p w14:paraId="65EA459C" w14:textId="4D6C23FC" w:rsidR="00E774AC" w:rsidRDefault="00E774AC" w:rsidP="00A85750">
            <w:pPr>
              <w:keepNext/>
              <w:keepLines/>
              <w:spacing w:after="0" w:line="240" w:lineRule="auto"/>
              <w:jc w:val="right"/>
              <w:rPr>
                <w:rFonts w:ascii="Calibri" w:hAnsi="Calibri"/>
                <w:color w:val="000000"/>
                <w:sz w:val="22"/>
                <w:szCs w:val="22"/>
              </w:rPr>
            </w:pPr>
            <w:r w:rsidRPr="006238EA">
              <w:t>25</w:t>
            </w:r>
          </w:p>
        </w:tc>
        <w:tc>
          <w:tcPr>
            <w:tcW w:w="1428" w:type="dxa"/>
            <w:tcBorders>
              <w:left w:val="single" w:sz="4" w:space="0" w:color="auto"/>
              <w:right w:val="single" w:sz="4" w:space="0" w:color="auto"/>
            </w:tcBorders>
            <w:shd w:val="clear" w:color="auto" w:fill="F2F2F2" w:themeFill="background1" w:themeFillShade="F2"/>
            <w:vAlign w:val="center"/>
          </w:tcPr>
          <w:p w14:paraId="3D12F246" w14:textId="3D9D553A" w:rsidR="00E774AC" w:rsidRPr="00E72A92" w:rsidRDefault="00E774AC" w:rsidP="00A85750">
            <w:pPr>
              <w:keepNext/>
              <w:keepLines/>
              <w:spacing w:after="0" w:line="240" w:lineRule="auto"/>
              <w:jc w:val="right"/>
              <w:rPr>
                <w:rFonts w:ascii="Calibri" w:hAnsi="Calibri"/>
                <w:color w:val="000000"/>
                <w:sz w:val="22"/>
                <w:szCs w:val="22"/>
              </w:rPr>
            </w:pPr>
            <w:r w:rsidRPr="00E76288">
              <w:t>0</w:t>
            </w:r>
          </w:p>
        </w:tc>
        <w:tc>
          <w:tcPr>
            <w:tcW w:w="1240" w:type="dxa"/>
            <w:tcBorders>
              <w:left w:val="single" w:sz="4" w:space="0" w:color="auto"/>
            </w:tcBorders>
            <w:shd w:val="clear" w:color="auto" w:fill="F2F2F2" w:themeFill="background1" w:themeFillShade="F2"/>
            <w:vAlign w:val="center"/>
          </w:tcPr>
          <w:p w14:paraId="1AE54398" w14:textId="3B57C56E" w:rsidR="00E774AC" w:rsidRPr="00E72A92" w:rsidRDefault="00E774AC" w:rsidP="00A85750">
            <w:pPr>
              <w:keepNext/>
              <w:keepLines/>
              <w:spacing w:after="0" w:line="240" w:lineRule="auto"/>
              <w:jc w:val="right"/>
              <w:rPr>
                <w:rFonts w:ascii="Calibri" w:hAnsi="Calibri"/>
                <w:color w:val="000000"/>
                <w:sz w:val="22"/>
                <w:szCs w:val="22"/>
              </w:rPr>
            </w:pPr>
            <w:r w:rsidRPr="00FF1255">
              <w:t>31</w:t>
            </w:r>
            <w:r w:rsidR="002152E6">
              <w:t>,</w:t>
            </w:r>
            <w:r w:rsidRPr="00FF1255">
              <w:t>081</w:t>
            </w:r>
          </w:p>
        </w:tc>
      </w:tr>
      <w:tr w:rsidR="00E774AC" w:rsidRPr="006D46E5" w14:paraId="5D9ABCC5" w14:textId="77777777" w:rsidTr="009A1022">
        <w:tc>
          <w:tcPr>
            <w:tcW w:w="2583" w:type="dxa"/>
            <w:tcBorders>
              <w:right w:val="single" w:sz="4" w:space="0" w:color="auto"/>
            </w:tcBorders>
            <w:shd w:val="clear" w:color="auto" w:fill="auto"/>
            <w:vAlign w:val="center"/>
          </w:tcPr>
          <w:p w14:paraId="1B068FAA" w14:textId="4AD8A409" w:rsidR="00E774AC" w:rsidRDefault="00E774AC" w:rsidP="00A85750">
            <w:pPr>
              <w:keepNext/>
              <w:keepLines/>
              <w:spacing w:after="0" w:line="240" w:lineRule="auto"/>
              <w:rPr>
                <w:rFonts w:ascii="Calibri" w:hAnsi="Calibri"/>
                <w:color w:val="000000"/>
                <w:sz w:val="22"/>
                <w:szCs w:val="22"/>
              </w:rPr>
            </w:pPr>
            <w:r w:rsidRPr="004B7130">
              <w:t>Telstra Corporation Limited</w:t>
            </w:r>
          </w:p>
        </w:tc>
        <w:tc>
          <w:tcPr>
            <w:tcW w:w="1255" w:type="dxa"/>
            <w:tcBorders>
              <w:left w:val="single" w:sz="4" w:space="0" w:color="auto"/>
              <w:right w:val="single" w:sz="4" w:space="0" w:color="auto"/>
            </w:tcBorders>
            <w:shd w:val="clear" w:color="auto" w:fill="auto"/>
            <w:vAlign w:val="center"/>
          </w:tcPr>
          <w:p w14:paraId="65C2203B" w14:textId="1108DC44" w:rsidR="00E774AC" w:rsidRDefault="00E774AC" w:rsidP="00A85750">
            <w:pPr>
              <w:keepNext/>
              <w:keepLines/>
              <w:spacing w:after="0" w:line="240" w:lineRule="auto"/>
              <w:jc w:val="right"/>
              <w:rPr>
                <w:rFonts w:ascii="Calibri" w:hAnsi="Calibri"/>
                <w:color w:val="000000"/>
                <w:sz w:val="22"/>
                <w:szCs w:val="22"/>
              </w:rPr>
            </w:pPr>
            <w:r w:rsidRPr="006238EA">
              <w:t>3</w:t>
            </w:r>
            <w:r w:rsidR="002152E6">
              <w:t>,</w:t>
            </w:r>
            <w:r w:rsidRPr="006238EA">
              <w:t>497</w:t>
            </w:r>
          </w:p>
        </w:tc>
        <w:tc>
          <w:tcPr>
            <w:tcW w:w="1397" w:type="dxa"/>
            <w:tcBorders>
              <w:left w:val="single" w:sz="4" w:space="0" w:color="auto"/>
              <w:right w:val="single" w:sz="4" w:space="0" w:color="auto"/>
            </w:tcBorders>
            <w:vAlign w:val="center"/>
          </w:tcPr>
          <w:p w14:paraId="5F8170D3" w14:textId="4F66220D" w:rsidR="00E774AC" w:rsidRDefault="00E774AC" w:rsidP="00A85750">
            <w:pPr>
              <w:keepNext/>
              <w:keepLines/>
              <w:spacing w:after="0" w:line="240" w:lineRule="auto"/>
              <w:jc w:val="right"/>
              <w:rPr>
                <w:rFonts w:ascii="Calibri" w:hAnsi="Calibri"/>
                <w:color w:val="000000"/>
                <w:sz w:val="22"/>
                <w:szCs w:val="22"/>
              </w:rPr>
            </w:pPr>
            <w:r w:rsidRPr="006238EA">
              <w:t>152</w:t>
            </w:r>
          </w:p>
        </w:tc>
        <w:tc>
          <w:tcPr>
            <w:tcW w:w="1428" w:type="dxa"/>
            <w:tcBorders>
              <w:left w:val="single" w:sz="4" w:space="0" w:color="auto"/>
              <w:right w:val="single" w:sz="4" w:space="0" w:color="auto"/>
            </w:tcBorders>
            <w:shd w:val="clear" w:color="auto" w:fill="auto"/>
            <w:vAlign w:val="center"/>
          </w:tcPr>
          <w:p w14:paraId="635B6F78" w14:textId="18E14EA5" w:rsidR="00E774AC" w:rsidRDefault="00E774AC" w:rsidP="00A85750">
            <w:pPr>
              <w:keepNext/>
              <w:keepLines/>
              <w:spacing w:after="0" w:line="240" w:lineRule="auto"/>
              <w:jc w:val="right"/>
              <w:rPr>
                <w:rFonts w:ascii="Calibri" w:hAnsi="Calibri"/>
                <w:color w:val="000000"/>
                <w:sz w:val="22"/>
                <w:szCs w:val="22"/>
              </w:rPr>
            </w:pPr>
            <w:r w:rsidRPr="00E76288">
              <w:t>0</w:t>
            </w:r>
          </w:p>
        </w:tc>
        <w:tc>
          <w:tcPr>
            <w:tcW w:w="1240" w:type="dxa"/>
            <w:tcBorders>
              <w:left w:val="single" w:sz="4" w:space="0" w:color="auto"/>
            </w:tcBorders>
            <w:shd w:val="clear" w:color="auto" w:fill="auto"/>
            <w:vAlign w:val="center"/>
          </w:tcPr>
          <w:p w14:paraId="45D027FC" w14:textId="472DCC41" w:rsidR="00E774AC" w:rsidRDefault="00E774AC" w:rsidP="00A85750">
            <w:pPr>
              <w:keepNext/>
              <w:keepLines/>
              <w:spacing w:after="0" w:line="240" w:lineRule="auto"/>
              <w:jc w:val="right"/>
              <w:rPr>
                <w:rFonts w:ascii="Calibri" w:hAnsi="Calibri"/>
                <w:color w:val="000000"/>
                <w:sz w:val="22"/>
                <w:szCs w:val="22"/>
              </w:rPr>
            </w:pPr>
            <w:r w:rsidRPr="00FF1255">
              <w:t>3</w:t>
            </w:r>
            <w:r w:rsidR="002152E6">
              <w:t>,</w:t>
            </w:r>
            <w:r w:rsidRPr="00FF1255">
              <w:t>495</w:t>
            </w:r>
          </w:p>
        </w:tc>
      </w:tr>
      <w:tr w:rsidR="007411F2" w:rsidRPr="006D46E5" w14:paraId="312FAA29" w14:textId="77777777" w:rsidTr="009A1022">
        <w:tc>
          <w:tcPr>
            <w:tcW w:w="2583" w:type="dxa"/>
            <w:tcBorders>
              <w:right w:val="single" w:sz="4" w:space="0" w:color="auto"/>
            </w:tcBorders>
            <w:shd w:val="clear" w:color="auto" w:fill="F2F2F2" w:themeFill="background1" w:themeFillShade="F2"/>
            <w:vAlign w:val="center"/>
          </w:tcPr>
          <w:p w14:paraId="1448C3AF" w14:textId="1E6B09A8" w:rsidR="00E774AC" w:rsidRDefault="00E774AC" w:rsidP="00A85750">
            <w:pPr>
              <w:keepNext/>
              <w:keepLines/>
              <w:spacing w:after="0" w:line="240" w:lineRule="auto"/>
              <w:rPr>
                <w:rFonts w:ascii="Calibri" w:hAnsi="Calibri"/>
                <w:color w:val="000000"/>
                <w:sz w:val="22"/>
                <w:szCs w:val="22"/>
              </w:rPr>
            </w:pPr>
            <w:r w:rsidRPr="004B7130">
              <w:t>Vodafone Australia Pty Limited</w:t>
            </w:r>
          </w:p>
        </w:tc>
        <w:tc>
          <w:tcPr>
            <w:tcW w:w="1255" w:type="dxa"/>
            <w:tcBorders>
              <w:left w:val="single" w:sz="4" w:space="0" w:color="auto"/>
              <w:right w:val="single" w:sz="4" w:space="0" w:color="auto"/>
            </w:tcBorders>
            <w:shd w:val="clear" w:color="auto" w:fill="F2F2F2" w:themeFill="background1" w:themeFillShade="F2"/>
            <w:vAlign w:val="center"/>
          </w:tcPr>
          <w:p w14:paraId="4687DC8D" w14:textId="40CF6E24" w:rsidR="00E774AC" w:rsidRDefault="00E774AC" w:rsidP="00A85750">
            <w:pPr>
              <w:keepNext/>
              <w:keepLines/>
              <w:spacing w:after="0" w:line="240" w:lineRule="auto"/>
              <w:jc w:val="right"/>
              <w:rPr>
                <w:rFonts w:ascii="Calibri" w:hAnsi="Calibri"/>
                <w:color w:val="000000"/>
                <w:sz w:val="22"/>
                <w:szCs w:val="22"/>
              </w:rPr>
            </w:pPr>
            <w:r w:rsidRPr="006238EA">
              <w:t>25</w:t>
            </w:r>
            <w:r w:rsidR="002152E6">
              <w:t>,</w:t>
            </w:r>
            <w:r w:rsidRPr="006238EA">
              <w:t>268</w:t>
            </w:r>
          </w:p>
        </w:tc>
        <w:tc>
          <w:tcPr>
            <w:tcW w:w="1397" w:type="dxa"/>
            <w:tcBorders>
              <w:left w:val="single" w:sz="4" w:space="0" w:color="auto"/>
              <w:right w:val="single" w:sz="4" w:space="0" w:color="auto"/>
            </w:tcBorders>
            <w:shd w:val="clear" w:color="auto" w:fill="F2F2F2" w:themeFill="background1" w:themeFillShade="F2"/>
            <w:vAlign w:val="center"/>
          </w:tcPr>
          <w:p w14:paraId="2EF551B2" w14:textId="32BFA515" w:rsidR="00E774AC" w:rsidRDefault="00E774AC" w:rsidP="00A85750">
            <w:pPr>
              <w:keepNext/>
              <w:keepLines/>
              <w:spacing w:after="0" w:line="240" w:lineRule="auto"/>
              <w:jc w:val="right"/>
              <w:rPr>
                <w:rFonts w:ascii="Calibri" w:hAnsi="Calibri"/>
                <w:color w:val="000000"/>
                <w:sz w:val="22"/>
                <w:szCs w:val="22"/>
              </w:rPr>
            </w:pPr>
            <w:r w:rsidRPr="006238EA">
              <w:t>0</w:t>
            </w:r>
          </w:p>
        </w:tc>
        <w:tc>
          <w:tcPr>
            <w:tcW w:w="1428" w:type="dxa"/>
            <w:tcBorders>
              <w:left w:val="single" w:sz="4" w:space="0" w:color="auto"/>
              <w:right w:val="single" w:sz="4" w:space="0" w:color="auto"/>
            </w:tcBorders>
            <w:shd w:val="clear" w:color="auto" w:fill="F2F2F2" w:themeFill="background1" w:themeFillShade="F2"/>
            <w:vAlign w:val="center"/>
          </w:tcPr>
          <w:p w14:paraId="6524EE1A" w14:textId="1A061306" w:rsidR="00E774AC" w:rsidRDefault="00E774AC" w:rsidP="00A85750">
            <w:pPr>
              <w:keepNext/>
              <w:keepLines/>
              <w:spacing w:after="0" w:line="240" w:lineRule="auto"/>
              <w:jc w:val="right"/>
              <w:rPr>
                <w:rFonts w:ascii="Calibri" w:hAnsi="Calibri"/>
                <w:color w:val="000000"/>
                <w:sz w:val="22"/>
                <w:szCs w:val="22"/>
              </w:rPr>
            </w:pPr>
            <w:r w:rsidRPr="00E76288">
              <w:t>0</w:t>
            </w:r>
          </w:p>
        </w:tc>
        <w:tc>
          <w:tcPr>
            <w:tcW w:w="1240" w:type="dxa"/>
            <w:tcBorders>
              <w:left w:val="single" w:sz="4" w:space="0" w:color="auto"/>
            </w:tcBorders>
            <w:shd w:val="clear" w:color="auto" w:fill="F2F2F2" w:themeFill="background1" w:themeFillShade="F2"/>
            <w:vAlign w:val="center"/>
          </w:tcPr>
          <w:p w14:paraId="54CF5654" w14:textId="4DFD883F" w:rsidR="00E774AC" w:rsidRDefault="00E774AC" w:rsidP="00A85750">
            <w:pPr>
              <w:keepNext/>
              <w:keepLines/>
              <w:spacing w:after="0" w:line="240" w:lineRule="auto"/>
              <w:jc w:val="right"/>
              <w:rPr>
                <w:rFonts w:ascii="Calibri" w:hAnsi="Calibri"/>
                <w:color w:val="000000"/>
                <w:sz w:val="22"/>
                <w:szCs w:val="22"/>
              </w:rPr>
            </w:pPr>
            <w:r w:rsidRPr="00FF1255">
              <w:t>25</w:t>
            </w:r>
            <w:r w:rsidR="002152E6">
              <w:t>,</w:t>
            </w:r>
            <w:r w:rsidRPr="00FF1255">
              <w:t>268</w:t>
            </w:r>
          </w:p>
        </w:tc>
      </w:tr>
      <w:tr w:rsidR="00F97422" w:rsidRPr="006D46E5" w14:paraId="5CD90175" w14:textId="77777777" w:rsidTr="009A1022">
        <w:tc>
          <w:tcPr>
            <w:tcW w:w="2583" w:type="dxa"/>
            <w:tcBorders>
              <w:bottom w:val="single" w:sz="4" w:space="0" w:color="auto"/>
              <w:right w:val="single" w:sz="4" w:space="0" w:color="auto"/>
            </w:tcBorders>
            <w:vAlign w:val="center"/>
          </w:tcPr>
          <w:p w14:paraId="0C9FB1FA" w14:textId="61BE1F23" w:rsidR="00E774AC" w:rsidRPr="00E72A92" w:rsidRDefault="00E774AC" w:rsidP="00A85750">
            <w:pPr>
              <w:keepNext/>
              <w:keepLines/>
              <w:spacing w:after="0" w:line="240" w:lineRule="auto"/>
              <w:rPr>
                <w:rFonts w:ascii="Calibri" w:hAnsi="Calibri"/>
                <w:color w:val="000000"/>
                <w:sz w:val="22"/>
                <w:szCs w:val="22"/>
              </w:rPr>
            </w:pPr>
            <w:r w:rsidRPr="004B7130">
              <w:t>Vodafone Hutchison Australia Pty Limited</w:t>
            </w:r>
          </w:p>
        </w:tc>
        <w:tc>
          <w:tcPr>
            <w:tcW w:w="1255" w:type="dxa"/>
            <w:tcBorders>
              <w:left w:val="single" w:sz="4" w:space="0" w:color="auto"/>
              <w:bottom w:val="single" w:sz="4" w:space="0" w:color="auto"/>
              <w:right w:val="single" w:sz="4" w:space="0" w:color="auto"/>
            </w:tcBorders>
            <w:vAlign w:val="center"/>
          </w:tcPr>
          <w:p w14:paraId="657B7772" w14:textId="0AB8E24D" w:rsidR="00E774AC" w:rsidRPr="00E72A92" w:rsidRDefault="00E774AC" w:rsidP="00A85750">
            <w:pPr>
              <w:keepNext/>
              <w:keepLines/>
              <w:spacing w:after="0" w:line="240" w:lineRule="auto"/>
              <w:jc w:val="right"/>
              <w:rPr>
                <w:rFonts w:ascii="Calibri" w:hAnsi="Calibri"/>
                <w:color w:val="000000"/>
                <w:sz w:val="22"/>
                <w:szCs w:val="22"/>
              </w:rPr>
            </w:pPr>
            <w:r w:rsidRPr="006238EA">
              <w:t>22</w:t>
            </w:r>
            <w:r w:rsidR="002152E6">
              <w:t>,</w:t>
            </w:r>
            <w:r w:rsidRPr="006238EA">
              <w:t>644</w:t>
            </w:r>
          </w:p>
        </w:tc>
        <w:tc>
          <w:tcPr>
            <w:tcW w:w="1397" w:type="dxa"/>
            <w:tcBorders>
              <w:left w:val="single" w:sz="4" w:space="0" w:color="auto"/>
              <w:bottom w:val="single" w:sz="4" w:space="0" w:color="auto"/>
              <w:right w:val="single" w:sz="4" w:space="0" w:color="auto"/>
            </w:tcBorders>
            <w:vAlign w:val="center"/>
          </w:tcPr>
          <w:p w14:paraId="4F83560F" w14:textId="4A417C19" w:rsidR="00E774AC" w:rsidRDefault="00E774AC" w:rsidP="00A85750">
            <w:pPr>
              <w:keepNext/>
              <w:keepLines/>
              <w:spacing w:after="0" w:line="240" w:lineRule="auto"/>
              <w:jc w:val="right"/>
              <w:rPr>
                <w:rFonts w:ascii="Calibri" w:hAnsi="Calibri"/>
                <w:color w:val="000000"/>
                <w:sz w:val="22"/>
                <w:szCs w:val="22"/>
              </w:rPr>
            </w:pPr>
            <w:r w:rsidRPr="006238EA">
              <w:t>2</w:t>
            </w:r>
            <w:r w:rsidR="002152E6">
              <w:t>,</w:t>
            </w:r>
            <w:r w:rsidRPr="006238EA">
              <w:t>200</w:t>
            </w:r>
          </w:p>
        </w:tc>
        <w:tc>
          <w:tcPr>
            <w:tcW w:w="1428" w:type="dxa"/>
            <w:tcBorders>
              <w:left w:val="single" w:sz="4" w:space="0" w:color="auto"/>
              <w:bottom w:val="single" w:sz="4" w:space="0" w:color="auto"/>
              <w:right w:val="single" w:sz="4" w:space="0" w:color="auto"/>
            </w:tcBorders>
            <w:vAlign w:val="center"/>
          </w:tcPr>
          <w:p w14:paraId="4CA23006" w14:textId="0F41948C" w:rsidR="00E774AC" w:rsidRPr="00E72A92" w:rsidRDefault="00E774AC" w:rsidP="00A85750">
            <w:pPr>
              <w:keepNext/>
              <w:keepLines/>
              <w:spacing w:after="0" w:line="240" w:lineRule="auto"/>
              <w:jc w:val="right"/>
              <w:rPr>
                <w:rFonts w:ascii="Calibri" w:hAnsi="Calibri"/>
                <w:color w:val="000000"/>
                <w:sz w:val="22"/>
                <w:szCs w:val="22"/>
              </w:rPr>
            </w:pPr>
            <w:r w:rsidRPr="00E76288">
              <w:t>0</w:t>
            </w:r>
          </w:p>
        </w:tc>
        <w:tc>
          <w:tcPr>
            <w:tcW w:w="1240" w:type="dxa"/>
            <w:tcBorders>
              <w:left w:val="single" w:sz="4" w:space="0" w:color="auto"/>
              <w:bottom w:val="single" w:sz="4" w:space="0" w:color="auto"/>
            </w:tcBorders>
            <w:vAlign w:val="center"/>
          </w:tcPr>
          <w:p w14:paraId="05192755" w14:textId="4921BD79" w:rsidR="00E774AC" w:rsidRPr="00E72A92" w:rsidRDefault="00E774AC" w:rsidP="00A85750">
            <w:pPr>
              <w:keepNext/>
              <w:keepLines/>
              <w:spacing w:after="0" w:line="240" w:lineRule="auto"/>
              <w:jc w:val="right"/>
              <w:rPr>
                <w:rFonts w:ascii="Calibri" w:hAnsi="Calibri"/>
                <w:color w:val="000000"/>
                <w:sz w:val="22"/>
                <w:szCs w:val="22"/>
              </w:rPr>
            </w:pPr>
            <w:r w:rsidRPr="00FF1255">
              <w:t>22</w:t>
            </w:r>
            <w:r w:rsidR="002152E6">
              <w:t>,</w:t>
            </w:r>
            <w:r w:rsidRPr="00FF1255">
              <w:t>644</w:t>
            </w:r>
          </w:p>
        </w:tc>
      </w:tr>
      <w:tr w:rsidR="007411F2" w:rsidRPr="006D46E5" w14:paraId="4FD7BA6D" w14:textId="77777777" w:rsidTr="009A1022">
        <w:tc>
          <w:tcPr>
            <w:tcW w:w="2583" w:type="dxa"/>
            <w:tcBorders>
              <w:right w:val="single" w:sz="4" w:space="0" w:color="auto"/>
            </w:tcBorders>
            <w:shd w:val="clear" w:color="auto" w:fill="D9D9D9" w:themeFill="background1" w:themeFillShade="D9"/>
            <w:vAlign w:val="center"/>
          </w:tcPr>
          <w:p w14:paraId="457EB7A0" w14:textId="77777777" w:rsidR="00E774AC" w:rsidRPr="00E774AC" w:rsidRDefault="00E774AC">
            <w:pPr>
              <w:spacing w:after="0" w:line="240" w:lineRule="auto"/>
              <w:rPr>
                <w:rFonts w:ascii="Calibri" w:hAnsi="Calibri"/>
                <w:b/>
                <w:color w:val="000000"/>
                <w:sz w:val="22"/>
                <w:szCs w:val="22"/>
              </w:rPr>
            </w:pPr>
            <w:r w:rsidRPr="00E774AC">
              <w:rPr>
                <w:rFonts w:ascii="Calibri" w:hAnsi="Calibri"/>
                <w:b/>
                <w:color w:val="000000"/>
                <w:sz w:val="22"/>
                <w:szCs w:val="22"/>
              </w:rPr>
              <w:t>Total</w:t>
            </w:r>
          </w:p>
        </w:tc>
        <w:tc>
          <w:tcPr>
            <w:tcW w:w="1255" w:type="dxa"/>
            <w:tcBorders>
              <w:left w:val="single" w:sz="4" w:space="0" w:color="auto"/>
              <w:right w:val="single" w:sz="4" w:space="0" w:color="auto"/>
            </w:tcBorders>
            <w:shd w:val="clear" w:color="auto" w:fill="D9D9D9" w:themeFill="background1" w:themeFillShade="D9"/>
            <w:vAlign w:val="center"/>
          </w:tcPr>
          <w:p w14:paraId="29575F3A" w14:textId="0E1DB000" w:rsidR="00E774AC" w:rsidRPr="00E774AC" w:rsidRDefault="00E774AC" w:rsidP="00E200E5">
            <w:pPr>
              <w:spacing w:after="0" w:line="240" w:lineRule="auto"/>
              <w:jc w:val="right"/>
              <w:rPr>
                <w:rFonts w:ascii="Calibri" w:hAnsi="Calibri"/>
                <w:b/>
                <w:color w:val="000000"/>
                <w:sz w:val="22"/>
                <w:szCs w:val="22"/>
              </w:rPr>
            </w:pPr>
            <w:r w:rsidRPr="00285E8F">
              <w:rPr>
                <w:b/>
              </w:rPr>
              <w:t>110</w:t>
            </w:r>
            <w:r w:rsidR="002152E6">
              <w:rPr>
                <w:b/>
              </w:rPr>
              <w:t>,</w:t>
            </w:r>
            <w:r w:rsidRPr="00285E8F">
              <w:rPr>
                <w:b/>
              </w:rPr>
              <w:t>125</w:t>
            </w:r>
          </w:p>
        </w:tc>
        <w:tc>
          <w:tcPr>
            <w:tcW w:w="1397" w:type="dxa"/>
            <w:tcBorders>
              <w:left w:val="single" w:sz="4" w:space="0" w:color="auto"/>
              <w:right w:val="single" w:sz="4" w:space="0" w:color="auto"/>
            </w:tcBorders>
            <w:shd w:val="clear" w:color="auto" w:fill="D9D9D9" w:themeFill="background1" w:themeFillShade="D9"/>
            <w:vAlign w:val="center"/>
          </w:tcPr>
          <w:p w14:paraId="7F3C414D" w14:textId="74F7821C" w:rsidR="00E774AC" w:rsidRPr="00E774AC" w:rsidRDefault="00E774AC" w:rsidP="00E200E5">
            <w:pPr>
              <w:spacing w:after="0" w:line="240" w:lineRule="auto"/>
              <w:jc w:val="right"/>
              <w:rPr>
                <w:rFonts w:ascii="Calibri" w:hAnsi="Calibri"/>
                <w:b/>
                <w:color w:val="000000"/>
                <w:sz w:val="22"/>
                <w:szCs w:val="22"/>
              </w:rPr>
            </w:pPr>
            <w:r w:rsidRPr="00285E8F">
              <w:rPr>
                <w:b/>
              </w:rPr>
              <w:t>2</w:t>
            </w:r>
            <w:r w:rsidR="002152E6">
              <w:rPr>
                <w:b/>
              </w:rPr>
              <w:t>,</w:t>
            </w:r>
            <w:r w:rsidRPr="00285E8F">
              <w:rPr>
                <w:b/>
              </w:rPr>
              <w:t>377</w:t>
            </w:r>
          </w:p>
        </w:tc>
        <w:tc>
          <w:tcPr>
            <w:tcW w:w="1428" w:type="dxa"/>
            <w:tcBorders>
              <w:left w:val="single" w:sz="4" w:space="0" w:color="auto"/>
              <w:right w:val="single" w:sz="4" w:space="0" w:color="auto"/>
            </w:tcBorders>
            <w:shd w:val="clear" w:color="auto" w:fill="D9D9D9" w:themeFill="background1" w:themeFillShade="D9"/>
            <w:vAlign w:val="center"/>
          </w:tcPr>
          <w:p w14:paraId="17ECEF57" w14:textId="46BD20FC" w:rsidR="00E774AC" w:rsidRPr="00E774AC" w:rsidRDefault="00E774AC" w:rsidP="00E200E5">
            <w:pPr>
              <w:spacing w:after="0" w:line="240" w:lineRule="auto"/>
              <w:jc w:val="right"/>
              <w:rPr>
                <w:rFonts w:ascii="Calibri" w:hAnsi="Calibri"/>
                <w:b/>
                <w:color w:val="000000"/>
                <w:sz w:val="22"/>
                <w:szCs w:val="22"/>
              </w:rPr>
            </w:pPr>
            <w:r w:rsidRPr="00285E8F">
              <w:rPr>
                <w:b/>
              </w:rPr>
              <w:t>114</w:t>
            </w:r>
          </w:p>
        </w:tc>
        <w:tc>
          <w:tcPr>
            <w:tcW w:w="1240" w:type="dxa"/>
            <w:tcBorders>
              <w:left w:val="single" w:sz="4" w:space="0" w:color="auto"/>
            </w:tcBorders>
            <w:shd w:val="clear" w:color="auto" w:fill="D9D9D9" w:themeFill="background1" w:themeFillShade="D9"/>
            <w:vAlign w:val="center"/>
          </w:tcPr>
          <w:p w14:paraId="77A6AA14" w14:textId="023EB17D" w:rsidR="00E774AC" w:rsidRPr="00E774AC" w:rsidRDefault="00E774AC" w:rsidP="00E200E5">
            <w:pPr>
              <w:spacing w:after="0" w:line="240" w:lineRule="auto"/>
              <w:jc w:val="right"/>
              <w:rPr>
                <w:rFonts w:ascii="Calibri" w:hAnsi="Calibri"/>
                <w:b/>
                <w:color w:val="000000"/>
                <w:sz w:val="22"/>
                <w:szCs w:val="22"/>
              </w:rPr>
            </w:pPr>
            <w:r w:rsidRPr="00285E8F">
              <w:rPr>
                <w:b/>
              </w:rPr>
              <w:t>110</w:t>
            </w:r>
            <w:r w:rsidR="002152E6">
              <w:rPr>
                <w:b/>
              </w:rPr>
              <w:t>,</w:t>
            </w:r>
            <w:r w:rsidRPr="00285E8F">
              <w:rPr>
                <w:b/>
              </w:rPr>
              <w:t>010</w:t>
            </w:r>
          </w:p>
        </w:tc>
      </w:tr>
    </w:tbl>
    <w:p w14:paraId="1BFA3B2D" w14:textId="2217B680" w:rsidR="00E774AC" w:rsidRDefault="00E774AC" w:rsidP="00D043E6">
      <w:pPr>
        <w:pStyle w:val="Paragraph"/>
        <w:rPr>
          <w:szCs w:val="20"/>
        </w:rPr>
      </w:pPr>
      <w:r w:rsidRPr="006F4B63">
        <w:rPr>
          <w:i/>
          <w:sz w:val="16"/>
          <w:szCs w:val="16"/>
        </w:rPr>
        <w:t xml:space="preserve">Data taken from </w:t>
      </w:r>
      <w:hyperlink r:id="rId77" w:history="1">
        <w:r w:rsidRPr="00DF4A94">
          <w:rPr>
            <w:rStyle w:val="Hyperlink"/>
            <w:i/>
            <w:sz w:val="16"/>
            <w:szCs w:val="16"/>
          </w:rPr>
          <w:t>RRL</w:t>
        </w:r>
      </w:hyperlink>
      <w:r w:rsidRPr="006F4B63">
        <w:rPr>
          <w:sz w:val="16"/>
          <w:szCs w:val="16"/>
        </w:rPr>
        <w:t xml:space="preserve"> </w:t>
      </w:r>
      <w:r w:rsidRPr="006F4B63">
        <w:rPr>
          <w:i/>
          <w:sz w:val="16"/>
          <w:szCs w:val="16"/>
        </w:rPr>
        <w:t xml:space="preserve">as at </w:t>
      </w:r>
      <w:r>
        <w:rPr>
          <w:i/>
          <w:sz w:val="16"/>
          <w:szCs w:val="16"/>
        </w:rPr>
        <w:t>2</w:t>
      </w:r>
      <w:r w:rsidRPr="006F4B63">
        <w:rPr>
          <w:i/>
          <w:sz w:val="16"/>
          <w:szCs w:val="16"/>
        </w:rPr>
        <w:t xml:space="preserve"> </w:t>
      </w:r>
      <w:r>
        <w:rPr>
          <w:i/>
          <w:sz w:val="16"/>
          <w:szCs w:val="16"/>
        </w:rPr>
        <w:t>August</w:t>
      </w:r>
      <w:r w:rsidRPr="006F4B63">
        <w:rPr>
          <w:i/>
          <w:sz w:val="16"/>
          <w:szCs w:val="16"/>
        </w:rPr>
        <w:t xml:space="preserve"> 20</w:t>
      </w:r>
      <w:r>
        <w:rPr>
          <w:i/>
          <w:sz w:val="16"/>
          <w:szCs w:val="16"/>
        </w:rPr>
        <w:t>21</w:t>
      </w:r>
    </w:p>
    <w:p w14:paraId="142BAC7D" w14:textId="41CCEA4C" w:rsidR="009B579C" w:rsidRDefault="00D82479" w:rsidP="002152E6">
      <w:pPr>
        <w:pStyle w:val="Paragraph"/>
      </w:pPr>
      <w:hyperlink r:id="rId78" w:history="1">
        <w:r w:rsidR="00036148" w:rsidRPr="00045A62">
          <w:rPr>
            <w:rStyle w:val="Hyperlink"/>
          </w:rPr>
          <w:t>RALI MS 34</w:t>
        </w:r>
      </w:hyperlink>
      <w:r w:rsidR="00036148">
        <w:rPr>
          <w:rStyle w:val="Hyperlink"/>
        </w:rPr>
        <w:t xml:space="preserve"> </w:t>
      </w:r>
      <w:r w:rsidR="00036148">
        <w:t xml:space="preserve">provides the planning guidelines for PMTS </w:t>
      </w:r>
      <w:r w:rsidR="00694BC2">
        <w:t xml:space="preserve">services </w:t>
      </w:r>
      <w:r w:rsidR="00365330">
        <w:t>in the adjacent 1805</w:t>
      </w:r>
      <w:r w:rsidR="002152E6">
        <w:t>–</w:t>
      </w:r>
      <w:r w:rsidR="00365330">
        <w:t>1880 MHz band</w:t>
      </w:r>
      <w:r w:rsidR="002152E6">
        <w:t>,</w:t>
      </w:r>
      <w:r w:rsidR="00365330">
        <w:t xml:space="preserve"> and </w:t>
      </w:r>
      <w:hyperlink r:id="rId79" w:history="1">
        <w:r w:rsidR="00365330" w:rsidRPr="00365330">
          <w:rPr>
            <w:rStyle w:val="Hyperlink"/>
          </w:rPr>
          <w:t>RALI MS33</w:t>
        </w:r>
      </w:hyperlink>
      <w:r w:rsidR="00365330">
        <w:t xml:space="preserve"> in the</w:t>
      </w:r>
      <w:r w:rsidR="002152E6">
        <w:t xml:space="preserve"> </w:t>
      </w:r>
      <w:r w:rsidR="00365330" w:rsidRPr="00365330">
        <w:t>1920</w:t>
      </w:r>
      <w:r w:rsidR="002152E6">
        <w:t>–</w:t>
      </w:r>
      <w:r w:rsidR="00365330" w:rsidRPr="00365330">
        <w:t xml:space="preserve">1980 </w:t>
      </w:r>
      <w:r w:rsidR="00365330">
        <w:t>MHz band</w:t>
      </w:r>
      <w:r w:rsidR="00036148">
        <w:t>.</w:t>
      </w:r>
      <w:r w:rsidR="00036148">
        <w:rPr>
          <w:szCs w:val="20"/>
        </w:rPr>
        <w:t xml:space="preserve"> </w:t>
      </w:r>
      <w:r w:rsidR="00D043E6">
        <w:rPr>
          <w:szCs w:val="20"/>
        </w:rPr>
        <w:t>P</w:t>
      </w:r>
      <w:r w:rsidR="00D37896" w:rsidRPr="009F1082">
        <w:rPr>
          <w:szCs w:val="20"/>
        </w:rPr>
        <w:t xml:space="preserve">MTS </w:t>
      </w:r>
      <w:r w:rsidR="00E013FC">
        <w:rPr>
          <w:szCs w:val="20"/>
        </w:rPr>
        <w:t>C</w:t>
      </w:r>
      <w:r w:rsidR="00D37896" w:rsidRPr="009F1082">
        <w:rPr>
          <w:szCs w:val="20"/>
        </w:rPr>
        <w:t xml:space="preserve">lass B licences </w:t>
      </w:r>
      <w:r w:rsidR="00D37896">
        <w:rPr>
          <w:szCs w:val="20"/>
        </w:rPr>
        <w:t xml:space="preserve">operate </w:t>
      </w:r>
      <w:r w:rsidR="00D043E6">
        <w:rPr>
          <w:szCs w:val="20"/>
        </w:rPr>
        <w:t xml:space="preserve">in these spectrum licence frequencies in </w:t>
      </w:r>
      <w:r w:rsidR="009D67BB">
        <w:rPr>
          <w:szCs w:val="20"/>
        </w:rPr>
        <w:t xml:space="preserve">regional and remote areas </w:t>
      </w:r>
      <w:r w:rsidR="00CE4402">
        <w:rPr>
          <w:szCs w:val="20"/>
        </w:rPr>
        <w:t>outside of</w:t>
      </w:r>
      <w:r w:rsidR="009D67BB">
        <w:rPr>
          <w:szCs w:val="20"/>
        </w:rPr>
        <w:t xml:space="preserve"> spectrum </w:t>
      </w:r>
      <w:r w:rsidR="007D5127">
        <w:rPr>
          <w:szCs w:val="20"/>
        </w:rPr>
        <w:t>licence</w:t>
      </w:r>
      <w:r w:rsidR="009D67BB">
        <w:rPr>
          <w:szCs w:val="20"/>
        </w:rPr>
        <w:t xml:space="preserve"> areas</w:t>
      </w:r>
      <w:r w:rsidR="00682C0D">
        <w:rPr>
          <w:szCs w:val="20"/>
        </w:rPr>
        <w:t>.</w:t>
      </w:r>
      <w:r w:rsidR="00D37896">
        <w:t xml:space="preserve"> </w:t>
      </w:r>
      <w:r w:rsidR="00365D8A">
        <w:t xml:space="preserve">As </w:t>
      </w:r>
      <w:r w:rsidR="009B30E2">
        <w:rPr>
          <w:szCs w:val="20"/>
        </w:rPr>
        <w:t>P</w:t>
      </w:r>
      <w:r w:rsidR="009B30E2" w:rsidRPr="009F1082">
        <w:rPr>
          <w:szCs w:val="20"/>
        </w:rPr>
        <w:t xml:space="preserve">MTS </w:t>
      </w:r>
      <w:r w:rsidR="00E013FC">
        <w:rPr>
          <w:szCs w:val="20"/>
        </w:rPr>
        <w:t>C</w:t>
      </w:r>
      <w:r w:rsidR="009B30E2" w:rsidRPr="009F1082">
        <w:rPr>
          <w:szCs w:val="20"/>
        </w:rPr>
        <w:t xml:space="preserve">lass </w:t>
      </w:r>
      <w:r w:rsidR="009B30E2">
        <w:rPr>
          <w:szCs w:val="20"/>
        </w:rPr>
        <w:t>C</w:t>
      </w:r>
      <w:r w:rsidR="00365D8A">
        <w:rPr>
          <w:szCs w:val="20"/>
        </w:rPr>
        <w:t xml:space="preserve"> licences are for aeronautical operation, they operate on an Australia</w:t>
      </w:r>
      <w:r w:rsidR="002152E6">
        <w:rPr>
          <w:szCs w:val="20"/>
        </w:rPr>
        <w:t>-</w:t>
      </w:r>
      <w:r w:rsidR="00365D8A">
        <w:rPr>
          <w:szCs w:val="20"/>
        </w:rPr>
        <w:t xml:space="preserve">wide basis. </w:t>
      </w:r>
      <w:r w:rsidR="00D37896">
        <w:t>Consequently, any changes in the 1880</w:t>
      </w:r>
      <w:r w:rsidR="002152E6">
        <w:t>–</w:t>
      </w:r>
      <w:r w:rsidR="00D37896">
        <w:t>1920</w:t>
      </w:r>
      <w:r w:rsidR="00694BC2">
        <w:t> </w:t>
      </w:r>
      <w:r w:rsidR="00D37896">
        <w:t>MHz band will need to consider coexistence with these services.</w:t>
      </w:r>
    </w:p>
    <w:p w14:paraId="35F34E13" w14:textId="2D7232B2" w:rsidR="00F66735" w:rsidRDefault="001C2174">
      <w:pPr>
        <w:spacing w:after="0" w:line="240" w:lineRule="auto"/>
      </w:pPr>
      <w:r>
        <w:t xml:space="preserve">Table 6 provides </w:t>
      </w:r>
      <w:r w:rsidR="004C3B95">
        <w:t>an analysis</w:t>
      </w:r>
      <w:r>
        <w:t xml:space="preserve"> of the PMTS Class B and C licensees in </w:t>
      </w:r>
      <w:r w:rsidR="002152E6">
        <w:t xml:space="preserve">the </w:t>
      </w:r>
      <w:r w:rsidR="004A348C">
        <w:t>1805– 1880</w:t>
      </w:r>
      <w:r w:rsidR="002E3389">
        <w:t> </w:t>
      </w:r>
      <w:r w:rsidR="00F5099F">
        <w:t>MHz range</w:t>
      </w:r>
      <w:r w:rsidR="004A348C">
        <w:t xml:space="preserve"> </w:t>
      </w:r>
      <w:r>
        <w:t xml:space="preserve">and Table 7 provides a breakdown of the PMTS Class B and C licensees in </w:t>
      </w:r>
      <w:r w:rsidR="002E3389">
        <w:t xml:space="preserve">the </w:t>
      </w:r>
      <w:r w:rsidR="004A348C">
        <w:t>1920–1980 MHz</w:t>
      </w:r>
      <w:r>
        <w:t xml:space="preserve"> </w:t>
      </w:r>
      <w:r w:rsidR="004A348C">
        <w:t xml:space="preserve">range. </w:t>
      </w:r>
    </w:p>
    <w:p w14:paraId="2126BBFB" w14:textId="77777777" w:rsidR="00B000E5" w:rsidRDefault="00B000E5">
      <w:pPr>
        <w:spacing w:after="0" w:line="240" w:lineRule="auto"/>
        <w:rPr>
          <w:b/>
          <w:bCs/>
          <w:color w:val="323232"/>
          <w:szCs w:val="20"/>
        </w:rPr>
      </w:pPr>
    </w:p>
    <w:p w14:paraId="6BE5E391" w14:textId="1DE56539" w:rsidR="00F66735" w:rsidRDefault="00F66735" w:rsidP="00E200E5">
      <w:pPr>
        <w:pStyle w:val="Tableheading"/>
      </w:pPr>
      <w:r>
        <w:t xml:space="preserve">Number of </w:t>
      </w:r>
      <w:r w:rsidR="001C2174">
        <w:t xml:space="preserve">PMTS </w:t>
      </w:r>
      <w:r>
        <w:t xml:space="preserve">Class B and C </w:t>
      </w:r>
      <w:r w:rsidR="00BB625B">
        <w:t xml:space="preserve">assignments </w:t>
      </w:r>
      <w:r>
        <w:t>between 1805–1880 MHz</w:t>
      </w:r>
    </w:p>
    <w:tbl>
      <w:tblPr>
        <w:tblW w:w="7903" w:type="dxa"/>
        <w:tblBorders>
          <w:top w:val="single" w:sz="4" w:space="0" w:color="auto"/>
          <w:bottom w:val="single" w:sz="4" w:space="0" w:color="auto"/>
          <w:insideH w:val="single" w:sz="4" w:space="0" w:color="auto"/>
        </w:tblBorders>
        <w:tblCellMar>
          <w:top w:w="85" w:type="dxa"/>
          <w:bottom w:w="85" w:type="dxa"/>
        </w:tblCellMar>
        <w:tblLook w:val="07E0" w:firstRow="1" w:lastRow="1" w:firstColumn="1" w:lastColumn="1" w:noHBand="1" w:noVBand="1"/>
        <w:tblCaption w:val="Table title to go here"/>
        <w:tblDescription w:val="Table description to go here"/>
      </w:tblPr>
      <w:tblGrid>
        <w:gridCol w:w="2517"/>
        <w:gridCol w:w="1269"/>
        <w:gridCol w:w="1416"/>
        <w:gridCol w:w="1428"/>
        <w:gridCol w:w="1273"/>
      </w:tblGrid>
      <w:tr w:rsidR="009A1022" w:rsidRPr="002152E6" w14:paraId="715D2C96" w14:textId="77777777" w:rsidTr="009A1022">
        <w:tc>
          <w:tcPr>
            <w:tcW w:w="2517" w:type="dxa"/>
            <w:vMerge w:val="restart"/>
            <w:shd w:val="clear" w:color="auto" w:fill="404040" w:themeFill="text1" w:themeFillTint="BF"/>
            <w:vAlign w:val="center"/>
          </w:tcPr>
          <w:p w14:paraId="6D5815B4" w14:textId="77777777" w:rsidR="009A1022" w:rsidRPr="002152E6" w:rsidRDefault="009A1022" w:rsidP="00AD44B4">
            <w:pPr>
              <w:pStyle w:val="TableHeading0"/>
              <w:rPr>
                <w:rFonts w:cs="Arial"/>
                <w:color w:val="FFFFFF" w:themeColor="background1"/>
                <w:szCs w:val="20"/>
              </w:rPr>
            </w:pPr>
            <w:r w:rsidRPr="002152E6">
              <w:rPr>
                <w:rFonts w:cs="Arial"/>
                <w:color w:val="FFFFFF" w:themeColor="background1"/>
                <w:szCs w:val="20"/>
              </w:rPr>
              <w:t>Licensee</w:t>
            </w:r>
          </w:p>
        </w:tc>
        <w:tc>
          <w:tcPr>
            <w:tcW w:w="5386" w:type="dxa"/>
            <w:gridSpan w:val="4"/>
            <w:shd w:val="clear" w:color="auto" w:fill="404040" w:themeFill="text1" w:themeFillTint="BF"/>
            <w:vAlign w:val="center"/>
          </w:tcPr>
          <w:p w14:paraId="6745871C" w14:textId="77777777" w:rsidR="009A1022" w:rsidRPr="002152E6" w:rsidRDefault="009A1022" w:rsidP="00AD44B4">
            <w:pPr>
              <w:pStyle w:val="TableHeading0"/>
              <w:jc w:val="center"/>
              <w:rPr>
                <w:rFonts w:cs="Arial"/>
                <w:color w:val="FFFFFF" w:themeColor="background1"/>
                <w:szCs w:val="20"/>
              </w:rPr>
            </w:pPr>
            <w:r w:rsidRPr="002152E6">
              <w:rPr>
                <w:rFonts w:cs="Arial"/>
                <w:color w:val="FFFFFF" w:themeColor="background1"/>
                <w:szCs w:val="20"/>
              </w:rPr>
              <w:t>Number of assignments</w:t>
            </w:r>
          </w:p>
        </w:tc>
      </w:tr>
      <w:tr w:rsidR="009A1022" w:rsidRPr="002152E6" w14:paraId="3DC592C3" w14:textId="77777777" w:rsidTr="009A1022">
        <w:tc>
          <w:tcPr>
            <w:tcW w:w="2517" w:type="dxa"/>
            <w:vMerge/>
            <w:shd w:val="clear" w:color="auto" w:fill="404040" w:themeFill="text1" w:themeFillTint="BF"/>
            <w:vAlign w:val="center"/>
          </w:tcPr>
          <w:p w14:paraId="1E847A85" w14:textId="77777777" w:rsidR="009A1022" w:rsidRPr="002152E6" w:rsidRDefault="009A1022" w:rsidP="00AD44B4">
            <w:pPr>
              <w:pStyle w:val="TableHeading0"/>
              <w:rPr>
                <w:rFonts w:cs="Arial"/>
                <w:color w:val="FFFFFF" w:themeColor="background1"/>
                <w:szCs w:val="20"/>
              </w:rPr>
            </w:pPr>
          </w:p>
        </w:tc>
        <w:tc>
          <w:tcPr>
            <w:tcW w:w="1269" w:type="dxa"/>
            <w:tcBorders>
              <w:bottom w:val="single" w:sz="4" w:space="0" w:color="auto"/>
            </w:tcBorders>
            <w:shd w:val="clear" w:color="auto" w:fill="404040" w:themeFill="text1" w:themeFillTint="BF"/>
            <w:vAlign w:val="center"/>
          </w:tcPr>
          <w:p w14:paraId="5B5CF5E4" w14:textId="77777777" w:rsidR="009A1022" w:rsidRPr="002152E6" w:rsidRDefault="009A1022" w:rsidP="00E200E5">
            <w:pPr>
              <w:pStyle w:val="TableHeading0"/>
              <w:jc w:val="right"/>
              <w:rPr>
                <w:rFonts w:cs="Arial"/>
                <w:color w:val="FFFFFF" w:themeColor="background1"/>
                <w:szCs w:val="20"/>
              </w:rPr>
            </w:pPr>
            <w:r w:rsidRPr="002152E6">
              <w:rPr>
                <w:rFonts w:cs="Arial"/>
                <w:color w:val="FFFFFF" w:themeColor="background1"/>
                <w:szCs w:val="20"/>
              </w:rPr>
              <w:t>Total</w:t>
            </w:r>
          </w:p>
        </w:tc>
        <w:tc>
          <w:tcPr>
            <w:tcW w:w="1416" w:type="dxa"/>
            <w:tcBorders>
              <w:bottom w:val="single" w:sz="4" w:space="0" w:color="auto"/>
            </w:tcBorders>
            <w:shd w:val="clear" w:color="auto" w:fill="404040" w:themeFill="text1" w:themeFillTint="BF"/>
          </w:tcPr>
          <w:p w14:paraId="185200CD" w14:textId="77777777" w:rsidR="009A1022" w:rsidRPr="002152E6" w:rsidRDefault="009A1022" w:rsidP="00E200E5">
            <w:pPr>
              <w:pStyle w:val="TableHeading0"/>
              <w:jc w:val="right"/>
              <w:rPr>
                <w:rFonts w:cs="Arial"/>
                <w:color w:val="FFFFFF" w:themeColor="background1"/>
                <w:szCs w:val="20"/>
              </w:rPr>
            </w:pPr>
            <w:r w:rsidRPr="002152E6">
              <w:rPr>
                <w:rFonts w:cs="Arial"/>
                <w:color w:val="FFFFFF" w:themeColor="background1"/>
                <w:szCs w:val="20"/>
              </w:rPr>
              <w:t>Directly adjacent</w:t>
            </w:r>
          </w:p>
        </w:tc>
        <w:tc>
          <w:tcPr>
            <w:tcW w:w="1428" w:type="dxa"/>
            <w:tcBorders>
              <w:bottom w:val="single" w:sz="4" w:space="0" w:color="auto"/>
            </w:tcBorders>
            <w:shd w:val="clear" w:color="auto" w:fill="404040" w:themeFill="text1" w:themeFillTint="BF"/>
            <w:vAlign w:val="center"/>
          </w:tcPr>
          <w:p w14:paraId="1CF56B34" w14:textId="77777777" w:rsidR="009A1022" w:rsidRPr="002152E6" w:rsidRDefault="009A1022" w:rsidP="00E200E5">
            <w:pPr>
              <w:pStyle w:val="TableHeading0"/>
              <w:jc w:val="right"/>
              <w:rPr>
                <w:rFonts w:cs="Arial"/>
                <w:color w:val="FFFFFF" w:themeColor="background1"/>
                <w:szCs w:val="20"/>
              </w:rPr>
            </w:pPr>
            <w:r w:rsidRPr="002152E6">
              <w:rPr>
                <w:rFonts w:cs="Arial"/>
                <w:color w:val="FFFFFF" w:themeColor="background1"/>
                <w:szCs w:val="20"/>
              </w:rPr>
              <w:t>Transmitters</w:t>
            </w:r>
          </w:p>
        </w:tc>
        <w:tc>
          <w:tcPr>
            <w:tcW w:w="1273" w:type="dxa"/>
            <w:tcBorders>
              <w:bottom w:val="single" w:sz="4" w:space="0" w:color="auto"/>
            </w:tcBorders>
            <w:shd w:val="clear" w:color="auto" w:fill="404040" w:themeFill="text1" w:themeFillTint="BF"/>
            <w:vAlign w:val="center"/>
          </w:tcPr>
          <w:p w14:paraId="0E1E5C3F" w14:textId="77777777" w:rsidR="009A1022" w:rsidRPr="002152E6" w:rsidRDefault="009A1022" w:rsidP="00E200E5">
            <w:pPr>
              <w:pStyle w:val="TableHeading0"/>
              <w:jc w:val="right"/>
              <w:rPr>
                <w:rFonts w:cs="Arial"/>
                <w:color w:val="FFFFFF" w:themeColor="background1"/>
                <w:szCs w:val="20"/>
              </w:rPr>
            </w:pPr>
            <w:r w:rsidRPr="002152E6">
              <w:rPr>
                <w:rFonts w:cs="Arial"/>
                <w:color w:val="FFFFFF" w:themeColor="background1"/>
                <w:szCs w:val="20"/>
              </w:rPr>
              <w:t>Receivers</w:t>
            </w:r>
          </w:p>
        </w:tc>
      </w:tr>
      <w:tr w:rsidR="001C2174" w:rsidRPr="002152E6" w14:paraId="3A0BF262" w14:textId="77777777" w:rsidTr="009A1022">
        <w:tc>
          <w:tcPr>
            <w:tcW w:w="2517" w:type="dxa"/>
            <w:tcBorders>
              <w:bottom w:val="single" w:sz="4" w:space="0" w:color="auto"/>
              <w:right w:val="single" w:sz="4" w:space="0" w:color="auto"/>
            </w:tcBorders>
            <w:vAlign w:val="center"/>
          </w:tcPr>
          <w:p w14:paraId="5F9C0D51" w14:textId="6ADD5400" w:rsidR="00CF6801" w:rsidRPr="00E200E5" w:rsidRDefault="00CF6801">
            <w:pPr>
              <w:spacing w:after="0" w:line="240" w:lineRule="auto"/>
              <w:rPr>
                <w:rFonts w:cs="Arial"/>
                <w:color w:val="000000"/>
                <w:szCs w:val="20"/>
              </w:rPr>
            </w:pPr>
            <w:r w:rsidRPr="002152E6">
              <w:rPr>
                <w:rFonts w:cs="Arial"/>
                <w:szCs w:val="20"/>
              </w:rPr>
              <w:t>BHP B</w:t>
            </w:r>
            <w:r w:rsidR="002152E6" w:rsidRPr="002152E6">
              <w:rPr>
                <w:rFonts w:cs="Arial"/>
                <w:szCs w:val="20"/>
              </w:rPr>
              <w:t>illiton Iron Ore Pty. Ltd.</w:t>
            </w:r>
          </w:p>
        </w:tc>
        <w:tc>
          <w:tcPr>
            <w:tcW w:w="1269" w:type="dxa"/>
            <w:tcBorders>
              <w:left w:val="single" w:sz="4" w:space="0" w:color="auto"/>
              <w:bottom w:val="single" w:sz="4" w:space="0" w:color="auto"/>
              <w:right w:val="single" w:sz="4" w:space="0" w:color="auto"/>
            </w:tcBorders>
            <w:vAlign w:val="center"/>
          </w:tcPr>
          <w:p w14:paraId="00B7CB66" w14:textId="03C23C17" w:rsidR="00CF6801" w:rsidRPr="00E200E5" w:rsidRDefault="00CF6801" w:rsidP="00E200E5">
            <w:pPr>
              <w:spacing w:after="0" w:line="240" w:lineRule="auto"/>
              <w:jc w:val="right"/>
              <w:rPr>
                <w:rFonts w:cs="Arial"/>
                <w:color w:val="000000"/>
                <w:szCs w:val="20"/>
              </w:rPr>
            </w:pPr>
            <w:r w:rsidRPr="002152E6">
              <w:rPr>
                <w:rFonts w:cs="Arial"/>
                <w:szCs w:val="20"/>
              </w:rPr>
              <w:t>145</w:t>
            </w:r>
          </w:p>
        </w:tc>
        <w:tc>
          <w:tcPr>
            <w:tcW w:w="1416" w:type="dxa"/>
            <w:tcBorders>
              <w:left w:val="single" w:sz="4" w:space="0" w:color="auto"/>
              <w:bottom w:val="single" w:sz="4" w:space="0" w:color="auto"/>
              <w:right w:val="single" w:sz="4" w:space="0" w:color="auto"/>
            </w:tcBorders>
            <w:vAlign w:val="center"/>
          </w:tcPr>
          <w:p w14:paraId="2602BBE8" w14:textId="74A2BB0C" w:rsidR="00CF6801" w:rsidRPr="00E200E5" w:rsidRDefault="00CF6801" w:rsidP="00E200E5">
            <w:pPr>
              <w:spacing w:after="0" w:line="240" w:lineRule="auto"/>
              <w:jc w:val="right"/>
              <w:rPr>
                <w:rFonts w:cs="Arial"/>
                <w:color w:val="000000"/>
                <w:szCs w:val="20"/>
              </w:rPr>
            </w:pPr>
            <w:r w:rsidRPr="002152E6">
              <w:rPr>
                <w:rFonts w:cs="Arial"/>
                <w:szCs w:val="20"/>
              </w:rPr>
              <w:t>59</w:t>
            </w:r>
          </w:p>
        </w:tc>
        <w:tc>
          <w:tcPr>
            <w:tcW w:w="1428" w:type="dxa"/>
            <w:tcBorders>
              <w:left w:val="single" w:sz="4" w:space="0" w:color="auto"/>
              <w:bottom w:val="single" w:sz="4" w:space="0" w:color="auto"/>
              <w:right w:val="single" w:sz="4" w:space="0" w:color="auto"/>
            </w:tcBorders>
            <w:vAlign w:val="center"/>
          </w:tcPr>
          <w:p w14:paraId="51EF816F" w14:textId="5BE6B45B" w:rsidR="00CF6801" w:rsidRPr="00E200E5" w:rsidRDefault="00CF6801" w:rsidP="00E200E5">
            <w:pPr>
              <w:spacing w:after="0" w:line="240" w:lineRule="auto"/>
              <w:jc w:val="right"/>
              <w:rPr>
                <w:rFonts w:cs="Arial"/>
                <w:color w:val="000000"/>
                <w:szCs w:val="20"/>
              </w:rPr>
            </w:pPr>
            <w:r w:rsidRPr="002152E6">
              <w:rPr>
                <w:rFonts w:cs="Arial"/>
                <w:szCs w:val="20"/>
              </w:rPr>
              <w:t>145</w:t>
            </w:r>
          </w:p>
        </w:tc>
        <w:tc>
          <w:tcPr>
            <w:tcW w:w="1273" w:type="dxa"/>
            <w:tcBorders>
              <w:left w:val="single" w:sz="4" w:space="0" w:color="auto"/>
              <w:bottom w:val="single" w:sz="4" w:space="0" w:color="auto"/>
            </w:tcBorders>
            <w:vAlign w:val="center"/>
          </w:tcPr>
          <w:p w14:paraId="6C454F9C" w14:textId="2A31FE3C" w:rsidR="00CF6801" w:rsidRPr="00E200E5" w:rsidRDefault="00CF6801" w:rsidP="00E200E5">
            <w:pPr>
              <w:spacing w:after="0" w:line="240" w:lineRule="auto"/>
              <w:jc w:val="right"/>
              <w:rPr>
                <w:rFonts w:cs="Arial"/>
                <w:color w:val="000000"/>
                <w:szCs w:val="20"/>
              </w:rPr>
            </w:pPr>
            <w:r w:rsidRPr="002152E6">
              <w:rPr>
                <w:rFonts w:cs="Arial"/>
                <w:szCs w:val="20"/>
              </w:rPr>
              <w:t>0</w:t>
            </w:r>
          </w:p>
        </w:tc>
      </w:tr>
      <w:tr w:rsidR="001C2174" w:rsidRPr="002152E6" w14:paraId="062A7E61" w14:textId="77777777" w:rsidTr="009A1022">
        <w:tc>
          <w:tcPr>
            <w:tcW w:w="2517" w:type="dxa"/>
            <w:tcBorders>
              <w:right w:val="single" w:sz="4" w:space="0" w:color="auto"/>
            </w:tcBorders>
            <w:shd w:val="clear" w:color="auto" w:fill="F2F2F2" w:themeFill="background1" w:themeFillShade="F2"/>
            <w:vAlign w:val="center"/>
          </w:tcPr>
          <w:p w14:paraId="775E63DA" w14:textId="3AF2F154" w:rsidR="00CF6801" w:rsidRPr="00E200E5" w:rsidRDefault="00CF6801">
            <w:pPr>
              <w:spacing w:after="0" w:line="240" w:lineRule="auto"/>
              <w:rPr>
                <w:rFonts w:cs="Arial"/>
                <w:color w:val="000000"/>
                <w:szCs w:val="20"/>
              </w:rPr>
            </w:pPr>
            <w:r w:rsidRPr="002152E6">
              <w:rPr>
                <w:rFonts w:cs="Arial"/>
                <w:szCs w:val="20"/>
              </w:rPr>
              <w:t>Pilbara Iron Company (Services) Pty Ltd</w:t>
            </w:r>
          </w:p>
        </w:tc>
        <w:tc>
          <w:tcPr>
            <w:tcW w:w="1269" w:type="dxa"/>
            <w:tcBorders>
              <w:left w:val="single" w:sz="4" w:space="0" w:color="auto"/>
              <w:right w:val="single" w:sz="4" w:space="0" w:color="auto"/>
            </w:tcBorders>
            <w:shd w:val="clear" w:color="auto" w:fill="F2F2F2" w:themeFill="background1" w:themeFillShade="F2"/>
            <w:vAlign w:val="center"/>
          </w:tcPr>
          <w:p w14:paraId="7B29A29E" w14:textId="2CAA48FC" w:rsidR="00CF6801" w:rsidRPr="00E200E5" w:rsidRDefault="00CF6801" w:rsidP="00E200E5">
            <w:pPr>
              <w:spacing w:after="0" w:line="240" w:lineRule="auto"/>
              <w:jc w:val="right"/>
              <w:rPr>
                <w:rFonts w:cs="Arial"/>
                <w:color w:val="000000"/>
                <w:szCs w:val="20"/>
              </w:rPr>
            </w:pPr>
            <w:r w:rsidRPr="002152E6">
              <w:rPr>
                <w:rFonts w:cs="Arial"/>
                <w:szCs w:val="20"/>
              </w:rPr>
              <w:t>144</w:t>
            </w:r>
          </w:p>
        </w:tc>
        <w:tc>
          <w:tcPr>
            <w:tcW w:w="1416" w:type="dxa"/>
            <w:tcBorders>
              <w:left w:val="single" w:sz="4" w:space="0" w:color="auto"/>
              <w:right w:val="single" w:sz="4" w:space="0" w:color="auto"/>
            </w:tcBorders>
            <w:shd w:val="clear" w:color="auto" w:fill="F2F2F2" w:themeFill="background1" w:themeFillShade="F2"/>
            <w:vAlign w:val="center"/>
          </w:tcPr>
          <w:p w14:paraId="0750947E" w14:textId="7CD304BC" w:rsidR="00CF6801" w:rsidRPr="00E200E5" w:rsidRDefault="00CF6801" w:rsidP="00E200E5">
            <w:pPr>
              <w:spacing w:after="0" w:line="240" w:lineRule="auto"/>
              <w:jc w:val="right"/>
              <w:rPr>
                <w:rFonts w:cs="Arial"/>
                <w:color w:val="000000"/>
                <w:szCs w:val="20"/>
              </w:rPr>
            </w:pPr>
            <w:r w:rsidRPr="002152E6">
              <w:rPr>
                <w:rFonts w:cs="Arial"/>
                <w:szCs w:val="20"/>
              </w:rPr>
              <w:t>0</w:t>
            </w:r>
          </w:p>
        </w:tc>
        <w:tc>
          <w:tcPr>
            <w:tcW w:w="1428" w:type="dxa"/>
            <w:tcBorders>
              <w:left w:val="single" w:sz="4" w:space="0" w:color="auto"/>
              <w:right w:val="single" w:sz="4" w:space="0" w:color="auto"/>
            </w:tcBorders>
            <w:shd w:val="clear" w:color="auto" w:fill="F2F2F2" w:themeFill="background1" w:themeFillShade="F2"/>
            <w:vAlign w:val="center"/>
          </w:tcPr>
          <w:p w14:paraId="395D5A73" w14:textId="5B0E9964" w:rsidR="00CF6801" w:rsidRPr="00E200E5" w:rsidRDefault="00CF6801" w:rsidP="00E200E5">
            <w:pPr>
              <w:spacing w:after="0" w:line="240" w:lineRule="auto"/>
              <w:jc w:val="right"/>
              <w:rPr>
                <w:rFonts w:cs="Arial"/>
                <w:color w:val="000000"/>
                <w:szCs w:val="20"/>
              </w:rPr>
            </w:pPr>
            <w:r w:rsidRPr="002152E6">
              <w:rPr>
                <w:rFonts w:cs="Arial"/>
                <w:szCs w:val="20"/>
              </w:rPr>
              <w:t>144</w:t>
            </w:r>
          </w:p>
        </w:tc>
        <w:tc>
          <w:tcPr>
            <w:tcW w:w="1273" w:type="dxa"/>
            <w:tcBorders>
              <w:left w:val="single" w:sz="4" w:space="0" w:color="auto"/>
            </w:tcBorders>
            <w:shd w:val="clear" w:color="auto" w:fill="F2F2F2" w:themeFill="background1" w:themeFillShade="F2"/>
            <w:vAlign w:val="center"/>
          </w:tcPr>
          <w:p w14:paraId="4D63BBDA" w14:textId="02004691" w:rsidR="00CF6801" w:rsidRPr="00E200E5" w:rsidRDefault="00CF6801" w:rsidP="00E200E5">
            <w:pPr>
              <w:spacing w:after="0" w:line="240" w:lineRule="auto"/>
              <w:jc w:val="right"/>
              <w:rPr>
                <w:rFonts w:cs="Arial"/>
                <w:color w:val="000000"/>
                <w:szCs w:val="20"/>
              </w:rPr>
            </w:pPr>
            <w:r w:rsidRPr="002152E6">
              <w:rPr>
                <w:rFonts w:cs="Arial"/>
                <w:szCs w:val="20"/>
              </w:rPr>
              <w:t>0</w:t>
            </w:r>
          </w:p>
        </w:tc>
      </w:tr>
      <w:tr w:rsidR="001C2174" w:rsidRPr="002152E6" w14:paraId="121F2250" w14:textId="77777777" w:rsidTr="009A1022">
        <w:tc>
          <w:tcPr>
            <w:tcW w:w="2517" w:type="dxa"/>
            <w:tcBorders>
              <w:right w:val="single" w:sz="4" w:space="0" w:color="auto"/>
            </w:tcBorders>
            <w:shd w:val="clear" w:color="auto" w:fill="auto"/>
            <w:vAlign w:val="center"/>
          </w:tcPr>
          <w:p w14:paraId="273EFD19" w14:textId="2B5D9F90" w:rsidR="00CF6801" w:rsidRPr="00E200E5" w:rsidRDefault="002152E6">
            <w:pPr>
              <w:spacing w:after="0" w:line="240" w:lineRule="auto"/>
              <w:rPr>
                <w:rFonts w:cs="Arial"/>
                <w:color w:val="000000"/>
                <w:szCs w:val="20"/>
              </w:rPr>
            </w:pPr>
            <w:r w:rsidRPr="002152E6">
              <w:rPr>
                <w:rFonts w:cs="Arial"/>
                <w:szCs w:val="20"/>
              </w:rPr>
              <w:t xml:space="preserve">Roy </w:t>
            </w:r>
            <w:r w:rsidR="00CF6801" w:rsidRPr="002152E6">
              <w:rPr>
                <w:rFonts w:cs="Arial"/>
                <w:szCs w:val="20"/>
              </w:rPr>
              <w:t>H</w:t>
            </w:r>
            <w:r w:rsidRPr="002152E6">
              <w:rPr>
                <w:rFonts w:cs="Arial"/>
                <w:szCs w:val="20"/>
              </w:rPr>
              <w:t xml:space="preserve">ill Holdings Pty Ltd </w:t>
            </w:r>
          </w:p>
        </w:tc>
        <w:tc>
          <w:tcPr>
            <w:tcW w:w="1269" w:type="dxa"/>
            <w:tcBorders>
              <w:left w:val="single" w:sz="4" w:space="0" w:color="auto"/>
              <w:right w:val="single" w:sz="4" w:space="0" w:color="auto"/>
            </w:tcBorders>
            <w:shd w:val="clear" w:color="auto" w:fill="auto"/>
            <w:vAlign w:val="center"/>
          </w:tcPr>
          <w:p w14:paraId="368061DA" w14:textId="4FA39832" w:rsidR="00CF6801" w:rsidRPr="00E200E5" w:rsidRDefault="00CF6801" w:rsidP="00E200E5">
            <w:pPr>
              <w:spacing w:after="0" w:line="240" w:lineRule="auto"/>
              <w:jc w:val="right"/>
              <w:rPr>
                <w:rFonts w:cs="Arial"/>
                <w:color w:val="000000"/>
                <w:szCs w:val="20"/>
              </w:rPr>
            </w:pPr>
            <w:r w:rsidRPr="002152E6">
              <w:rPr>
                <w:rFonts w:cs="Arial"/>
                <w:szCs w:val="20"/>
              </w:rPr>
              <w:t>106</w:t>
            </w:r>
          </w:p>
        </w:tc>
        <w:tc>
          <w:tcPr>
            <w:tcW w:w="1416" w:type="dxa"/>
            <w:tcBorders>
              <w:left w:val="single" w:sz="4" w:space="0" w:color="auto"/>
              <w:right w:val="single" w:sz="4" w:space="0" w:color="auto"/>
            </w:tcBorders>
            <w:vAlign w:val="center"/>
          </w:tcPr>
          <w:p w14:paraId="7636C3C1" w14:textId="30952F1C" w:rsidR="00CF6801" w:rsidRPr="00E200E5" w:rsidRDefault="00CF6801" w:rsidP="00E200E5">
            <w:pPr>
              <w:spacing w:after="0" w:line="240" w:lineRule="auto"/>
              <w:jc w:val="right"/>
              <w:rPr>
                <w:rFonts w:cs="Arial"/>
                <w:color w:val="000000"/>
                <w:szCs w:val="20"/>
              </w:rPr>
            </w:pPr>
            <w:r w:rsidRPr="002152E6">
              <w:rPr>
                <w:rFonts w:cs="Arial"/>
                <w:szCs w:val="20"/>
              </w:rPr>
              <w:t>86</w:t>
            </w:r>
          </w:p>
        </w:tc>
        <w:tc>
          <w:tcPr>
            <w:tcW w:w="1428" w:type="dxa"/>
            <w:tcBorders>
              <w:left w:val="single" w:sz="4" w:space="0" w:color="auto"/>
              <w:right w:val="single" w:sz="4" w:space="0" w:color="auto"/>
            </w:tcBorders>
            <w:shd w:val="clear" w:color="auto" w:fill="auto"/>
            <w:vAlign w:val="center"/>
          </w:tcPr>
          <w:p w14:paraId="2E00C1F8" w14:textId="4D4C7C44" w:rsidR="00CF6801" w:rsidRPr="00E200E5" w:rsidRDefault="00CF6801" w:rsidP="00E200E5">
            <w:pPr>
              <w:spacing w:after="0" w:line="240" w:lineRule="auto"/>
              <w:jc w:val="right"/>
              <w:rPr>
                <w:rFonts w:cs="Arial"/>
                <w:color w:val="000000"/>
                <w:szCs w:val="20"/>
              </w:rPr>
            </w:pPr>
            <w:r w:rsidRPr="002152E6">
              <w:rPr>
                <w:rFonts w:cs="Arial"/>
                <w:szCs w:val="20"/>
              </w:rPr>
              <w:t>106</w:t>
            </w:r>
          </w:p>
        </w:tc>
        <w:tc>
          <w:tcPr>
            <w:tcW w:w="1273" w:type="dxa"/>
            <w:tcBorders>
              <w:left w:val="single" w:sz="4" w:space="0" w:color="auto"/>
            </w:tcBorders>
            <w:shd w:val="clear" w:color="auto" w:fill="auto"/>
            <w:vAlign w:val="center"/>
          </w:tcPr>
          <w:p w14:paraId="6E1E0E7F" w14:textId="0E0AFC57" w:rsidR="00CF6801" w:rsidRPr="00E200E5" w:rsidRDefault="00CF6801" w:rsidP="00E200E5">
            <w:pPr>
              <w:spacing w:after="0" w:line="240" w:lineRule="auto"/>
              <w:jc w:val="right"/>
              <w:rPr>
                <w:rFonts w:cs="Arial"/>
                <w:color w:val="000000"/>
                <w:szCs w:val="20"/>
              </w:rPr>
            </w:pPr>
            <w:r w:rsidRPr="002152E6">
              <w:rPr>
                <w:rFonts w:cs="Arial"/>
                <w:szCs w:val="20"/>
              </w:rPr>
              <w:t>0</w:t>
            </w:r>
          </w:p>
        </w:tc>
      </w:tr>
      <w:tr w:rsidR="001C2174" w:rsidRPr="002152E6" w14:paraId="4C027701" w14:textId="77777777" w:rsidTr="009A1022">
        <w:tc>
          <w:tcPr>
            <w:tcW w:w="2517" w:type="dxa"/>
            <w:tcBorders>
              <w:right w:val="single" w:sz="4" w:space="0" w:color="auto"/>
            </w:tcBorders>
            <w:shd w:val="clear" w:color="auto" w:fill="F2F2F2" w:themeFill="background1" w:themeFillShade="F2"/>
            <w:vAlign w:val="center"/>
          </w:tcPr>
          <w:p w14:paraId="4F741A6C" w14:textId="07D60F50" w:rsidR="00CF6801" w:rsidRPr="00E200E5" w:rsidRDefault="00CF6801">
            <w:pPr>
              <w:spacing w:after="0" w:line="240" w:lineRule="auto"/>
              <w:rPr>
                <w:rFonts w:cs="Arial"/>
                <w:color w:val="000000"/>
                <w:szCs w:val="20"/>
              </w:rPr>
            </w:pPr>
            <w:r w:rsidRPr="002152E6">
              <w:rPr>
                <w:rFonts w:cs="Arial"/>
                <w:szCs w:val="20"/>
              </w:rPr>
              <w:t>C</w:t>
            </w:r>
            <w:r w:rsidR="002152E6" w:rsidRPr="002152E6">
              <w:rPr>
                <w:rFonts w:cs="Arial"/>
                <w:szCs w:val="20"/>
              </w:rPr>
              <w:t xml:space="preserve">hallenge Networks Resources Pty Ltd </w:t>
            </w:r>
          </w:p>
        </w:tc>
        <w:tc>
          <w:tcPr>
            <w:tcW w:w="1269" w:type="dxa"/>
            <w:tcBorders>
              <w:left w:val="single" w:sz="4" w:space="0" w:color="auto"/>
              <w:right w:val="single" w:sz="4" w:space="0" w:color="auto"/>
            </w:tcBorders>
            <w:shd w:val="clear" w:color="auto" w:fill="F2F2F2" w:themeFill="background1" w:themeFillShade="F2"/>
            <w:vAlign w:val="center"/>
          </w:tcPr>
          <w:p w14:paraId="34268663" w14:textId="0B2966F3" w:rsidR="00CF6801" w:rsidRPr="00E200E5" w:rsidRDefault="00CF6801" w:rsidP="00E200E5">
            <w:pPr>
              <w:spacing w:after="0" w:line="240" w:lineRule="auto"/>
              <w:jc w:val="right"/>
              <w:rPr>
                <w:rFonts w:cs="Arial"/>
                <w:color w:val="000000"/>
                <w:szCs w:val="20"/>
              </w:rPr>
            </w:pPr>
            <w:r w:rsidRPr="002152E6">
              <w:rPr>
                <w:rFonts w:cs="Arial"/>
                <w:szCs w:val="20"/>
              </w:rPr>
              <w:t>87</w:t>
            </w:r>
          </w:p>
        </w:tc>
        <w:tc>
          <w:tcPr>
            <w:tcW w:w="1416" w:type="dxa"/>
            <w:tcBorders>
              <w:left w:val="single" w:sz="4" w:space="0" w:color="auto"/>
              <w:right w:val="single" w:sz="4" w:space="0" w:color="auto"/>
            </w:tcBorders>
            <w:shd w:val="clear" w:color="auto" w:fill="F2F2F2" w:themeFill="background1" w:themeFillShade="F2"/>
            <w:vAlign w:val="center"/>
          </w:tcPr>
          <w:p w14:paraId="44FE660C" w14:textId="36716204" w:rsidR="00CF6801" w:rsidRPr="00E200E5" w:rsidRDefault="00CF6801" w:rsidP="00E200E5">
            <w:pPr>
              <w:spacing w:after="0" w:line="240" w:lineRule="auto"/>
              <w:jc w:val="right"/>
              <w:rPr>
                <w:rFonts w:cs="Arial"/>
                <w:color w:val="000000"/>
                <w:szCs w:val="20"/>
              </w:rPr>
            </w:pPr>
            <w:r w:rsidRPr="002152E6">
              <w:rPr>
                <w:rFonts w:cs="Arial"/>
                <w:szCs w:val="20"/>
              </w:rPr>
              <w:t>10</w:t>
            </w:r>
          </w:p>
        </w:tc>
        <w:tc>
          <w:tcPr>
            <w:tcW w:w="1428" w:type="dxa"/>
            <w:tcBorders>
              <w:left w:val="single" w:sz="4" w:space="0" w:color="auto"/>
              <w:right w:val="single" w:sz="4" w:space="0" w:color="auto"/>
            </w:tcBorders>
            <w:shd w:val="clear" w:color="auto" w:fill="F2F2F2" w:themeFill="background1" w:themeFillShade="F2"/>
            <w:vAlign w:val="center"/>
          </w:tcPr>
          <w:p w14:paraId="6E9DAB48" w14:textId="7EFFB857" w:rsidR="00CF6801" w:rsidRPr="00E200E5" w:rsidRDefault="00CF6801" w:rsidP="00E200E5">
            <w:pPr>
              <w:spacing w:after="0" w:line="240" w:lineRule="auto"/>
              <w:jc w:val="right"/>
              <w:rPr>
                <w:rFonts w:cs="Arial"/>
                <w:color w:val="000000"/>
                <w:szCs w:val="20"/>
              </w:rPr>
            </w:pPr>
            <w:r w:rsidRPr="002152E6">
              <w:rPr>
                <w:rFonts w:cs="Arial"/>
                <w:szCs w:val="20"/>
              </w:rPr>
              <w:t>87</w:t>
            </w:r>
          </w:p>
        </w:tc>
        <w:tc>
          <w:tcPr>
            <w:tcW w:w="1273" w:type="dxa"/>
            <w:tcBorders>
              <w:left w:val="single" w:sz="4" w:space="0" w:color="auto"/>
            </w:tcBorders>
            <w:shd w:val="clear" w:color="auto" w:fill="F2F2F2" w:themeFill="background1" w:themeFillShade="F2"/>
            <w:vAlign w:val="center"/>
          </w:tcPr>
          <w:p w14:paraId="31C0C997" w14:textId="18774C77" w:rsidR="00CF6801" w:rsidRPr="00E200E5" w:rsidRDefault="00CF6801" w:rsidP="00E200E5">
            <w:pPr>
              <w:spacing w:after="0" w:line="240" w:lineRule="auto"/>
              <w:jc w:val="right"/>
              <w:rPr>
                <w:rFonts w:cs="Arial"/>
                <w:color w:val="000000"/>
                <w:szCs w:val="20"/>
              </w:rPr>
            </w:pPr>
            <w:r w:rsidRPr="002152E6">
              <w:rPr>
                <w:rFonts w:cs="Arial"/>
                <w:szCs w:val="20"/>
              </w:rPr>
              <w:t>0</w:t>
            </w:r>
          </w:p>
        </w:tc>
      </w:tr>
      <w:tr w:rsidR="00415710" w:rsidRPr="002152E6" w14:paraId="7FD4F442" w14:textId="77777777" w:rsidTr="009A1022">
        <w:tc>
          <w:tcPr>
            <w:tcW w:w="2517" w:type="dxa"/>
            <w:tcBorders>
              <w:bottom w:val="single" w:sz="4" w:space="0" w:color="auto"/>
              <w:right w:val="single" w:sz="4" w:space="0" w:color="auto"/>
            </w:tcBorders>
            <w:vAlign w:val="center"/>
          </w:tcPr>
          <w:p w14:paraId="159C3057" w14:textId="2F3EF793" w:rsidR="00CF6801" w:rsidRPr="00E200E5" w:rsidRDefault="00CF6801">
            <w:pPr>
              <w:spacing w:after="0" w:line="240" w:lineRule="auto"/>
              <w:rPr>
                <w:rFonts w:cs="Arial"/>
                <w:color w:val="000000"/>
                <w:szCs w:val="20"/>
              </w:rPr>
            </w:pPr>
            <w:r w:rsidRPr="002152E6">
              <w:rPr>
                <w:rFonts w:cs="Arial"/>
                <w:color w:val="000000"/>
                <w:szCs w:val="20"/>
              </w:rPr>
              <w:t>Other*</w:t>
            </w:r>
          </w:p>
        </w:tc>
        <w:tc>
          <w:tcPr>
            <w:tcW w:w="1269" w:type="dxa"/>
            <w:tcBorders>
              <w:left w:val="single" w:sz="4" w:space="0" w:color="auto"/>
              <w:bottom w:val="single" w:sz="4" w:space="0" w:color="auto"/>
              <w:right w:val="single" w:sz="4" w:space="0" w:color="auto"/>
            </w:tcBorders>
            <w:vAlign w:val="center"/>
          </w:tcPr>
          <w:p w14:paraId="23F73E51" w14:textId="2B984F10" w:rsidR="00CF6801" w:rsidRPr="00E200E5" w:rsidRDefault="00CF6801" w:rsidP="00E200E5">
            <w:pPr>
              <w:spacing w:after="0" w:line="240" w:lineRule="auto"/>
              <w:jc w:val="right"/>
              <w:rPr>
                <w:rFonts w:cs="Arial"/>
                <w:color w:val="000000"/>
                <w:szCs w:val="20"/>
              </w:rPr>
            </w:pPr>
            <w:r w:rsidRPr="002152E6">
              <w:rPr>
                <w:rFonts w:cs="Arial"/>
                <w:szCs w:val="20"/>
              </w:rPr>
              <w:t>228</w:t>
            </w:r>
          </w:p>
        </w:tc>
        <w:tc>
          <w:tcPr>
            <w:tcW w:w="1416" w:type="dxa"/>
            <w:tcBorders>
              <w:left w:val="single" w:sz="4" w:space="0" w:color="auto"/>
              <w:bottom w:val="single" w:sz="4" w:space="0" w:color="auto"/>
              <w:right w:val="single" w:sz="4" w:space="0" w:color="auto"/>
            </w:tcBorders>
            <w:vAlign w:val="center"/>
          </w:tcPr>
          <w:p w14:paraId="5F1E728E" w14:textId="50436A3A" w:rsidR="00CF6801" w:rsidRPr="00E200E5" w:rsidRDefault="00CF6801" w:rsidP="00E200E5">
            <w:pPr>
              <w:spacing w:after="0" w:line="240" w:lineRule="auto"/>
              <w:jc w:val="right"/>
              <w:rPr>
                <w:rFonts w:cs="Arial"/>
                <w:color w:val="000000"/>
                <w:szCs w:val="20"/>
              </w:rPr>
            </w:pPr>
            <w:r w:rsidRPr="002152E6">
              <w:rPr>
                <w:rFonts w:cs="Arial"/>
                <w:szCs w:val="20"/>
              </w:rPr>
              <w:t>75</w:t>
            </w:r>
          </w:p>
        </w:tc>
        <w:tc>
          <w:tcPr>
            <w:tcW w:w="1428" w:type="dxa"/>
            <w:tcBorders>
              <w:left w:val="single" w:sz="4" w:space="0" w:color="auto"/>
              <w:bottom w:val="single" w:sz="4" w:space="0" w:color="auto"/>
              <w:right w:val="single" w:sz="4" w:space="0" w:color="auto"/>
            </w:tcBorders>
            <w:vAlign w:val="center"/>
          </w:tcPr>
          <w:p w14:paraId="2E1D9637" w14:textId="07CB547F" w:rsidR="00CF6801" w:rsidRPr="00E200E5" w:rsidRDefault="00CF6801" w:rsidP="00E200E5">
            <w:pPr>
              <w:spacing w:after="0" w:line="240" w:lineRule="auto"/>
              <w:jc w:val="right"/>
              <w:rPr>
                <w:rFonts w:cs="Arial"/>
                <w:color w:val="000000"/>
                <w:szCs w:val="20"/>
              </w:rPr>
            </w:pPr>
            <w:r w:rsidRPr="002152E6">
              <w:rPr>
                <w:rFonts w:cs="Arial"/>
                <w:szCs w:val="20"/>
              </w:rPr>
              <w:t>227</w:t>
            </w:r>
          </w:p>
        </w:tc>
        <w:tc>
          <w:tcPr>
            <w:tcW w:w="1273" w:type="dxa"/>
            <w:tcBorders>
              <w:left w:val="single" w:sz="4" w:space="0" w:color="auto"/>
              <w:bottom w:val="single" w:sz="4" w:space="0" w:color="auto"/>
            </w:tcBorders>
            <w:vAlign w:val="center"/>
          </w:tcPr>
          <w:p w14:paraId="401893A6" w14:textId="146C4C52" w:rsidR="00CF6801" w:rsidRPr="00E200E5" w:rsidRDefault="00CF6801" w:rsidP="00E200E5">
            <w:pPr>
              <w:spacing w:after="0" w:line="240" w:lineRule="auto"/>
              <w:jc w:val="right"/>
              <w:rPr>
                <w:rFonts w:cs="Arial"/>
                <w:color w:val="000000"/>
                <w:szCs w:val="20"/>
              </w:rPr>
            </w:pPr>
            <w:r w:rsidRPr="002152E6">
              <w:rPr>
                <w:rFonts w:cs="Arial"/>
                <w:szCs w:val="20"/>
              </w:rPr>
              <w:t>1</w:t>
            </w:r>
          </w:p>
        </w:tc>
      </w:tr>
      <w:tr w:rsidR="00B000E5" w:rsidRPr="002152E6" w14:paraId="4E847612" w14:textId="77777777" w:rsidTr="009A1022">
        <w:tc>
          <w:tcPr>
            <w:tcW w:w="2517" w:type="dxa"/>
            <w:tcBorders>
              <w:right w:val="single" w:sz="4" w:space="0" w:color="auto"/>
            </w:tcBorders>
            <w:shd w:val="clear" w:color="auto" w:fill="D9D9D9" w:themeFill="background1" w:themeFillShade="D9"/>
            <w:vAlign w:val="center"/>
          </w:tcPr>
          <w:p w14:paraId="2AA9EFCD" w14:textId="77777777" w:rsidR="001C2174" w:rsidRPr="00E200E5" w:rsidRDefault="001C2174">
            <w:pPr>
              <w:spacing w:after="0" w:line="240" w:lineRule="auto"/>
              <w:rPr>
                <w:rFonts w:cs="Arial"/>
                <w:b/>
                <w:color w:val="000000"/>
                <w:szCs w:val="20"/>
              </w:rPr>
            </w:pPr>
            <w:r w:rsidRPr="00E200E5">
              <w:rPr>
                <w:rFonts w:cs="Arial"/>
                <w:b/>
                <w:color w:val="000000"/>
                <w:szCs w:val="20"/>
              </w:rPr>
              <w:t>Total</w:t>
            </w:r>
          </w:p>
        </w:tc>
        <w:tc>
          <w:tcPr>
            <w:tcW w:w="1269" w:type="dxa"/>
            <w:tcBorders>
              <w:left w:val="single" w:sz="4" w:space="0" w:color="auto"/>
              <w:right w:val="single" w:sz="4" w:space="0" w:color="auto"/>
            </w:tcBorders>
            <w:shd w:val="clear" w:color="auto" w:fill="D9D9D9" w:themeFill="background1" w:themeFillShade="D9"/>
            <w:vAlign w:val="center"/>
          </w:tcPr>
          <w:p w14:paraId="54616623" w14:textId="0470B4DE" w:rsidR="001C2174" w:rsidRPr="00E200E5" w:rsidRDefault="001C2174" w:rsidP="00E200E5">
            <w:pPr>
              <w:spacing w:after="0" w:line="240" w:lineRule="auto"/>
              <w:jc w:val="right"/>
              <w:rPr>
                <w:rFonts w:cs="Arial"/>
                <w:b/>
                <w:bCs/>
                <w:color w:val="000000"/>
                <w:szCs w:val="20"/>
              </w:rPr>
            </w:pPr>
            <w:r w:rsidRPr="002152E6">
              <w:rPr>
                <w:rFonts w:cs="Arial"/>
                <w:b/>
                <w:bCs/>
                <w:szCs w:val="20"/>
              </w:rPr>
              <w:t>710</w:t>
            </w:r>
          </w:p>
        </w:tc>
        <w:tc>
          <w:tcPr>
            <w:tcW w:w="1416" w:type="dxa"/>
            <w:tcBorders>
              <w:left w:val="single" w:sz="4" w:space="0" w:color="auto"/>
              <w:right w:val="single" w:sz="4" w:space="0" w:color="auto"/>
            </w:tcBorders>
            <w:shd w:val="clear" w:color="auto" w:fill="D9D9D9" w:themeFill="background1" w:themeFillShade="D9"/>
            <w:vAlign w:val="center"/>
          </w:tcPr>
          <w:p w14:paraId="37981E50" w14:textId="4A3B31B4" w:rsidR="001C2174" w:rsidRPr="00E200E5" w:rsidRDefault="001C2174" w:rsidP="00E200E5">
            <w:pPr>
              <w:spacing w:after="0" w:line="240" w:lineRule="auto"/>
              <w:jc w:val="right"/>
              <w:rPr>
                <w:rFonts w:cs="Arial"/>
                <w:b/>
                <w:bCs/>
                <w:color w:val="000000"/>
                <w:szCs w:val="20"/>
              </w:rPr>
            </w:pPr>
            <w:r w:rsidRPr="002152E6">
              <w:rPr>
                <w:rFonts w:cs="Arial"/>
                <w:b/>
                <w:bCs/>
                <w:szCs w:val="20"/>
              </w:rPr>
              <w:t>230</w:t>
            </w:r>
          </w:p>
        </w:tc>
        <w:tc>
          <w:tcPr>
            <w:tcW w:w="1428" w:type="dxa"/>
            <w:tcBorders>
              <w:left w:val="single" w:sz="4" w:space="0" w:color="auto"/>
              <w:right w:val="single" w:sz="4" w:space="0" w:color="auto"/>
            </w:tcBorders>
            <w:shd w:val="clear" w:color="auto" w:fill="D9D9D9" w:themeFill="background1" w:themeFillShade="D9"/>
            <w:vAlign w:val="center"/>
          </w:tcPr>
          <w:p w14:paraId="61CFB57B" w14:textId="6C5D8AEA" w:rsidR="001C2174" w:rsidRPr="00E200E5" w:rsidRDefault="001C2174" w:rsidP="00E200E5">
            <w:pPr>
              <w:spacing w:after="0" w:line="240" w:lineRule="auto"/>
              <w:jc w:val="right"/>
              <w:rPr>
                <w:rFonts w:cs="Arial"/>
                <w:b/>
                <w:bCs/>
                <w:color w:val="000000"/>
                <w:szCs w:val="20"/>
              </w:rPr>
            </w:pPr>
            <w:r w:rsidRPr="002152E6">
              <w:rPr>
                <w:rFonts w:cs="Arial"/>
                <w:b/>
                <w:bCs/>
                <w:szCs w:val="20"/>
              </w:rPr>
              <w:t>709</w:t>
            </w:r>
          </w:p>
        </w:tc>
        <w:tc>
          <w:tcPr>
            <w:tcW w:w="1273" w:type="dxa"/>
            <w:tcBorders>
              <w:left w:val="single" w:sz="4" w:space="0" w:color="auto"/>
            </w:tcBorders>
            <w:shd w:val="clear" w:color="auto" w:fill="D9D9D9" w:themeFill="background1" w:themeFillShade="D9"/>
            <w:vAlign w:val="center"/>
          </w:tcPr>
          <w:p w14:paraId="78722864" w14:textId="357911FD" w:rsidR="001C2174" w:rsidRPr="00E200E5" w:rsidRDefault="001C2174" w:rsidP="00E200E5">
            <w:pPr>
              <w:spacing w:after="0" w:line="240" w:lineRule="auto"/>
              <w:jc w:val="right"/>
              <w:rPr>
                <w:rFonts w:cs="Arial"/>
                <w:b/>
                <w:bCs/>
                <w:color w:val="000000"/>
                <w:szCs w:val="20"/>
              </w:rPr>
            </w:pPr>
            <w:r w:rsidRPr="002152E6">
              <w:rPr>
                <w:rFonts w:cs="Arial"/>
                <w:b/>
                <w:bCs/>
                <w:szCs w:val="20"/>
              </w:rPr>
              <w:t>1</w:t>
            </w:r>
          </w:p>
        </w:tc>
      </w:tr>
    </w:tbl>
    <w:p w14:paraId="7FF1ED39" w14:textId="078AA26A" w:rsidR="002152E6" w:rsidRDefault="002152E6" w:rsidP="00E200E5">
      <w:pPr>
        <w:pStyle w:val="Tableorfigurenotemultiple"/>
        <w:rPr>
          <w:szCs w:val="20"/>
        </w:rPr>
      </w:pPr>
      <w:r w:rsidRPr="00F66735">
        <w:t>*</w:t>
      </w:r>
      <w:r>
        <w:t xml:space="preserve"> There are 31 licensees</w:t>
      </w:r>
      <w:r w:rsidR="00D94947">
        <w:t>,</w:t>
      </w:r>
      <w:r>
        <w:t xml:space="preserve"> </w:t>
      </w:r>
      <w:r w:rsidR="00D94947">
        <w:t>each having fewer</w:t>
      </w:r>
      <w:r>
        <w:t xml:space="preserve"> than 50 assignments.</w:t>
      </w:r>
    </w:p>
    <w:p w14:paraId="4AB26030" w14:textId="3D9ED53A" w:rsidR="00F66735" w:rsidRDefault="00F66735" w:rsidP="00E200E5">
      <w:pPr>
        <w:pStyle w:val="Tableorfigurenote"/>
        <w:rPr>
          <w:szCs w:val="16"/>
        </w:rPr>
      </w:pPr>
      <w:r w:rsidRPr="006F4B63">
        <w:rPr>
          <w:szCs w:val="16"/>
        </w:rPr>
        <w:t xml:space="preserve">Data taken from </w:t>
      </w:r>
      <w:hyperlink r:id="rId80" w:history="1">
        <w:r w:rsidRPr="00DF4A94">
          <w:rPr>
            <w:rStyle w:val="Hyperlink"/>
            <w:szCs w:val="16"/>
          </w:rPr>
          <w:t>RRL</w:t>
        </w:r>
      </w:hyperlink>
      <w:r w:rsidRPr="006F4B63">
        <w:rPr>
          <w:szCs w:val="16"/>
        </w:rPr>
        <w:t xml:space="preserve"> as at </w:t>
      </w:r>
      <w:r>
        <w:rPr>
          <w:szCs w:val="16"/>
        </w:rPr>
        <w:t>2</w:t>
      </w:r>
      <w:r w:rsidRPr="006F4B63">
        <w:rPr>
          <w:szCs w:val="16"/>
        </w:rPr>
        <w:t xml:space="preserve"> </w:t>
      </w:r>
      <w:r>
        <w:rPr>
          <w:szCs w:val="16"/>
        </w:rPr>
        <w:t>August</w:t>
      </w:r>
      <w:r w:rsidRPr="006F4B63">
        <w:rPr>
          <w:szCs w:val="16"/>
        </w:rPr>
        <w:t xml:space="preserve"> 20</w:t>
      </w:r>
      <w:r>
        <w:rPr>
          <w:szCs w:val="16"/>
        </w:rPr>
        <w:t>21</w:t>
      </w:r>
      <w:r w:rsidR="002152E6">
        <w:rPr>
          <w:szCs w:val="16"/>
        </w:rPr>
        <w:t>.</w:t>
      </w:r>
    </w:p>
    <w:p w14:paraId="568B8A72" w14:textId="1EB3508B" w:rsidR="00F66735" w:rsidRDefault="00F66735" w:rsidP="00E200E5">
      <w:pPr>
        <w:pStyle w:val="Tableheading"/>
      </w:pPr>
      <w:r>
        <w:lastRenderedPageBreak/>
        <w:t xml:space="preserve">Number of </w:t>
      </w:r>
      <w:r w:rsidR="00FE547B">
        <w:t xml:space="preserve">PMTS </w:t>
      </w:r>
      <w:r>
        <w:t xml:space="preserve">Class B and C </w:t>
      </w:r>
      <w:r w:rsidR="00BB625B">
        <w:t>assignments</w:t>
      </w:r>
      <w:r>
        <w:t xml:space="preserve"> between 1920–1980 MHz</w:t>
      </w:r>
    </w:p>
    <w:tbl>
      <w:tblPr>
        <w:tblW w:w="7903" w:type="dxa"/>
        <w:tblBorders>
          <w:top w:val="single" w:sz="4" w:space="0" w:color="auto"/>
          <w:bottom w:val="single" w:sz="4" w:space="0" w:color="auto"/>
          <w:insideH w:val="single" w:sz="4" w:space="0" w:color="auto"/>
        </w:tblBorders>
        <w:tblCellMar>
          <w:top w:w="85" w:type="dxa"/>
          <w:bottom w:w="85" w:type="dxa"/>
        </w:tblCellMar>
        <w:tblLook w:val="07E0" w:firstRow="1" w:lastRow="1" w:firstColumn="1" w:lastColumn="1" w:noHBand="1" w:noVBand="1"/>
        <w:tblCaption w:val="Table title to go here"/>
        <w:tblDescription w:val="Table description to go here"/>
      </w:tblPr>
      <w:tblGrid>
        <w:gridCol w:w="2654"/>
        <w:gridCol w:w="1132"/>
        <w:gridCol w:w="1416"/>
        <w:gridCol w:w="1428"/>
        <w:gridCol w:w="1273"/>
      </w:tblGrid>
      <w:tr w:rsidR="009A1022" w:rsidRPr="006D46E5" w14:paraId="4531A99F" w14:textId="77777777" w:rsidTr="009A1022">
        <w:tc>
          <w:tcPr>
            <w:tcW w:w="2654" w:type="dxa"/>
            <w:vMerge w:val="restart"/>
            <w:shd w:val="clear" w:color="auto" w:fill="404040" w:themeFill="text1" w:themeFillTint="BF"/>
            <w:vAlign w:val="center"/>
          </w:tcPr>
          <w:p w14:paraId="424B2602" w14:textId="77777777" w:rsidR="009A1022" w:rsidRPr="00DF4A94" w:rsidRDefault="009A1022" w:rsidP="00E200E5">
            <w:pPr>
              <w:pStyle w:val="TableHeading0"/>
              <w:keepNext/>
              <w:keepLines/>
              <w:suppressAutoHyphens/>
              <w:rPr>
                <w:color w:val="FFFFFF" w:themeColor="background1"/>
              </w:rPr>
            </w:pPr>
            <w:r>
              <w:rPr>
                <w:color w:val="FFFFFF" w:themeColor="background1"/>
              </w:rPr>
              <w:t>Licensee</w:t>
            </w:r>
          </w:p>
        </w:tc>
        <w:tc>
          <w:tcPr>
            <w:tcW w:w="5249" w:type="dxa"/>
            <w:gridSpan w:val="4"/>
            <w:shd w:val="clear" w:color="auto" w:fill="404040" w:themeFill="text1" w:themeFillTint="BF"/>
            <w:vAlign w:val="center"/>
          </w:tcPr>
          <w:p w14:paraId="57FDF876" w14:textId="77777777" w:rsidR="009A1022" w:rsidRPr="00DF4A94" w:rsidRDefault="009A1022" w:rsidP="00E200E5">
            <w:pPr>
              <w:pStyle w:val="TableHeading0"/>
              <w:keepNext/>
              <w:keepLines/>
              <w:suppressAutoHyphens/>
              <w:jc w:val="center"/>
              <w:rPr>
                <w:color w:val="FFFFFF" w:themeColor="background1"/>
              </w:rPr>
            </w:pPr>
            <w:r>
              <w:rPr>
                <w:color w:val="FFFFFF" w:themeColor="background1"/>
              </w:rPr>
              <w:t>Number of assignments</w:t>
            </w:r>
          </w:p>
        </w:tc>
      </w:tr>
      <w:tr w:rsidR="009A1022" w:rsidRPr="006D46E5" w14:paraId="33150379" w14:textId="77777777" w:rsidTr="009A1022">
        <w:tc>
          <w:tcPr>
            <w:tcW w:w="2654" w:type="dxa"/>
            <w:vMerge/>
            <w:shd w:val="clear" w:color="auto" w:fill="404040" w:themeFill="text1" w:themeFillTint="BF"/>
            <w:vAlign w:val="center"/>
          </w:tcPr>
          <w:p w14:paraId="1D45220A" w14:textId="77777777" w:rsidR="009A1022" w:rsidRPr="00DF4A94" w:rsidRDefault="009A1022" w:rsidP="00E200E5">
            <w:pPr>
              <w:pStyle w:val="TableHeading0"/>
              <w:keepNext/>
              <w:keepLines/>
              <w:suppressAutoHyphens/>
              <w:rPr>
                <w:color w:val="FFFFFF" w:themeColor="background1"/>
              </w:rPr>
            </w:pPr>
          </w:p>
        </w:tc>
        <w:tc>
          <w:tcPr>
            <w:tcW w:w="1132" w:type="dxa"/>
            <w:tcBorders>
              <w:bottom w:val="single" w:sz="4" w:space="0" w:color="auto"/>
            </w:tcBorders>
            <w:shd w:val="clear" w:color="auto" w:fill="404040" w:themeFill="text1" w:themeFillTint="BF"/>
            <w:vAlign w:val="center"/>
          </w:tcPr>
          <w:p w14:paraId="003794FB" w14:textId="77777777" w:rsidR="009A1022" w:rsidRPr="00DF4A94" w:rsidRDefault="009A1022" w:rsidP="00E200E5">
            <w:pPr>
              <w:pStyle w:val="TableHeading0"/>
              <w:keepNext/>
              <w:keepLines/>
              <w:suppressAutoHyphens/>
              <w:jc w:val="right"/>
              <w:rPr>
                <w:color w:val="FFFFFF" w:themeColor="background1"/>
              </w:rPr>
            </w:pPr>
            <w:r>
              <w:rPr>
                <w:color w:val="FFFFFF" w:themeColor="background1"/>
              </w:rPr>
              <w:t>Total</w:t>
            </w:r>
          </w:p>
        </w:tc>
        <w:tc>
          <w:tcPr>
            <w:tcW w:w="1416" w:type="dxa"/>
            <w:tcBorders>
              <w:bottom w:val="single" w:sz="4" w:space="0" w:color="auto"/>
            </w:tcBorders>
            <w:shd w:val="clear" w:color="auto" w:fill="404040" w:themeFill="text1" w:themeFillTint="BF"/>
          </w:tcPr>
          <w:p w14:paraId="6F5B0F43" w14:textId="77777777" w:rsidR="009A1022" w:rsidRDefault="009A1022" w:rsidP="00E200E5">
            <w:pPr>
              <w:pStyle w:val="TableHeading0"/>
              <w:keepNext/>
              <w:keepLines/>
              <w:suppressAutoHyphens/>
              <w:jc w:val="right"/>
              <w:rPr>
                <w:color w:val="FFFFFF" w:themeColor="background1"/>
              </w:rPr>
            </w:pPr>
            <w:r>
              <w:rPr>
                <w:color w:val="FFFFFF" w:themeColor="background1"/>
              </w:rPr>
              <w:t>Directly adjacent</w:t>
            </w:r>
          </w:p>
        </w:tc>
        <w:tc>
          <w:tcPr>
            <w:tcW w:w="1428" w:type="dxa"/>
            <w:tcBorders>
              <w:bottom w:val="single" w:sz="4" w:space="0" w:color="auto"/>
            </w:tcBorders>
            <w:shd w:val="clear" w:color="auto" w:fill="404040" w:themeFill="text1" w:themeFillTint="BF"/>
            <w:vAlign w:val="center"/>
          </w:tcPr>
          <w:p w14:paraId="13657262" w14:textId="77777777" w:rsidR="009A1022" w:rsidRPr="00DF4A94" w:rsidRDefault="009A1022" w:rsidP="00E200E5">
            <w:pPr>
              <w:pStyle w:val="TableHeading0"/>
              <w:keepNext/>
              <w:keepLines/>
              <w:suppressAutoHyphens/>
              <w:jc w:val="right"/>
              <w:rPr>
                <w:color w:val="FFFFFF" w:themeColor="background1"/>
              </w:rPr>
            </w:pPr>
            <w:r>
              <w:rPr>
                <w:color w:val="FFFFFF" w:themeColor="background1"/>
              </w:rPr>
              <w:t>Transmitters</w:t>
            </w:r>
          </w:p>
        </w:tc>
        <w:tc>
          <w:tcPr>
            <w:tcW w:w="1273" w:type="dxa"/>
            <w:tcBorders>
              <w:bottom w:val="single" w:sz="4" w:space="0" w:color="auto"/>
            </w:tcBorders>
            <w:shd w:val="clear" w:color="auto" w:fill="404040" w:themeFill="text1" w:themeFillTint="BF"/>
            <w:vAlign w:val="center"/>
          </w:tcPr>
          <w:p w14:paraId="35E1D0D3" w14:textId="77777777" w:rsidR="009A1022" w:rsidRPr="00DF4A94" w:rsidRDefault="009A1022" w:rsidP="00E200E5">
            <w:pPr>
              <w:pStyle w:val="TableHeading0"/>
              <w:keepNext/>
              <w:keepLines/>
              <w:suppressAutoHyphens/>
              <w:jc w:val="right"/>
              <w:rPr>
                <w:color w:val="FFFFFF" w:themeColor="background1"/>
              </w:rPr>
            </w:pPr>
            <w:r>
              <w:rPr>
                <w:color w:val="FFFFFF" w:themeColor="background1"/>
              </w:rPr>
              <w:t>Receivers</w:t>
            </w:r>
          </w:p>
        </w:tc>
      </w:tr>
      <w:tr w:rsidR="00415710" w:rsidRPr="006D46E5" w14:paraId="2BC184E6" w14:textId="77777777" w:rsidTr="009A1022">
        <w:tc>
          <w:tcPr>
            <w:tcW w:w="2654" w:type="dxa"/>
            <w:tcBorders>
              <w:bottom w:val="single" w:sz="4" w:space="0" w:color="auto"/>
              <w:right w:val="single" w:sz="4" w:space="0" w:color="auto"/>
            </w:tcBorders>
            <w:vAlign w:val="center"/>
          </w:tcPr>
          <w:p w14:paraId="4833041C" w14:textId="58CE68A3" w:rsidR="00F66735" w:rsidRPr="00E72A92" w:rsidRDefault="00F66735" w:rsidP="00E200E5">
            <w:pPr>
              <w:keepNext/>
              <w:keepLines/>
              <w:suppressAutoHyphens/>
              <w:spacing w:after="0" w:line="240" w:lineRule="auto"/>
              <w:rPr>
                <w:rFonts w:ascii="Calibri" w:hAnsi="Calibri"/>
                <w:color w:val="000000"/>
                <w:sz w:val="22"/>
                <w:szCs w:val="22"/>
              </w:rPr>
            </w:pPr>
            <w:r w:rsidRPr="00CD7800">
              <w:t>BHP B</w:t>
            </w:r>
            <w:r w:rsidR="002152E6">
              <w:t>illiton Iron Ore Pty. Ltd.</w:t>
            </w:r>
          </w:p>
        </w:tc>
        <w:tc>
          <w:tcPr>
            <w:tcW w:w="1132" w:type="dxa"/>
            <w:tcBorders>
              <w:left w:val="single" w:sz="4" w:space="0" w:color="auto"/>
              <w:bottom w:val="single" w:sz="4" w:space="0" w:color="auto"/>
              <w:right w:val="single" w:sz="4" w:space="0" w:color="auto"/>
            </w:tcBorders>
            <w:vAlign w:val="center"/>
          </w:tcPr>
          <w:p w14:paraId="68318721" w14:textId="450192C1"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195</w:t>
            </w:r>
          </w:p>
        </w:tc>
        <w:tc>
          <w:tcPr>
            <w:tcW w:w="1416" w:type="dxa"/>
            <w:tcBorders>
              <w:left w:val="single" w:sz="4" w:space="0" w:color="auto"/>
              <w:bottom w:val="single" w:sz="4" w:space="0" w:color="auto"/>
              <w:right w:val="single" w:sz="4" w:space="0" w:color="auto"/>
            </w:tcBorders>
            <w:vAlign w:val="center"/>
          </w:tcPr>
          <w:p w14:paraId="4F19D87A" w14:textId="72CC87DC"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196</w:t>
            </w:r>
          </w:p>
        </w:tc>
        <w:tc>
          <w:tcPr>
            <w:tcW w:w="1428" w:type="dxa"/>
            <w:tcBorders>
              <w:left w:val="single" w:sz="4" w:space="0" w:color="auto"/>
              <w:bottom w:val="single" w:sz="4" w:space="0" w:color="auto"/>
              <w:right w:val="single" w:sz="4" w:space="0" w:color="auto"/>
            </w:tcBorders>
            <w:vAlign w:val="center"/>
          </w:tcPr>
          <w:p w14:paraId="2D9291D8" w14:textId="27C78088"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0</w:t>
            </w:r>
          </w:p>
        </w:tc>
        <w:tc>
          <w:tcPr>
            <w:tcW w:w="1273" w:type="dxa"/>
            <w:tcBorders>
              <w:left w:val="single" w:sz="4" w:space="0" w:color="auto"/>
              <w:bottom w:val="single" w:sz="4" w:space="0" w:color="auto"/>
            </w:tcBorders>
            <w:vAlign w:val="center"/>
          </w:tcPr>
          <w:p w14:paraId="6AF1D6EB" w14:textId="65D8420E"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196</w:t>
            </w:r>
          </w:p>
        </w:tc>
      </w:tr>
      <w:tr w:rsidR="007411F2" w:rsidRPr="006D46E5" w14:paraId="59163276" w14:textId="77777777" w:rsidTr="009A1022">
        <w:tc>
          <w:tcPr>
            <w:tcW w:w="2654" w:type="dxa"/>
            <w:tcBorders>
              <w:right w:val="single" w:sz="4" w:space="0" w:color="auto"/>
            </w:tcBorders>
            <w:shd w:val="clear" w:color="auto" w:fill="F2F2F2" w:themeFill="background1" w:themeFillShade="F2"/>
            <w:vAlign w:val="center"/>
          </w:tcPr>
          <w:p w14:paraId="502E800B" w14:textId="7E536C7C" w:rsidR="00F66735" w:rsidRPr="00E72A92" w:rsidRDefault="00F66735" w:rsidP="00E200E5">
            <w:pPr>
              <w:keepNext/>
              <w:keepLines/>
              <w:suppressAutoHyphens/>
              <w:spacing w:after="0" w:line="240" w:lineRule="auto"/>
              <w:rPr>
                <w:rFonts w:ascii="Calibri" w:hAnsi="Calibri"/>
                <w:color w:val="000000"/>
                <w:sz w:val="22"/>
                <w:szCs w:val="22"/>
              </w:rPr>
            </w:pPr>
            <w:r w:rsidRPr="00CD7800">
              <w:t>C</w:t>
            </w:r>
            <w:r w:rsidR="002152E6">
              <w:t xml:space="preserve">hallenge Networks resources Pty Ltd </w:t>
            </w:r>
          </w:p>
        </w:tc>
        <w:tc>
          <w:tcPr>
            <w:tcW w:w="1132" w:type="dxa"/>
            <w:tcBorders>
              <w:left w:val="single" w:sz="4" w:space="0" w:color="auto"/>
              <w:right w:val="single" w:sz="4" w:space="0" w:color="auto"/>
            </w:tcBorders>
            <w:shd w:val="clear" w:color="auto" w:fill="F2F2F2" w:themeFill="background1" w:themeFillShade="F2"/>
            <w:vAlign w:val="center"/>
          </w:tcPr>
          <w:p w14:paraId="22F306F5" w14:textId="1323906B"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167</w:t>
            </w:r>
          </w:p>
        </w:tc>
        <w:tc>
          <w:tcPr>
            <w:tcW w:w="1416" w:type="dxa"/>
            <w:tcBorders>
              <w:left w:val="single" w:sz="4" w:space="0" w:color="auto"/>
              <w:right w:val="single" w:sz="4" w:space="0" w:color="auto"/>
            </w:tcBorders>
            <w:shd w:val="clear" w:color="auto" w:fill="F2F2F2" w:themeFill="background1" w:themeFillShade="F2"/>
            <w:vAlign w:val="center"/>
          </w:tcPr>
          <w:p w14:paraId="605E9A20" w14:textId="6FF3AC68" w:rsidR="00F66735" w:rsidRDefault="00F66735" w:rsidP="00E200E5">
            <w:pPr>
              <w:keepNext/>
              <w:keepLines/>
              <w:suppressAutoHyphens/>
              <w:spacing w:after="0" w:line="240" w:lineRule="auto"/>
              <w:jc w:val="right"/>
              <w:rPr>
                <w:rFonts w:ascii="Calibri" w:hAnsi="Calibri"/>
                <w:color w:val="000000"/>
                <w:sz w:val="22"/>
                <w:szCs w:val="22"/>
              </w:rPr>
            </w:pPr>
            <w:r w:rsidRPr="00CD7800">
              <w:t>18</w:t>
            </w:r>
          </w:p>
        </w:tc>
        <w:tc>
          <w:tcPr>
            <w:tcW w:w="1428" w:type="dxa"/>
            <w:tcBorders>
              <w:left w:val="single" w:sz="4" w:space="0" w:color="auto"/>
              <w:right w:val="single" w:sz="4" w:space="0" w:color="auto"/>
            </w:tcBorders>
            <w:shd w:val="clear" w:color="auto" w:fill="F2F2F2" w:themeFill="background1" w:themeFillShade="F2"/>
            <w:vAlign w:val="center"/>
          </w:tcPr>
          <w:p w14:paraId="284BB583" w14:textId="52D5A428"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0</w:t>
            </w:r>
          </w:p>
        </w:tc>
        <w:tc>
          <w:tcPr>
            <w:tcW w:w="1273" w:type="dxa"/>
            <w:tcBorders>
              <w:left w:val="single" w:sz="4" w:space="0" w:color="auto"/>
            </w:tcBorders>
            <w:shd w:val="clear" w:color="auto" w:fill="F2F2F2" w:themeFill="background1" w:themeFillShade="F2"/>
            <w:vAlign w:val="center"/>
          </w:tcPr>
          <w:p w14:paraId="7B7F2E0A" w14:textId="604AA259"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169</w:t>
            </w:r>
          </w:p>
        </w:tc>
      </w:tr>
      <w:tr w:rsidR="00F66735" w:rsidRPr="006D46E5" w14:paraId="5910E901" w14:textId="77777777" w:rsidTr="009A1022">
        <w:tc>
          <w:tcPr>
            <w:tcW w:w="2654" w:type="dxa"/>
            <w:tcBorders>
              <w:right w:val="single" w:sz="4" w:space="0" w:color="auto"/>
            </w:tcBorders>
            <w:shd w:val="clear" w:color="auto" w:fill="auto"/>
            <w:vAlign w:val="center"/>
          </w:tcPr>
          <w:p w14:paraId="439ACA62" w14:textId="6E1A0FE8" w:rsidR="00F66735" w:rsidRDefault="00F66735" w:rsidP="00E200E5">
            <w:pPr>
              <w:keepNext/>
              <w:keepLines/>
              <w:suppressAutoHyphens/>
              <w:spacing w:after="0" w:line="240" w:lineRule="auto"/>
              <w:rPr>
                <w:rFonts w:ascii="Calibri" w:hAnsi="Calibri"/>
                <w:color w:val="000000"/>
                <w:sz w:val="22"/>
                <w:szCs w:val="22"/>
              </w:rPr>
            </w:pPr>
            <w:r w:rsidRPr="00CD7800">
              <w:t>Ergon Energy Corporation Limited</w:t>
            </w:r>
          </w:p>
        </w:tc>
        <w:tc>
          <w:tcPr>
            <w:tcW w:w="1132" w:type="dxa"/>
            <w:tcBorders>
              <w:left w:val="single" w:sz="4" w:space="0" w:color="auto"/>
              <w:right w:val="single" w:sz="4" w:space="0" w:color="auto"/>
            </w:tcBorders>
            <w:shd w:val="clear" w:color="auto" w:fill="auto"/>
            <w:vAlign w:val="center"/>
          </w:tcPr>
          <w:p w14:paraId="2452F290" w14:textId="6F6B8C36" w:rsidR="00F66735" w:rsidRDefault="00F66735" w:rsidP="00E200E5">
            <w:pPr>
              <w:keepNext/>
              <w:keepLines/>
              <w:suppressAutoHyphens/>
              <w:spacing w:after="0" w:line="240" w:lineRule="auto"/>
              <w:jc w:val="right"/>
              <w:rPr>
                <w:rFonts w:ascii="Calibri" w:hAnsi="Calibri"/>
                <w:color w:val="000000"/>
                <w:sz w:val="22"/>
                <w:szCs w:val="22"/>
              </w:rPr>
            </w:pPr>
            <w:r w:rsidRPr="00CD7800">
              <w:t>169</w:t>
            </w:r>
          </w:p>
        </w:tc>
        <w:tc>
          <w:tcPr>
            <w:tcW w:w="1416" w:type="dxa"/>
            <w:tcBorders>
              <w:left w:val="single" w:sz="4" w:space="0" w:color="auto"/>
              <w:right w:val="single" w:sz="4" w:space="0" w:color="auto"/>
            </w:tcBorders>
            <w:vAlign w:val="center"/>
          </w:tcPr>
          <w:p w14:paraId="1D303370" w14:textId="65A2B859" w:rsidR="00F66735" w:rsidRDefault="00F66735" w:rsidP="00E200E5">
            <w:pPr>
              <w:keepNext/>
              <w:keepLines/>
              <w:suppressAutoHyphens/>
              <w:spacing w:after="0" w:line="240" w:lineRule="auto"/>
              <w:jc w:val="right"/>
              <w:rPr>
                <w:rFonts w:ascii="Calibri" w:hAnsi="Calibri"/>
                <w:color w:val="000000"/>
                <w:sz w:val="22"/>
                <w:szCs w:val="22"/>
              </w:rPr>
            </w:pPr>
            <w:r w:rsidRPr="00CD7800">
              <w:t>10</w:t>
            </w:r>
          </w:p>
        </w:tc>
        <w:tc>
          <w:tcPr>
            <w:tcW w:w="1428" w:type="dxa"/>
            <w:tcBorders>
              <w:left w:val="single" w:sz="4" w:space="0" w:color="auto"/>
              <w:right w:val="single" w:sz="4" w:space="0" w:color="auto"/>
            </w:tcBorders>
            <w:shd w:val="clear" w:color="auto" w:fill="auto"/>
            <w:vAlign w:val="center"/>
          </w:tcPr>
          <w:p w14:paraId="5D322135" w14:textId="12113AF4" w:rsidR="00F66735" w:rsidRDefault="00F66735" w:rsidP="00E200E5">
            <w:pPr>
              <w:keepNext/>
              <w:keepLines/>
              <w:suppressAutoHyphens/>
              <w:spacing w:after="0" w:line="240" w:lineRule="auto"/>
              <w:jc w:val="right"/>
              <w:rPr>
                <w:rFonts w:ascii="Calibri" w:hAnsi="Calibri"/>
                <w:color w:val="000000"/>
                <w:sz w:val="22"/>
                <w:szCs w:val="22"/>
              </w:rPr>
            </w:pPr>
            <w:r w:rsidRPr="00CD7800">
              <w:t>0</w:t>
            </w:r>
          </w:p>
        </w:tc>
        <w:tc>
          <w:tcPr>
            <w:tcW w:w="1273" w:type="dxa"/>
            <w:tcBorders>
              <w:left w:val="single" w:sz="4" w:space="0" w:color="auto"/>
            </w:tcBorders>
            <w:shd w:val="clear" w:color="auto" w:fill="auto"/>
            <w:vAlign w:val="center"/>
          </w:tcPr>
          <w:p w14:paraId="6730E011" w14:textId="7C8F4A3A" w:rsidR="00F66735" w:rsidRDefault="00F66735" w:rsidP="00E200E5">
            <w:pPr>
              <w:keepNext/>
              <w:keepLines/>
              <w:suppressAutoHyphens/>
              <w:spacing w:after="0" w:line="240" w:lineRule="auto"/>
              <w:jc w:val="right"/>
              <w:rPr>
                <w:rFonts w:ascii="Calibri" w:hAnsi="Calibri"/>
                <w:color w:val="000000"/>
                <w:sz w:val="22"/>
                <w:szCs w:val="22"/>
              </w:rPr>
            </w:pPr>
            <w:r w:rsidRPr="00CD7800">
              <w:t>170</w:t>
            </w:r>
          </w:p>
        </w:tc>
      </w:tr>
      <w:tr w:rsidR="007411F2" w:rsidRPr="006D46E5" w14:paraId="164826C5" w14:textId="77777777" w:rsidTr="009A1022">
        <w:tc>
          <w:tcPr>
            <w:tcW w:w="2654" w:type="dxa"/>
            <w:tcBorders>
              <w:right w:val="single" w:sz="4" w:space="0" w:color="auto"/>
            </w:tcBorders>
            <w:shd w:val="clear" w:color="auto" w:fill="F2F2F2" w:themeFill="background1" w:themeFillShade="F2"/>
            <w:vAlign w:val="center"/>
          </w:tcPr>
          <w:p w14:paraId="78C7BCBA" w14:textId="753F634F" w:rsidR="00F66735" w:rsidRDefault="00F66735" w:rsidP="00E200E5">
            <w:pPr>
              <w:keepNext/>
              <w:keepLines/>
              <w:suppressAutoHyphens/>
              <w:spacing w:after="0" w:line="240" w:lineRule="auto"/>
              <w:rPr>
                <w:rFonts w:ascii="Calibri" w:hAnsi="Calibri"/>
                <w:color w:val="000000"/>
                <w:sz w:val="22"/>
                <w:szCs w:val="22"/>
              </w:rPr>
            </w:pPr>
            <w:r w:rsidRPr="00CD7800">
              <w:t>Optus Mobile Pty Limited</w:t>
            </w:r>
          </w:p>
        </w:tc>
        <w:tc>
          <w:tcPr>
            <w:tcW w:w="1132" w:type="dxa"/>
            <w:tcBorders>
              <w:left w:val="single" w:sz="4" w:space="0" w:color="auto"/>
              <w:right w:val="single" w:sz="4" w:space="0" w:color="auto"/>
            </w:tcBorders>
            <w:shd w:val="clear" w:color="auto" w:fill="F2F2F2" w:themeFill="background1" w:themeFillShade="F2"/>
            <w:vAlign w:val="center"/>
          </w:tcPr>
          <w:p w14:paraId="21A024F5" w14:textId="670F5A8F" w:rsidR="00F66735" w:rsidRDefault="00F66735" w:rsidP="00E200E5">
            <w:pPr>
              <w:keepNext/>
              <w:keepLines/>
              <w:suppressAutoHyphens/>
              <w:spacing w:after="0" w:line="240" w:lineRule="auto"/>
              <w:jc w:val="right"/>
              <w:rPr>
                <w:rFonts w:ascii="Calibri" w:hAnsi="Calibri"/>
                <w:color w:val="000000"/>
                <w:sz w:val="22"/>
                <w:szCs w:val="22"/>
              </w:rPr>
            </w:pPr>
            <w:r w:rsidRPr="00CD7800">
              <w:t>4</w:t>
            </w:r>
            <w:r w:rsidR="00C7497F">
              <w:t>,</w:t>
            </w:r>
            <w:r w:rsidRPr="00CD7800">
              <w:t>227</w:t>
            </w:r>
          </w:p>
        </w:tc>
        <w:tc>
          <w:tcPr>
            <w:tcW w:w="1416" w:type="dxa"/>
            <w:tcBorders>
              <w:left w:val="single" w:sz="4" w:space="0" w:color="auto"/>
              <w:right w:val="single" w:sz="4" w:space="0" w:color="auto"/>
            </w:tcBorders>
            <w:shd w:val="clear" w:color="auto" w:fill="F2F2F2" w:themeFill="background1" w:themeFillShade="F2"/>
            <w:vAlign w:val="center"/>
          </w:tcPr>
          <w:p w14:paraId="17B6885F" w14:textId="03C8D1C8" w:rsidR="00F66735" w:rsidRDefault="00F66735" w:rsidP="00E200E5">
            <w:pPr>
              <w:keepNext/>
              <w:keepLines/>
              <w:suppressAutoHyphens/>
              <w:spacing w:after="0" w:line="240" w:lineRule="auto"/>
              <w:jc w:val="right"/>
              <w:rPr>
                <w:rFonts w:ascii="Calibri" w:hAnsi="Calibri"/>
                <w:color w:val="000000"/>
                <w:sz w:val="22"/>
                <w:szCs w:val="22"/>
              </w:rPr>
            </w:pPr>
            <w:r w:rsidRPr="00CD7800">
              <w:t>0</w:t>
            </w:r>
          </w:p>
        </w:tc>
        <w:tc>
          <w:tcPr>
            <w:tcW w:w="1428" w:type="dxa"/>
            <w:tcBorders>
              <w:left w:val="single" w:sz="4" w:space="0" w:color="auto"/>
              <w:right w:val="single" w:sz="4" w:space="0" w:color="auto"/>
            </w:tcBorders>
            <w:shd w:val="clear" w:color="auto" w:fill="F2F2F2" w:themeFill="background1" w:themeFillShade="F2"/>
            <w:vAlign w:val="center"/>
          </w:tcPr>
          <w:p w14:paraId="509A7549" w14:textId="7A35D1F5" w:rsidR="00F66735" w:rsidRDefault="00F66735" w:rsidP="00E200E5">
            <w:pPr>
              <w:keepNext/>
              <w:keepLines/>
              <w:suppressAutoHyphens/>
              <w:spacing w:after="0" w:line="240" w:lineRule="auto"/>
              <w:jc w:val="right"/>
              <w:rPr>
                <w:rFonts w:ascii="Calibri" w:hAnsi="Calibri"/>
                <w:color w:val="000000"/>
                <w:sz w:val="22"/>
                <w:szCs w:val="22"/>
              </w:rPr>
            </w:pPr>
            <w:r w:rsidRPr="00CD7800">
              <w:t>16</w:t>
            </w:r>
          </w:p>
        </w:tc>
        <w:tc>
          <w:tcPr>
            <w:tcW w:w="1273" w:type="dxa"/>
            <w:tcBorders>
              <w:left w:val="single" w:sz="4" w:space="0" w:color="auto"/>
            </w:tcBorders>
            <w:shd w:val="clear" w:color="auto" w:fill="F2F2F2" w:themeFill="background1" w:themeFillShade="F2"/>
            <w:vAlign w:val="center"/>
          </w:tcPr>
          <w:p w14:paraId="50924404" w14:textId="5FDF439E" w:rsidR="00F66735" w:rsidRDefault="00F66735" w:rsidP="00E200E5">
            <w:pPr>
              <w:keepNext/>
              <w:keepLines/>
              <w:suppressAutoHyphens/>
              <w:spacing w:after="0" w:line="240" w:lineRule="auto"/>
              <w:jc w:val="right"/>
              <w:rPr>
                <w:rFonts w:ascii="Calibri" w:hAnsi="Calibri"/>
                <w:color w:val="000000"/>
                <w:sz w:val="22"/>
                <w:szCs w:val="22"/>
              </w:rPr>
            </w:pPr>
            <w:r w:rsidRPr="00CD7800">
              <w:t>4</w:t>
            </w:r>
            <w:r w:rsidR="00C7497F">
              <w:t>,</w:t>
            </w:r>
            <w:r w:rsidRPr="00CD7800">
              <w:t>206</w:t>
            </w:r>
          </w:p>
        </w:tc>
      </w:tr>
      <w:tr w:rsidR="00415710" w:rsidRPr="006D46E5" w14:paraId="666C9AA6" w14:textId="77777777" w:rsidTr="009A1022">
        <w:tc>
          <w:tcPr>
            <w:tcW w:w="2654" w:type="dxa"/>
            <w:tcBorders>
              <w:bottom w:val="single" w:sz="4" w:space="0" w:color="auto"/>
              <w:right w:val="single" w:sz="4" w:space="0" w:color="auto"/>
            </w:tcBorders>
            <w:vAlign w:val="center"/>
          </w:tcPr>
          <w:p w14:paraId="69041AD2" w14:textId="05B6CAC3" w:rsidR="00F66735" w:rsidRPr="00E72A92" w:rsidRDefault="00F66735" w:rsidP="00E200E5">
            <w:pPr>
              <w:keepNext/>
              <w:keepLines/>
              <w:suppressAutoHyphens/>
              <w:spacing w:after="0" w:line="240" w:lineRule="auto"/>
              <w:rPr>
                <w:rFonts w:ascii="Calibri" w:hAnsi="Calibri"/>
                <w:color w:val="000000"/>
                <w:sz w:val="22"/>
                <w:szCs w:val="22"/>
              </w:rPr>
            </w:pPr>
            <w:r w:rsidRPr="00CD7800">
              <w:t>Pilbara Iron Company (Services) Pty Ltd</w:t>
            </w:r>
          </w:p>
        </w:tc>
        <w:tc>
          <w:tcPr>
            <w:tcW w:w="1132" w:type="dxa"/>
            <w:tcBorders>
              <w:left w:val="single" w:sz="4" w:space="0" w:color="auto"/>
              <w:bottom w:val="single" w:sz="4" w:space="0" w:color="auto"/>
              <w:right w:val="single" w:sz="4" w:space="0" w:color="auto"/>
            </w:tcBorders>
            <w:vAlign w:val="center"/>
          </w:tcPr>
          <w:p w14:paraId="5D85E086" w14:textId="5935DD42"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55</w:t>
            </w:r>
          </w:p>
        </w:tc>
        <w:tc>
          <w:tcPr>
            <w:tcW w:w="1416" w:type="dxa"/>
            <w:tcBorders>
              <w:left w:val="single" w:sz="4" w:space="0" w:color="auto"/>
              <w:bottom w:val="single" w:sz="4" w:space="0" w:color="auto"/>
              <w:right w:val="single" w:sz="4" w:space="0" w:color="auto"/>
            </w:tcBorders>
            <w:vAlign w:val="center"/>
          </w:tcPr>
          <w:p w14:paraId="740366A5" w14:textId="07C790E2" w:rsidR="00F66735" w:rsidRDefault="00F66735" w:rsidP="00E200E5">
            <w:pPr>
              <w:keepNext/>
              <w:keepLines/>
              <w:suppressAutoHyphens/>
              <w:spacing w:after="0" w:line="240" w:lineRule="auto"/>
              <w:jc w:val="right"/>
              <w:rPr>
                <w:rFonts w:ascii="Calibri" w:hAnsi="Calibri"/>
                <w:color w:val="000000"/>
                <w:sz w:val="22"/>
                <w:szCs w:val="22"/>
              </w:rPr>
            </w:pPr>
            <w:r w:rsidRPr="00CD7800">
              <w:t>0</w:t>
            </w:r>
          </w:p>
        </w:tc>
        <w:tc>
          <w:tcPr>
            <w:tcW w:w="1428" w:type="dxa"/>
            <w:tcBorders>
              <w:left w:val="single" w:sz="4" w:space="0" w:color="auto"/>
              <w:bottom w:val="single" w:sz="4" w:space="0" w:color="auto"/>
              <w:right w:val="single" w:sz="4" w:space="0" w:color="auto"/>
            </w:tcBorders>
            <w:vAlign w:val="center"/>
          </w:tcPr>
          <w:p w14:paraId="4185AC58" w14:textId="447CFFFA"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0</w:t>
            </w:r>
          </w:p>
        </w:tc>
        <w:tc>
          <w:tcPr>
            <w:tcW w:w="1273" w:type="dxa"/>
            <w:tcBorders>
              <w:left w:val="single" w:sz="4" w:space="0" w:color="auto"/>
              <w:bottom w:val="single" w:sz="4" w:space="0" w:color="auto"/>
            </w:tcBorders>
            <w:vAlign w:val="center"/>
          </w:tcPr>
          <w:p w14:paraId="40319518" w14:textId="42686AF7" w:rsidR="00F66735" w:rsidRPr="00E72A92" w:rsidRDefault="00F66735" w:rsidP="00E200E5">
            <w:pPr>
              <w:keepNext/>
              <w:keepLines/>
              <w:suppressAutoHyphens/>
              <w:spacing w:after="0" w:line="240" w:lineRule="auto"/>
              <w:jc w:val="right"/>
              <w:rPr>
                <w:rFonts w:ascii="Calibri" w:hAnsi="Calibri"/>
                <w:color w:val="000000"/>
                <w:sz w:val="22"/>
                <w:szCs w:val="22"/>
              </w:rPr>
            </w:pPr>
            <w:r w:rsidRPr="00CD7800">
              <w:t>55</w:t>
            </w:r>
          </w:p>
        </w:tc>
      </w:tr>
      <w:tr w:rsidR="007411F2" w:rsidRPr="006D46E5" w14:paraId="4548D4B3" w14:textId="77777777" w:rsidTr="009A1022">
        <w:tc>
          <w:tcPr>
            <w:tcW w:w="2654" w:type="dxa"/>
            <w:tcBorders>
              <w:bottom w:val="single" w:sz="4" w:space="0" w:color="auto"/>
              <w:right w:val="single" w:sz="4" w:space="0" w:color="auto"/>
            </w:tcBorders>
            <w:shd w:val="clear" w:color="auto" w:fill="F2F2F2" w:themeFill="background1" w:themeFillShade="F2"/>
            <w:vAlign w:val="center"/>
          </w:tcPr>
          <w:p w14:paraId="0D0DD11A" w14:textId="4509FEED" w:rsidR="00F66735" w:rsidRPr="004B7130" w:rsidRDefault="00F66735" w:rsidP="00E200E5">
            <w:pPr>
              <w:keepNext/>
              <w:keepLines/>
              <w:suppressAutoHyphens/>
              <w:spacing w:after="0" w:line="240" w:lineRule="auto"/>
            </w:pPr>
            <w:r w:rsidRPr="00CD7800">
              <w:t>R</w:t>
            </w:r>
            <w:r w:rsidR="002152E6">
              <w:t xml:space="preserve">oy Hill Holdings Pty Ltd </w:t>
            </w:r>
          </w:p>
        </w:tc>
        <w:tc>
          <w:tcPr>
            <w:tcW w:w="1132" w:type="dxa"/>
            <w:tcBorders>
              <w:left w:val="single" w:sz="4" w:space="0" w:color="auto"/>
              <w:bottom w:val="single" w:sz="4" w:space="0" w:color="auto"/>
              <w:right w:val="single" w:sz="4" w:space="0" w:color="auto"/>
            </w:tcBorders>
            <w:shd w:val="clear" w:color="auto" w:fill="F2F2F2" w:themeFill="background1" w:themeFillShade="F2"/>
            <w:vAlign w:val="center"/>
          </w:tcPr>
          <w:p w14:paraId="661B7A01" w14:textId="46FC0915" w:rsidR="00F66735" w:rsidRPr="006238EA" w:rsidRDefault="00F66735" w:rsidP="00E200E5">
            <w:pPr>
              <w:keepNext/>
              <w:keepLines/>
              <w:suppressAutoHyphens/>
              <w:spacing w:after="0" w:line="240" w:lineRule="auto"/>
              <w:jc w:val="right"/>
            </w:pPr>
            <w:r w:rsidRPr="00CD7800">
              <w:t>60</w:t>
            </w:r>
          </w:p>
        </w:tc>
        <w:tc>
          <w:tcPr>
            <w:tcW w:w="1416" w:type="dxa"/>
            <w:tcBorders>
              <w:left w:val="single" w:sz="4" w:space="0" w:color="auto"/>
              <w:bottom w:val="single" w:sz="4" w:space="0" w:color="auto"/>
              <w:right w:val="single" w:sz="4" w:space="0" w:color="auto"/>
            </w:tcBorders>
            <w:shd w:val="clear" w:color="auto" w:fill="F2F2F2" w:themeFill="background1" w:themeFillShade="F2"/>
            <w:vAlign w:val="center"/>
          </w:tcPr>
          <w:p w14:paraId="472474F8" w14:textId="571C6C93" w:rsidR="00F66735" w:rsidRPr="006238EA" w:rsidRDefault="00F66735" w:rsidP="00E200E5">
            <w:pPr>
              <w:keepNext/>
              <w:keepLines/>
              <w:suppressAutoHyphens/>
              <w:spacing w:after="0" w:line="240" w:lineRule="auto"/>
              <w:jc w:val="right"/>
            </w:pPr>
            <w:r w:rsidRPr="00CD7800">
              <w:t>0</w:t>
            </w:r>
          </w:p>
        </w:tc>
        <w:tc>
          <w:tcPr>
            <w:tcW w:w="1428" w:type="dxa"/>
            <w:tcBorders>
              <w:left w:val="single" w:sz="4" w:space="0" w:color="auto"/>
              <w:bottom w:val="single" w:sz="4" w:space="0" w:color="auto"/>
              <w:right w:val="single" w:sz="4" w:space="0" w:color="auto"/>
            </w:tcBorders>
            <w:shd w:val="clear" w:color="auto" w:fill="F2F2F2" w:themeFill="background1" w:themeFillShade="F2"/>
            <w:vAlign w:val="center"/>
          </w:tcPr>
          <w:p w14:paraId="5CA82A8E" w14:textId="180F7264" w:rsidR="00F66735" w:rsidRPr="00E76288" w:rsidRDefault="00F66735" w:rsidP="00E200E5">
            <w:pPr>
              <w:keepNext/>
              <w:keepLines/>
              <w:suppressAutoHyphens/>
              <w:spacing w:after="0" w:line="240" w:lineRule="auto"/>
              <w:jc w:val="right"/>
            </w:pPr>
            <w:r w:rsidRPr="00CD7800">
              <w:t>0</w:t>
            </w:r>
          </w:p>
        </w:tc>
        <w:tc>
          <w:tcPr>
            <w:tcW w:w="1273" w:type="dxa"/>
            <w:tcBorders>
              <w:left w:val="single" w:sz="4" w:space="0" w:color="auto"/>
              <w:bottom w:val="single" w:sz="4" w:space="0" w:color="auto"/>
            </w:tcBorders>
            <w:shd w:val="clear" w:color="auto" w:fill="F2F2F2" w:themeFill="background1" w:themeFillShade="F2"/>
            <w:vAlign w:val="center"/>
          </w:tcPr>
          <w:p w14:paraId="3A7568F8" w14:textId="692E4920" w:rsidR="00F66735" w:rsidRPr="00FF1255" w:rsidRDefault="00F66735" w:rsidP="00E200E5">
            <w:pPr>
              <w:keepNext/>
              <w:keepLines/>
              <w:suppressAutoHyphens/>
              <w:spacing w:after="0" w:line="240" w:lineRule="auto"/>
              <w:jc w:val="right"/>
            </w:pPr>
            <w:r w:rsidRPr="00CD7800">
              <w:t>61</w:t>
            </w:r>
          </w:p>
        </w:tc>
      </w:tr>
      <w:tr w:rsidR="00415710" w:rsidRPr="006D46E5" w14:paraId="4D95FED5" w14:textId="77777777" w:rsidTr="009A1022">
        <w:tc>
          <w:tcPr>
            <w:tcW w:w="2654" w:type="dxa"/>
            <w:tcBorders>
              <w:bottom w:val="single" w:sz="4" w:space="0" w:color="auto"/>
              <w:right w:val="single" w:sz="4" w:space="0" w:color="auto"/>
            </w:tcBorders>
            <w:vAlign w:val="center"/>
          </w:tcPr>
          <w:p w14:paraId="1614B25E" w14:textId="4CFBE6F2" w:rsidR="00F66735" w:rsidRPr="004B7130" w:rsidRDefault="00F66735" w:rsidP="00E200E5">
            <w:pPr>
              <w:keepNext/>
              <w:keepLines/>
              <w:suppressAutoHyphens/>
              <w:spacing w:after="0" w:line="240" w:lineRule="auto"/>
            </w:pPr>
            <w:r w:rsidRPr="00CD7800">
              <w:t>Santos Limited</w:t>
            </w:r>
          </w:p>
        </w:tc>
        <w:tc>
          <w:tcPr>
            <w:tcW w:w="1132" w:type="dxa"/>
            <w:tcBorders>
              <w:left w:val="single" w:sz="4" w:space="0" w:color="auto"/>
              <w:bottom w:val="single" w:sz="4" w:space="0" w:color="auto"/>
              <w:right w:val="single" w:sz="4" w:space="0" w:color="auto"/>
            </w:tcBorders>
            <w:vAlign w:val="center"/>
          </w:tcPr>
          <w:p w14:paraId="330B83BC" w14:textId="4C0FCF56" w:rsidR="00F66735" w:rsidRPr="006238EA" w:rsidRDefault="00F66735" w:rsidP="00E200E5">
            <w:pPr>
              <w:keepNext/>
              <w:keepLines/>
              <w:suppressAutoHyphens/>
              <w:spacing w:after="0" w:line="240" w:lineRule="auto"/>
              <w:jc w:val="right"/>
            </w:pPr>
            <w:r w:rsidRPr="00CD7800">
              <w:t>59</w:t>
            </w:r>
          </w:p>
        </w:tc>
        <w:tc>
          <w:tcPr>
            <w:tcW w:w="1416" w:type="dxa"/>
            <w:tcBorders>
              <w:left w:val="single" w:sz="4" w:space="0" w:color="auto"/>
              <w:bottom w:val="single" w:sz="4" w:space="0" w:color="auto"/>
              <w:right w:val="single" w:sz="4" w:space="0" w:color="auto"/>
            </w:tcBorders>
            <w:vAlign w:val="center"/>
          </w:tcPr>
          <w:p w14:paraId="5BC996FE" w14:textId="19ABB334" w:rsidR="00F66735" w:rsidRPr="006238EA" w:rsidRDefault="00F66735" w:rsidP="00E200E5">
            <w:pPr>
              <w:keepNext/>
              <w:keepLines/>
              <w:suppressAutoHyphens/>
              <w:spacing w:after="0" w:line="240" w:lineRule="auto"/>
              <w:jc w:val="right"/>
            </w:pPr>
            <w:r w:rsidRPr="00CD7800">
              <w:t>28</w:t>
            </w:r>
          </w:p>
        </w:tc>
        <w:tc>
          <w:tcPr>
            <w:tcW w:w="1428" w:type="dxa"/>
            <w:tcBorders>
              <w:left w:val="single" w:sz="4" w:space="0" w:color="auto"/>
              <w:bottom w:val="single" w:sz="4" w:space="0" w:color="auto"/>
              <w:right w:val="single" w:sz="4" w:space="0" w:color="auto"/>
            </w:tcBorders>
            <w:vAlign w:val="center"/>
          </w:tcPr>
          <w:p w14:paraId="5FB263FD" w14:textId="7379815A" w:rsidR="00F66735" w:rsidRPr="00E76288" w:rsidRDefault="00F66735" w:rsidP="00E200E5">
            <w:pPr>
              <w:keepNext/>
              <w:keepLines/>
              <w:suppressAutoHyphens/>
              <w:spacing w:after="0" w:line="240" w:lineRule="auto"/>
              <w:jc w:val="right"/>
            </w:pPr>
            <w:r w:rsidRPr="00CD7800">
              <w:t>0</w:t>
            </w:r>
          </w:p>
        </w:tc>
        <w:tc>
          <w:tcPr>
            <w:tcW w:w="1273" w:type="dxa"/>
            <w:tcBorders>
              <w:left w:val="single" w:sz="4" w:space="0" w:color="auto"/>
              <w:bottom w:val="single" w:sz="4" w:space="0" w:color="auto"/>
            </w:tcBorders>
            <w:vAlign w:val="center"/>
          </w:tcPr>
          <w:p w14:paraId="59B2D952" w14:textId="004C9922" w:rsidR="00F66735" w:rsidRPr="00FF1255" w:rsidRDefault="00F66735" w:rsidP="00E200E5">
            <w:pPr>
              <w:keepNext/>
              <w:keepLines/>
              <w:suppressAutoHyphens/>
              <w:spacing w:after="0" w:line="240" w:lineRule="auto"/>
              <w:jc w:val="right"/>
            </w:pPr>
            <w:r w:rsidRPr="00CD7800">
              <w:t>62</w:t>
            </w:r>
          </w:p>
        </w:tc>
      </w:tr>
      <w:tr w:rsidR="007411F2" w:rsidRPr="006D46E5" w14:paraId="1E3657C9" w14:textId="77777777" w:rsidTr="009A1022">
        <w:tc>
          <w:tcPr>
            <w:tcW w:w="2654" w:type="dxa"/>
            <w:tcBorders>
              <w:bottom w:val="single" w:sz="4" w:space="0" w:color="auto"/>
              <w:right w:val="single" w:sz="4" w:space="0" w:color="auto"/>
            </w:tcBorders>
            <w:shd w:val="clear" w:color="auto" w:fill="F2F2F2" w:themeFill="background1" w:themeFillShade="F2"/>
            <w:vAlign w:val="center"/>
          </w:tcPr>
          <w:p w14:paraId="0C81B105" w14:textId="04239F19" w:rsidR="00F66735" w:rsidRPr="004B7130" w:rsidRDefault="00F66735" w:rsidP="00E200E5">
            <w:pPr>
              <w:keepNext/>
              <w:keepLines/>
              <w:suppressAutoHyphens/>
              <w:spacing w:after="0" w:line="240" w:lineRule="auto"/>
            </w:pPr>
            <w:r w:rsidRPr="00CD7800">
              <w:t>Telstra Corporation Limited</w:t>
            </w:r>
          </w:p>
        </w:tc>
        <w:tc>
          <w:tcPr>
            <w:tcW w:w="1132" w:type="dxa"/>
            <w:tcBorders>
              <w:left w:val="single" w:sz="4" w:space="0" w:color="auto"/>
              <w:bottom w:val="single" w:sz="4" w:space="0" w:color="auto"/>
              <w:right w:val="single" w:sz="4" w:space="0" w:color="auto"/>
            </w:tcBorders>
            <w:shd w:val="clear" w:color="auto" w:fill="F2F2F2" w:themeFill="background1" w:themeFillShade="F2"/>
            <w:vAlign w:val="center"/>
          </w:tcPr>
          <w:p w14:paraId="6670B414" w14:textId="4E794792" w:rsidR="00F66735" w:rsidRPr="006238EA" w:rsidRDefault="00F66735" w:rsidP="00E200E5">
            <w:pPr>
              <w:keepNext/>
              <w:keepLines/>
              <w:suppressAutoHyphens/>
              <w:spacing w:after="0" w:line="240" w:lineRule="auto"/>
              <w:jc w:val="right"/>
            </w:pPr>
            <w:r w:rsidRPr="00CD7800">
              <w:t>1</w:t>
            </w:r>
            <w:r w:rsidR="00C7497F">
              <w:t>,</w:t>
            </w:r>
            <w:r w:rsidRPr="00CD7800">
              <w:t>845</w:t>
            </w:r>
          </w:p>
        </w:tc>
        <w:tc>
          <w:tcPr>
            <w:tcW w:w="1416" w:type="dxa"/>
            <w:tcBorders>
              <w:left w:val="single" w:sz="4" w:space="0" w:color="auto"/>
              <w:bottom w:val="single" w:sz="4" w:space="0" w:color="auto"/>
              <w:right w:val="single" w:sz="4" w:space="0" w:color="auto"/>
            </w:tcBorders>
            <w:shd w:val="clear" w:color="auto" w:fill="F2F2F2" w:themeFill="background1" w:themeFillShade="F2"/>
            <w:vAlign w:val="center"/>
          </w:tcPr>
          <w:p w14:paraId="0CB94400" w14:textId="13DB1734" w:rsidR="00F66735" w:rsidRPr="006238EA" w:rsidRDefault="00F66735" w:rsidP="00E200E5">
            <w:pPr>
              <w:keepNext/>
              <w:keepLines/>
              <w:suppressAutoHyphens/>
              <w:spacing w:after="0" w:line="240" w:lineRule="auto"/>
              <w:jc w:val="right"/>
            </w:pPr>
            <w:r w:rsidRPr="00CD7800">
              <w:t>0</w:t>
            </w:r>
          </w:p>
        </w:tc>
        <w:tc>
          <w:tcPr>
            <w:tcW w:w="1428" w:type="dxa"/>
            <w:tcBorders>
              <w:left w:val="single" w:sz="4" w:space="0" w:color="auto"/>
              <w:bottom w:val="single" w:sz="4" w:space="0" w:color="auto"/>
              <w:right w:val="single" w:sz="4" w:space="0" w:color="auto"/>
            </w:tcBorders>
            <w:shd w:val="clear" w:color="auto" w:fill="F2F2F2" w:themeFill="background1" w:themeFillShade="F2"/>
            <w:vAlign w:val="center"/>
          </w:tcPr>
          <w:p w14:paraId="3A727A95" w14:textId="7D015427" w:rsidR="00F66735" w:rsidRPr="00E76288" w:rsidRDefault="00F66735" w:rsidP="00E200E5">
            <w:pPr>
              <w:keepNext/>
              <w:keepLines/>
              <w:suppressAutoHyphens/>
              <w:spacing w:after="0" w:line="240" w:lineRule="auto"/>
              <w:jc w:val="right"/>
            </w:pPr>
            <w:r w:rsidRPr="00CD7800">
              <w:t>0</w:t>
            </w:r>
          </w:p>
        </w:tc>
        <w:tc>
          <w:tcPr>
            <w:tcW w:w="1273" w:type="dxa"/>
            <w:tcBorders>
              <w:left w:val="single" w:sz="4" w:space="0" w:color="auto"/>
              <w:bottom w:val="single" w:sz="4" w:space="0" w:color="auto"/>
            </w:tcBorders>
            <w:shd w:val="clear" w:color="auto" w:fill="F2F2F2" w:themeFill="background1" w:themeFillShade="F2"/>
            <w:vAlign w:val="center"/>
          </w:tcPr>
          <w:p w14:paraId="54D58403" w14:textId="2BC9F16B" w:rsidR="00F66735" w:rsidRPr="00FF1255" w:rsidRDefault="00F66735" w:rsidP="00E200E5">
            <w:pPr>
              <w:keepNext/>
              <w:keepLines/>
              <w:suppressAutoHyphens/>
              <w:spacing w:after="0" w:line="240" w:lineRule="auto"/>
              <w:jc w:val="right"/>
            </w:pPr>
            <w:r w:rsidRPr="00CD7800">
              <w:t>1</w:t>
            </w:r>
            <w:r w:rsidR="00C7497F">
              <w:t>,</w:t>
            </w:r>
            <w:r w:rsidRPr="00CD7800">
              <w:t>846</w:t>
            </w:r>
          </w:p>
        </w:tc>
      </w:tr>
      <w:tr w:rsidR="00415710" w:rsidRPr="006D46E5" w14:paraId="4C5F470E" w14:textId="77777777" w:rsidTr="009A1022">
        <w:tc>
          <w:tcPr>
            <w:tcW w:w="2654" w:type="dxa"/>
            <w:tcBorders>
              <w:bottom w:val="single" w:sz="4" w:space="0" w:color="auto"/>
              <w:right w:val="single" w:sz="4" w:space="0" w:color="auto"/>
            </w:tcBorders>
            <w:vAlign w:val="center"/>
          </w:tcPr>
          <w:p w14:paraId="25D274B1" w14:textId="16DEBBC3" w:rsidR="00F66735" w:rsidRPr="004B7130" w:rsidRDefault="00F66735" w:rsidP="00E200E5">
            <w:pPr>
              <w:keepNext/>
              <w:keepLines/>
              <w:suppressAutoHyphens/>
              <w:spacing w:after="0" w:line="240" w:lineRule="auto"/>
            </w:pPr>
            <w:r w:rsidRPr="00CD7800">
              <w:t>Vodafone Hutchison Australia Pty Limited</w:t>
            </w:r>
          </w:p>
        </w:tc>
        <w:tc>
          <w:tcPr>
            <w:tcW w:w="1132" w:type="dxa"/>
            <w:tcBorders>
              <w:left w:val="single" w:sz="4" w:space="0" w:color="auto"/>
              <w:bottom w:val="single" w:sz="4" w:space="0" w:color="auto"/>
              <w:right w:val="single" w:sz="4" w:space="0" w:color="auto"/>
            </w:tcBorders>
            <w:vAlign w:val="center"/>
          </w:tcPr>
          <w:p w14:paraId="15D36665" w14:textId="1EE945F8" w:rsidR="00F66735" w:rsidRPr="006238EA" w:rsidRDefault="00F66735" w:rsidP="00E200E5">
            <w:pPr>
              <w:keepNext/>
              <w:keepLines/>
              <w:suppressAutoHyphens/>
              <w:spacing w:after="0" w:line="240" w:lineRule="auto"/>
              <w:jc w:val="right"/>
            </w:pPr>
            <w:r w:rsidRPr="00CD7800">
              <w:t>797</w:t>
            </w:r>
          </w:p>
        </w:tc>
        <w:tc>
          <w:tcPr>
            <w:tcW w:w="1416" w:type="dxa"/>
            <w:tcBorders>
              <w:left w:val="single" w:sz="4" w:space="0" w:color="auto"/>
              <w:bottom w:val="single" w:sz="4" w:space="0" w:color="auto"/>
              <w:right w:val="single" w:sz="4" w:space="0" w:color="auto"/>
            </w:tcBorders>
            <w:vAlign w:val="center"/>
          </w:tcPr>
          <w:p w14:paraId="6A0BFE17" w14:textId="5AECAB4C" w:rsidR="00F66735" w:rsidRPr="006238EA" w:rsidRDefault="00F66735" w:rsidP="00E200E5">
            <w:pPr>
              <w:keepNext/>
              <w:keepLines/>
              <w:suppressAutoHyphens/>
              <w:spacing w:after="0" w:line="240" w:lineRule="auto"/>
              <w:jc w:val="right"/>
            </w:pPr>
            <w:r w:rsidRPr="00CD7800">
              <w:t>736</w:t>
            </w:r>
          </w:p>
        </w:tc>
        <w:tc>
          <w:tcPr>
            <w:tcW w:w="1428" w:type="dxa"/>
            <w:tcBorders>
              <w:left w:val="single" w:sz="4" w:space="0" w:color="auto"/>
              <w:bottom w:val="single" w:sz="4" w:space="0" w:color="auto"/>
              <w:right w:val="single" w:sz="4" w:space="0" w:color="auto"/>
            </w:tcBorders>
            <w:vAlign w:val="center"/>
          </w:tcPr>
          <w:p w14:paraId="691FAA8B" w14:textId="3FDA7023" w:rsidR="00F66735" w:rsidRPr="00E76288" w:rsidRDefault="00F66735" w:rsidP="00E200E5">
            <w:pPr>
              <w:keepNext/>
              <w:keepLines/>
              <w:suppressAutoHyphens/>
              <w:spacing w:after="0" w:line="240" w:lineRule="auto"/>
              <w:jc w:val="right"/>
            </w:pPr>
            <w:r w:rsidRPr="00CD7800">
              <w:t>0</w:t>
            </w:r>
          </w:p>
        </w:tc>
        <w:tc>
          <w:tcPr>
            <w:tcW w:w="1273" w:type="dxa"/>
            <w:tcBorders>
              <w:left w:val="single" w:sz="4" w:space="0" w:color="auto"/>
              <w:bottom w:val="single" w:sz="4" w:space="0" w:color="auto"/>
            </w:tcBorders>
            <w:vAlign w:val="center"/>
          </w:tcPr>
          <w:p w14:paraId="7EDE8FCD" w14:textId="18EC7073" w:rsidR="00F66735" w:rsidRPr="00FF1255" w:rsidRDefault="00F66735" w:rsidP="00E200E5">
            <w:pPr>
              <w:keepNext/>
              <w:keepLines/>
              <w:suppressAutoHyphens/>
              <w:spacing w:after="0" w:line="240" w:lineRule="auto"/>
              <w:jc w:val="right"/>
            </w:pPr>
            <w:r w:rsidRPr="00CD7800">
              <w:t>816</w:t>
            </w:r>
          </w:p>
        </w:tc>
      </w:tr>
      <w:tr w:rsidR="00F97422" w:rsidRPr="006D46E5" w14:paraId="5AAED393" w14:textId="77777777" w:rsidTr="009A1022">
        <w:tc>
          <w:tcPr>
            <w:tcW w:w="2654" w:type="dxa"/>
            <w:tcBorders>
              <w:bottom w:val="single" w:sz="4" w:space="0" w:color="auto"/>
              <w:right w:val="single" w:sz="4" w:space="0" w:color="auto"/>
            </w:tcBorders>
            <w:shd w:val="clear" w:color="auto" w:fill="F2F2F2" w:themeFill="background1" w:themeFillShade="F2"/>
            <w:vAlign w:val="center"/>
          </w:tcPr>
          <w:p w14:paraId="1519F8A1" w14:textId="77777777" w:rsidR="00F66735" w:rsidRPr="0000562B" w:rsidRDefault="00F66735" w:rsidP="00E200E5">
            <w:pPr>
              <w:keepNext/>
              <w:keepLines/>
              <w:suppressAutoHyphens/>
              <w:spacing w:after="0" w:line="240" w:lineRule="auto"/>
            </w:pPr>
            <w:r w:rsidRPr="004F6A8A">
              <w:t>Other</w:t>
            </w:r>
            <w:r>
              <w:t>*</w:t>
            </w:r>
          </w:p>
        </w:tc>
        <w:tc>
          <w:tcPr>
            <w:tcW w:w="1132" w:type="dxa"/>
            <w:tcBorders>
              <w:left w:val="single" w:sz="4" w:space="0" w:color="auto"/>
              <w:bottom w:val="single" w:sz="4" w:space="0" w:color="auto"/>
              <w:right w:val="single" w:sz="4" w:space="0" w:color="auto"/>
            </w:tcBorders>
            <w:shd w:val="clear" w:color="auto" w:fill="F2F2F2" w:themeFill="background1" w:themeFillShade="F2"/>
            <w:vAlign w:val="center"/>
          </w:tcPr>
          <w:p w14:paraId="2063F22F" w14:textId="77777777" w:rsidR="00F66735" w:rsidRPr="0000562B" w:rsidRDefault="00F66735" w:rsidP="00E200E5">
            <w:pPr>
              <w:keepNext/>
              <w:keepLines/>
              <w:suppressAutoHyphens/>
              <w:spacing w:after="0" w:line="240" w:lineRule="auto"/>
              <w:jc w:val="right"/>
            </w:pPr>
            <w:r w:rsidRPr="004F6A8A">
              <w:t>438</w:t>
            </w:r>
          </w:p>
        </w:tc>
        <w:tc>
          <w:tcPr>
            <w:tcW w:w="1416" w:type="dxa"/>
            <w:tcBorders>
              <w:left w:val="single" w:sz="4" w:space="0" w:color="auto"/>
              <w:bottom w:val="single" w:sz="4" w:space="0" w:color="auto"/>
              <w:right w:val="single" w:sz="4" w:space="0" w:color="auto"/>
            </w:tcBorders>
            <w:shd w:val="clear" w:color="auto" w:fill="F2F2F2" w:themeFill="background1" w:themeFillShade="F2"/>
            <w:vAlign w:val="center"/>
          </w:tcPr>
          <w:p w14:paraId="354EC9AB" w14:textId="77777777" w:rsidR="00F66735" w:rsidRPr="0000562B" w:rsidRDefault="00F66735" w:rsidP="00E200E5">
            <w:pPr>
              <w:keepNext/>
              <w:keepLines/>
              <w:suppressAutoHyphens/>
              <w:spacing w:after="0" w:line="240" w:lineRule="auto"/>
              <w:jc w:val="right"/>
            </w:pPr>
            <w:r w:rsidRPr="004F6A8A">
              <w:t>40</w:t>
            </w:r>
          </w:p>
        </w:tc>
        <w:tc>
          <w:tcPr>
            <w:tcW w:w="1428" w:type="dxa"/>
            <w:tcBorders>
              <w:left w:val="single" w:sz="4" w:space="0" w:color="auto"/>
              <w:bottom w:val="single" w:sz="4" w:space="0" w:color="auto"/>
              <w:right w:val="single" w:sz="4" w:space="0" w:color="auto"/>
            </w:tcBorders>
            <w:shd w:val="clear" w:color="auto" w:fill="F2F2F2" w:themeFill="background1" w:themeFillShade="F2"/>
            <w:vAlign w:val="center"/>
          </w:tcPr>
          <w:p w14:paraId="2A9B81BC" w14:textId="77777777" w:rsidR="00F66735" w:rsidRPr="0000562B" w:rsidRDefault="00F66735" w:rsidP="00E200E5">
            <w:pPr>
              <w:keepNext/>
              <w:keepLines/>
              <w:suppressAutoHyphens/>
              <w:spacing w:after="0" w:line="240" w:lineRule="auto"/>
              <w:jc w:val="right"/>
            </w:pPr>
            <w:r w:rsidRPr="004F6A8A">
              <w:t>0</w:t>
            </w:r>
          </w:p>
        </w:tc>
        <w:tc>
          <w:tcPr>
            <w:tcW w:w="1273" w:type="dxa"/>
            <w:tcBorders>
              <w:left w:val="single" w:sz="4" w:space="0" w:color="auto"/>
              <w:bottom w:val="single" w:sz="4" w:space="0" w:color="auto"/>
            </w:tcBorders>
            <w:shd w:val="clear" w:color="auto" w:fill="F2F2F2" w:themeFill="background1" w:themeFillShade="F2"/>
            <w:vAlign w:val="center"/>
          </w:tcPr>
          <w:p w14:paraId="2ACCD041" w14:textId="77777777" w:rsidR="00F66735" w:rsidRPr="0000562B" w:rsidRDefault="00F66735" w:rsidP="00E200E5">
            <w:pPr>
              <w:keepNext/>
              <w:keepLines/>
              <w:suppressAutoHyphens/>
              <w:spacing w:after="0" w:line="240" w:lineRule="auto"/>
              <w:jc w:val="right"/>
            </w:pPr>
            <w:r w:rsidRPr="004F6A8A">
              <w:t>442</w:t>
            </w:r>
          </w:p>
        </w:tc>
      </w:tr>
      <w:tr w:rsidR="00F66735" w:rsidRPr="006D46E5" w14:paraId="5FE863BA" w14:textId="77777777" w:rsidTr="009A1022">
        <w:tc>
          <w:tcPr>
            <w:tcW w:w="2654" w:type="dxa"/>
            <w:tcBorders>
              <w:right w:val="single" w:sz="4" w:space="0" w:color="auto"/>
            </w:tcBorders>
            <w:shd w:val="clear" w:color="auto" w:fill="D9D9D9" w:themeFill="background1" w:themeFillShade="D9"/>
            <w:vAlign w:val="center"/>
          </w:tcPr>
          <w:p w14:paraId="4D307DE8" w14:textId="77777777" w:rsidR="00F66735" w:rsidRPr="00AD44B4" w:rsidRDefault="00F66735" w:rsidP="00E200E5">
            <w:pPr>
              <w:keepNext/>
              <w:keepLines/>
              <w:suppressAutoHyphens/>
              <w:spacing w:after="0" w:line="240" w:lineRule="auto"/>
              <w:rPr>
                <w:rFonts w:ascii="Calibri" w:hAnsi="Calibri"/>
                <w:b/>
                <w:color w:val="000000"/>
                <w:sz w:val="22"/>
                <w:szCs w:val="22"/>
              </w:rPr>
            </w:pPr>
            <w:r w:rsidRPr="00AD44B4">
              <w:rPr>
                <w:rFonts w:ascii="Calibri" w:hAnsi="Calibri"/>
                <w:b/>
                <w:color w:val="000000"/>
                <w:sz w:val="22"/>
                <w:szCs w:val="22"/>
              </w:rPr>
              <w:t>Total</w:t>
            </w:r>
          </w:p>
        </w:tc>
        <w:tc>
          <w:tcPr>
            <w:tcW w:w="1132" w:type="dxa"/>
            <w:tcBorders>
              <w:left w:val="single" w:sz="4" w:space="0" w:color="auto"/>
              <w:right w:val="single" w:sz="4" w:space="0" w:color="auto"/>
            </w:tcBorders>
            <w:shd w:val="clear" w:color="auto" w:fill="D9D9D9" w:themeFill="background1" w:themeFillShade="D9"/>
            <w:vAlign w:val="center"/>
          </w:tcPr>
          <w:p w14:paraId="585B102F" w14:textId="0A36CCFD" w:rsidR="00F66735" w:rsidRPr="00AD44B4" w:rsidRDefault="00F66735" w:rsidP="00E200E5">
            <w:pPr>
              <w:keepNext/>
              <w:keepLines/>
              <w:suppressAutoHyphens/>
              <w:spacing w:after="0" w:line="240" w:lineRule="auto"/>
              <w:jc w:val="right"/>
              <w:rPr>
                <w:rFonts w:ascii="Calibri" w:hAnsi="Calibri"/>
                <w:b/>
                <w:bCs/>
                <w:color w:val="000000"/>
                <w:sz w:val="22"/>
                <w:szCs w:val="22"/>
              </w:rPr>
            </w:pPr>
            <w:r w:rsidRPr="00AD44B4">
              <w:rPr>
                <w:b/>
                <w:bCs/>
              </w:rPr>
              <w:t>8</w:t>
            </w:r>
            <w:r w:rsidR="00C7497F">
              <w:rPr>
                <w:b/>
                <w:bCs/>
              </w:rPr>
              <w:t>,</w:t>
            </w:r>
            <w:r w:rsidRPr="00AD44B4">
              <w:rPr>
                <w:b/>
                <w:bCs/>
              </w:rPr>
              <w:t>012</w:t>
            </w:r>
          </w:p>
        </w:tc>
        <w:tc>
          <w:tcPr>
            <w:tcW w:w="1416" w:type="dxa"/>
            <w:tcBorders>
              <w:left w:val="single" w:sz="4" w:space="0" w:color="auto"/>
              <w:right w:val="single" w:sz="4" w:space="0" w:color="auto"/>
            </w:tcBorders>
            <w:shd w:val="clear" w:color="auto" w:fill="D9D9D9" w:themeFill="background1" w:themeFillShade="D9"/>
            <w:vAlign w:val="center"/>
          </w:tcPr>
          <w:p w14:paraId="3888D249" w14:textId="6085270C" w:rsidR="00F66735" w:rsidRPr="00AD44B4" w:rsidRDefault="00F66735" w:rsidP="00E200E5">
            <w:pPr>
              <w:keepNext/>
              <w:keepLines/>
              <w:suppressAutoHyphens/>
              <w:spacing w:after="0" w:line="240" w:lineRule="auto"/>
              <w:jc w:val="right"/>
              <w:rPr>
                <w:rFonts w:ascii="Calibri" w:hAnsi="Calibri"/>
                <w:b/>
                <w:bCs/>
                <w:color w:val="000000"/>
                <w:sz w:val="22"/>
                <w:szCs w:val="22"/>
              </w:rPr>
            </w:pPr>
            <w:r w:rsidRPr="00AD44B4">
              <w:rPr>
                <w:b/>
                <w:bCs/>
              </w:rPr>
              <w:t>1</w:t>
            </w:r>
            <w:r w:rsidR="00C7497F">
              <w:rPr>
                <w:b/>
                <w:bCs/>
              </w:rPr>
              <w:t>,</w:t>
            </w:r>
            <w:r w:rsidRPr="00AD44B4">
              <w:rPr>
                <w:b/>
                <w:bCs/>
              </w:rPr>
              <w:t>028</w:t>
            </w:r>
          </w:p>
        </w:tc>
        <w:tc>
          <w:tcPr>
            <w:tcW w:w="1428" w:type="dxa"/>
            <w:tcBorders>
              <w:left w:val="single" w:sz="4" w:space="0" w:color="auto"/>
              <w:right w:val="single" w:sz="4" w:space="0" w:color="auto"/>
            </w:tcBorders>
            <w:shd w:val="clear" w:color="auto" w:fill="D9D9D9" w:themeFill="background1" w:themeFillShade="D9"/>
            <w:vAlign w:val="center"/>
          </w:tcPr>
          <w:p w14:paraId="73F813FB" w14:textId="77777777" w:rsidR="00F66735" w:rsidRPr="00AD44B4" w:rsidRDefault="00F66735" w:rsidP="00E200E5">
            <w:pPr>
              <w:keepNext/>
              <w:keepLines/>
              <w:suppressAutoHyphens/>
              <w:spacing w:after="0" w:line="240" w:lineRule="auto"/>
              <w:jc w:val="right"/>
              <w:rPr>
                <w:rFonts w:ascii="Calibri" w:hAnsi="Calibri"/>
                <w:b/>
                <w:bCs/>
                <w:color w:val="000000"/>
                <w:sz w:val="22"/>
                <w:szCs w:val="22"/>
              </w:rPr>
            </w:pPr>
            <w:r w:rsidRPr="00AD44B4">
              <w:rPr>
                <w:b/>
                <w:bCs/>
              </w:rPr>
              <w:t>16</w:t>
            </w:r>
          </w:p>
        </w:tc>
        <w:tc>
          <w:tcPr>
            <w:tcW w:w="1273" w:type="dxa"/>
            <w:tcBorders>
              <w:left w:val="single" w:sz="4" w:space="0" w:color="auto"/>
            </w:tcBorders>
            <w:shd w:val="clear" w:color="auto" w:fill="D9D9D9" w:themeFill="background1" w:themeFillShade="D9"/>
            <w:vAlign w:val="center"/>
          </w:tcPr>
          <w:p w14:paraId="0F237FBE" w14:textId="14EFEA10" w:rsidR="00F66735" w:rsidRPr="00AD44B4" w:rsidRDefault="00F66735" w:rsidP="00E200E5">
            <w:pPr>
              <w:keepNext/>
              <w:keepLines/>
              <w:suppressAutoHyphens/>
              <w:spacing w:after="0" w:line="240" w:lineRule="auto"/>
              <w:jc w:val="right"/>
              <w:rPr>
                <w:rFonts w:ascii="Calibri" w:hAnsi="Calibri"/>
                <w:b/>
                <w:bCs/>
                <w:color w:val="000000"/>
                <w:sz w:val="22"/>
                <w:szCs w:val="22"/>
              </w:rPr>
            </w:pPr>
            <w:r w:rsidRPr="00AD44B4">
              <w:rPr>
                <w:b/>
                <w:bCs/>
              </w:rPr>
              <w:t>8</w:t>
            </w:r>
            <w:r w:rsidR="00C7497F">
              <w:rPr>
                <w:b/>
                <w:bCs/>
              </w:rPr>
              <w:t>,</w:t>
            </w:r>
            <w:r w:rsidRPr="00AD44B4">
              <w:rPr>
                <w:b/>
                <w:bCs/>
              </w:rPr>
              <w:t>023</w:t>
            </w:r>
          </w:p>
        </w:tc>
      </w:tr>
    </w:tbl>
    <w:p w14:paraId="02400C6A" w14:textId="6C856F3B" w:rsidR="002152E6" w:rsidRPr="00412DA6" w:rsidRDefault="002152E6" w:rsidP="00E200E5">
      <w:pPr>
        <w:pStyle w:val="Tableorfigurenotemultiple"/>
      </w:pPr>
      <w:r w:rsidRPr="00AD44B4">
        <w:t>*</w:t>
      </w:r>
      <w:r>
        <w:t xml:space="preserve"> There are 45 licensees</w:t>
      </w:r>
      <w:r w:rsidR="00D94947">
        <w:t>, each having fewer</w:t>
      </w:r>
      <w:r>
        <w:t xml:space="preserve"> than 50 assignments.</w:t>
      </w:r>
    </w:p>
    <w:p w14:paraId="7146D040" w14:textId="4021DD20" w:rsidR="00F66735" w:rsidRDefault="00F66735" w:rsidP="00E200E5">
      <w:pPr>
        <w:pStyle w:val="Tableorfigurenote"/>
        <w:rPr>
          <w:szCs w:val="16"/>
        </w:rPr>
      </w:pPr>
      <w:r w:rsidRPr="006F4B63">
        <w:rPr>
          <w:szCs w:val="16"/>
        </w:rPr>
        <w:t xml:space="preserve">Data taken from </w:t>
      </w:r>
      <w:hyperlink r:id="rId81" w:history="1">
        <w:r w:rsidRPr="00DF4A94">
          <w:rPr>
            <w:rStyle w:val="Hyperlink"/>
            <w:szCs w:val="16"/>
          </w:rPr>
          <w:t>RRL</w:t>
        </w:r>
      </w:hyperlink>
      <w:r w:rsidRPr="006F4B63">
        <w:rPr>
          <w:szCs w:val="16"/>
        </w:rPr>
        <w:t xml:space="preserve"> as at </w:t>
      </w:r>
      <w:r>
        <w:rPr>
          <w:szCs w:val="16"/>
        </w:rPr>
        <w:t>2</w:t>
      </w:r>
      <w:r w:rsidRPr="006F4B63">
        <w:rPr>
          <w:szCs w:val="16"/>
        </w:rPr>
        <w:t xml:space="preserve"> </w:t>
      </w:r>
      <w:r>
        <w:rPr>
          <w:szCs w:val="16"/>
        </w:rPr>
        <w:t>August</w:t>
      </w:r>
      <w:r w:rsidRPr="006F4B63">
        <w:rPr>
          <w:szCs w:val="16"/>
        </w:rPr>
        <w:t xml:space="preserve"> 20</w:t>
      </w:r>
      <w:r>
        <w:rPr>
          <w:szCs w:val="16"/>
        </w:rPr>
        <w:t>21</w:t>
      </w:r>
      <w:r w:rsidR="002152E6">
        <w:rPr>
          <w:szCs w:val="16"/>
        </w:rPr>
        <w:t>.</w:t>
      </w:r>
    </w:p>
    <w:p w14:paraId="03917175" w14:textId="6AF1052A" w:rsidR="00505984" w:rsidRDefault="008A5751" w:rsidP="00505984">
      <w:pPr>
        <w:pStyle w:val="Heading2"/>
      </w:pPr>
      <w:bookmarkStart w:id="37" w:name="_Toc87534281"/>
      <w:r>
        <w:t xml:space="preserve">Low </w:t>
      </w:r>
      <w:r w:rsidR="001615F0">
        <w:t>i</w:t>
      </w:r>
      <w:r>
        <w:t xml:space="preserve">nterference </w:t>
      </w:r>
      <w:r w:rsidR="001615F0">
        <w:t>p</w:t>
      </w:r>
      <w:r>
        <w:t xml:space="preserve">otential </w:t>
      </w:r>
      <w:r w:rsidR="001615F0">
        <w:t>d</w:t>
      </w:r>
      <w:r>
        <w:t>evices (</w:t>
      </w:r>
      <w:r w:rsidR="001A788B">
        <w:t>LIPD</w:t>
      </w:r>
      <w:r>
        <w:t>)</w:t>
      </w:r>
      <w:bookmarkEnd w:id="37"/>
    </w:p>
    <w:p w14:paraId="5E938A42" w14:textId="56092983" w:rsidR="00F86F12" w:rsidRDefault="00F86F12" w:rsidP="00E200E5">
      <w:pPr>
        <w:pStyle w:val="Paragraph"/>
      </w:pPr>
      <w:bookmarkStart w:id="38" w:name="_Hlk84921091"/>
      <w:r w:rsidRPr="00602151">
        <w:t xml:space="preserve">The </w:t>
      </w:r>
      <w:hyperlink r:id="rId82" w:history="1">
        <w:r w:rsidRPr="00E200E5">
          <w:rPr>
            <w:rStyle w:val="Hyperlink"/>
          </w:rPr>
          <w:t>Radiocommunications (Low Interference Potential Devices) Class Licence 2015</w:t>
        </w:r>
      </w:hyperlink>
      <w:r w:rsidRPr="00E200E5">
        <w:t xml:space="preserve"> </w:t>
      </w:r>
      <w:r w:rsidRPr="0038741C">
        <w:t>(the LIPD</w:t>
      </w:r>
      <w:r>
        <w:t xml:space="preserve"> </w:t>
      </w:r>
      <w:r w:rsidR="00C7497F">
        <w:t>c</w:t>
      </w:r>
      <w:r>
        <w:t xml:space="preserve">lass </w:t>
      </w:r>
      <w:r w:rsidR="00C7497F">
        <w:t>l</w:t>
      </w:r>
      <w:r>
        <w:t>icence</w:t>
      </w:r>
      <w:r w:rsidRPr="0038741C">
        <w:t>)</w:t>
      </w:r>
      <w:r w:rsidR="007918B6" w:rsidRPr="007918B6">
        <w:t xml:space="preserve"> </w:t>
      </w:r>
      <w:r w:rsidR="007918B6">
        <w:t>authorises the operation of</w:t>
      </w:r>
      <w:r w:rsidRPr="0038741C">
        <w:t xml:space="preserve"> </w:t>
      </w:r>
      <w:r>
        <w:t>ground penetrating radars in the 30</w:t>
      </w:r>
      <w:r w:rsidR="00C7497F">
        <w:t>–</w:t>
      </w:r>
      <w:r>
        <w:t>12400</w:t>
      </w:r>
      <w:r w:rsidR="00F5099F">
        <w:t> </w:t>
      </w:r>
      <w:r>
        <w:t>MHz frequency range</w:t>
      </w:r>
      <w:r w:rsidR="00C7497F">
        <w:t>,</w:t>
      </w:r>
      <w:r w:rsidR="00931225">
        <w:t xml:space="preserve"> which covers </w:t>
      </w:r>
      <w:r w:rsidR="0099191D">
        <w:t xml:space="preserve">the </w:t>
      </w:r>
      <w:r w:rsidR="00B930E0">
        <w:t xml:space="preserve">1.9 GHz </w:t>
      </w:r>
      <w:r w:rsidR="00931225">
        <w:t>the band</w:t>
      </w:r>
      <w:r>
        <w:t>.</w:t>
      </w:r>
      <w:r w:rsidR="00656250">
        <w:t xml:space="preserve"> </w:t>
      </w:r>
      <w:bookmarkEnd w:id="38"/>
      <w:r w:rsidR="00570B13">
        <w:t xml:space="preserve">While devices operated under the LIPD </w:t>
      </w:r>
      <w:r w:rsidR="00C7497F">
        <w:t>c</w:t>
      </w:r>
      <w:r w:rsidR="00570B13">
        <w:t xml:space="preserve">lass </w:t>
      </w:r>
      <w:r w:rsidR="00C7497F">
        <w:t>l</w:t>
      </w:r>
      <w:r w:rsidR="00570B13">
        <w:t>icence operate on a ‘no interference and no protection’ basis, a</w:t>
      </w:r>
      <w:r w:rsidR="00656250">
        <w:t xml:space="preserve">ny changes to licensing </w:t>
      </w:r>
      <w:r w:rsidR="003B5889">
        <w:t>arrangements</w:t>
      </w:r>
      <w:r w:rsidR="00656250">
        <w:t xml:space="preserve"> in the 1.9 GHz band </w:t>
      </w:r>
      <w:r w:rsidR="00D94947">
        <w:t xml:space="preserve">will </w:t>
      </w:r>
      <w:r w:rsidR="00656250">
        <w:t xml:space="preserve">need to consider </w:t>
      </w:r>
      <w:r w:rsidR="003B5889">
        <w:t xml:space="preserve">the effect to the interference environment </w:t>
      </w:r>
      <w:r w:rsidR="00CE4402">
        <w:t xml:space="preserve">for </w:t>
      </w:r>
      <w:r w:rsidR="003B5889">
        <w:t>these class</w:t>
      </w:r>
      <w:r w:rsidR="00C7497F">
        <w:t>-</w:t>
      </w:r>
      <w:r w:rsidR="003B5889">
        <w:t>licensed services.</w:t>
      </w:r>
      <w:r w:rsidR="00F5099F">
        <w:t xml:space="preserve"> </w:t>
      </w:r>
    </w:p>
    <w:p w14:paraId="7ABA5CC5" w14:textId="28BDB0CD" w:rsidR="004F2B8D" w:rsidRPr="0046590F" w:rsidRDefault="00C90894" w:rsidP="0046590F">
      <w:pPr>
        <w:pStyle w:val="Heading2"/>
      </w:pPr>
      <w:bookmarkStart w:id="39" w:name="_Toc87534282"/>
      <w:r w:rsidRPr="0046590F">
        <w:t>Australian Radio Quiet Zone Western Australia</w:t>
      </w:r>
      <w:bookmarkEnd w:id="39"/>
    </w:p>
    <w:p w14:paraId="2CDB42FD" w14:textId="0AD49103" w:rsidR="00D42F9D" w:rsidRDefault="00F33525" w:rsidP="00C7497F">
      <w:pPr>
        <w:pStyle w:val="Paragraph"/>
      </w:pPr>
      <w:r>
        <w:t xml:space="preserve">The </w:t>
      </w:r>
      <w:hyperlink r:id="rId83" w:history="1">
        <w:r w:rsidRPr="00F33525">
          <w:rPr>
            <w:rStyle w:val="Hyperlink"/>
          </w:rPr>
          <w:t>Radiocommunications (Mid-West Radio Quiet Zone) Frequency Band Plan 2011</w:t>
        </w:r>
      </w:hyperlink>
      <w:r>
        <w:t xml:space="preserve"> establishes a </w:t>
      </w:r>
      <w:r w:rsidR="0079130B">
        <w:t xml:space="preserve">radio quiet zone in Western Australia that includes the </w:t>
      </w:r>
      <w:r w:rsidR="00FE02F9">
        <w:t>188</w:t>
      </w:r>
      <w:r w:rsidR="00814CC7">
        <w:t>0–1920 MHz band</w:t>
      </w:r>
      <w:r w:rsidR="0079130B">
        <w:t>.</w:t>
      </w:r>
      <w:r w:rsidR="00F5099F">
        <w:t xml:space="preserve"> </w:t>
      </w:r>
      <w:r w:rsidR="0079130B">
        <w:t>Now know</w:t>
      </w:r>
      <w:r w:rsidR="00B40E90">
        <w:t>n</w:t>
      </w:r>
      <w:r w:rsidR="0079130B">
        <w:t xml:space="preserve"> as the </w:t>
      </w:r>
      <w:r w:rsidR="00B40E90">
        <w:t>Australian Radio Quiet Zone Western Australia (ARQZWA)</w:t>
      </w:r>
      <w:r w:rsidR="00814CC7">
        <w:t>,</w:t>
      </w:r>
      <w:r w:rsidR="003C7F88">
        <w:t xml:space="preserve"> </w:t>
      </w:r>
      <w:r w:rsidR="00AF7C6F">
        <w:t xml:space="preserve">the band plan </w:t>
      </w:r>
      <w:r w:rsidR="00814CC7">
        <w:t>was</w:t>
      </w:r>
      <w:r w:rsidR="003C7F88">
        <w:t xml:space="preserve"> </w:t>
      </w:r>
      <w:r w:rsidR="00346A14">
        <w:t>created</w:t>
      </w:r>
      <w:r w:rsidR="003C7F88">
        <w:t xml:space="preserve"> to </w:t>
      </w:r>
      <w:r w:rsidR="003C7F88" w:rsidRPr="003C7F88">
        <w:t>prevent harmful interference to radio astronomy services</w:t>
      </w:r>
      <w:r w:rsidR="00F5099F" w:rsidRPr="003C7F88">
        <w:t>.</w:t>
      </w:r>
      <w:r w:rsidR="00F5099F">
        <w:t xml:space="preserve"> </w:t>
      </w:r>
      <w:r w:rsidR="00D42F9D">
        <w:t>Th</w:t>
      </w:r>
      <w:r w:rsidR="00355329">
        <w:t>e</w:t>
      </w:r>
      <w:r w:rsidR="00D42F9D">
        <w:t xml:space="preserve"> </w:t>
      </w:r>
      <w:r w:rsidR="00AF7C6F">
        <w:t xml:space="preserve">frequency </w:t>
      </w:r>
      <w:r w:rsidR="00D42F9D">
        <w:t xml:space="preserve">band plan </w:t>
      </w:r>
      <w:r w:rsidR="00814CC7">
        <w:t>reserves</w:t>
      </w:r>
      <w:r w:rsidR="00735C7F">
        <w:t xml:space="preserve"> </w:t>
      </w:r>
      <w:r w:rsidR="00CC6CCF">
        <w:t>s</w:t>
      </w:r>
      <w:r w:rsidR="00355329">
        <w:t>pectrum</w:t>
      </w:r>
      <w:r w:rsidR="00CC6CCF">
        <w:t>,</w:t>
      </w:r>
      <w:r w:rsidR="00355329">
        <w:t xml:space="preserve"> including th</w:t>
      </w:r>
      <w:r w:rsidR="00133A1E">
        <w:t>e 1880</w:t>
      </w:r>
      <w:r w:rsidR="00C7497F">
        <w:t>–</w:t>
      </w:r>
      <w:r w:rsidR="00133A1E">
        <w:t>1920 MHz band</w:t>
      </w:r>
      <w:r w:rsidR="00CC6CCF">
        <w:t>,</w:t>
      </w:r>
      <w:r w:rsidR="00355329">
        <w:t xml:space="preserve"> for radio astronomy purposes within </w:t>
      </w:r>
      <w:r w:rsidR="00735C7F">
        <w:t>70 </w:t>
      </w:r>
      <w:r w:rsidR="00C7497F">
        <w:t xml:space="preserve">kilometres </w:t>
      </w:r>
      <w:r w:rsidR="00CC6CCF">
        <w:t>of</w:t>
      </w:r>
      <w:r w:rsidR="00894EF6">
        <w:t xml:space="preserve"> </w:t>
      </w:r>
      <w:r w:rsidR="00735C7F">
        <w:t>latitude 26.704167° South, longitude 116.658889° East (GDA94 datum)</w:t>
      </w:r>
      <w:r w:rsidR="005D0BCA">
        <w:t>, near Boolardy Station in Western Australia</w:t>
      </w:r>
      <w:r w:rsidR="00735C7F">
        <w:t>.</w:t>
      </w:r>
    </w:p>
    <w:p w14:paraId="22791487" w14:textId="17CBD6B7" w:rsidR="00F27A6D" w:rsidRDefault="00F27A6D" w:rsidP="00F27A6D">
      <w:pPr>
        <w:pStyle w:val="Paragraph"/>
      </w:pPr>
      <w:r>
        <w:t xml:space="preserve">The frequency band plan is supported by </w:t>
      </w:r>
      <w:hyperlink r:id="rId84" w:history="1">
        <w:r w:rsidRPr="00FE1BFA">
          <w:rPr>
            <w:rStyle w:val="Hyperlink"/>
          </w:rPr>
          <w:t>Embargo 41</w:t>
        </w:r>
      </w:hyperlink>
      <w:r w:rsidR="00C7497F">
        <w:t xml:space="preserve">, </w:t>
      </w:r>
      <w:r>
        <w:t xml:space="preserve">which </w:t>
      </w:r>
      <w:r w:rsidR="00AF7C6F">
        <w:t>restricts</w:t>
      </w:r>
      <w:r>
        <w:t xml:space="preserve"> </w:t>
      </w:r>
      <w:r w:rsidR="0039464A">
        <w:t>new apparatus licences for services in the area described above.</w:t>
      </w:r>
    </w:p>
    <w:p w14:paraId="2AAAE70A" w14:textId="4179CDF3" w:rsidR="004C2711" w:rsidRDefault="00872D0B" w:rsidP="00C7497F">
      <w:pPr>
        <w:pStyle w:val="Paragraph"/>
      </w:pPr>
      <w:r>
        <w:lastRenderedPageBreak/>
        <w:t>In addition to the frequency band plan and Embargo 41,</w:t>
      </w:r>
      <w:r w:rsidR="006D4D4A">
        <w:t xml:space="preserve"> the ARQZWA is further supported by</w:t>
      </w:r>
      <w:r>
        <w:t xml:space="preserve"> </w:t>
      </w:r>
      <w:hyperlink r:id="rId85" w:history="1">
        <w:r w:rsidRPr="00521892">
          <w:rPr>
            <w:rStyle w:val="Hyperlink"/>
          </w:rPr>
          <w:t xml:space="preserve">RALI MS32: Coordination </w:t>
        </w:r>
        <w:r>
          <w:rPr>
            <w:rStyle w:val="Hyperlink"/>
          </w:rPr>
          <w:t>o</w:t>
        </w:r>
        <w:r w:rsidRPr="00521892">
          <w:rPr>
            <w:rStyle w:val="Hyperlink"/>
          </w:rPr>
          <w:t xml:space="preserve">f Apparatus Licensed Services </w:t>
        </w:r>
        <w:r>
          <w:rPr>
            <w:rStyle w:val="Hyperlink"/>
          </w:rPr>
          <w:t>w</w:t>
        </w:r>
        <w:r w:rsidRPr="00521892">
          <w:rPr>
            <w:rStyle w:val="Hyperlink"/>
          </w:rPr>
          <w:t>ithin</w:t>
        </w:r>
        <w:r>
          <w:rPr>
            <w:rStyle w:val="Hyperlink"/>
          </w:rPr>
          <w:t xml:space="preserve"> t</w:t>
        </w:r>
        <w:r w:rsidRPr="00521892">
          <w:rPr>
            <w:rStyle w:val="Hyperlink"/>
          </w:rPr>
          <w:t>he Australian Radio Quiet Zone Western Australia</w:t>
        </w:r>
      </w:hyperlink>
      <w:r w:rsidR="006D4D4A">
        <w:t>.</w:t>
      </w:r>
      <w:r w:rsidR="00F5099F">
        <w:t xml:space="preserve"> </w:t>
      </w:r>
      <w:r w:rsidR="004C2711">
        <w:t xml:space="preserve">This RALI places coordination requirements on </w:t>
      </w:r>
      <w:r w:rsidR="00D2525E">
        <w:t>apparatus</w:t>
      </w:r>
      <w:r w:rsidR="00C7497F">
        <w:t>-</w:t>
      </w:r>
      <w:r w:rsidR="00D2525E">
        <w:t xml:space="preserve">licensed </w:t>
      </w:r>
      <w:r w:rsidR="004C2711">
        <w:t xml:space="preserve">services operating between 70 MHz and 25.25 GHz </w:t>
      </w:r>
      <w:r w:rsidR="00D2525E">
        <w:t>within frequency dependant distances of the ARQZWA centre.</w:t>
      </w:r>
      <w:r w:rsidR="00F5099F">
        <w:t xml:space="preserve"> </w:t>
      </w:r>
      <w:r w:rsidR="00D2525E">
        <w:t xml:space="preserve">For the </w:t>
      </w:r>
      <w:r w:rsidR="009952D0">
        <w:t>1880</w:t>
      </w:r>
      <w:r w:rsidR="00C7497F">
        <w:t>–</w:t>
      </w:r>
      <w:r w:rsidR="009952D0">
        <w:t>1920 MHz band</w:t>
      </w:r>
      <w:r w:rsidR="00D2525E">
        <w:t xml:space="preserve">, </w:t>
      </w:r>
      <w:r w:rsidR="00C973D9">
        <w:t>this distance is 1</w:t>
      </w:r>
      <w:r w:rsidR="00A95068">
        <w:t>4</w:t>
      </w:r>
      <w:r w:rsidR="00C973D9">
        <w:t>0 k</w:t>
      </w:r>
      <w:r w:rsidR="00C7497F">
        <w:t>ilometres</w:t>
      </w:r>
      <w:r w:rsidR="00C973D9">
        <w:t>.</w:t>
      </w:r>
    </w:p>
    <w:p w14:paraId="2951D5C7" w14:textId="00CE0468" w:rsidR="00EE1F69" w:rsidRDefault="00DD12E4" w:rsidP="00DD12E4">
      <w:pPr>
        <w:pStyle w:val="Paragraph"/>
      </w:pPr>
      <w:r>
        <w:t>A</w:t>
      </w:r>
      <w:r w:rsidR="00803AA2">
        <w:t xml:space="preserve">pparatus licences </w:t>
      </w:r>
      <w:r w:rsidR="00AF7C6F">
        <w:t xml:space="preserve">can only be use for services specified in the frequency band plan </w:t>
      </w:r>
      <w:r w:rsidR="00803AA2">
        <w:t>within 70 </w:t>
      </w:r>
      <w:r w:rsidR="00C7497F">
        <w:t xml:space="preserve">kilometres </w:t>
      </w:r>
      <w:r w:rsidR="00803AA2">
        <w:t>of the centre of the ARQZWA and have additional coordination requirements imposed by RALI MS32 from 70 to 1</w:t>
      </w:r>
      <w:r w:rsidR="009952D0">
        <w:t>5</w:t>
      </w:r>
      <w:r w:rsidR="00803AA2">
        <w:t>0 </w:t>
      </w:r>
      <w:r w:rsidR="00C7497F">
        <w:t xml:space="preserve">kilometres </w:t>
      </w:r>
      <w:r w:rsidR="00803AA2">
        <w:t>of the centre of the ARQZWA.</w:t>
      </w:r>
      <w:r>
        <w:t xml:space="preserve"> Any amendments to arrangements in the 1.9 GHz band</w:t>
      </w:r>
      <w:bookmarkStart w:id="40" w:name="_Hlk77835596"/>
      <w:r>
        <w:t xml:space="preserve"> must comply with</w:t>
      </w:r>
      <w:r w:rsidR="00133A1E">
        <w:t xml:space="preserve"> existing</w:t>
      </w:r>
      <w:r w:rsidR="00D63D0F">
        <w:t xml:space="preserve"> arrangements supporting the ARQZWA in the </w:t>
      </w:r>
      <w:r w:rsidR="00A60B7B">
        <w:t>band</w:t>
      </w:r>
      <w:r w:rsidR="00D63D0F">
        <w:t>.</w:t>
      </w:r>
      <w:r w:rsidR="00CB33DA">
        <w:t xml:space="preserve"> Figures </w:t>
      </w:r>
      <w:r w:rsidR="00112018">
        <w:t>4</w:t>
      </w:r>
      <w:r w:rsidR="00CB33DA">
        <w:t xml:space="preserve"> and </w:t>
      </w:r>
      <w:r w:rsidR="00112018">
        <w:t>7</w:t>
      </w:r>
      <w:r w:rsidR="00CB33DA">
        <w:t xml:space="preserve"> illustrate the location of the ARQZWA.</w:t>
      </w:r>
    </w:p>
    <w:p w14:paraId="025F0025" w14:textId="2A263705" w:rsidR="00EE1F69" w:rsidRPr="00EE1F69" w:rsidRDefault="00CB2ADA" w:rsidP="00EE1F69">
      <w:pPr>
        <w:pStyle w:val="Heading1"/>
      </w:pPr>
      <w:bookmarkStart w:id="41" w:name="_Toc87534283"/>
      <w:r>
        <w:lastRenderedPageBreak/>
        <w:t>A</w:t>
      </w:r>
      <w:r w:rsidR="00EE1F69" w:rsidRPr="00EE1F69">
        <w:t>rrangements</w:t>
      </w:r>
      <w:r w:rsidR="002431BE">
        <w:t xml:space="preserve"> and technology trends</w:t>
      </w:r>
      <w:r>
        <w:t xml:space="preserve"> in other countries</w:t>
      </w:r>
      <w:bookmarkEnd w:id="41"/>
    </w:p>
    <w:p w14:paraId="6500FE79" w14:textId="1719890B" w:rsidR="00E05BC9" w:rsidRDefault="00E05BC9" w:rsidP="00E200E5">
      <w:pPr>
        <w:pStyle w:val="Paragraph"/>
      </w:pPr>
      <w:r>
        <w:t>T</w:t>
      </w:r>
      <w:r w:rsidR="00934CEE" w:rsidRPr="005B52F2">
        <w:t>his section</w:t>
      </w:r>
      <w:r>
        <w:t xml:space="preserve"> provide</w:t>
      </w:r>
      <w:r w:rsidR="00934CEE">
        <w:t>s</w:t>
      </w:r>
      <w:r>
        <w:t xml:space="preserve"> a snapshot of global activity and</w:t>
      </w:r>
      <w:r w:rsidR="00D71E4E">
        <w:t xml:space="preserve"> developments</w:t>
      </w:r>
      <w:r>
        <w:t xml:space="preserve"> </w:t>
      </w:r>
      <w:r w:rsidR="00934CEE">
        <w:t>in the 1.9 GHz band.</w:t>
      </w:r>
    </w:p>
    <w:p w14:paraId="6898581B" w14:textId="11EB4E31" w:rsidR="00336C1F" w:rsidRDefault="00336C1F" w:rsidP="00285E8F">
      <w:pPr>
        <w:pStyle w:val="Heading2"/>
      </w:pPr>
      <w:bookmarkStart w:id="42" w:name="_Toc525659973"/>
      <w:bookmarkStart w:id="43" w:name="_Toc87534284"/>
      <w:r>
        <w:t xml:space="preserve">International Telecommunication </w:t>
      </w:r>
      <w:r w:rsidRPr="001D0EE5">
        <w:t>Union</w:t>
      </w:r>
      <w:r>
        <w:t xml:space="preserve"> (ITU)</w:t>
      </w:r>
      <w:bookmarkEnd w:id="42"/>
      <w:bookmarkEnd w:id="43"/>
    </w:p>
    <w:p w14:paraId="3778FBB2" w14:textId="7A8BB430" w:rsidR="00336C1F" w:rsidRDefault="00336C1F" w:rsidP="00336C1F">
      <w:r w:rsidRPr="007A39A0">
        <w:t>The international and domestic table of frequency allocation</w:t>
      </w:r>
      <w:r>
        <w:t>s</w:t>
      </w:r>
      <w:r w:rsidRPr="007A39A0">
        <w:t xml:space="preserve"> for </w:t>
      </w:r>
      <w:r>
        <w:t>the 1.9</w:t>
      </w:r>
      <w:r w:rsidRPr="007A39A0">
        <w:t xml:space="preserve"> GHz </w:t>
      </w:r>
      <w:r>
        <w:t xml:space="preserve">band </w:t>
      </w:r>
      <w:r w:rsidRPr="007A39A0">
        <w:t>is shown in Fig</w:t>
      </w:r>
      <w:r>
        <w:t>ure</w:t>
      </w:r>
      <w:r w:rsidRPr="007A39A0">
        <w:t xml:space="preserve"> </w:t>
      </w:r>
      <w:r w:rsidR="00112018">
        <w:t>10</w:t>
      </w:r>
      <w:r w:rsidRPr="007A39A0">
        <w:t xml:space="preserve">. The band </w:t>
      </w:r>
      <w:r>
        <w:t xml:space="preserve">is </w:t>
      </w:r>
      <w:r w:rsidRPr="007A39A0">
        <w:t>allocate</w:t>
      </w:r>
      <w:r>
        <w:t>d to</w:t>
      </w:r>
      <w:r w:rsidRPr="007A39A0">
        <w:t xml:space="preserve"> </w:t>
      </w:r>
      <w:r w:rsidR="00AC5304">
        <w:t>f</w:t>
      </w:r>
      <w:r w:rsidR="00AC5304" w:rsidRPr="007A39A0">
        <w:t>ixed</w:t>
      </w:r>
      <w:r w:rsidR="00AC5304">
        <w:t xml:space="preserve"> </w:t>
      </w:r>
      <w:r w:rsidR="00AC5304" w:rsidRPr="007A39A0">
        <w:t>and</w:t>
      </w:r>
      <w:r w:rsidRPr="007A39A0">
        <w:t xml:space="preserve"> </w:t>
      </w:r>
      <w:r>
        <w:t>m</w:t>
      </w:r>
      <w:r w:rsidRPr="007A39A0">
        <w:t xml:space="preserve">obile </w:t>
      </w:r>
      <w:r w:rsidR="00AB4EAD">
        <w:t xml:space="preserve">services </w:t>
      </w:r>
      <w:r w:rsidRPr="007A39A0">
        <w:t xml:space="preserve">on a primary basis in all </w:t>
      </w:r>
      <w:r w:rsidR="00FA3C5E">
        <w:t>3</w:t>
      </w:r>
      <w:r w:rsidR="00FA3C5E" w:rsidRPr="007A39A0">
        <w:t xml:space="preserve"> </w:t>
      </w:r>
      <w:r w:rsidR="009B1F4D">
        <w:t xml:space="preserve">ITU </w:t>
      </w:r>
      <w:r w:rsidRPr="007A39A0">
        <w:t>regions. Australia has aligned its domestic allocations to the respective regional allocation</w:t>
      </w:r>
      <w:r w:rsidR="00320DA7">
        <w:t>s</w:t>
      </w:r>
      <w:r w:rsidRPr="007A39A0">
        <w:t>, Region 3</w:t>
      </w:r>
      <w:r>
        <w:t>.</w:t>
      </w:r>
    </w:p>
    <w:p w14:paraId="4280596E" w14:textId="5C8C8E4C" w:rsidR="00C82E4A" w:rsidRDefault="00336C1F" w:rsidP="009C625B">
      <w:pPr>
        <w:pStyle w:val="Figureheading"/>
        <w:rPr>
          <w:noProof/>
        </w:rPr>
      </w:pPr>
      <w:r w:rsidRPr="0085688D">
        <w:t xml:space="preserve">Global and national </w:t>
      </w:r>
      <w:r>
        <w:t>frequency allocations</w:t>
      </w:r>
      <w:r w:rsidRPr="0085688D">
        <w:t xml:space="preserve"> for the </w:t>
      </w:r>
      <w:r w:rsidR="008E7420">
        <w:t>1.9</w:t>
      </w:r>
      <w:r w:rsidR="008E7420" w:rsidRPr="0085688D">
        <w:t xml:space="preserve"> </w:t>
      </w:r>
      <w:r w:rsidRPr="0085688D">
        <w:t>GHz band</w:t>
      </w:r>
    </w:p>
    <w:p w14:paraId="6025906D" w14:textId="13A52B71" w:rsidR="00440C53" w:rsidRDefault="00B8333C" w:rsidP="00EE1F69">
      <w:r w:rsidRPr="00B8333C">
        <w:rPr>
          <w:noProof/>
        </w:rPr>
        <w:drawing>
          <wp:inline distT="0" distB="0" distL="0" distR="0" wp14:anchorId="535A38ED" wp14:editId="66A539EA">
            <wp:extent cx="6447881" cy="1041009"/>
            <wp:effectExtent l="0" t="0" r="0" b="6985"/>
            <wp:docPr id="434" name="Picture 4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Table&#10;&#10;Description automatically generated"/>
                    <pic:cNvPicPr/>
                  </pic:nvPicPr>
                  <pic:blipFill rotWithShape="1">
                    <a:blip r:embed="rId86"/>
                    <a:srcRect l="1309" t="6794" b="10452"/>
                    <a:stretch/>
                  </pic:blipFill>
                  <pic:spPr bwMode="auto">
                    <a:xfrm>
                      <a:off x="0" y="0"/>
                      <a:ext cx="6519034" cy="1052497"/>
                    </a:xfrm>
                    <a:prstGeom prst="rect">
                      <a:avLst/>
                    </a:prstGeom>
                    <a:ln>
                      <a:noFill/>
                    </a:ln>
                    <a:extLst>
                      <a:ext uri="{53640926-AAD7-44D8-BBD7-CCE9431645EC}">
                        <a14:shadowObscured xmlns:a14="http://schemas.microsoft.com/office/drawing/2010/main"/>
                      </a:ext>
                    </a:extLst>
                  </pic:spPr>
                </pic:pic>
              </a:graphicData>
            </a:graphic>
          </wp:inline>
        </w:drawing>
      </w:r>
    </w:p>
    <w:p w14:paraId="35C6426A" w14:textId="2ACD9E1B" w:rsidR="00CB33DA" w:rsidRDefault="003B3317" w:rsidP="00CB33DA">
      <w:pPr>
        <w:pStyle w:val="Paragraph"/>
      </w:pPr>
      <w:r>
        <w:t xml:space="preserve">The Radio </w:t>
      </w:r>
      <w:r w:rsidR="00C73FBC">
        <w:t>R</w:t>
      </w:r>
      <w:r>
        <w:t>egulation</w:t>
      </w:r>
      <w:r w:rsidR="00452FED">
        <w:t>s</w:t>
      </w:r>
      <w:r>
        <w:t xml:space="preserve"> </w:t>
      </w:r>
      <w:hyperlink r:id="rId87" w:history="1">
        <w:r w:rsidR="00C73FBC" w:rsidRPr="00B44288">
          <w:rPr>
            <w:rStyle w:val="Hyperlink"/>
          </w:rPr>
          <w:t>Resolution 212 (Rev.WRC-19)</w:t>
        </w:r>
      </w:hyperlink>
      <w:r w:rsidR="00C73FBC">
        <w:t xml:space="preserve"> </w:t>
      </w:r>
      <w:r>
        <w:t xml:space="preserve">identified the </w:t>
      </w:r>
      <w:r w:rsidRPr="009D7688">
        <w:t xml:space="preserve">frequency bands 1885–2025 MHz and 2110–2200 MHz </w:t>
      </w:r>
      <w:r>
        <w:t xml:space="preserve">for the </w:t>
      </w:r>
      <w:r w:rsidRPr="009D7688">
        <w:t>intended use, on a worldwide basis, by administrations wishing to implement International Mobile Telecommunications (IMT).</w:t>
      </w:r>
      <w:r w:rsidR="00C73FBC">
        <w:t xml:space="preserve"> The resolution noted that s</w:t>
      </w:r>
      <w:r w:rsidR="00C73FBC" w:rsidRPr="009D7688">
        <w:t>uch use does not preclude the use of these frequency bands by other services to which they are allocated</w:t>
      </w:r>
      <w:r w:rsidR="00637CEE">
        <w:t>.</w:t>
      </w:r>
    </w:p>
    <w:p w14:paraId="6FC6506B" w14:textId="016BB0FD" w:rsidR="00CB33DA" w:rsidRDefault="00CB33DA" w:rsidP="00E200E5">
      <w:pPr>
        <w:pStyle w:val="Paragraphbeforelist"/>
      </w:pPr>
      <w:r>
        <w:t xml:space="preserve">There are </w:t>
      </w:r>
      <w:r w:rsidR="00085B90">
        <w:t>various</w:t>
      </w:r>
      <w:r>
        <w:t xml:space="preserve"> footnotes in the </w:t>
      </w:r>
      <w:hyperlink r:id="rId88" w:history="1">
        <w:r w:rsidR="009B4852">
          <w:rPr>
            <w:rStyle w:val="Hyperlink"/>
          </w:rPr>
          <w:t>ARSP</w:t>
        </w:r>
      </w:hyperlink>
      <w:r w:rsidR="0098560C">
        <w:t xml:space="preserve"> </w:t>
      </w:r>
      <w:r>
        <w:t xml:space="preserve"> that apply to the 1880</w:t>
      </w:r>
      <w:r w:rsidR="00FA3C5E">
        <w:t>–</w:t>
      </w:r>
      <w:r>
        <w:t>1920 MHz band, includ</w:t>
      </w:r>
      <w:r w:rsidR="00FA3C5E">
        <w:t>ing</w:t>
      </w:r>
      <w:r>
        <w:t>:</w:t>
      </w:r>
    </w:p>
    <w:p w14:paraId="26081E52" w14:textId="32D59AB2" w:rsidR="00CB33DA" w:rsidRDefault="00CB33DA" w:rsidP="00CB33DA">
      <w:pPr>
        <w:pStyle w:val="ListBullet"/>
        <w:numPr>
          <w:ilvl w:val="0"/>
          <w:numId w:val="2"/>
        </w:numPr>
        <w:tabs>
          <w:tab w:val="clear" w:pos="845"/>
          <w:tab w:val="num" w:pos="295"/>
        </w:tabs>
        <w:ind w:left="295" w:hanging="295"/>
      </w:pPr>
      <w:r w:rsidRPr="00D36350">
        <w:rPr>
          <w:b/>
          <w:bCs/>
        </w:rPr>
        <w:t>384A</w:t>
      </w:r>
      <w:r>
        <w:rPr>
          <w:b/>
          <w:bCs/>
        </w:rPr>
        <w:t xml:space="preserve"> and 388: </w:t>
      </w:r>
      <w:r>
        <w:t xml:space="preserve">These footnotes apply to the </w:t>
      </w:r>
      <w:r w:rsidR="00FA3C5E">
        <w:t>m</w:t>
      </w:r>
      <w:r>
        <w:t xml:space="preserve">obile </w:t>
      </w:r>
      <w:r w:rsidR="00FA3C5E">
        <w:t>s</w:t>
      </w:r>
      <w:r>
        <w:t>ervice. They identify the 1710</w:t>
      </w:r>
      <w:r w:rsidR="00FA3C5E">
        <w:t>–</w:t>
      </w:r>
      <w:r>
        <w:t>1885 MHz and 1885</w:t>
      </w:r>
      <w:r w:rsidR="00FA3C5E">
        <w:t>–</w:t>
      </w:r>
      <w:r>
        <w:t>2025 MHz bands for IMT</w:t>
      </w:r>
      <w:r w:rsidR="00FA3C5E">
        <w:t>,</w:t>
      </w:r>
      <w:r>
        <w:t xml:space="preserve"> respectively.</w:t>
      </w:r>
    </w:p>
    <w:p w14:paraId="0AAA60E6" w14:textId="689040CB" w:rsidR="003241CB" w:rsidRDefault="00CB33DA" w:rsidP="00E200E5">
      <w:pPr>
        <w:pStyle w:val="Bulletlevel1last"/>
      </w:pPr>
      <w:r w:rsidRPr="00D36350">
        <w:rPr>
          <w:b/>
          <w:bCs/>
        </w:rPr>
        <w:t>388A</w:t>
      </w:r>
      <w:r>
        <w:rPr>
          <w:b/>
          <w:bCs/>
        </w:rPr>
        <w:t xml:space="preserve">: </w:t>
      </w:r>
      <w:r>
        <w:t xml:space="preserve">This footnote applies to the </w:t>
      </w:r>
      <w:r w:rsidR="00FA3C5E">
        <w:t>m</w:t>
      </w:r>
      <w:r>
        <w:t xml:space="preserve">obile </w:t>
      </w:r>
      <w:r w:rsidR="00FA3C5E">
        <w:t>s</w:t>
      </w:r>
      <w:r>
        <w:t>ervice. It identifies the 1885</w:t>
      </w:r>
      <w:r w:rsidR="00FA3C5E">
        <w:t>–</w:t>
      </w:r>
      <w:r>
        <w:t xml:space="preserve">1980 MHz band for use by high altitude platform stations (HAPS) for the provision of IMT. </w:t>
      </w:r>
    </w:p>
    <w:p w14:paraId="4630AB0B" w14:textId="388A62D4" w:rsidR="0074393F" w:rsidRDefault="003241CB" w:rsidP="009C625B">
      <w:pPr>
        <w:autoSpaceDE w:val="0"/>
        <w:autoSpaceDN w:val="0"/>
        <w:spacing w:before="40" w:after="40" w:line="240" w:lineRule="auto"/>
        <w:rPr>
          <w:rFonts w:cs="Arial"/>
          <w:b/>
          <w:bCs/>
          <w:color w:val="000000"/>
          <w:szCs w:val="20"/>
        </w:rPr>
      </w:pPr>
      <w:r w:rsidRPr="007E0AB7">
        <w:rPr>
          <w:rFonts w:cs="Arial"/>
          <w:color w:val="000000"/>
          <w:szCs w:val="20"/>
        </w:rPr>
        <w:t>T</w:t>
      </w:r>
      <w:r w:rsidRPr="000764D8">
        <w:rPr>
          <w:rFonts w:cs="Arial"/>
          <w:color w:val="000000"/>
          <w:szCs w:val="20"/>
        </w:rPr>
        <w:t>he ITU</w:t>
      </w:r>
      <w:r w:rsidR="000764D8" w:rsidRPr="00E200E5">
        <w:rPr>
          <w:rFonts w:cs="Arial"/>
          <w:color w:val="000000"/>
          <w:szCs w:val="20"/>
        </w:rPr>
        <w:t xml:space="preserve"> Radiocommunication Sector (ITU-R)</w:t>
      </w:r>
      <w:r w:rsidR="000E3EEC" w:rsidRPr="001E65C3">
        <w:rPr>
          <w:rFonts w:cs="Arial"/>
          <w:color w:val="000000"/>
          <w:szCs w:val="20"/>
        </w:rPr>
        <w:t xml:space="preserve"> </w:t>
      </w:r>
      <w:hyperlink r:id="rId89" w:history="1">
        <w:r w:rsidR="00D77D83" w:rsidRPr="000764D8">
          <w:rPr>
            <w:rStyle w:val="Hyperlink"/>
            <w:rFonts w:cs="Arial"/>
            <w:szCs w:val="20"/>
          </w:rPr>
          <w:t xml:space="preserve">Recommendation </w:t>
        </w:r>
        <w:r w:rsidR="004442F4" w:rsidRPr="001E65C3">
          <w:rPr>
            <w:rStyle w:val="Hyperlink"/>
            <w:rFonts w:cs="Arial"/>
            <w:szCs w:val="20"/>
          </w:rPr>
          <w:t>M.</w:t>
        </w:r>
        <w:r w:rsidR="00D77D83" w:rsidRPr="001E65C3">
          <w:rPr>
            <w:rStyle w:val="Hyperlink"/>
          </w:rPr>
          <w:t>1036</w:t>
        </w:r>
      </w:hyperlink>
      <w:r w:rsidR="00B44288">
        <w:t xml:space="preserve"> series</w:t>
      </w:r>
      <w:r w:rsidR="002D7B78">
        <w:t xml:space="preserve"> provide</w:t>
      </w:r>
      <w:r w:rsidR="004442F4">
        <w:t>s</w:t>
      </w:r>
      <w:r w:rsidR="002D7B78">
        <w:t xml:space="preserve"> guidance on the selection of frequency arrangements for the terrestrial component of IMT-2000 systems</w:t>
      </w:r>
      <w:r w:rsidR="00487176">
        <w:t>.</w:t>
      </w:r>
      <w:r w:rsidR="00F5099F">
        <w:t xml:space="preserve"> </w:t>
      </w:r>
      <w:r w:rsidR="00AB4EAD">
        <w:rPr>
          <w:rFonts w:cs="Arial"/>
          <w:color w:val="000000"/>
          <w:szCs w:val="20"/>
        </w:rPr>
        <w:t>T</w:t>
      </w:r>
      <w:r w:rsidR="002B100F">
        <w:t xml:space="preserve">he recommended frequency arrangements in </w:t>
      </w:r>
      <w:r w:rsidR="00AB4EAD">
        <w:t xml:space="preserve">and around the 1.9 GHz </w:t>
      </w:r>
      <w:r w:rsidR="002B100F">
        <w:t>band</w:t>
      </w:r>
      <w:r w:rsidR="00AB4EAD">
        <w:t xml:space="preserve"> </w:t>
      </w:r>
      <w:r w:rsidR="00D94947">
        <w:t xml:space="preserve">are </w:t>
      </w:r>
      <w:r w:rsidR="002B100F">
        <w:t>summarised</w:t>
      </w:r>
      <w:r w:rsidR="0037250F">
        <w:t xml:space="preserve"> </w:t>
      </w:r>
      <w:r w:rsidR="00D2152C">
        <w:t xml:space="preserve">as illustrated </w:t>
      </w:r>
      <w:r w:rsidR="002B100F">
        <w:t>in Figure</w:t>
      </w:r>
      <w:r w:rsidR="0074393F">
        <w:t xml:space="preserve"> </w:t>
      </w:r>
      <w:r w:rsidR="00112018">
        <w:t>11</w:t>
      </w:r>
      <w:r w:rsidR="0074393F">
        <w:t>.</w:t>
      </w:r>
    </w:p>
    <w:p w14:paraId="056797BE" w14:textId="45373A72" w:rsidR="00932AAE" w:rsidRPr="00956560" w:rsidRDefault="00D82479" w:rsidP="00E200E5">
      <w:pPr>
        <w:pStyle w:val="Figureheading"/>
      </w:pPr>
      <w:hyperlink r:id="rId90" w:history="1">
        <w:r w:rsidR="00932AAE" w:rsidRPr="000E1184">
          <w:rPr>
            <w:rStyle w:val="Hyperlink"/>
          </w:rPr>
          <w:t>ITU-R Recommendation M.1036-3</w:t>
        </w:r>
      </w:hyperlink>
      <w:r w:rsidR="00FA3C5E">
        <w:t>; f</w:t>
      </w:r>
      <w:r w:rsidR="00932AAE" w:rsidRPr="00E200E5">
        <w:t>requency arrangements B1 to B7</w:t>
      </w:r>
    </w:p>
    <w:p w14:paraId="168C8374" w14:textId="59D45FD8" w:rsidR="002B100F" w:rsidRDefault="00932AAE" w:rsidP="002B100F">
      <w:pPr>
        <w:autoSpaceDE w:val="0"/>
        <w:autoSpaceDN w:val="0"/>
        <w:spacing w:before="40" w:after="40" w:line="240" w:lineRule="auto"/>
      </w:pPr>
      <w:r>
        <w:rPr>
          <w:noProof/>
          <w:lang w:val="en-GB" w:eastAsia="en-GB"/>
        </w:rPr>
        <w:drawing>
          <wp:inline distT="0" distB="0" distL="0" distR="0" wp14:anchorId="5179D9A0" wp14:editId="55AB04B5">
            <wp:extent cx="6260123" cy="4627871"/>
            <wp:effectExtent l="0" t="0" r="7620"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91" cstate="print">
                      <a:extLst>
                        <a:ext uri="{28A0092B-C50C-407E-A947-70E740481C1C}">
                          <a14:useLocalDpi xmlns:a14="http://schemas.microsoft.com/office/drawing/2010/main" val="0"/>
                        </a:ext>
                      </a:extLst>
                    </a:blip>
                    <a:srcRect/>
                    <a:stretch/>
                  </pic:blipFill>
                  <pic:spPr bwMode="auto">
                    <a:xfrm>
                      <a:off x="0" y="0"/>
                      <a:ext cx="6268319" cy="4633930"/>
                    </a:xfrm>
                    <a:prstGeom prst="rect">
                      <a:avLst/>
                    </a:prstGeom>
                    <a:ln>
                      <a:noFill/>
                    </a:ln>
                    <a:extLst>
                      <a:ext uri="{53640926-AAD7-44D8-BBD7-CCE9431645EC}">
                        <a14:shadowObscured xmlns:a14="http://schemas.microsoft.com/office/drawing/2010/main"/>
                      </a:ext>
                    </a:extLst>
                  </pic:spPr>
                </pic:pic>
              </a:graphicData>
            </a:graphic>
          </wp:inline>
        </w:drawing>
      </w:r>
    </w:p>
    <w:p w14:paraId="13A14C04" w14:textId="77777777" w:rsidR="00EF00B1" w:rsidRDefault="00EF00B1" w:rsidP="00487176">
      <w:pPr>
        <w:autoSpaceDE w:val="0"/>
        <w:autoSpaceDN w:val="0"/>
        <w:spacing w:before="40" w:after="40" w:line="240" w:lineRule="auto"/>
      </w:pPr>
    </w:p>
    <w:p w14:paraId="1D95C73A" w14:textId="01F4C462" w:rsidR="0074393F" w:rsidRDefault="005C3CB1" w:rsidP="00487176">
      <w:pPr>
        <w:autoSpaceDE w:val="0"/>
        <w:autoSpaceDN w:val="0"/>
        <w:spacing w:before="40" w:after="40" w:line="240" w:lineRule="auto"/>
      </w:pPr>
      <w:r>
        <w:t xml:space="preserve">Australia has </w:t>
      </w:r>
      <w:r w:rsidR="00D710CC">
        <w:t>implemented</w:t>
      </w:r>
      <w:r>
        <w:t xml:space="preserve"> </w:t>
      </w:r>
      <w:r w:rsidR="00C25A6B">
        <w:t xml:space="preserve">paired spectrum </w:t>
      </w:r>
      <w:r w:rsidR="00AB4EAD">
        <w:t xml:space="preserve">arrangements </w:t>
      </w:r>
      <w:r w:rsidR="00B350EB">
        <w:t>via spectrum licen</w:t>
      </w:r>
      <w:r w:rsidR="00AB4EAD">
        <w:t>s</w:t>
      </w:r>
      <w:r w:rsidR="00B350EB">
        <w:t xml:space="preserve">ing </w:t>
      </w:r>
      <w:r w:rsidR="00C25A6B">
        <w:t xml:space="preserve">based </w:t>
      </w:r>
      <w:r w:rsidR="00B417BD">
        <w:t>upon</w:t>
      </w:r>
      <w:r w:rsidR="00C25A6B">
        <w:t xml:space="preserve"> </w:t>
      </w:r>
      <w:r w:rsidR="00D710CC">
        <w:t>frequency arrangement</w:t>
      </w:r>
      <w:r w:rsidR="00AB4EAD" w:rsidRPr="00AB4EAD">
        <w:t xml:space="preserve"> </w:t>
      </w:r>
      <w:r w:rsidR="00AB4EAD">
        <w:t>B4</w:t>
      </w:r>
      <w:r w:rsidR="00927882">
        <w:t xml:space="preserve">. </w:t>
      </w:r>
    </w:p>
    <w:p w14:paraId="652F56EA" w14:textId="0B236B52" w:rsidR="00B26B42" w:rsidRPr="00754533" w:rsidRDefault="00B26B42" w:rsidP="00285E8F">
      <w:pPr>
        <w:pStyle w:val="Heading2"/>
      </w:pPr>
      <w:bookmarkStart w:id="44" w:name="_Toc525659974"/>
      <w:bookmarkStart w:id="45" w:name="_Toc87534285"/>
      <w:r w:rsidRPr="00754533">
        <w:t>European Union (EU)</w:t>
      </w:r>
      <w:bookmarkEnd w:id="44"/>
      <w:bookmarkEnd w:id="45"/>
    </w:p>
    <w:p w14:paraId="642632CF" w14:textId="1E636FDA" w:rsidR="00B26B42" w:rsidRDefault="002431BE" w:rsidP="003869C2">
      <w:r>
        <w:t xml:space="preserve">The </w:t>
      </w:r>
      <w:r w:rsidR="00B26B42" w:rsidRPr="00C853AA">
        <w:t>European Conference of Postal and Telecommunications Administrations</w:t>
      </w:r>
      <w:r w:rsidR="00B26B42">
        <w:t xml:space="preserve"> (CEPT),</w:t>
      </w:r>
      <w:r w:rsidR="00DB6FC5">
        <w:t xml:space="preserve"> </w:t>
      </w:r>
      <w:r w:rsidR="00DB6FC5" w:rsidRPr="00DB6FC5">
        <w:t>Recommendation T/R 22-02</w:t>
      </w:r>
      <w:r w:rsidR="00B26B42">
        <w:rPr>
          <w:rStyle w:val="FootnoteReference"/>
        </w:rPr>
        <w:footnoteReference w:id="9"/>
      </w:r>
      <w:r w:rsidR="00B26B42">
        <w:t xml:space="preserve">, recommends European countries </w:t>
      </w:r>
      <w:r w:rsidR="007E0518">
        <w:t>designate</w:t>
      </w:r>
      <w:r w:rsidR="00D45143">
        <w:t xml:space="preserve"> the frequency range 1880</w:t>
      </w:r>
      <w:r w:rsidR="00FA3C5E">
        <w:t>–</w:t>
      </w:r>
      <w:r w:rsidR="00D45143">
        <w:t xml:space="preserve">1900 MHz </w:t>
      </w:r>
      <w:r w:rsidR="005768DB">
        <w:t>for DECT services.</w:t>
      </w:r>
      <w:r w:rsidR="007E0518">
        <w:t xml:space="preserve"> </w:t>
      </w:r>
      <w:r w:rsidR="00E73444">
        <w:t xml:space="preserve">The 2015 </w:t>
      </w:r>
      <w:r w:rsidR="007E0518">
        <w:t>CEPT Report 52</w:t>
      </w:r>
      <w:r w:rsidR="004A51A2">
        <w:rPr>
          <w:rStyle w:val="FootnoteReference"/>
        </w:rPr>
        <w:footnoteReference w:id="10"/>
      </w:r>
      <w:r w:rsidR="005768DB">
        <w:t xml:space="preserve"> </w:t>
      </w:r>
      <w:r w:rsidR="009C2FCF">
        <w:t>assess</w:t>
      </w:r>
      <w:r w:rsidR="00E73444">
        <w:t>ed</w:t>
      </w:r>
      <w:r w:rsidR="009C2FCF">
        <w:t xml:space="preserve"> and identifie</w:t>
      </w:r>
      <w:r w:rsidR="00E73444">
        <w:t>d</w:t>
      </w:r>
      <w:r w:rsidR="009C2FCF">
        <w:t xml:space="preserve"> alternative uses for the frequency range 1900</w:t>
      </w:r>
      <w:r w:rsidR="00FA3C5E">
        <w:t>–</w:t>
      </w:r>
      <w:r w:rsidR="009C2FCF">
        <w:t>1920 MHz.</w:t>
      </w:r>
      <w:r w:rsidR="002743AD">
        <w:t xml:space="preserve"> </w:t>
      </w:r>
      <w:r w:rsidR="00E12103">
        <w:t xml:space="preserve">The CEPT report identified </w:t>
      </w:r>
      <w:r w:rsidR="003869C2">
        <w:t xml:space="preserve">Direct </w:t>
      </w:r>
      <w:r w:rsidR="00A0231C">
        <w:t>A</w:t>
      </w:r>
      <w:r w:rsidR="003869C2">
        <w:t>ir</w:t>
      </w:r>
      <w:r w:rsidR="00A0231C">
        <w:t>-</w:t>
      </w:r>
      <w:r w:rsidR="003869C2">
        <w:t>to</w:t>
      </w:r>
      <w:r w:rsidR="00A0231C">
        <w:t>-G</w:t>
      </w:r>
      <w:r w:rsidR="003869C2">
        <w:t xml:space="preserve">round </w:t>
      </w:r>
      <w:r w:rsidR="00A0231C">
        <w:t>C</w:t>
      </w:r>
      <w:r w:rsidR="003869C2">
        <w:t xml:space="preserve">ommunications, video links and cordless cameras </w:t>
      </w:r>
      <w:r w:rsidR="00196C61">
        <w:t>and a</w:t>
      </w:r>
      <w:r w:rsidR="003869C2">
        <w:t>pplications under general authorisation</w:t>
      </w:r>
      <w:r w:rsidR="00196C61">
        <w:t xml:space="preserve"> </w:t>
      </w:r>
      <w:r w:rsidR="009E2592">
        <w:t>(</w:t>
      </w:r>
      <w:r w:rsidR="00E649CC">
        <w:t>similar to Australian class</w:t>
      </w:r>
      <w:r w:rsidR="00FA3C5E">
        <w:t>-</w:t>
      </w:r>
      <w:r w:rsidR="00E649CC">
        <w:t>licensing arrangements</w:t>
      </w:r>
      <w:r w:rsidR="009E2592">
        <w:t xml:space="preserve">) </w:t>
      </w:r>
      <w:r w:rsidR="00E12103">
        <w:t xml:space="preserve">be considered for possible </w:t>
      </w:r>
      <w:r w:rsidR="00196C61">
        <w:t>harmonisation.</w:t>
      </w:r>
    </w:p>
    <w:p w14:paraId="6517D14B" w14:textId="436DD7EE" w:rsidR="003D5471" w:rsidRDefault="007243BD" w:rsidP="003D5471">
      <w:r>
        <w:t>In</w:t>
      </w:r>
      <w:r w:rsidR="005774B1">
        <w:t xml:space="preserve"> 2018</w:t>
      </w:r>
      <w:r w:rsidR="00FC7541">
        <w:t>,</w:t>
      </w:r>
      <w:r w:rsidR="005774B1">
        <w:t xml:space="preserve"> </w:t>
      </w:r>
      <w:r w:rsidR="00FC7541">
        <w:t>the Electronic Communications Committee (</w:t>
      </w:r>
      <w:r w:rsidR="00E12103">
        <w:t>E</w:t>
      </w:r>
      <w:r w:rsidR="005774B1">
        <w:t>CC</w:t>
      </w:r>
      <w:r w:rsidR="00FC7541">
        <w:t>)</w:t>
      </w:r>
      <w:r w:rsidR="005774B1">
        <w:t xml:space="preserve"> </w:t>
      </w:r>
      <w:r w:rsidR="00E12103">
        <w:t xml:space="preserve">decision </w:t>
      </w:r>
      <w:r w:rsidR="005774B1">
        <w:t>(18)01</w:t>
      </w:r>
      <w:r w:rsidR="00122BAA">
        <w:rPr>
          <w:rStyle w:val="FootnoteReference"/>
        </w:rPr>
        <w:footnoteReference w:id="11"/>
      </w:r>
      <w:r w:rsidR="00F5099F">
        <w:t xml:space="preserve"> </w:t>
      </w:r>
      <w:r w:rsidR="000355F7">
        <w:t xml:space="preserve">withdrew the prevision </w:t>
      </w:r>
      <w:r w:rsidR="005F2F51">
        <w:t xml:space="preserve">decision </w:t>
      </w:r>
      <w:r w:rsidR="00872323">
        <w:t xml:space="preserve">on </w:t>
      </w:r>
      <w:r w:rsidR="000355F7">
        <w:t xml:space="preserve">harmonised use of </w:t>
      </w:r>
      <w:r w:rsidR="005F2F51">
        <w:t xml:space="preserve">the band for </w:t>
      </w:r>
      <w:r w:rsidR="000355F7">
        <w:t>broadband Direct Air-to-Ground Communications</w:t>
      </w:r>
      <w:r w:rsidR="005F2F51">
        <w:t xml:space="preserve"> </w:t>
      </w:r>
      <w:r w:rsidR="000355F7">
        <w:t>systems in the frequency band 1900</w:t>
      </w:r>
      <w:r w:rsidR="00C82E4A">
        <w:t>–</w:t>
      </w:r>
      <w:r w:rsidR="000355F7">
        <w:t>1920 MHz</w:t>
      </w:r>
      <w:r w:rsidR="00236B76">
        <w:t xml:space="preserve">. The ECC </w:t>
      </w:r>
      <w:r w:rsidR="00C82E4A">
        <w:lastRenderedPageBreak/>
        <w:t>d</w:t>
      </w:r>
      <w:r w:rsidR="00236B76">
        <w:t xml:space="preserve">ecision </w:t>
      </w:r>
      <w:r w:rsidR="00D94947">
        <w:t xml:space="preserve">noted </w:t>
      </w:r>
      <w:r w:rsidR="00236B76">
        <w:t xml:space="preserve">that use of </w:t>
      </w:r>
      <w:r w:rsidR="003D5471">
        <w:t>1900</w:t>
      </w:r>
      <w:r w:rsidR="00C82E4A">
        <w:t>–</w:t>
      </w:r>
      <w:r w:rsidR="003D5471">
        <w:t>1920</w:t>
      </w:r>
      <w:r w:rsidR="009E2592">
        <w:t> </w:t>
      </w:r>
      <w:r w:rsidR="003D5471">
        <w:t xml:space="preserve">MHz was under discussion </w:t>
      </w:r>
      <w:r w:rsidR="00F52ED2">
        <w:t>regarding</w:t>
      </w:r>
      <w:r w:rsidR="003D5471">
        <w:t xml:space="preserve"> the use by other alternative radio</w:t>
      </w:r>
      <w:r w:rsidR="001866AE">
        <w:t xml:space="preserve"> services.</w:t>
      </w:r>
    </w:p>
    <w:p w14:paraId="66781D89" w14:textId="59F7201B" w:rsidR="00E12103" w:rsidRDefault="00280EE2" w:rsidP="0021384C">
      <w:r>
        <w:t>The 2020 ECC Report 314</w:t>
      </w:r>
      <w:r w:rsidR="00BB1E4D">
        <w:rPr>
          <w:rStyle w:val="FootnoteReference"/>
        </w:rPr>
        <w:footnoteReference w:id="12"/>
      </w:r>
      <w:r w:rsidR="00BB1E4D">
        <w:t xml:space="preserve"> </w:t>
      </w:r>
      <w:r w:rsidR="00806226">
        <w:t>considered</w:t>
      </w:r>
      <w:r w:rsidR="0021384C">
        <w:t xml:space="preserve"> the possibility of introducing a 10 MHz </w:t>
      </w:r>
      <w:r w:rsidR="0091189E">
        <w:t>Time Division Duplex (</w:t>
      </w:r>
      <w:r w:rsidR="0021384C">
        <w:t>TDD</w:t>
      </w:r>
      <w:r w:rsidR="0091189E">
        <w:t>)</w:t>
      </w:r>
      <w:r w:rsidR="0021384C" w:rsidDel="0091189E">
        <w:t xml:space="preserve"> </w:t>
      </w:r>
      <w:r w:rsidR="0021384C">
        <w:t>channel in the 1900</w:t>
      </w:r>
      <w:r w:rsidR="00C82E4A">
        <w:t>–</w:t>
      </w:r>
      <w:r w:rsidR="0021384C">
        <w:t xml:space="preserve">1910 MHz band </w:t>
      </w:r>
      <w:r w:rsidR="00315F7B">
        <w:t>for FRMCS</w:t>
      </w:r>
      <w:r w:rsidR="00C82E4A">
        <w:t>,</w:t>
      </w:r>
      <w:r w:rsidR="00315F7B">
        <w:t xml:space="preserve"> </w:t>
      </w:r>
      <w:r w:rsidR="0021384C">
        <w:t>using either 4G LTE or 5G NR technology.</w:t>
      </w:r>
    </w:p>
    <w:p w14:paraId="6E324C6C" w14:textId="4BD2B4C9" w:rsidR="00D20B99" w:rsidRPr="00754533" w:rsidRDefault="00D37074" w:rsidP="00D20B99">
      <w:pPr>
        <w:pStyle w:val="Heading2"/>
      </w:pPr>
      <w:bookmarkStart w:id="46" w:name="_Toc87534286"/>
      <w:r>
        <w:t>R</w:t>
      </w:r>
      <w:r w:rsidR="00D20B99">
        <w:t>egulator</w:t>
      </w:r>
      <w:r>
        <w:t xml:space="preserve"> approaches </w:t>
      </w:r>
      <w:r w:rsidR="002B2564">
        <w:t>in other countries</w:t>
      </w:r>
      <w:bookmarkEnd w:id="46"/>
    </w:p>
    <w:p w14:paraId="5EBCF5CC" w14:textId="3EFE494F" w:rsidR="00D20B99" w:rsidRDefault="009E2592" w:rsidP="00D20B99">
      <w:r>
        <w:t>Globally</w:t>
      </w:r>
      <w:r w:rsidR="00D20B99">
        <w:t xml:space="preserve">, there is no </w:t>
      </w:r>
      <w:r w:rsidR="001D20F2">
        <w:t xml:space="preserve">single </w:t>
      </w:r>
      <w:r w:rsidR="00D20B99">
        <w:t xml:space="preserve">harmonised </w:t>
      </w:r>
      <w:r w:rsidR="00752830">
        <w:t>arrangement</w:t>
      </w:r>
      <w:r w:rsidR="00D20B99">
        <w:t xml:space="preserve"> for the 1.9 GHz band.</w:t>
      </w:r>
      <w:r w:rsidR="00F5099F">
        <w:t xml:space="preserve"> </w:t>
      </w:r>
      <w:r w:rsidR="00D20B99">
        <w:t>For example, the United States</w:t>
      </w:r>
      <w:r w:rsidR="00450B00">
        <w:t xml:space="preserve"> </w:t>
      </w:r>
      <w:r w:rsidR="00D20B99">
        <w:t>ha</w:t>
      </w:r>
      <w:r w:rsidR="00E649CC">
        <w:t>s</w:t>
      </w:r>
      <w:r w:rsidR="00D20B99">
        <w:t xml:space="preserve"> adopted the </w:t>
      </w:r>
      <w:r w:rsidR="00D20B99" w:rsidRPr="00D20B99">
        <w:t xml:space="preserve">ITU-R Recommendation M.1036-3 </w:t>
      </w:r>
      <w:r w:rsidR="00D20B99">
        <w:t>B</w:t>
      </w:r>
      <w:r w:rsidR="00722E7F">
        <w:t>3</w:t>
      </w:r>
      <w:r w:rsidR="00D20B99" w:rsidRPr="00D20B99">
        <w:t xml:space="preserve"> arrangements</w:t>
      </w:r>
      <w:r w:rsidR="00D20B99">
        <w:t xml:space="preserve"> (see </w:t>
      </w:r>
      <w:r w:rsidR="00112018">
        <w:t>F</w:t>
      </w:r>
      <w:r w:rsidR="00D20B99">
        <w:t>igure 11)</w:t>
      </w:r>
      <w:r w:rsidR="00450B00">
        <w:t xml:space="preserve"> </w:t>
      </w:r>
      <w:r w:rsidR="006F7ED2">
        <w:t xml:space="preserve">while Australia </w:t>
      </w:r>
      <w:r w:rsidR="00D20B99">
        <w:t xml:space="preserve">has adopted </w:t>
      </w:r>
      <w:r w:rsidR="00D20B99" w:rsidRPr="00D20B99">
        <w:t xml:space="preserve">ITU-R Recommendation M.1036-3 </w:t>
      </w:r>
      <w:r w:rsidR="00D20B99">
        <w:t>B4</w:t>
      </w:r>
      <w:r w:rsidR="00D20B99" w:rsidRPr="00D20B99">
        <w:t xml:space="preserve"> arrangements</w:t>
      </w:r>
      <w:r w:rsidR="00D20B99">
        <w:t>.</w:t>
      </w:r>
    </w:p>
    <w:p w14:paraId="1BE89524" w14:textId="0EA1F484" w:rsidR="00D20B99" w:rsidRDefault="00D20B99" w:rsidP="00D20B99">
      <w:pPr>
        <w:pStyle w:val="Paragraph"/>
        <w:rPr>
          <w:b/>
          <w:bCs/>
          <w:color w:val="323232"/>
          <w:szCs w:val="20"/>
        </w:rPr>
      </w:pPr>
      <w:r>
        <w:t xml:space="preserve">Japan </w:t>
      </w:r>
      <w:r w:rsidR="00D06DB9">
        <w:t xml:space="preserve">is the only major </w:t>
      </w:r>
      <w:r w:rsidR="00D37074">
        <w:t xml:space="preserve">foreign country </w:t>
      </w:r>
      <w:r w:rsidR="00D06DB9">
        <w:t>that is working on amending arrangements in this band</w:t>
      </w:r>
      <w:r w:rsidR="009E2592">
        <w:t xml:space="preserve">, being </w:t>
      </w:r>
      <w:r>
        <w:t xml:space="preserve">an early adopter of the </w:t>
      </w:r>
      <w:r w:rsidR="00F52ED2">
        <w:t>MulteFire</w:t>
      </w:r>
      <w:r>
        <w:t xml:space="preserve"> technology. As </w:t>
      </w:r>
      <w:r w:rsidR="00640EEC">
        <w:t>part of the</w:t>
      </w:r>
      <w:r>
        <w:t xml:space="preserve"> </w:t>
      </w:r>
      <w:r w:rsidR="00640EEC">
        <w:t>un</w:t>
      </w:r>
      <w:r w:rsidR="00FD16F0">
        <w:t>licen</w:t>
      </w:r>
      <w:r w:rsidR="00640EEC">
        <w:t>s</w:t>
      </w:r>
      <w:r w:rsidR="00FD16F0">
        <w:t>e</w:t>
      </w:r>
      <w:r w:rsidR="00640EEC">
        <w:t>d</w:t>
      </w:r>
      <w:r w:rsidR="00FD16F0">
        <w:t xml:space="preserve"> </w:t>
      </w:r>
      <w:r>
        <w:t xml:space="preserve">spectrum, 5 MHz was allocated for </w:t>
      </w:r>
      <w:r w:rsidR="00F52ED2">
        <w:t>MulteFire</w:t>
      </w:r>
      <w:r>
        <w:t xml:space="preserve"> </w:t>
      </w:r>
      <w:r w:rsidR="00CB2ADA">
        <w:t xml:space="preserve">in the range </w:t>
      </w:r>
      <w:r>
        <w:t xml:space="preserve">1895 MHz </w:t>
      </w:r>
      <w:r w:rsidR="00FF64CD">
        <w:t xml:space="preserve">to </w:t>
      </w:r>
      <w:r>
        <w:t xml:space="preserve">1905 </w:t>
      </w:r>
      <w:r w:rsidR="00CB2ADA">
        <w:t>MHz (approximately between 1897.5 MHz and 1902.5</w:t>
      </w:r>
      <w:r w:rsidR="00245DE8">
        <w:t> </w:t>
      </w:r>
      <w:r w:rsidR="00CB2ADA">
        <w:t>MHz)</w:t>
      </w:r>
      <w:r>
        <w:t>. Japan is planning a MulteFire bandwidth expansion to use the 40</w:t>
      </w:r>
      <w:r w:rsidR="00640EEC">
        <w:t xml:space="preserve"> </w:t>
      </w:r>
      <w:r>
        <w:t>MHz n39 band</w:t>
      </w:r>
      <w:r w:rsidR="00C82E4A">
        <w:t>,</w:t>
      </w:r>
      <w:r>
        <w:t xml:space="preserve"> as shown in Figure </w:t>
      </w:r>
      <w:r w:rsidR="00112018">
        <w:t>12</w:t>
      </w:r>
      <w:r>
        <w:t>.</w:t>
      </w:r>
    </w:p>
    <w:p w14:paraId="44AE494A" w14:textId="7897941B" w:rsidR="00D20B99" w:rsidRDefault="00D20B99" w:rsidP="00E200E5">
      <w:pPr>
        <w:pStyle w:val="Figureheading"/>
      </w:pPr>
      <w:r>
        <w:t>Japan’s planned MulteFire bandwidth expansion</w:t>
      </w:r>
      <w:r w:rsidR="00C82E4A" w:rsidRPr="00C82E4A">
        <w:t xml:space="preserve"> </w:t>
      </w:r>
      <w:r w:rsidR="00C82E4A" w:rsidRPr="00C82E4A">
        <w:rPr>
          <w:rFonts w:cs="Arial"/>
          <w:color w:val="333333"/>
        </w:rPr>
        <w:t>(</w:t>
      </w:r>
      <w:r w:rsidR="00C82E4A" w:rsidRPr="00E200E5">
        <w:rPr>
          <w:rFonts w:cs="Arial"/>
          <w:color w:val="333333"/>
        </w:rPr>
        <w:t>c</w:t>
      </w:r>
      <w:r w:rsidR="00C82E4A" w:rsidRPr="00C82E4A">
        <w:rPr>
          <w:rFonts w:cs="Arial"/>
          <w:color w:val="333333"/>
        </w:rPr>
        <w:t xml:space="preserve">urrent </w:t>
      </w:r>
      <w:r w:rsidR="00C82E4A" w:rsidRPr="00E200E5">
        <w:rPr>
          <w:rFonts w:cs="Arial"/>
          <w:color w:val="333333"/>
        </w:rPr>
        <w:t>v</w:t>
      </w:r>
      <w:r w:rsidR="00C82E4A" w:rsidRPr="00C82E4A">
        <w:rPr>
          <w:rFonts w:cs="Arial"/>
          <w:color w:val="333333"/>
        </w:rPr>
        <w:t xml:space="preserve">s </w:t>
      </w:r>
      <w:r w:rsidR="00C82E4A" w:rsidRPr="00E200E5">
        <w:rPr>
          <w:rFonts w:cs="Arial"/>
          <w:color w:val="333333"/>
        </w:rPr>
        <w:t>p</w:t>
      </w:r>
      <w:r w:rsidR="00C82E4A" w:rsidRPr="00C82E4A">
        <w:rPr>
          <w:rFonts w:cs="Arial"/>
          <w:color w:val="333333"/>
        </w:rPr>
        <w:t>lanned)</w:t>
      </w:r>
    </w:p>
    <w:tbl>
      <w:tblPr>
        <w:tblW w:w="7655" w:type="dxa"/>
        <w:tblInd w:w="10" w:type="dxa"/>
        <w:tblCellMar>
          <w:top w:w="57" w:type="dxa"/>
          <w:left w:w="57" w:type="dxa"/>
          <w:bottom w:w="57" w:type="dxa"/>
          <w:right w:w="57" w:type="dxa"/>
        </w:tblCellMar>
        <w:tblLook w:val="04A0" w:firstRow="1" w:lastRow="0" w:firstColumn="1" w:lastColumn="0" w:noHBand="0" w:noVBand="1"/>
      </w:tblPr>
      <w:tblGrid>
        <w:gridCol w:w="473"/>
        <w:gridCol w:w="872"/>
        <w:gridCol w:w="1073"/>
        <w:gridCol w:w="769"/>
        <w:gridCol w:w="1050"/>
        <w:gridCol w:w="762"/>
        <w:gridCol w:w="1096"/>
        <w:gridCol w:w="1088"/>
        <w:gridCol w:w="472"/>
      </w:tblGrid>
      <w:tr w:rsidR="00D20B99" w:rsidRPr="00B7754F" w14:paraId="505C1ADF" w14:textId="77777777" w:rsidTr="00E200E5">
        <w:trPr>
          <w:trHeight w:val="397"/>
        </w:trPr>
        <w:tc>
          <w:tcPr>
            <w:tcW w:w="473" w:type="dxa"/>
            <w:vMerge w:val="restart"/>
            <w:tcBorders>
              <w:top w:val="single" w:sz="4" w:space="0" w:color="auto"/>
              <w:left w:val="single" w:sz="4" w:space="0" w:color="auto"/>
              <w:right w:val="single" w:sz="4" w:space="0" w:color="auto"/>
            </w:tcBorders>
            <w:shd w:val="clear" w:color="000000" w:fill="FFFFFF"/>
            <w:vAlign w:val="center"/>
            <w:hideMark/>
          </w:tcPr>
          <w:p w14:paraId="172F1608" w14:textId="77777777" w:rsidR="00D20B99" w:rsidRPr="00E200E5" w:rsidRDefault="00D20B99" w:rsidP="00B129F2">
            <w:pPr>
              <w:spacing w:after="0" w:line="240" w:lineRule="auto"/>
              <w:jc w:val="center"/>
              <w:rPr>
                <w:rFonts w:cs="Arial"/>
                <w:b/>
                <w:bCs/>
                <w:szCs w:val="20"/>
              </w:rPr>
            </w:pPr>
            <w:r w:rsidRPr="00E200E5">
              <w:rPr>
                <w:rFonts w:cs="Arial"/>
                <w:b/>
                <w:bCs/>
                <w:caps/>
                <w:szCs w:val="20"/>
              </w:rPr>
              <w:t>B3</w:t>
            </w:r>
          </w:p>
          <w:p w14:paraId="046CF8FE" w14:textId="77777777" w:rsidR="00D20B99" w:rsidRPr="00B7754F" w:rsidRDefault="00D20B99" w:rsidP="00B129F2">
            <w:pPr>
              <w:spacing w:after="0" w:line="240" w:lineRule="auto"/>
              <w:jc w:val="center"/>
              <w:rPr>
                <w:rFonts w:cs="Arial"/>
                <w:b/>
                <w:bCs/>
                <w:color w:val="333333"/>
                <w:szCs w:val="20"/>
              </w:rPr>
            </w:pPr>
          </w:p>
        </w:tc>
        <w:tc>
          <w:tcPr>
            <w:tcW w:w="6710" w:type="dxa"/>
            <w:gridSpan w:val="7"/>
            <w:tcBorders>
              <w:top w:val="single" w:sz="4" w:space="0" w:color="auto"/>
              <w:left w:val="nil"/>
              <w:bottom w:val="single" w:sz="4" w:space="0" w:color="auto"/>
              <w:right w:val="single" w:sz="4" w:space="0" w:color="auto"/>
            </w:tcBorders>
            <w:shd w:val="clear" w:color="000000" w:fill="FFFFFF"/>
            <w:vAlign w:val="center"/>
            <w:hideMark/>
          </w:tcPr>
          <w:p w14:paraId="6398D1B5" w14:textId="77777777" w:rsidR="00D20B99" w:rsidRPr="00E200E5" w:rsidRDefault="00D20B99" w:rsidP="00B129F2">
            <w:pPr>
              <w:spacing w:after="0" w:line="240" w:lineRule="auto"/>
              <w:jc w:val="center"/>
              <w:rPr>
                <w:rFonts w:cs="Arial"/>
                <w:b/>
                <w:bCs/>
                <w:caps/>
                <w:szCs w:val="20"/>
              </w:rPr>
            </w:pPr>
            <w:r w:rsidRPr="00E200E5">
              <w:rPr>
                <w:rFonts w:cs="Arial"/>
                <w:b/>
                <w:bCs/>
                <w:caps/>
                <w:szCs w:val="20"/>
              </w:rPr>
              <w:t xml:space="preserve">B39 </w:t>
            </w:r>
          </w:p>
          <w:p w14:paraId="78B1F7C0" w14:textId="6A19CA04" w:rsidR="00D20B99" w:rsidRPr="00E200E5" w:rsidRDefault="00D20B99" w:rsidP="00B129F2">
            <w:pPr>
              <w:spacing w:after="0" w:line="240" w:lineRule="auto"/>
              <w:jc w:val="center"/>
              <w:rPr>
                <w:rFonts w:cs="Arial"/>
                <w:b/>
                <w:bCs/>
                <w:szCs w:val="20"/>
              </w:rPr>
            </w:pPr>
            <w:r w:rsidRPr="00E200E5">
              <w:rPr>
                <w:rFonts w:cs="Arial"/>
                <w:b/>
                <w:bCs/>
                <w:caps/>
                <w:szCs w:val="20"/>
              </w:rPr>
              <w:t>(1880</w:t>
            </w:r>
            <w:r w:rsidR="00C82E4A" w:rsidRPr="00E200E5">
              <w:rPr>
                <w:b/>
                <w:bCs/>
              </w:rPr>
              <w:t>–</w:t>
            </w:r>
            <w:r w:rsidRPr="00E200E5">
              <w:rPr>
                <w:rFonts w:cs="Arial"/>
                <w:b/>
                <w:bCs/>
                <w:caps/>
                <w:szCs w:val="20"/>
              </w:rPr>
              <w:t>1920 MHz)</w:t>
            </w:r>
          </w:p>
        </w:tc>
        <w:tc>
          <w:tcPr>
            <w:tcW w:w="472" w:type="dxa"/>
            <w:vMerge w:val="restart"/>
            <w:tcBorders>
              <w:top w:val="single" w:sz="4" w:space="0" w:color="auto"/>
              <w:left w:val="nil"/>
              <w:right w:val="single" w:sz="4" w:space="0" w:color="auto"/>
            </w:tcBorders>
            <w:shd w:val="clear" w:color="000000" w:fill="FFFFFF"/>
            <w:vAlign w:val="center"/>
            <w:hideMark/>
          </w:tcPr>
          <w:p w14:paraId="5E7A6946" w14:textId="77777777" w:rsidR="00D20B99" w:rsidRPr="00E200E5" w:rsidRDefault="00D20B99" w:rsidP="00B129F2">
            <w:pPr>
              <w:spacing w:after="0" w:line="240" w:lineRule="auto"/>
              <w:jc w:val="center"/>
              <w:rPr>
                <w:rFonts w:cs="Arial"/>
                <w:b/>
                <w:bCs/>
                <w:szCs w:val="20"/>
              </w:rPr>
            </w:pPr>
            <w:r w:rsidRPr="00E200E5">
              <w:rPr>
                <w:rFonts w:cs="Arial"/>
                <w:b/>
                <w:bCs/>
                <w:caps/>
                <w:szCs w:val="20"/>
              </w:rPr>
              <w:t>B1</w:t>
            </w:r>
          </w:p>
          <w:p w14:paraId="19258B42" w14:textId="77777777" w:rsidR="00D20B99" w:rsidRPr="00E200E5" w:rsidRDefault="00D20B99" w:rsidP="00B129F2">
            <w:pPr>
              <w:spacing w:after="0" w:line="240" w:lineRule="auto"/>
              <w:jc w:val="center"/>
              <w:rPr>
                <w:rFonts w:cs="Arial"/>
                <w:b/>
                <w:bCs/>
                <w:szCs w:val="20"/>
              </w:rPr>
            </w:pPr>
          </w:p>
        </w:tc>
      </w:tr>
      <w:tr w:rsidR="00D20B99" w:rsidRPr="00B7754F" w14:paraId="381CF22C" w14:textId="77777777" w:rsidTr="00E200E5">
        <w:trPr>
          <w:trHeight w:val="135"/>
        </w:trPr>
        <w:tc>
          <w:tcPr>
            <w:tcW w:w="473" w:type="dxa"/>
            <w:vMerge/>
            <w:tcBorders>
              <w:left w:val="single" w:sz="4" w:space="0" w:color="auto"/>
              <w:right w:val="single" w:sz="4" w:space="0" w:color="auto"/>
            </w:tcBorders>
            <w:shd w:val="clear" w:color="000000" w:fill="FFFFFF"/>
            <w:vAlign w:val="center"/>
          </w:tcPr>
          <w:p w14:paraId="787FCA2E" w14:textId="77777777" w:rsidR="00D20B99" w:rsidRDefault="00D20B99" w:rsidP="00B129F2">
            <w:pPr>
              <w:spacing w:after="0" w:line="240" w:lineRule="auto"/>
              <w:jc w:val="center"/>
              <w:rPr>
                <w:rFonts w:cs="Arial"/>
                <w:b/>
                <w:bCs/>
                <w:caps/>
                <w:color w:val="333333"/>
                <w:szCs w:val="20"/>
              </w:rPr>
            </w:pPr>
          </w:p>
        </w:tc>
        <w:tc>
          <w:tcPr>
            <w:tcW w:w="6710" w:type="dxa"/>
            <w:gridSpan w:val="7"/>
            <w:tcBorders>
              <w:top w:val="single" w:sz="4" w:space="0" w:color="auto"/>
              <w:left w:val="nil"/>
              <w:bottom w:val="single" w:sz="4" w:space="0" w:color="auto"/>
              <w:right w:val="single" w:sz="4" w:space="0" w:color="auto"/>
            </w:tcBorders>
            <w:shd w:val="clear" w:color="auto" w:fill="EAF1DD" w:themeFill="accent3" w:themeFillTint="33"/>
            <w:vAlign w:val="center"/>
          </w:tcPr>
          <w:p w14:paraId="597C3980" w14:textId="7A67DF2E" w:rsidR="00D20B99" w:rsidRPr="00E200E5" w:rsidRDefault="00D20B99" w:rsidP="00B129F2">
            <w:pPr>
              <w:spacing w:after="0" w:line="240" w:lineRule="auto"/>
              <w:jc w:val="center"/>
              <w:rPr>
                <w:rFonts w:cs="Arial"/>
                <w:b/>
                <w:bCs/>
                <w:caps/>
                <w:szCs w:val="20"/>
              </w:rPr>
            </w:pPr>
            <w:r w:rsidRPr="00E200E5">
              <w:rPr>
                <w:rFonts w:cs="Arial"/>
                <w:szCs w:val="20"/>
              </w:rPr>
              <w:t xml:space="preserve">Current </w:t>
            </w:r>
            <w:r w:rsidR="00C82E4A" w:rsidRPr="00E200E5">
              <w:rPr>
                <w:rFonts w:cs="Arial"/>
                <w:szCs w:val="20"/>
              </w:rPr>
              <w:t>a</w:t>
            </w:r>
            <w:r w:rsidRPr="00E200E5">
              <w:rPr>
                <w:rFonts w:cs="Arial"/>
                <w:szCs w:val="20"/>
              </w:rPr>
              <w:t>rrangement</w:t>
            </w:r>
          </w:p>
        </w:tc>
        <w:tc>
          <w:tcPr>
            <w:tcW w:w="472" w:type="dxa"/>
            <w:vMerge/>
            <w:tcBorders>
              <w:left w:val="nil"/>
              <w:right w:val="single" w:sz="4" w:space="0" w:color="auto"/>
            </w:tcBorders>
            <w:shd w:val="clear" w:color="000000" w:fill="FFFFFF"/>
            <w:vAlign w:val="center"/>
          </w:tcPr>
          <w:p w14:paraId="0DB6C7D5" w14:textId="77777777" w:rsidR="00D20B99" w:rsidRDefault="00D20B99" w:rsidP="00B129F2">
            <w:pPr>
              <w:spacing w:after="0" w:line="240" w:lineRule="auto"/>
              <w:jc w:val="center"/>
              <w:rPr>
                <w:rFonts w:cs="Arial"/>
                <w:b/>
                <w:bCs/>
                <w:caps/>
                <w:color w:val="333333"/>
                <w:szCs w:val="20"/>
              </w:rPr>
            </w:pPr>
          </w:p>
        </w:tc>
      </w:tr>
      <w:tr w:rsidR="00757D8F" w:rsidRPr="00B7754F" w14:paraId="5C36D4C7" w14:textId="77777777" w:rsidTr="00E200E5">
        <w:trPr>
          <w:trHeight w:val="285"/>
        </w:trPr>
        <w:tc>
          <w:tcPr>
            <w:tcW w:w="473" w:type="dxa"/>
            <w:vMerge/>
            <w:tcBorders>
              <w:left w:val="single" w:sz="4" w:space="0" w:color="auto"/>
              <w:right w:val="single" w:sz="4" w:space="0" w:color="auto"/>
            </w:tcBorders>
            <w:shd w:val="clear" w:color="000000" w:fill="FFFFFF"/>
            <w:vAlign w:val="center"/>
            <w:hideMark/>
          </w:tcPr>
          <w:p w14:paraId="498359E0" w14:textId="77777777" w:rsidR="00D20B99" w:rsidRPr="00B7754F" w:rsidRDefault="00D20B99" w:rsidP="00B129F2">
            <w:pPr>
              <w:spacing w:after="0" w:line="240" w:lineRule="auto"/>
              <w:jc w:val="center"/>
              <w:rPr>
                <w:rFonts w:cs="Arial"/>
                <w:color w:val="333333"/>
                <w:szCs w:val="20"/>
              </w:rPr>
            </w:pPr>
          </w:p>
        </w:tc>
        <w:tc>
          <w:tcPr>
            <w:tcW w:w="872" w:type="dxa"/>
            <w:vMerge w:val="restart"/>
            <w:tcBorders>
              <w:top w:val="nil"/>
              <w:left w:val="nil"/>
              <w:right w:val="single" w:sz="4" w:space="0" w:color="auto"/>
            </w:tcBorders>
            <w:shd w:val="clear" w:color="auto" w:fill="EAF1DD" w:themeFill="accent3" w:themeFillTint="33"/>
            <w:vAlign w:val="center"/>
            <w:hideMark/>
          </w:tcPr>
          <w:p w14:paraId="4F1BC2B0" w14:textId="1B2F1CB1" w:rsidR="00D20B99" w:rsidRPr="00E200E5" w:rsidRDefault="00D20B99" w:rsidP="00B129F2">
            <w:pPr>
              <w:spacing w:after="0" w:line="240" w:lineRule="auto"/>
              <w:jc w:val="center"/>
              <w:rPr>
                <w:rFonts w:cs="Arial"/>
                <w:szCs w:val="20"/>
              </w:rPr>
            </w:pPr>
            <w:r w:rsidRPr="00E200E5">
              <w:rPr>
                <w:rFonts w:cs="Arial"/>
                <w:szCs w:val="20"/>
              </w:rPr>
              <w:t>Guard (5</w:t>
            </w:r>
            <w:r w:rsidR="00C82E4A" w:rsidRPr="00E200E5">
              <w:rPr>
                <w:rFonts w:cs="Arial"/>
                <w:szCs w:val="20"/>
              </w:rPr>
              <w:t xml:space="preserve"> </w:t>
            </w:r>
            <w:r w:rsidRPr="00E200E5">
              <w:rPr>
                <w:rFonts w:cs="Arial"/>
                <w:szCs w:val="20"/>
              </w:rPr>
              <w:t>MHz)</w:t>
            </w:r>
          </w:p>
        </w:tc>
        <w:tc>
          <w:tcPr>
            <w:tcW w:w="1073" w:type="dxa"/>
            <w:vMerge w:val="restart"/>
            <w:tcBorders>
              <w:top w:val="nil"/>
              <w:left w:val="nil"/>
              <w:right w:val="single" w:sz="4" w:space="0" w:color="auto"/>
            </w:tcBorders>
            <w:shd w:val="clear" w:color="auto" w:fill="EAF1DD" w:themeFill="accent3" w:themeFillTint="33"/>
            <w:vAlign w:val="center"/>
          </w:tcPr>
          <w:p w14:paraId="7708AB62" w14:textId="2C65DF2A" w:rsidR="00D20B99" w:rsidRPr="00E200E5" w:rsidRDefault="00D20B99" w:rsidP="00B129F2">
            <w:pPr>
              <w:spacing w:after="0" w:line="240" w:lineRule="auto"/>
              <w:jc w:val="center"/>
              <w:rPr>
                <w:rFonts w:cs="Arial"/>
                <w:szCs w:val="20"/>
              </w:rPr>
            </w:pPr>
            <w:r w:rsidRPr="00E200E5">
              <w:rPr>
                <w:rFonts w:cs="Arial"/>
                <w:szCs w:val="20"/>
              </w:rPr>
              <w:t>PHS (10</w:t>
            </w:r>
            <w:r w:rsidR="00C82E4A" w:rsidRPr="00E200E5">
              <w:rPr>
                <w:rFonts w:cs="Arial"/>
                <w:szCs w:val="20"/>
              </w:rPr>
              <w:t> </w:t>
            </w:r>
            <w:r w:rsidRPr="00E200E5">
              <w:rPr>
                <w:rFonts w:cs="Arial"/>
                <w:szCs w:val="20"/>
              </w:rPr>
              <w:t xml:space="preserve">MHz) </w:t>
            </w:r>
          </w:p>
        </w:tc>
        <w:tc>
          <w:tcPr>
            <w:tcW w:w="2581" w:type="dxa"/>
            <w:gridSpan w:val="3"/>
            <w:tcBorders>
              <w:top w:val="nil"/>
              <w:left w:val="nil"/>
              <w:bottom w:val="single" w:sz="4" w:space="0" w:color="auto"/>
              <w:right w:val="single" w:sz="4" w:space="0" w:color="auto"/>
            </w:tcBorders>
            <w:shd w:val="clear" w:color="auto" w:fill="EAF1DD" w:themeFill="accent3" w:themeFillTint="33"/>
            <w:vAlign w:val="center"/>
            <w:hideMark/>
          </w:tcPr>
          <w:p w14:paraId="22A3B974" w14:textId="52E24140" w:rsidR="00D20B99" w:rsidRPr="00E200E5" w:rsidRDefault="00D20B99" w:rsidP="00B129F2">
            <w:pPr>
              <w:spacing w:after="0" w:line="240" w:lineRule="auto"/>
              <w:jc w:val="center"/>
              <w:rPr>
                <w:rFonts w:cs="Arial"/>
                <w:szCs w:val="20"/>
              </w:rPr>
            </w:pPr>
            <w:r w:rsidRPr="00E200E5">
              <w:rPr>
                <w:rFonts w:cs="Arial"/>
                <w:szCs w:val="20"/>
              </w:rPr>
              <w:t>Unlicensed (10</w:t>
            </w:r>
            <w:r w:rsidR="00C82E4A" w:rsidRPr="00E200E5">
              <w:rPr>
                <w:rFonts w:cs="Arial"/>
                <w:szCs w:val="20"/>
              </w:rPr>
              <w:t xml:space="preserve"> </w:t>
            </w:r>
            <w:r w:rsidRPr="00E200E5">
              <w:rPr>
                <w:rFonts w:cs="Arial"/>
                <w:szCs w:val="20"/>
              </w:rPr>
              <w:t>MHz)</w:t>
            </w:r>
          </w:p>
        </w:tc>
        <w:tc>
          <w:tcPr>
            <w:tcW w:w="1096" w:type="dxa"/>
            <w:vMerge w:val="restart"/>
            <w:tcBorders>
              <w:top w:val="nil"/>
              <w:left w:val="nil"/>
              <w:right w:val="single" w:sz="4" w:space="0" w:color="auto"/>
            </w:tcBorders>
            <w:shd w:val="clear" w:color="auto" w:fill="EAF1DD" w:themeFill="accent3" w:themeFillTint="33"/>
            <w:vAlign w:val="center"/>
          </w:tcPr>
          <w:p w14:paraId="7E0E4B83" w14:textId="1467DFAF" w:rsidR="00D20B99" w:rsidRPr="00E200E5" w:rsidRDefault="00D20B99" w:rsidP="00B129F2">
            <w:pPr>
              <w:spacing w:after="0" w:line="240" w:lineRule="auto"/>
              <w:jc w:val="center"/>
              <w:rPr>
                <w:rFonts w:cs="Arial"/>
                <w:szCs w:val="20"/>
              </w:rPr>
            </w:pPr>
            <w:r w:rsidRPr="00E200E5">
              <w:rPr>
                <w:rFonts w:cs="Arial"/>
                <w:szCs w:val="20"/>
              </w:rPr>
              <w:t>PHS (10</w:t>
            </w:r>
            <w:r w:rsidR="00C82E4A" w:rsidRPr="00E200E5">
              <w:rPr>
                <w:rFonts w:cs="Arial"/>
                <w:szCs w:val="20"/>
              </w:rPr>
              <w:t> </w:t>
            </w:r>
            <w:r w:rsidRPr="00E200E5">
              <w:rPr>
                <w:rFonts w:cs="Arial"/>
                <w:szCs w:val="20"/>
              </w:rPr>
              <w:t>MHz)</w:t>
            </w:r>
          </w:p>
        </w:tc>
        <w:tc>
          <w:tcPr>
            <w:tcW w:w="1088" w:type="dxa"/>
            <w:vMerge w:val="restart"/>
            <w:tcBorders>
              <w:top w:val="nil"/>
              <w:left w:val="nil"/>
              <w:right w:val="single" w:sz="4" w:space="0" w:color="auto"/>
            </w:tcBorders>
            <w:shd w:val="clear" w:color="auto" w:fill="EAF1DD" w:themeFill="accent3" w:themeFillTint="33"/>
            <w:vAlign w:val="center"/>
          </w:tcPr>
          <w:p w14:paraId="0573DF86" w14:textId="21FEAE51" w:rsidR="00D20B99" w:rsidRPr="00E200E5" w:rsidRDefault="00D20B99" w:rsidP="00B129F2">
            <w:pPr>
              <w:spacing w:after="0" w:line="240" w:lineRule="auto"/>
              <w:jc w:val="center"/>
              <w:rPr>
                <w:rFonts w:cs="Arial"/>
                <w:szCs w:val="20"/>
              </w:rPr>
            </w:pPr>
            <w:r w:rsidRPr="00E200E5">
              <w:rPr>
                <w:rFonts w:cs="Arial"/>
                <w:szCs w:val="20"/>
              </w:rPr>
              <w:t>Guard (5</w:t>
            </w:r>
            <w:r w:rsidR="00C82E4A" w:rsidRPr="00E200E5">
              <w:rPr>
                <w:rFonts w:cs="Arial"/>
                <w:szCs w:val="20"/>
              </w:rPr>
              <w:t> </w:t>
            </w:r>
            <w:r w:rsidRPr="00E200E5">
              <w:rPr>
                <w:rFonts w:cs="Arial"/>
                <w:szCs w:val="20"/>
              </w:rPr>
              <w:t>MHz)</w:t>
            </w:r>
          </w:p>
        </w:tc>
        <w:tc>
          <w:tcPr>
            <w:tcW w:w="472" w:type="dxa"/>
            <w:vMerge/>
            <w:tcBorders>
              <w:left w:val="nil"/>
              <w:right w:val="single" w:sz="4" w:space="0" w:color="auto"/>
            </w:tcBorders>
            <w:shd w:val="clear" w:color="000000" w:fill="FFFFFF"/>
            <w:vAlign w:val="center"/>
            <w:hideMark/>
          </w:tcPr>
          <w:p w14:paraId="4952BFC4" w14:textId="77777777" w:rsidR="00D20B99" w:rsidRPr="00B7754F" w:rsidRDefault="00D20B99" w:rsidP="00B129F2">
            <w:pPr>
              <w:spacing w:after="0" w:line="240" w:lineRule="auto"/>
              <w:jc w:val="center"/>
              <w:rPr>
                <w:rFonts w:cs="Arial"/>
                <w:color w:val="333333"/>
                <w:szCs w:val="20"/>
              </w:rPr>
            </w:pPr>
          </w:p>
        </w:tc>
      </w:tr>
      <w:tr w:rsidR="00D20B99" w:rsidRPr="00B7754F" w14:paraId="1F155FE9" w14:textId="77777777" w:rsidTr="00E200E5">
        <w:trPr>
          <w:trHeight w:val="708"/>
        </w:trPr>
        <w:tc>
          <w:tcPr>
            <w:tcW w:w="473" w:type="dxa"/>
            <w:vMerge/>
            <w:tcBorders>
              <w:left w:val="single" w:sz="4" w:space="0" w:color="auto"/>
              <w:right w:val="single" w:sz="4" w:space="0" w:color="auto"/>
            </w:tcBorders>
            <w:shd w:val="clear" w:color="000000" w:fill="FFFFFF"/>
            <w:vAlign w:val="center"/>
            <w:hideMark/>
          </w:tcPr>
          <w:p w14:paraId="68DBB7E6" w14:textId="77777777" w:rsidR="00D20B99" w:rsidRPr="00B7754F" w:rsidRDefault="00D20B99" w:rsidP="00B129F2">
            <w:pPr>
              <w:spacing w:after="0" w:line="240" w:lineRule="auto"/>
              <w:jc w:val="center"/>
              <w:rPr>
                <w:rFonts w:cs="Arial"/>
                <w:color w:val="333333"/>
                <w:szCs w:val="20"/>
              </w:rPr>
            </w:pPr>
          </w:p>
        </w:tc>
        <w:tc>
          <w:tcPr>
            <w:tcW w:w="872" w:type="dxa"/>
            <w:vMerge/>
            <w:tcBorders>
              <w:left w:val="nil"/>
              <w:bottom w:val="single" w:sz="4" w:space="0" w:color="auto"/>
              <w:right w:val="single" w:sz="4" w:space="0" w:color="auto"/>
            </w:tcBorders>
            <w:shd w:val="clear" w:color="000000" w:fill="FFFFFF"/>
            <w:vAlign w:val="center"/>
            <w:hideMark/>
          </w:tcPr>
          <w:p w14:paraId="502AD48F" w14:textId="77777777" w:rsidR="00D20B99" w:rsidRPr="00E200E5" w:rsidRDefault="00D20B99" w:rsidP="00B129F2">
            <w:pPr>
              <w:spacing w:after="0" w:line="240" w:lineRule="auto"/>
              <w:jc w:val="center"/>
              <w:rPr>
                <w:rFonts w:cs="Arial"/>
                <w:szCs w:val="20"/>
              </w:rPr>
            </w:pPr>
          </w:p>
        </w:tc>
        <w:tc>
          <w:tcPr>
            <w:tcW w:w="1073" w:type="dxa"/>
            <w:vMerge/>
            <w:tcBorders>
              <w:left w:val="nil"/>
              <w:bottom w:val="single" w:sz="4" w:space="0" w:color="auto"/>
              <w:right w:val="single" w:sz="4" w:space="0" w:color="auto"/>
            </w:tcBorders>
            <w:shd w:val="clear" w:color="000000" w:fill="FFFFFF"/>
            <w:vAlign w:val="center"/>
          </w:tcPr>
          <w:p w14:paraId="16296245" w14:textId="77777777" w:rsidR="00D20B99" w:rsidRPr="00E200E5" w:rsidRDefault="00D20B99" w:rsidP="00B129F2">
            <w:pPr>
              <w:spacing w:after="0" w:line="240" w:lineRule="auto"/>
              <w:jc w:val="center"/>
              <w:rPr>
                <w:rFonts w:cs="Arial"/>
                <w:szCs w:val="20"/>
              </w:rPr>
            </w:pPr>
          </w:p>
        </w:tc>
        <w:tc>
          <w:tcPr>
            <w:tcW w:w="769"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4CABAF42" w14:textId="77777777" w:rsidR="00D20B99" w:rsidRPr="00E200E5" w:rsidRDefault="00D20B99" w:rsidP="00B129F2">
            <w:pPr>
              <w:spacing w:after="0" w:line="240" w:lineRule="auto"/>
              <w:jc w:val="center"/>
              <w:rPr>
                <w:rFonts w:cs="Arial"/>
                <w:szCs w:val="20"/>
              </w:rPr>
            </w:pPr>
            <w:r w:rsidRPr="00E200E5">
              <w:rPr>
                <w:rFonts w:cs="Arial"/>
                <w:szCs w:val="20"/>
              </w:rPr>
              <w:t>DECT PHS</w:t>
            </w:r>
          </w:p>
        </w:tc>
        <w:tc>
          <w:tcPr>
            <w:tcW w:w="1050"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716F47AC" w14:textId="12EDF8E7" w:rsidR="00D20B99" w:rsidRPr="00E200E5" w:rsidRDefault="00D20B99" w:rsidP="00B129F2">
            <w:pPr>
              <w:spacing w:after="0" w:line="240" w:lineRule="auto"/>
              <w:jc w:val="center"/>
              <w:rPr>
                <w:rFonts w:cs="Arial"/>
                <w:szCs w:val="20"/>
              </w:rPr>
            </w:pPr>
            <w:r w:rsidRPr="00E200E5">
              <w:rPr>
                <w:rFonts w:cs="Arial"/>
                <w:szCs w:val="20"/>
              </w:rPr>
              <w:t>MulteFire (5</w:t>
            </w:r>
            <w:r w:rsidR="00C82E4A" w:rsidRPr="00E200E5">
              <w:rPr>
                <w:rFonts w:cs="Arial"/>
                <w:szCs w:val="20"/>
              </w:rPr>
              <w:t xml:space="preserve"> </w:t>
            </w:r>
            <w:r w:rsidRPr="00E200E5">
              <w:rPr>
                <w:rFonts w:cs="Arial"/>
                <w:szCs w:val="20"/>
              </w:rPr>
              <w:t>MHz)</w:t>
            </w:r>
          </w:p>
        </w:tc>
        <w:tc>
          <w:tcPr>
            <w:tcW w:w="762" w:type="dxa"/>
            <w:tcBorders>
              <w:top w:val="single" w:sz="4" w:space="0" w:color="auto"/>
              <w:left w:val="nil"/>
              <w:bottom w:val="single" w:sz="4" w:space="0" w:color="auto"/>
              <w:right w:val="single" w:sz="4" w:space="0" w:color="auto"/>
            </w:tcBorders>
            <w:shd w:val="clear" w:color="auto" w:fill="EAF1DD" w:themeFill="accent3" w:themeFillTint="33"/>
            <w:vAlign w:val="center"/>
          </w:tcPr>
          <w:p w14:paraId="551D8360" w14:textId="77777777" w:rsidR="00D20B99" w:rsidRPr="00E200E5" w:rsidRDefault="00D20B99" w:rsidP="00B129F2">
            <w:pPr>
              <w:spacing w:after="0" w:line="240" w:lineRule="auto"/>
              <w:jc w:val="center"/>
              <w:rPr>
                <w:rFonts w:cs="Arial"/>
                <w:szCs w:val="20"/>
              </w:rPr>
            </w:pPr>
            <w:r w:rsidRPr="00E200E5">
              <w:rPr>
                <w:rFonts w:cs="Arial"/>
                <w:szCs w:val="20"/>
              </w:rPr>
              <w:t>DECT PHS</w:t>
            </w:r>
          </w:p>
        </w:tc>
        <w:tc>
          <w:tcPr>
            <w:tcW w:w="1096" w:type="dxa"/>
            <w:vMerge/>
            <w:tcBorders>
              <w:left w:val="nil"/>
              <w:bottom w:val="single" w:sz="4" w:space="0" w:color="auto"/>
              <w:right w:val="single" w:sz="4" w:space="0" w:color="auto"/>
            </w:tcBorders>
            <w:shd w:val="clear" w:color="000000" w:fill="FFFFFF"/>
            <w:vAlign w:val="center"/>
          </w:tcPr>
          <w:p w14:paraId="6845D74F" w14:textId="77777777" w:rsidR="00D20B99" w:rsidRPr="00E200E5" w:rsidRDefault="00D20B99" w:rsidP="00B129F2">
            <w:pPr>
              <w:spacing w:after="0" w:line="240" w:lineRule="auto"/>
              <w:jc w:val="center"/>
              <w:rPr>
                <w:rFonts w:cs="Arial"/>
                <w:szCs w:val="20"/>
              </w:rPr>
            </w:pPr>
          </w:p>
        </w:tc>
        <w:tc>
          <w:tcPr>
            <w:tcW w:w="1088" w:type="dxa"/>
            <w:vMerge/>
            <w:tcBorders>
              <w:left w:val="nil"/>
              <w:bottom w:val="single" w:sz="4" w:space="0" w:color="auto"/>
              <w:right w:val="single" w:sz="4" w:space="0" w:color="auto"/>
            </w:tcBorders>
            <w:shd w:val="clear" w:color="000000" w:fill="FFFFFF"/>
            <w:vAlign w:val="center"/>
          </w:tcPr>
          <w:p w14:paraId="5A61DEF2" w14:textId="77777777" w:rsidR="00D20B99" w:rsidRPr="00E200E5" w:rsidRDefault="00D20B99" w:rsidP="00B129F2">
            <w:pPr>
              <w:spacing w:after="0" w:line="240" w:lineRule="auto"/>
              <w:jc w:val="center"/>
              <w:rPr>
                <w:rFonts w:cs="Arial"/>
                <w:szCs w:val="20"/>
              </w:rPr>
            </w:pPr>
          </w:p>
        </w:tc>
        <w:tc>
          <w:tcPr>
            <w:tcW w:w="472" w:type="dxa"/>
            <w:vMerge/>
            <w:tcBorders>
              <w:left w:val="nil"/>
              <w:right w:val="single" w:sz="4" w:space="0" w:color="auto"/>
            </w:tcBorders>
            <w:shd w:val="clear" w:color="000000" w:fill="FFFFFF"/>
            <w:vAlign w:val="center"/>
            <w:hideMark/>
          </w:tcPr>
          <w:p w14:paraId="77B2BD4E" w14:textId="77777777" w:rsidR="00D20B99" w:rsidRPr="00B7754F" w:rsidRDefault="00D20B99" w:rsidP="00B129F2">
            <w:pPr>
              <w:spacing w:after="0" w:line="240" w:lineRule="auto"/>
              <w:jc w:val="center"/>
              <w:rPr>
                <w:rFonts w:cs="Arial"/>
                <w:color w:val="333333"/>
                <w:szCs w:val="20"/>
              </w:rPr>
            </w:pPr>
          </w:p>
        </w:tc>
      </w:tr>
      <w:tr w:rsidR="00D20B99" w14:paraId="317070BA" w14:textId="77777777" w:rsidTr="00E20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3"/>
        </w:trPr>
        <w:tc>
          <w:tcPr>
            <w:tcW w:w="473" w:type="dxa"/>
            <w:vMerge/>
            <w:tcBorders>
              <w:left w:val="single" w:sz="4" w:space="0" w:color="auto"/>
              <w:right w:val="single" w:sz="4" w:space="0" w:color="auto"/>
            </w:tcBorders>
            <w:shd w:val="clear" w:color="auto" w:fill="auto"/>
          </w:tcPr>
          <w:p w14:paraId="120D29D1" w14:textId="77777777" w:rsidR="00D20B99" w:rsidRDefault="00D20B99" w:rsidP="00B129F2">
            <w:pPr>
              <w:pStyle w:val="NormalWeb"/>
              <w:spacing w:before="0" w:beforeAutospacing="0" w:after="225" w:afterAutospacing="0"/>
              <w:jc w:val="center"/>
              <w:textAlignment w:val="baseline"/>
              <w:rPr>
                <w:rFonts w:ascii="Arial" w:hAnsi="Arial" w:cs="Arial"/>
                <w:color w:val="333333"/>
                <w:sz w:val="18"/>
                <w:szCs w:val="18"/>
              </w:rPr>
            </w:pPr>
          </w:p>
        </w:tc>
        <w:tc>
          <w:tcPr>
            <w:tcW w:w="6710" w:type="dxa"/>
            <w:gridSpan w:val="7"/>
            <w:tcBorders>
              <w:left w:val="single" w:sz="4" w:space="0" w:color="auto"/>
            </w:tcBorders>
            <w:shd w:val="clear" w:color="auto" w:fill="E5DFEC" w:themeFill="accent4" w:themeFillTint="33"/>
          </w:tcPr>
          <w:p w14:paraId="1E09E4EF" w14:textId="7DE9DED8" w:rsidR="00D20B99" w:rsidRPr="00E200E5" w:rsidRDefault="00D20B99" w:rsidP="00E200E5">
            <w:pPr>
              <w:pStyle w:val="NormalWeb"/>
              <w:spacing w:before="0" w:beforeAutospacing="0" w:after="0" w:afterAutospacing="0"/>
              <w:jc w:val="center"/>
              <w:textAlignment w:val="baseline"/>
              <w:rPr>
                <w:rFonts w:ascii="Arial" w:hAnsi="Arial" w:cs="Arial"/>
                <w:sz w:val="20"/>
                <w:szCs w:val="20"/>
              </w:rPr>
            </w:pPr>
            <w:r w:rsidRPr="00E200E5">
              <w:rPr>
                <w:rFonts w:ascii="Arial" w:hAnsi="Arial" w:cs="Arial"/>
                <w:sz w:val="20"/>
                <w:szCs w:val="20"/>
              </w:rPr>
              <w:t xml:space="preserve">Planned </w:t>
            </w:r>
            <w:r w:rsidR="00C82E4A" w:rsidRPr="00E200E5">
              <w:rPr>
                <w:rFonts w:ascii="Arial" w:hAnsi="Arial" w:cs="Arial"/>
                <w:sz w:val="20"/>
                <w:szCs w:val="20"/>
              </w:rPr>
              <w:t>a</w:t>
            </w:r>
            <w:r w:rsidRPr="00E200E5">
              <w:rPr>
                <w:rFonts w:ascii="Arial" w:hAnsi="Arial" w:cs="Arial"/>
                <w:sz w:val="20"/>
                <w:szCs w:val="20"/>
              </w:rPr>
              <w:t xml:space="preserve">rrangement </w:t>
            </w:r>
          </w:p>
        </w:tc>
        <w:tc>
          <w:tcPr>
            <w:tcW w:w="472" w:type="dxa"/>
            <w:vMerge/>
            <w:tcBorders>
              <w:right w:val="single" w:sz="4" w:space="0" w:color="auto"/>
            </w:tcBorders>
            <w:shd w:val="clear" w:color="auto" w:fill="auto"/>
          </w:tcPr>
          <w:p w14:paraId="7CA06C87" w14:textId="77777777" w:rsidR="00D20B99" w:rsidRDefault="00D20B99" w:rsidP="00B129F2"/>
        </w:tc>
      </w:tr>
      <w:tr w:rsidR="00D20B99" w14:paraId="6BD6D107" w14:textId="77777777" w:rsidTr="00E200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473" w:type="dxa"/>
            <w:vMerge/>
            <w:tcBorders>
              <w:left w:val="single" w:sz="4" w:space="0" w:color="auto"/>
              <w:right w:val="single" w:sz="4" w:space="0" w:color="auto"/>
            </w:tcBorders>
            <w:shd w:val="clear" w:color="auto" w:fill="auto"/>
          </w:tcPr>
          <w:p w14:paraId="41A168CF" w14:textId="77777777" w:rsidR="00D20B99" w:rsidRDefault="00D20B99" w:rsidP="00B129F2">
            <w:pPr>
              <w:pStyle w:val="NormalWeb"/>
              <w:spacing w:before="0" w:after="225"/>
              <w:jc w:val="center"/>
              <w:textAlignment w:val="baseline"/>
              <w:rPr>
                <w:rFonts w:ascii="Arial" w:hAnsi="Arial" w:cs="Arial"/>
                <w:color w:val="333333"/>
                <w:sz w:val="18"/>
                <w:szCs w:val="18"/>
              </w:rPr>
            </w:pPr>
          </w:p>
        </w:tc>
        <w:tc>
          <w:tcPr>
            <w:tcW w:w="6710" w:type="dxa"/>
            <w:gridSpan w:val="7"/>
            <w:tcBorders>
              <w:left w:val="single" w:sz="4" w:space="0" w:color="auto"/>
            </w:tcBorders>
            <w:shd w:val="clear" w:color="auto" w:fill="E5DFEC" w:themeFill="accent4" w:themeFillTint="33"/>
          </w:tcPr>
          <w:p w14:paraId="683EB3D9" w14:textId="77777777" w:rsidR="00D20B99" w:rsidRPr="00E200E5" w:rsidRDefault="00D20B99" w:rsidP="00E200E5">
            <w:pPr>
              <w:pStyle w:val="NormalWeb"/>
              <w:spacing w:before="0" w:beforeAutospacing="0" w:after="0" w:afterAutospacing="0"/>
              <w:jc w:val="center"/>
              <w:textAlignment w:val="baseline"/>
              <w:rPr>
                <w:rFonts w:ascii="Arial" w:hAnsi="Arial" w:cs="Arial"/>
                <w:sz w:val="20"/>
                <w:szCs w:val="20"/>
              </w:rPr>
            </w:pPr>
            <w:r w:rsidRPr="00E200E5">
              <w:rPr>
                <w:rFonts w:ascii="Arial" w:hAnsi="Arial" w:cs="Arial"/>
                <w:sz w:val="20"/>
                <w:szCs w:val="20"/>
              </w:rPr>
              <w:t>MulteFire ~40 MHz</w:t>
            </w:r>
          </w:p>
        </w:tc>
        <w:tc>
          <w:tcPr>
            <w:tcW w:w="472" w:type="dxa"/>
            <w:vMerge/>
            <w:tcBorders>
              <w:right w:val="single" w:sz="4" w:space="0" w:color="auto"/>
            </w:tcBorders>
            <w:shd w:val="clear" w:color="auto" w:fill="auto"/>
          </w:tcPr>
          <w:p w14:paraId="48868631" w14:textId="77777777" w:rsidR="00D20B99" w:rsidRDefault="00D20B99" w:rsidP="00B129F2"/>
        </w:tc>
      </w:tr>
    </w:tbl>
    <w:p w14:paraId="0851335C" w14:textId="26542000" w:rsidR="00D20B99" w:rsidRPr="00E200E5" w:rsidDel="00D06DB9" w:rsidRDefault="00471F7B" w:rsidP="00471F7B">
      <w:pPr>
        <w:pStyle w:val="FootnoteText"/>
        <w:rPr>
          <w:i/>
          <w:iCs/>
        </w:rPr>
      </w:pPr>
      <w:r w:rsidRPr="00E200E5">
        <w:rPr>
          <w:i/>
          <w:iCs/>
        </w:rPr>
        <w:t>Source: MulteFire Open day Mobile World Congress (MWC) Barcelona 2019</w:t>
      </w:r>
      <w:r w:rsidR="00C82E4A" w:rsidRPr="00E200E5">
        <w:rPr>
          <w:i/>
          <w:iCs/>
        </w:rPr>
        <w:t>.</w:t>
      </w:r>
    </w:p>
    <w:p w14:paraId="0DF69CAE" w14:textId="7DB827A2" w:rsidR="005272A1" w:rsidRPr="00FC1CE1" w:rsidRDefault="0035752E" w:rsidP="005272A1">
      <w:pPr>
        <w:pStyle w:val="Heading2"/>
      </w:pPr>
      <w:bookmarkStart w:id="47" w:name="_Toc87534287"/>
      <w:r>
        <w:t>Techn</w:t>
      </w:r>
      <w:r w:rsidR="004E59A8">
        <w:t>olog</w:t>
      </w:r>
      <w:r w:rsidR="00E649CC">
        <w:t>y</w:t>
      </w:r>
      <w:r w:rsidR="00754533">
        <w:t xml:space="preserve"> </w:t>
      </w:r>
      <w:r w:rsidR="002431BE">
        <w:t>developments</w:t>
      </w:r>
      <w:bookmarkEnd w:id="47"/>
    </w:p>
    <w:p w14:paraId="641B6A9E" w14:textId="68D8E122" w:rsidR="00754533" w:rsidRPr="001E65C3" w:rsidRDefault="00754533" w:rsidP="001E65C3">
      <w:pPr>
        <w:pStyle w:val="Heading3"/>
      </w:pPr>
      <w:r w:rsidRPr="001E65C3">
        <w:t>3GPP</w:t>
      </w:r>
    </w:p>
    <w:p w14:paraId="3D59CE47" w14:textId="4C96ECC3" w:rsidR="006117A1" w:rsidRDefault="00754533" w:rsidP="00754533">
      <w:pPr>
        <w:rPr>
          <w:szCs w:val="20"/>
        </w:rPr>
      </w:pPr>
      <w:r w:rsidRPr="005B5457">
        <w:t>The 3rd Generation Partnership Project (3GPP) is a collaboration between groups of telecommunications standards associations</w:t>
      </w:r>
      <w:r>
        <w:t>. Most of the technical standardisation of 5G systems is considered in this group. The 3GPP ‘</w:t>
      </w:r>
      <w:r w:rsidRPr="001360C6">
        <w:t xml:space="preserve">Release </w:t>
      </w:r>
      <w:hyperlink r:id="rId92" w:history="1">
        <w:r w:rsidRPr="00F52ED2">
          <w:rPr>
            <w:rStyle w:val="Hyperlink"/>
          </w:rPr>
          <w:t>1</w:t>
        </w:r>
        <w:r w:rsidR="00F52ED2" w:rsidRPr="00F52ED2">
          <w:rPr>
            <w:rStyle w:val="Hyperlink"/>
          </w:rPr>
          <w:t>6</w:t>
        </w:r>
        <w:r w:rsidRPr="00F52ED2">
          <w:rPr>
            <w:rStyle w:val="Hyperlink"/>
          </w:rPr>
          <w:t>’</w:t>
        </w:r>
      </w:hyperlink>
      <w:r>
        <w:rPr>
          <w:rStyle w:val="FootnoteReference"/>
        </w:rPr>
        <w:footnoteReference w:id="13"/>
      </w:r>
      <w:r>
        <w:t xml:space="preserve"> provides the latest standards</w:t>
      </w:r>
      <w:r w:rsidRPr="00526786">
        <w:t xml:space="preserve"> </w:t>
      </w:r>
      <w:r>
        <w:t xml:space="preserve">for 5G systems in various bands. Of these bands, the most </w:t>
      </w:r>
      <w:r w:rsidR="004A77EC">
        <w:t>relevant</w:t>
      </w:r>
      <w:r>
        <w:t xml:space="preserve"> is n39, </w:t>
      </w:r>
      <w:r w:rsidR="004A77EC">
        <w:t xml:space="preserve">covering </w:t>
      </w:r>
      <w:r>
        <w:t xml:space="preserve">1880–1920 MHz </w:t>
      </w:r>
      <w:r>
        <w:rPr>
          <w:szCs w:val="20"/>
          <w:lang w:val="en"/>
        </w:rPr>
        <w:t>and</w:t>
      </w:r>
      <w:r w:rsidRPr="00CB3AF0">
        <w:rPr>
          <w:szCs w:val="20"/>
          <w:lang w:val="en"/>
        </w:rPr>
        <w:t xml:space="preserve"> </w:t>
      </w:r>
      <w:r>
        <w:rPr>
          <w:szCs w:val="20"/>
        </w:rPr>
        <w:t>s</w:t>
      </w:r>
      <w:r w:rsidRPr="00366D58">
        <w:rPr>
          <w:szCs w:val="20"/>
        </w:rPr>
        <w:t>upport</w:t>
      </w:r>
      <w:r w:rsidR="004A77EC">
        <w:rPr>
          <w:szCs w:val="20"/>
        </w:rPr>
        <w:t>ing</w:t>
      </w:r>
      <w:r w:rsidRPr="00366D58">
        <w:rPr>
          <w:szCs w:val="20"/>
        </w:rPr>
        <w:t xml:space="preserve"> </w:t>
      </w:r>
      <w:r>
        <w:rPr>
          <w:szCs w:val="20"/>
        </w:rPr>
        <w:t>c</w:t>
      </w:r>
      <w:r w:rsidRPr="00366D58">
        <w:rPr>
          <w:szCs w:val="20"/>
        </w:rPr>
        <w:t xml:space="preserve">hannel </w:t>
      </w:r>
      <w:r>
        <w:rPr>
          <w:szCs w:val="20"/>
        </w:rPr>
        <w:t>b</w:t>
      </w:r>
      <w:r w:rsidRPr="00366D58">
        <w:rPr>
          <w:szCs w:val="20"/>
        </w:rPr>
        <w:t xml:space="preserve">andwidths </w:t>
      </w:r>
      <w:r>
        <w:rPr>
          <w:szCs w:val="20"/>
        </w:rPr>
        <w:t>of</w:t>
      </w:r>
      <w:r w:rsidRPr="00366D58">
        <w:rPr>
          <w:szCs w:val="20"/>
        </w:rPr>
        <w:t xml:space="preserve"> </w:t>
      </w:r>
      <w:r w:rsidR="001D20F2">
        <w:rPr>
          <w:szCs w:val="20"/>
        </w:rPr>
        <w:t>between 5 MHz and 40 MHz.</w:t>
      </w:r>
      <w:r w:rsidR="00B009AE">
        <w:rPr>
          <w:szCs w:val="20"/>
        </w:rPr>
        <w:t xml:space="preserve"> </w:t>
      </w:r>
    </w:p>
    <w:p w14:paraId="5C2380B1" w14:textId="5115A9F7" w:rsidR="007225C8" w:rsidRDefault="00A30497" w:rsidP="00754533">
      <w:pPr>
        <w:rPr>
          <w:szCs w:val="20"/>
        </w:rPr>
      </w:pPr>
      <w:r>
        <w:rPr>
          <w:szCs w:val="20"/>
        </w:rPr>
        <w:t>There has been a</w:t>
      </w:r>
      <w:r w:rsidR="00CE2324">
        <w:rPr>
          <w:szCs w:val="20"/>
        </w:rPr>
        <w:t xml:space="preserve"> trend of</w:t>
      </w:r>
      <w:r>
        <w:rPr>
          <w:szCs w:val="20"/>
        </w:rPr>
        <w:t xml:space="preserve"> increasing number</w:t>
      </w:r>
      <w:r w:rsidR="00FF64CD">
        <w:rPr>
          <w:szCs w:val="20"/>
        </w:rPr>
        <w:t>s</w:t>
      </w:r>
      <w:r>
        <w:rPr>
          <w:szCs w:val="20"/>
        </w:rPr>
        <w:t xml:space="preserve"> of devices </w:t>
      </w:r>
      <w:r w:rsidR="00FF64CD">
        <w:rPr>
          <w:szCs w:val="20"/>
        </w:rPr>
        <w:t xml:space="preserve">being </w:t>
      </w:r>
      <w:r>
        <w:rPr>
          <w:szCs w:val="20"/>
        </w:rPr>
        <w:t>available in the 1880</w:t>
      </w:r>
      <w:r w:rsidR="00956560">
        <w:rPr>
          <w:szCs w:val="20"/>
        </w:rPr>
        <w:t>–</w:t>
      </w:r>
      <w:r>
        <w:rPr>
          <w:szCs w:val="20"/>
        </w:rPr>
        <w:t>1920</w:t>
      </w:r>
      <w:r w:rsidR="00CE2324">
        <w:rPr>
          <w:szCs w:val="20"/>
        </w:rPr>
        <w:t> </w:t>
      </w:r>
      <w:r>
        <w:rPr>
          <w:szCs w:val="20"/>
        </w:rPr>
        <w:t xml:space="preserve">MHz band. </w:t>
      </w:r>
      <w:r w:rsidR="00A6669A">
        <w:rPr>
          <w:szCs w:val="20"/>
        </w:rPr>
        <w:t>F</w:t>
      </w:r>
      <w:r>
        <w:rPr>
          <w:szCs w:val="20"/>
        </w:rPr>
        <w:t>igure 1</w:t>
      </w:r>
      <w:r w:rsidR="00112018">
        <w:rPr>
          <w:szCs w:val="20"/>
        </w:rPr>
        <w:t>2</w:t>
      </w:r>
      <w:r>
        <w:rPr>
          <w:szCs w:val="20"/>
        </w:rPr>
        <w:t xml:space="preserve"> depict</w:t>
      </w:r>
      <w:r w:rsidR="000A6708">
        <w:rPr>
          <w:szCs w:val="20"/>
        </w:rPr>
        <w:t>s</w:t>
      </w:r>
      <w:r>
        <w:rPr>
          <w:szCs w:val="20"/>
        </w:rPr>
        <w:t xml:space="preserve"> the number of commercially available devices in 1900 B2/B25 and n39 bands</w:t>
      </w:r>
      <w:r w:rsidR="00956560">
        <w:rPr>
          <w:szCs w:val="20"/>
        </w:rPr>
        <w:t>,</w:t>
      </w:r>
      <w:r>
        <w:rPr>
          <w:szCs w:val="20"/>
        </w:rPr>
        <w:t xml:space="preserve"> as defined in 3</w:t>
      </w:r>
      <w:r w:rsidR="002C40F4">
        <w:rPr>
          <w:szCs w:val="20"/>
        </w:rPr>
        <w:t>G</w:t>
      </w:r>
      <w:r>
        <w:rPr>
          <w:szCs w:val="20"/>
        </w:rPr>
        <w:t>PP</w:t>
      </w:r>
      <w:r w:rsidR="006117A1">
        <w:rPr>
          <w:szCs w:val="20"/>
        </w:rPr>
        <w:t>. Figure 1</w:t>
      </w:r>
      <w:r w:rsidR="00112018">
        <w:rPr>
          <w:szCs w:val="20"/>
        </w:rPr>
        <w:t>3</w:t>
      </w:r>
      <w:r w:rsidR="006117A1">
        <w:rPr>
          <w:szCs w:val="20"/>
        </w:rPr>
        <w:t xml:space="preserve"> shows the number of devices </w:t>
      </w:r>
      <w:r w:rsidR="00FD16F0">
        <w:rPr>
          <w:szCs w:val="20"/>
        </w:rPr>
        <w:t xml:space="preserve">available </w:t>
      </w:r>
      <w:r w:rsidR="00FF64CD">
        <w:rPr>
          <w:szCs w:val="20"/>
        </w:rPr>
        <w:t xml:space="preserve">and the relevant </w:t>
      </w:r>
      <w:r w:rsidR="00815EAA">
        <w:rPr>
          <w:szCs w:val="20"/>
        </w:rPr>
        <w:t>vendors</w:t>
      </w:r>
      <w:r w:rsidR="00442977">
        <w:rPr>
          <w:szCs w:val="20"/>
        </w:rPr>
        <w:t xml:space="preserve"> through the </w:t>
      </w:r>
      <w:hyperlink r:id="rId93" w:history="1">
        <w:r w:rsidR="00442977" w:rsidRPr="00442977">
          <w:rPr>
            <w:rStyle w:val="Hyperlink"/>
            <w:szCs w:val="20"/>
          </w:rPr>
          <w:t>GSA Analyser for Mobile Broadband Data</w:t>
        </w:r>
      </w:hyperlink>
      <w:r w:rsidR="00815EAA">
        <w:rPr>
          <w:szCs w:val="20"/>
        </w:rPr>
        <w:t>.</w:t>
      </w:r>
    </w:p>
    <w:p w14:paraId="5265D067" w14:textId="3DB30963" w:rsidR="00A74C64" w:rsidRPr="007054EC" w:rsidRDefault="007225C8" w:rsidP="00E200E5">
      <w:pPr>
        <w:pStyle w:val="Figureheading"/>
      </w:pPr>
      <w:r w:rsidRPr="00285E8F">
        <w:lastRenderedPageBreak/>
        <w:t xml:space="preserve">Commercially available devices in 1900 B2/B25 and n39 bands </w:t>
      </w:r>
      <w:r w:rsidR="001E65C3" w:rsidRPr="00285E8F">
        <w:t>over</w:t>
      </w:r>
      <w:r w:rsidR="001E65C3">
        <w:t> </w:t>
      </w:r>
      <w:r w:rsidRPr="00285E8F">
        <w:t xml:space="preserve">time </w:t>
      </w:r>
    </w:p>
    <w:p w14:paraId="62064FCF" w14:textId="065D7FB7" w:rsidR="00A30497" w:rsidRDefault="00D06DB9">
      <w:pPr>
        <w:spacing w:after="0" w:line="240" w:lineRule="auto"/>
      </w:pPr>
      <w:r w:rsidRPr="00B432E6">
        <w:rPr>
          <w:b/>
          <w:bCs/>
          <w:noProof/>
          <w:color w:val="323232"/>
          <w:szCs w:val="20"/>
        </w:rPr>
        <w:drawing>
          <wp:inline distT="0" distB="0" distL="0" distR="0" wp14:anchorId="1C0D845F" wp14:editId="4FCABEE5">
            <wp:extent cx="6312006" cy="3006436"/>
            <wp:effectExtent l="57150" t="0" r="50800" b="11811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rotWithShape="1">
                    <a:blip r:embed="rId94"/>
                    <a:srcRect l="2021" t="13547" r="357"/>
                    <a:stretch/>
                  </pic:blipFill>
                  <pic:spPr bwMode="auto">
                    <a:xfrm>
                      <a:off x="0" y="0"/>
                      <a:ext cx="6326698" cy="3013434"/>
                    </a:xfrm>
                    <a:prstGeom prst="rect">
                      <a:avLst/>
                    </a:prstGeom>
                    <a:ln>
                      <a:no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14:paraId="31CA425D" w14:textId="5A61CA91" w:rsidR="009C6AFA" w:rsidRPr="009C6AFA" w:rsidRDefault="009C6AFA" w:rsidP="009C6AFA">
      <w:pPr>
        <w:spacing w:after="0" w:line="240" w:lineRule="auto"/>
        <w:rPr>
          <w:i/>
          <w:iCs/>
          <w:sz w:val="18"/>
          <w:szCs w:val="18"/>
        </w:rPr>
      </w:pPr>
      <w:r w:rsidRPr="009C6AFA">
        <w:rPr>
          <w:i/>
          <w:iCs/>
          <w:sz w:val="18"/>
          <w:szCs w:val="18"/>
        </w:rPr>
        <w:t>Source: Global mobile Suppliers Association, GAMBoD - August 31, 2021</w:t>
      </w:r>
      <w:r w:rsidR="00956560">
        <w:rPr>
          <w:i/>
          <w:iCs/>
          <w:sz w:val="18"/>
          <w:szCs w:val="18"/>
        </w:rPr>
        <w:t>.</w:t>
      </w:r>
    </w:p>
    <w:p w14:paraId="7653749D" w14:textId="77777777" w:rsidR="000E53CE" w:rsidRPr="009C6AFA" w:rsidRDefault="000E53CE" w:rsidP="009C6AFA">
      <w:pPr>
        <w:spacing w:after="0" w:line="240" w:lineRule="auto"/>
        <w:rPr>
          <w:i/>
          <w:iCs/>
          <w:sz w:val="18"/>
          <w:szCs w:val="18"/>
        </w:rPr>
      </w:pPr>
    </w:p>
    <w:p w14:paraId="02DC7272" w14:textId="047FF488" w:rsidR="002C40F4" w:rsidRDefault="002C40F4">
      <w:pPr>
        <w:spacing w:after="0" w:line="240" w:lineRule="auto"/>
        <w:rPr>
          <w:b/>
          <w:bCs/>
          <w:color w:val="323232"/>
          <w:szCs w:val="20"/>
        </w:rPr>
      </w:pPr>
    </w:p>
    <w:p w14:paraId="4E8DA768" w14:textId="187BDFFA" w:rsidR="007225C8" w:rsidRPr="007054EC" w:rsidRDefault="007225C8" w:rsidP="00E200E5">
      <w:pPr>
        <w:pStyle w:val="Figureheading"/>
      </w:pPr>
      <w:r w:rsidRPr="007054EC">
        <w:t xml:space="preserve">Number of devices in 1900 B2/B25 and n39 bands by </w:t>
      </w:r>
      <w:r w:rsidR="00956560">
        <w:t>v</w:t>
      </w:r>
      <w:r w:rsidRPr="007054EC">
        <w:t>endor</w:t>
      </w:r>
    </w:p>
    <w:p w14:paraId="6197A2DA" w14:textId="2791AC0A" w:rsidR="00B009AE" w:rsidRDefault="006E4122" w:rsidP="00754533">
      <w:r>
        <w:rPr>
          <w:noProof/>
        </w:rPr>
        <w:drawing>
          <wp:inline distT="0" distB="0" distL="0" distR="0" wp14:anchorId="77AD2CBF" wp14:editId="7F729DF7">
            <wp:extent cx="6251136" cy="3568186"/>
            <wp:effectExtent l="0" t="0" r="0" b="0"/>
            <wp:docPr id="29" name="Picture 29"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f you need help accessing or reading this diagram, please contact the ACMA's Customer Service Centre by phone on 1300 850 115 or by email at  info@acma.gov.au"/>
                    <pic:cNvPicPr/>
                  </pic:nvPicPr>
                  <pic:blipFill rotWithShape="1">
                    <a:blip r:embed="rId95"/>
                    <a:srcRect t="16718"/>
                    <a:stretch/>
                  </pic:blipFill>
                  <pic:spPr bwMode="auto">
                    <a:xfrm>
                      <a:off x="0" y="0"/>
                      <a:ext cx="6269383" cy="3578601"/>
                    </a:xfrm>
                    <a:prstGeom prst="rect">
                      <a:avLst/>
                    </a:prstGeom>
                    <a:ln>
                      <a:noFill/>
                    </a:ln>
                    <a:extLst>
                      <a:ext uri="{53640926-AAD7-44D8-BBD7-CCE9431645EC}">
                        <a14:shadowObscured xmlns:a14="http://schemas.microsoft.com/office/drawing/2010/main"/>
                      </a:ext>
                    </a:extLst>
                  </pic:spPr>
                </pic:pic>
              </a:graphicData>
            </a:graphic>
          </wp:inline>
        </w:drawing>
      </w:r>
    </w:p>
    <w:p w14:paraId="00C221D3" w14:textId="201673A0" w:rsidR="009C6AFA" w:rsidRPr="009C6AFA" w:rsidRDefault="009C6AFA" w:rsidP="009C6AFA">
      <w:pPr>
        <w:spacing w:after="0" w:line="240" w:lineRule="auto"/>
        <w:rPr>
          <w:i/>
          <w:iCs/>
          <w:sz w:val="18"/>
          <w:szCs w:val="18"/>
        </w:rPr>
      </w:pPr>
      <w:r w:rsidRPr="009C6AFA">
        <w:rPr>
          <w:i/>
          <w:iCs/>
          <w:sz w:val="18"/>
          <w:szCs w:val="18"/>
        </w:rPr>
        <w:t>Source: Global mobile Suppliers Association, GAMBoD - August 31, 2021</w:t>
      </w:r>
      <w:r w:rsidR="00956560">
        <w:rPr>
          <w:i/>
          <w:iCs/>
          <w:sz w:val="18"/>
          <w:szCs w:val="18"/>
        </w:rPr>
        <w:t>.</w:t>
      </w:r>
    </w:p>
    <w:p w14:paraId="1A81CDD5" w14:textId="77777777" w:rsidR="009C6AFA" w:rsidRDefault="009C6AFA" w:rsidP="00754533"/>
    <w:p w14:paraId="08FEBA59" w14:textId="1B1C2C73" w:rsidR="004E59A8" w:rsidRPr="006D52B7" w:rsidRDefault="004E59A8" w:rsidP="004E59A8">
      <w:pPr>
        <w:pStyle w:val="Heading3"/>
      </w:pPr>
      <w:r w:rsidRPr="006D52B7">
        <w:lastRenderedPageBreak/>
        <w:t xml:space="preserve">Digital </w:t>
      </w:r>
      <w:r w:rsidR="007A72E8">
        <w:t>e</w:t>
      </w:r>
      <w:r w:rsidRPr="006D52B7">
        <w:t xml:space="preserve">nhanced </w:t>
      </w:r>
      <w:r w:rsidR="007A72E8">
        <w:t>c</w:t>
      </w:r>
      <w:r w:rsidRPr="006D52B7">
        <w:t xml:space="preserve">ordless </w:t>
      </w:r>
      <w:r w:rsidR="007A72E8">
        <w:t>t</w:t>
      </w:r>
      <w:r w:rsidRPr="006D52B7">
        <w:t>elecommunications</w:t>
      </w:r>
    </w:p>
    <w:p w14:paraId="439A4615" w14:textId="22E1F778" w:rsidR="004E59A8" w:rsidRDefault="00D82479" w:rsidP="00E200E5">
      <w:pPr>
        <w:pStyle w:val="Paragraph"/>
        <w:rPr>
          <w:rFonts w:eastAsiaTheme="minorHAnsi"/>
          <w:lang w:eastAsia="en-US"/>
        </w:rPr>
      </w:pPr>
      <w:hyperlink r:id="rId96" w:history="1">
        <w:r w:rsidR="004E59A8" w:rsidRPr="001477F4">
          <w:rPr>
            <w:rStyle w:val="Hyperlink"/>
            <w:rFonts w:eastAsiaTheme="minorHAnsi"/>
            <w:szCs w:val="20"/>
            <w:lang w:eastAsia="en-US"/>
          </w:rPr>
          <w:t>DECT</w:t>
        </w:r>
      </w:hyperlink>
      <w:r w:rsidR="004E59A8" w:rsidRPr="00C24A0F">
        <w:rPr>
          <w:rFonts w:eastAsiaTheme="minorHAnsi"/>
          <w:lang w:eastAsia="en-US"/>
        </w:rPr>
        <w:t xml:space="preserve"> is a general radio access technology for short range wireless telecommunications</w:t>
      </w:r>
      <w:r w:rsidR="00956560">
        <w:rPr>
          <w:rFonts w:eastAsiaTheme="minorHAnsi"/>
          <w:lang w:eastAsia="en-US"/>
        </w:rPr>
        <w:t>,</w:t>
      </w:r>
      <w:r w:rsidR="004E59A8" w:rsidRPr="00C24A0F">
        <w:rPr>
          <w:rFonts w:eastAsiaTheme="minorHAnsi"/>
          <w:lang w:eastAsia="en-US"/>
        </w:rPr>
        <w:t xml:space="preserve"> </w:t>
      </w:r>
      <w:r w:rsidR="004E59A8" w:rsidRPr="00C24A0F">
        <w:t xml:space="preserve">with a range up to </w:t>
      </w:r>
      <w:r w:rsidR="00030D61">
        <w:t>~</w:t>
      </w:r>
      <w:r w:rsidR="004E59A8" w:rsidRPr="00C24A0F">
        <w:t>500</w:t>
      </w:r>
      <w:r w:rsidR="00956560">
        <w:t xml:space="preserve"> </w:t>
      </w:r>
      <w:r w:rsidR="004E59A8" w:rsidRPr="00C24A0F">
        <w:t>m</w:t>
      </w:r>
      <w:r w:rsidR="00956560">
        <w:t>etres</w:t>
      </w:r>
      <w:r w:rsidR="004E59A8" w:rsidRPr="00C24A0F">
        <w:rPr>
          <w:rFonts w:eastAsiaTheme="minorHAnsi"/>
          <w:lang w:eastAsia="en-US"/>
        </w:rPr>
        <w:t xml:space="preserve">. It is suitable for voice services including </w:t>
      </w:r>
      <w:r w:rsidR="004E59A8" w:rsidRPr="00C24A0F">
        <w:t xml:space="preserve">PSTN and VoIP telephony, data including </w:t>
      </w:r>
      <w:r w:rsidR="004E59A8" w:rsidRPr="00C24A0F">
        <w:rPr>
          <w:rFonts w:eastAsiaTheme="minorHAnsi"/>
          <w:lang w:eastAsia="en-US"/>
        </w:rPr>
        <w:t>Integrated Services Digital Network (ISDN)</w:t>
      </w:r>
      <w:r w:rsidR="004E59A8" w:rsidRPr="00C24A0F">
        <w:t xml:space="preserve"> and networking applications. </w:t>
      </w:r>
      <w:r w:rsidR="004E59A8" w:rsidRPr="00C24A0F">
        <w:rPr>
          <w:rFonts w:eastAsiaTheme="minorHAnsi"/>
          <w:lang w:eastAsia="en-US"/>
        </w:rPr>
        <w:t>The DECT standardi</w:t>
      </w:r>
      <w:r w:rsidR="00170544">
        <w:rPr>
          <w:rFonts w:eastAsiaTheme="minorHAnsi"/>
          <w:lang w:eastAsia="en-US"/>
        </w:rPr>
        <w:t>s</w:t>
      </w:r>
      <w:r w:rsidR="004E59A8" w:rsidRPr="00C24A0F">
        <w:rPr>
          <w:rFonts w:eastAsiaTheme="minorHAnsi"/>
          <w:lang w:eastAsia="en-US"/>
        </w:rPr>
        <w:t xml:space="preserve">ation has </w:t>
      </w:r>
      <w:r w:rsidR="00C6530C">
        <w:rPr>
          <w:rFonts w:eastAsiaTheme="minorHAnsi"/>
          <w:lang w:eastAsia="en-US"/>
        </w:rPr>
        <w:t>evolved to become a</w:t>
      </w:r>
      <w:r w:rsidR="004E59A8" w:rsidRPr="00C24A0F">
        <w:rPr>
          <w:rFonts w:eastAsiaTheme="minorHAnsi"/>
          <w:lang w:eastAsia="en-US"/>
        </w:rPr>
        <w:t xml:space="preserve"> standard within the area of cordless telecommunications.</w:t>
      </w:r>
    </w:p>
    <w:p w14:paraId="49309962" w14:textId="53DF0420" w:rsidR="00962A71" w:rsidRPr="009A0BBD" w:rsidRDefault="00A8286C" w:rsidP="00C956BB">
      <w:pPr>
        <w:pStyle w:val="Paragraph"/>
        <w:rPr>
          <w:rFonts w:eastAsiaTheme="minorHAnsi"/>
          <w:lang w:eastAsia="en-US"/>
        </w:rPr>
      </w:pPr>
      <w:r>
        <w:rPr>
          <w:rFonts w:eastAsiaTheme="minorHAnsi"/>
          <w:lang w:eastAsia="en-US"/>
        </w:rPr>
        <w:t>Europe, much of Asia and several other countries have allocated the basic DECT</w:t>
      </w:r>
      <w:r w:rsidR="004E59A8" w:rsidRPr="00C24A0F">
        <w:rPr>
          <w:rFonts w:eastAsiaTheme="minorHAnsi"/>
          <w:lang w:eastAsia="en-US"/>
        </w:rPr>
        <w:t xml:space="preserve"> frequency band </w:t>
      </w:r>
      <w:r>
        <w:rPr>
          <w:rFonts w:eastAsiaTheme="minorHAnsi"/>
          <w:lang w:eastAsia="en-US"/>
        </w:rPr>
        <w:t xml:space="preserve">of </w:t>
      </w:r>
      <w:r w:rsidR="004E59A8" w:rsidRPr="00C24A0F">
        <w:rPr>
          <w:rFonts w:eastAsiaTheme="minorHAnsi"/>
          <w:lang w:eastAsia="en-US"/>
        </w:rPr>
        <w:t>1880</w:t>
      </w:r>
      <w:r w:rsidR="00956560">
        <w:rPr>
          <w:rFonts w:eastAsiaTheme="minorHAnsi"/>
          <w:lang w:eastAsia="en-US"/>
        </w:rPr>
        <w:t>–</w:t>
      </w:r>
      <w:r w:rsidR="004E59A8" w:rsidRPr="00C24A0F">
        <w:rPr>
          <w:rFonts w:eastAsiaTheme="minorHAnsi"/>
          <w:lang w:eastAsia="en-US"/>
        </w:rPr>
        <w:t>1900 MHz for DECT.</w:t>
      </w:r>
      <w:r>
        <w:rPr>
          <w:rFonts w:eastAsiaTheme="minorHAnsi"/>
          <w:lang w:eastAsia="en-US"/>
        </w:rPr>
        <w:t xml:space="preserve"> Several </w:t>
      </w:r>
      <w:r w:rsidR="004E59A8" w:rsidRPr="00C24A0F">
        <w:rPr>
          <w:rFonts w:eastAsiaTheme="minorHAnsi"/>
          <w:lang w:eastAsia="en-US"/>
        </w:rPr>
        <w:t xml:space="preserve">DECT </w:t>
      </w:r>
      <w:r>
        <w:rPr>
          <w:rFonts w:eastAsiaTheme="minorHAnsi"/>
          <w:lang w:eastAsia="en-US"/>
        </w:rPr>
        <w:t xml:space="preserve">bands </w:t>
      </w:r>
      <w:r w:rsidR="004E59A8" w:rsidRPr="00C24A0F">
        <w:rPr>
          <w:rFonts w:eastAsiaTheme="minorHAnsi"/>
          <w:lang w:eastAsia="en-US"/>
        </w:rPr>
        <w:t>have been defined for the spectrum range 1880</w:t>
      </w:r>
      <w:r w:rsidR="00956560">
        <w:rPr>
          <w:rFonts w:eastAsiaTheme="minorHAnsi"/>
          <w:lang w:eastAsia="en-US"/>
        </w:rPr>
        <w:t>–</w:t>
      </w:r>
      <w:r w:rsidR="004E59A8" w:rsidRPr="00C24A0F">
        <w:rPr>
          <w:rFonts w:eastAsiaTheme="minorHAnsi"/>
          <w:lang w:eastAsia="en-US"/>
        </w:rPr>
        <w:t xml:space="preserve">1939 MHz in the basic DECT standards, allowing DECT services to be introduced in countries where the basic DECT frequencies </w:t>
      </w:r>
      <w:r>
        <w:rPr>
          <w:rFonts w:eastAsiaTheme="minorHAnsi"/>
          <w:lang w:eastAsia="en-US"/>
        </w:rPr>
        <w:t xml:space="preserve">of </w:t>
      </w:r>
      <w:r w:rsidR="004E59A8" w:rsidRPr="00C24A0F">
        <w:rPr>
          <w:rFonts w:eastAsiaTheme="minorHAnsi"/>
          <w:lang w:eastAsia="en-US"/>
        </w:rPr>
        <w:t>1880</w:t>
      </w:r>
      <w:r w:rsidR="00956560">
        <w:rPr>
          <w:rFonts w:eastAsiaTheme="minorHAnsi"/>
          <w:lang w:eastAsia="en-US"/>
        </w:rPr>
        <w:t>–</w:t>
      </w:r>
      <w:r w:rsidR="004E59A8" w:rsidRPr="00C24A0F">
        <w:rPr>
          <w:rFonts w:eastAsiaTheme="minorHAnsi"/>
          <w:lang w:eastAsia="en-US"/>
        </w:rPr>
        <w:t xml:space="preserve">1900 MHz are not available. </w:t>
      </w:r>
      <w:r w:rsidR="00107702">
        <w:rPr>
          <w:rFonts w:eastAsiaTheme="minorHAnsi"/>
          <w:lang w:eastAsia="en-US"/>
        </w:rPr>
        <w:t>The</w:t>
      </w:r>
      <w:r w:rsidR="004E59A8" w:rsidRPr="00C24A0F">
        <w:rPr>
          <w:rFonts w:eastAsiaTheme="minorHAnsi"/>
          <w:lang w:eastAsia="en-US"/>
        </w:rPr>
        <w:t xml:space="preserve"> standards </w:t>
      </w:r>
      <w:r w:rsidR="00107702">
        <w:rPr>
          <w:rFonts w:eastAsiaTheme="minorHAnsi"/>
          <w:lang w:eastAsia="en-US"/>
        </w:rPr>
        <w:t xml:space="preserve">also </w:t>
      </w:r>
      <w:r w:rsidR="004E59A8" w:rsidRPr="00C24A0F">
        <w:rPr>
          <w:rFonts w:eastAsiaTheme="minorHAnsi"/>
          <w:lang w:eastAsia="en-US"/>
        </w:rPr>
        <w:t xml:space="preserve">allow the combination of DECT with other mobile technologies. The different DECT interoperability </w:t>
      </w:r>
      <w:r w:rsidR="004E59A8" w:rsidRPr="009A0BBD">
        <w:rPr>
          <w:rFonts w:eastAsiaTheme="minorHAnsi"/>
          <w:lang w:eastAsia="en-US"/>
        </w:rPr>
        <w:t xml:space="preserve">profile standards are designed to facilitate provision of </w:t>
      </w:r>
      <w:r w:rsidR="00170544" w:rsidRPr="009A0BBD">
        <w:rPr>
          <w:rFonts w:eastAsiaTheme="minorHAnsi"/>
          <w:lang w:eastAsia="en-US"/>
        </w:rPr>
        <w:t xml:space="preserve">a </w:t>
      </w:r>
      <w:r w:rsidR="004E59A8" w:rsidRPr="009A0BBD">
        <w:rPr>
          <w:rFonts w:eastAsiaTheme="minorHAnsi"/>
          <w:lang w:eastAsia="en-US"/>
        </w:rPr>
        <w:t>mixture of fixed and mobile services through a single infrastructu</w:t>
      </w:r>
      <w:r w:rsidR="004E59A8" w:rsidRPr="001E65C3">
        <w:rPr>
          <w:rFonts w:eastAsiaTheme="minorHAnsi"/>
          <w:lang w:eastAsia="en-US"/>
        </w:rPr>
        <w:t>re.</w:t>
      </w:r>
      <w:r w:rsidR="00C6530C" w:rsidRPr="001E65C3">
        <w:rPr>
          <w:rFonts w:eastAsiaTheme="minorHAnsi"/>
          <w:lang w:eastAsia="en-US"/>
        </w:rPr>
        <w:t xml:space="preserve"> </w:t>
      </w:r>
      <w:r w:rsidR="001037E2" w:rsidRPr="001E65C3">
        <w:rPr>
          <w:rFonts w:eastAsiaTheme="minorHAnsi"/>
          <w:lang w:eastAsia="en-US"/>
        </w:rPr>
        <w:t xml:space="preserve">Table </w:t>
      </w:r>
      <w:r w:rsidR="001E65C3">
        <w:rPr>
          <w:rFonts w:eastAsiaTheme="minorHAnsi"/>
          <w:lang w:eastAsia="en-US"/>
        </w:rPr>
        <w:t>8</w:t>
      </w:r>
      <w:r w:rsidR="001037E2" w:rsidRPr="001E65C3">
        <w:rPr>
          <w:rFonts w:eastAsiaTheme="minorHAnsi"/>
          <w:lang w:eastAsia="en-US"/>
        </w:rPr>
        <w:t xml:space="preserve"> p</w:t>
      </w:r>
      <w:r w:rsidR="001037E2">
        <w:rPr>
          <w:rFonts w:eastAsiaTheme="minorHAnsi"/>
          <w:lang w:eastAsia="en-US"/>
        </w:rPr>
        <w:t xml:space="preserve">rovides a summary of the </w:t>
      </w:r>
      <w:r w:rsidR="00C6530C" w:rsidRPr="009A0BBD">
        <w:rPr>
          <w:rFonts w:eastAsiaTheme="minorHAnsi"/>
          <w:lang w:eastAsia="en-US"/>
        </w:rPr>
        <w:t xml:space="preserve">DECT </w:t>
      </w:r>
      <w:r w:rsidR="001037E2">
        <w:rPr>
          <w:rFonts w:eastAsiaTheme="minorHAnsi"/>
          <w:lang w:eastAsia="en-US"/>
        </w:rPr>
        <w:t>frequency allocations</w:t>
      </w:r>
      <w:r w:rsidR="00C6530C" w:rsidRPr="009A0BBD">
        <w:rPr>
          <w:rFonts w:eastAsiaTheme="minorHAnsi"/>
          <w:lang w:eastAsia="en-US"/>
        </w:rPr>
        <w:t xml:space="preserve"> internationally.</w:t>
      </w:r>
    </w:p>
    <w:p w14:paraId="68792901" w14:textId="50A9950E" w:rsidR="00962A71" w:rsidRPr="00E200E5" w:rsidRDefault="00962A71" w:rsidP="00E200E5">
      <w:pPr>
        <w:pStyle w:val="Tableheading"/>
      </w:pPr>
      <w:r w:rsidRPr="00E200E5">
        <w:t xml:space="preserve"> DECT frequency allocations worldwide</w:t>
      </w:r>
    </w:p>
    <w:tbl>
      <w:tblPr>
        <w:tblpPr w:leftFromText="180" w:rightFromText="180" w:vertAnchor="text" w:horzAnchor="margin" w:tblpY="43"/>
        <w:tblW w:w="7650" w:type="dxa"/>
        <w:tblCellMar>
          <w:top w:w="57" w:type="dxa"/>
          <w:left w:w="57" w:type="dxa"/>
          <w:bottom w:w="57" w:type="dxa"/>
          <w:right w:w="57" w:type="dxa"/>
        </w:tblCellMar>
        <w:tblLook w:val="04A0" w:firstRow="1" w:lastRow="0" w:firstColumn="1" w:lastColumn="0" w:noHBand="0" w:noVBand="1"/>
      </w:tblPr>
      <w:tblGrid>
        <w:gridCol w:w="1980"/>
        <w:gridCol w:w="5670"/>
      </w:tblGrid>
      <w:tr w:rsidR="00962A71" w:rsidRPr="009A54DB" w14:paraId="347E4866" w14:textId="77777777" w:rsidTr="00E200E5">
        <w:trPr>
          <w:trHeight w:val="285"/>
        </w:trPr>
        <w:tc>
          <w:tcPr>
            <w:tcW w:w="1980"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0B26F47E" w14:textId="2DAE20CF" w:rsidR="00962A71" w:rsidRPr="00E200E5" w:rsidRDefault="00962A71" w:rsidP="00DB2F62">
            <w:pPr>
              <w:spacing w:after="0" w:line="240" w:lineRule="auto"/>
              <w:rPr>
                <w:rFonts w:cs="Arial"/>
                <w:b/>
                <w:bCs/>
                <w:color w:val="FFFFFF" w:themeColor="background1"/>
                <w:szCs w:val="20"/>
              </w:rPr>
            </w:pPr>
            <w:r w:rsidRPr="00E200E5">
              <w:rPr>
                <w:rFonts w:cs="Arial"/>
                <w:b/>
                <w:bCs/>
                <w:color w:val="FFFFFF" w:themeColor="background1"/>
                <w:szCs w:val="20"/>
              </w:rPr>
              <w:t xml:space="preserve">Frequency </w:t>
            </w:r>
            <w:r w:rsidR="00B7024E" w:rsidRPr="00E200E5">
              <w:rPr>
                <w:rFonts w:cs="Arial"/>
                <w:b/>
                <w:bCs/>
                <w:color w:val="FFFFFF" w:themeColor="background1"/>
                <w:szCs w:val="20"/>
              </w:rPr>
              <w:t>b</w:t>
            </w:r>
            <w:r w:rsidRPr="00E200E5">
              <w:rPr>
                <w:rFonts w:cs="Arial"/>
                <w:b/>
                <w:bCs/>
                <w:color w:val="FFFFFF" w:themeColor="background1"/>
                <w:szCs w:val="20"/>
              </w:rPr>
              <w:t>and</w:t>
            </w:r>
          </w:p>
        </w:tc>
        <w:tc>
          <w:tcPr>
            <w:tcW w:w="5670" w:type="dxa"/>
            <w:tcBorders>
              <w:top w:val="single" w:sz="4" w:space="0" w:color="auto"/>
              <w:left w:val="nil"/>
              <w:bottom w:val="single" w:sz="4" w:space="0" w:color="auto"/>
              <w:right w:val="single" w:sz="4" w:space="0" w:color="auto"/>
            </w:tcBorders>
            <w:shd w:val="clear" w:color="auto" w:fill="404040" w:themeFill="text1" w:themeFillTint="BF"/>
            <w:hideMark/>
          </w:tcPr>
          <w:p w14:paraId="707E332D" w14:textId="0C2D6F3B" w:rsidR="00962A71" w:rsidRPr="00E200E5" w:rsidRDefault="00962A71" w:rsidP="00DB2F62">
            <w:pPr>
              <w:spacing w:after="0" w:line="240" w:lineRule="auto"/>
              <w:rPr>
                <w:rFonts w:cs="Arial"/>
                <w:b/>
                <w:bCs/>
                <w:color w:val="FFFFFF" w:themeColor="background1"/>
                <w:szCs w:val="20"/>
              </w:rPr>
            </w:pPr>
            <w:r w:rsidRPr="00E200E5">
              <w:rPr>
                <w:rFonts w:cs="Arial"/>
                <w:b/>
                <w:bCs/>
                <w:color w:val="FFFFFF" w:themeColor="background1"/>
                <w:szCs w:val="20"/>
              </w:rPr>
              <w:t xml:space="preserve">Countries and </w:t>
            </w:r>
            <w:r w:rsidR="00B7024E" w:rsidRPr="00E200E5">
              <w:rPr>
                <w:rFonts w:cs="Arial"/>
                <w:b/>
                <w:bCs/>
                <w:color w:val="FFFFFF" w:themeColor="background1"/>
                <w:szCs w:val="20"/>
              </w:rPr>
              <w:t>d</w:t>
            </w:r>
            <w:r w:rsidRPr="00E200E5">
              <w:rPr>
                <w:rFonts w:cs="Arial"/>
                <w:b/>
                <w:bCs/>
                <w:color w:val="FFFFFF" w:themeColor="background1"/>
                <w:szCs w:val="20"/>
              </w:rPr>
              <w:t>etails</w:t>
            </w:r>
          </w:p>
        </w:tc>
      </w:tr>
      <w:tr w:rsidR="00962A71" w:rsidRPr="009A54DB" w14:paraId="5DCC10F3" w14:textId="77777777" w:rsidTr="00E200E5">
        <w:trPr>
          <w:trHeight w:val="385"/>
        </w:trPr>
        <w:tc>
          <w:tcPr>
            <w:tcW w:w="1980" w:type="dxa"/>
            <w:tcBorders>
              <w:top w:val="nil"/>
              <w:left w:val="single" w:sz="4" w:space="0" w:color="auto"/>
              <w:bottom w:val="single" w:sz="4" w:space="0" w:color="auto"/>
              <w:right w:val="single" w:sz="4" w:space="0" w:color="auto"/>
            </w:tcBorders>
            <w:shd w:val="clear" w:color="000000" w:fill="FFFFFF"/>
            <w:hideMark/>
          </w:tcPr>
          <w:p w14:paraId="6BAC3F0D" w14:textId="4610EF98" w:rsidR="00962A71" w:rsidRPr="00B7024E" w:rsidRDefault="00962A71" w:rsidP="00DB2F62">
            <w:pPr>
              <w:spacing w:after="0" w:line="240" w:lineRule="auto"/>
              <w:rPr>
                <w:rFonts w:cs="Arial"/>
                <w:color w:val="333333"/>
                <w:szCs w:val="20"/>
              </w:rPr>
            </w:pPr>
            <w:r w:rsidRPr="00B7024E">
              <w:rPr>
                <w:rFonts w:cs="Arial"/>
                <w:color w:val="333333"/>
                <w:szCs w:val="20"/>
              </w:rPr>
              <w:t>1880</w:t>
            </w:r>
            <w:r w:rsidR="00B7024E" w:rsidRPr="00B7024E">
              <w:rPr>
                <w:rFonts w:eastAsiaTheme="minorHAnsi"/>
                <w:szCs w:val="20"/>
                <w:lang w:eastAsia="en-US"/>
              </w:rPr>
              <w:t>–</w:t>
            </w:r>
            <w:r w:rsidRPr="00B7024E">
              <w:rPr>
                <w:rFonts w:cs="Arial"/>
                <w:color w:val="333333"/>
                <w:szCs w:val="20"/>
              </w:rPr>
              <w:t>1900 MHz</w:t>
            </w:r>
          </w:p>
        </w:tc>
        <w:tc>
          <w:tcPr>
            <w:tcW w:w="5670" w:type="dxa"/>
            <w:tcBorders>
              <w:top w:val="nil"/>
              <w:left w:val="nil"/>
              <w:bottom w:val="single" w:sz="4" w:space="0" w:color="auto"/>
              <w:right w:val="single" w:sz="4" w:space="0" w:color="auto"/>
            </w:tcBorders>
            <w:shd w:val="clear" w:color="000000" w:fill="FFFFFF"/>
            <w:hideMark/>
          </w:tcPr>
          <w:p w14:paraId="49FBD94C" w14:textId="77777777" w:rsidR="00962A71" w:rsidRPr="00396766" w:rsidRDefault="00962A71" w:rsidP="00E200E5">
            <w:pPr>
              <w:pStyle w:val="Paragraph"/>
              <w:spacing w:after="0"/>
            </w:pPr>
            <w:r w:rsidRPr="00396766">
              <w:t>Europe, South Africa, much of Asia, Hong Kong, Australia, and New Zealand (10 channels)</w:t>
            </w:r>
          </w:p>
        </w:tc>
      </w:tr>
      <w:tr w:rsidR="00962A71" w:rsidRPr="009A54DB" w14:paraId="70662BDD" w14:textId="77777777" w:rsidTr="00E200E5">
        <w:trPr>
          <w:trHeight w:val="285"/>
        </w:trPr>
        <w:tc>
          <w:tcPr>
            <w:tcW w:w="1980" w:type="dxa"/>
            <w:tcBorders>
              <w:top w:val="nil"/>
              <w:left w:val="single" w:sz="4" w:space="0" w:color="auto"/>
              <w:bottom w:val="single" w:sz="4" w:space="0" w:color="auto"/>
              <w:right w:val="single" w:sz="4" w:space="0" w:color="auto"/>
            </w:tcBorders>
            <w:shd w:val="clear" w:color="000000" w:fill="FFFFFF"/>
            <w:hideMark/>
          </w:tcPr>
          <w:p w14:paraId="78B31A08" w14:textId="12C466CC" w:rsidR="00962A71" w:rsidRPr="00B7024E" w:rsidRDefault="00962A71" w:rsidP="00DB2F62">
            <w:pPr>
              <w:spacing w:after="0" w:line="240" w:lineRule="auto"/>
              <w:rPr>
                <w:rFonts w:cs="Arial"/>
                <w:color w:val="333333"/>
                <w:szCs w:val="20"/>
              </w:rPr>
            </w:pPr>
            <w:r w:rsidRPr="00B7024E">
              <w:rPr>
                <w:rFonts w:cs="Arial"/>
                <w:color w:val="333333"/>
                <w:szCs w:val="20"/>
              </w:rPr>
              <w:t>1786</w:t>
            </w:r>
            <w:r w:rsidR="00B7024E" w:rsidRPr="00B7024E">
              <w:rPr>
                <w:rFonts w:eastAsiaTheme="minorHAnsi"/>
                <w:szCs w:val="20"/>
                <w:lang w:eastAsia="en-US"/>
              </w:rPr>
              <w:t>–</w:t>
            </w:r>
            <w:r w:rsidRPr="00B7024E">
              <w:rPr>
                <w:rFonts w:cs="Arial"/>
                <w:color w:val="333333"/>
                <w:szCs w:val="20"/>
              </w:rPr>
              <w:t>1792 MHz</w:t>
            </w:r>
          </w:p>
        </w:tc>
        <w:tc>
          <w:tcPr>
            <w:tcW w:w="5670" w:type="dxa"/>
            <w:tcBorders>
              <w:top w:val="nil"/>
              <w:left w:val="nil"/>
              <w:bottom w:val="single" w:sz="4" w:space="0" w:color="auto"/>
              <w:right w:val="single" w:sz="4" w:space="0" w:color="auto"/>
            </w:tcBorders>
            <w:shd w:val="clear" w:color="000000" w:fill="FFFFFF"/>
            <w:hideMark/>
          </w:tcPr>
          <w:p w14:paraId="09FAAA5B" w14:textId="77777777" w:rsidR="00962A71" w:rsidRPr="00396766" w:rsidRDefault="00962A71" w:rsidP="00E200E5">
            <w:pPr>
              <w:pStyle w:val="Paragraph"/>
              <w:spacing w:after="0"/>
            </w:pPr>
            <w:r w:rsidRPr="00396766">
              <w:t>Korea (3 channels only)</w:t>
            </w:r>
          </w:p>
        </w:tc>
      </w:tr>
      <w:tr w:rsidR="00962A71" w:rsidRPr="009A54DB" w14:paraId="432A9297" w14:textId="77777777" w:rsidTr="00E200E5">
        <w:trPr>
          <w:trHeight w:val="285"/>
        </w:trPr>
        <w:tc>
          <w:tcPr>
            <w:tcW w:w="1980" w:type="dxa"/>
            <w:tcBorders>
              <w:top w:val="nil"/>
              <w:left w:val="single" w:sz="4" w:space="0" w:color="auto"/>
              <w:bottom w:val="single" w:sz="4" w:space="0" w:color="auto"/>
              <w:right w:val="single" w:sz="4" w:space="0" w:color="auto"/>
            </w:tcBorders>
            <w:shd w:val="clear" w:color="000000" w:fill="FFFFFF"/>
            <w:hideMark/>
          </w:tcPr>
          <w:p w14:paraId="1AADB014" w14:textId="13A86C04" w:rsidR="00962A71" w:rsidRPr="00B7024E" w:rsidRDefault="00962A71" w:rsidP="00DB2F62">
            <w:pPr>
              <w:spacing w:after="0" w:line="240" w:lineRule="auto"/>
              <w:rPr>
                <w:rFonts w:cs="Arial"/>
                <w:color w:val="333333"/>
                <w:szCs w:val="20"/>
              </w:rPr>
            </w:pPr>
            <w:r w:rsidRPr="00B7024E">
              <w:rPr>
                <w:rFonts w:cs="Arial"/>
                <w:color w:val="333333"/>
                <w:szCs w:val="20"/>
              </w:rPr>
              <w:t>1880</w:t>
            </w:r>
            <w:r w:rsidR="00B7024E" w:rsidRPr="00B7024E">
              <w:rPr>
                <w:rFonts w:eastAsiaTheme="minorHAnsi"/>
                <w:szCs w:val="20"/>
                <w:lang w:eastAsia="en-US"/>
              </w:rPr>
              <w:t>–</w:t>
            </w:r>
            <w:r w:rsidRPr="00B7024E">
              <w:rPr>
                <w:rFonts w:cs="Arial"/>
                <w:color w:val="333333"/>
                <w:szCs w:val="20"/>
              </w:rPr>
              <w:t>1895 MHz</w:t>
            </w:r>
          </w:p>
        </w:tc>
        <w:tc>
          <w:tcPr>
            <w:tcW w:w="5670" w:type="dxa"/>
            <w:tcBorders>
              <w:top w:val="nil"/>
              <w:left w:val="nil"/>
              <w:bottom w:val="single" w:sz="4" w:space="0" w:color="auto"/>
              <w:right w:val="single" w:sz="4" w:space="0" w:color="auto"/>
            </w:tcBorders>
            <w:shd w:val="clear" w:color="000000" w:fill="FFFFFF"/>
            <w:hideMark/>
          </w:tcPr>
          <w:p w14:paraId="1448AD3C" w14:textId="77777777" w:rsidR="00962A71" w:rsidRPr="00396766" w:rsidRDefault="00962A71" w:rsidP="00E200E5">
            <w:pPr>
              <w:pStyle w:val="Paragraph"/>
              <w:spacing w:after="0"/>
            </w:pPr>
            <w:r w:rsidRPr="00396766">
              <w:t>Taiwan (8 channels)</w:t>
            </w:r>
          </w:p>
        </w:tc>
      </w:tr>
      <w:tr w:rsidR="00962A71" w:rsidRPr="009A54DB" w14:paraId="0FD1657A" w14:textId="77777777" w:rsidTr="00E200E5">
        <w:trPr>
          <w:trHeight w:val="285"/>
        </w:trPr>
        <w:tc>
          <w:tcPr>
            <w:tcW w:w="1980" w:type="dxa"/>
            <w:tcBorders>
              <w:top w:val="nil"/>
              <w:left w:val="single" w:sz="4" w:space="0" w:color="auto"/>
              <w:bottom w:val="single" w:sz="4" w:space="0" w:color="auto"/>
              <w:right w:val="single" w:sz="4" w:space="0" w:color="auto"/>
            </w:tcBorders>
            <w:shd w:val="clear" w:color="000000" w:fill="FFFFFF"/>
            <w:hideMark/>
          </w:tcPr>
          <w:p w14:paraId="534682BF" w14:textId="3F448901" w:rsidR="00962A71" w:rsidRPr="00B7024E" w:rsidRDefault="00962A71" w:rsidP="00DB2F62">
            <w:pPr>
              <w:spacing w:after="0" w:line="240" w:lineRule="auto"/>
              <w:rPr>
                <w:rFonts w:cs="Arial"/>
                <w:color w:val="333333"/>
                <w:szCs w:val="20"/>
              </w:rPr>
            </w:pPr>
            <w:r w:rsidRPr="00B7024E">
              <w:rPr>
                <w:rFonts w:cs="Arial"/>
                <w:color w:val="333333"/>
                <w:szCs w:val="20"/>
              </w:rPr>
              <w:t>1893</w:t>
            </w:r>
            <w:r w:rsidR="00B7024E" w:rsidRPr="00B7024E">
              <w:rPr>
                <w:rFonts w:eastAsiaTheme="minorHAnsi"/>
                <w:szCs w:val="20"/>
                <w:lang w:eastAsia="en-US"/>
              </w:rPr>
              <w:t>–</w:t>
            </w:r>
            <w:r w:rsidRPr="00B7024E">
              <w:rPr>
                <w:rFonts w:cs="Arial"/>
                <w:color w:val="333333"/>
                <w:szCs w:val="20"/>
              </w:rPr>
              <w:t>1906 MHz</w:t>
            </w:r>
          </w:p>
        </w:tc>
        <w:tc>
          <w:tcPr>
            <w:tcW w:w="5670" w:type="dxa"/>
            <w:tcBorders>
              <w:top w:val="nil"/>
              <w:left w:val="nil"/>
              <w:bottom w:val="single" w:sz="4" w:space="0" w:color="auto"/>
              <w:right w:val="single" w:sz="4" w:space="0" w:color="auto"/>
            </w:tcBorders>
            <w:shd w:val="clear" w:color="000000" w:fill="FFFFFF"/>
            <w:hideMark/>
          </w:tcPr>
          <w:p w14:paraId="5312B5B3" w14:textId="77777777" w:rsidR="00962A71" w:rsidRPr="00396766" w:rsidRDefault="00962A71" w:rsidP="00E200E5">
            <w:pPr>
              <w:pStyle w:val="Paragraph"/>
              <w:spacing w:after="0"/>
            </w:pPr>
            <w:r w:rsidRPr="00396766">
              <w:t>Japan (J-DECT)</w:t>
            </w:r>
          </w:p>
        </w:tc>
      </w:tr>
      <w:tr w:rsidR="00962A71" w:rsidRPr="009A54DB" w14:paraId="47B0BA4D" w14:textId="77777777" w:rsidTr="00E200E5">
        <w:trPr>
          <w:trHeight w:val="285"/>
        </w:trPr>
        <w:tc>
          <w:tcPr>
            <w:tcW w:w="1980" w:type="dxa"/>
            <w:tcBorders>
              <w:top w:val="nil"/>
              <w:left w:val="single" w:sz="4" w:space="0" w:color="auto"/>
              <w:bottom w:val="single" w:sz="4" w:space="0" w:color="auto"/>
              <w:right w:val="single" w:sz="4" w:space="0" w:color="auto"/>
            </w:tcBorders>
            <w:shd w:val="clear" w:color="000000" w:fill="FFFFFF"/>
            <w:hideMark/>
          </w:tcPr>
          <w:p w14:paraId="6F2EBDCD" w14:textId="4348C401" w:rsidR="00962A71" w:rsidRPr="00B7024E" w:rsidRDefault="00962A71" w:rsidP="00DB2F62">
            <w:pPr>
              <w:spacing w:after="0" w:line="240" w:lineRule="auto"/>
              <w:rPr>
                <w:rFonts w:cs="Arial"/>
                <w:color w:val="333333"/>
                <w:szCs w:val="20"/>
              </w:rPr>
            </w:pPr>
            <w:r w:rsidRPr="00B7024E">
              <w:rPr>
                <w:rFonts w:cs="Arial"/>
                <w:color w:val="333333"/>
                <w:szCs w:val="20"/>
              </w:rPr>
              <w:t>1910</w:t>
            </w:r>
            <w:r w:rsidR="00B7024E" w:rsidRPr="00B7024E">
              <w:rPr>
                <w:rFonts w:eastAsiaTheme="minorHAnsi"/>
                <w:szCs w:val="20"/>
                <w:lang w:eastAsia="en-US"/>
              </w:rPr>
              <w:t>–</w:t>
            </w:r>
            <w:r w:rsidRPr="00B7024E">
              <w:rPr>
                <w:rFonts w:cs="Arial"/>
                <w:color w:val="333333"/>
                <w:szCs w:val="20"/>
              </w:rPr>
              <w:t>1920 MHz</w:t>
            </w:r>
          </w:p>
        </w:tc>
        <w:tc>
          <w:tcPr>
            <w:tcW w:w="5670" w:type="dxa"/>
            <w:tcBorders>
              <w:top w:val="nil"/>
              <w:left w:val="nil"/>
              <w:bottom w:val="single" w:sz="4" w:space="0" w:color="auto"/>
              <w:right w:val="single" w:sz="4" w:space="0" w:color="auto"/>
            </w:tcBorders>
            <w:shd w:val="clear" w:color="000000" w:fill="FFFFFF"/>
            <w:hideMark/>
          </w:tcPr>
          <w:p w14:paraId="6F34626C" w14:textId="77777777" w:rsidR="00962A71" w:rsidRPr="00396766" w:rsidRDefault="00962A71" w:rsidP="00E200E5">
            <w:pPr>
              <w:pStyle w:val="Paragraph"/>
              <w:spacing w:after="0"/>
            </w:pPr>
            <w:r w:rsidRPr="00396766">
              <w:t>Brazil (10 channels)</w:t>
            </w:r>
          </w:p>
        </w:tc>
      </w:tr>
      <w:tr w:rsidR="00962A71" w:rsidRPr="009A54DB" w14:paraId="755FCBB7" w14:textId="77777777" w:rsidTr="00E200E5">
        <w:trPr>
          <w:trHeight w:val="285"/>
        </w:trPr>
        <w:tc>
          <w:tcPr>
            <w:tcW w:w="1980" w:type="dxa"/>
            <w:tcBorders>
              <w:top w:val="nil"/>
              <w:left w:val="single" w:sz="4" w:space="0" w:color="auto"/>
              <w:bottom w:val="single" w:sz="4" w:space="0" w:color="auto"/>
              <w:right w:val="single" w:sz="4" w:space="0" w:color="auto"/>
            </w:tcBorders>
            <w:shd w:val="clear" w:color="000000" w:fill="FFFFFF"/>
            <w:hideMark/>
          </w:tcPr>
          <w:p w14:paraId="61E7F98E" w14:textId="59942FA1" w:rsidR="00962A71" w:rsidRPr="00B7024E" w:rsidRDefault="00962A71" w:rsidP="00DB2F62">
            <w:pPr>
              <w:spacing w:after="0" w:line="240" w:lineRule="auto"/>
              <w:rPr>
                <w:rFonts w:cs="Arial"/>
                <w:color w:val="333333"/>
                <w:szCs w:val="20"/>
              </w:rPr>
            </w:pPr>
            <w:r w:rsidRPr="00B7024E">
              <w:rPr>
                <w:rFonts w:cs="Arial"/>
                <w:color w:val="333333"/>
                <w:szCs w:val="20"/>
              </w:rPr>
              <w:t>1910</w:t>
            </w:r>
            <w:r w:rsidR="00B7024E" w:rsidRPr="00B7024E">
              <w:rPr>
                <w:rFonts w:eastAsiaTheme="minorHAnsi"/>
                <w:szCs w:val="20"/>
                <w:lang w:eastAsia="en-US"/>
              </w:rPr>
              <w:t>–</w:t>
            </w:r>
            <w:r w:rsidRPr="00B7024E">
              <w:rPr>
                <w:rFonts w:cs="Arial"/>
                <w:color w:val="333333"/>
                <w:szCs w:val="20"/>
              </w:rPr>
              <w:t>1930 MHz</w:t>
            </w:r>
          </w:p>
        </w:tc>
        <w:tc>
          <w:tcPr>
            <w:tcW w:w="5670" w:type="dxa"/>
            <w:tcBorders>
              <w:top w:val="nil"/>
              <w:left w:val="nil"/>
              <w:bottom w:val="single" w:sz="4" w:space="0" w:color="auto"/>
              <w:right w:val="single" w:sz="4" w:space="0" w:color="auto"/>
            </w:tcBorders>
            <w:shd w:val="clear" w:color="000000" w:fill="FFFFFF"/>
            <w:hideMark/>
          </w:tcPr>
          <w:p w14:paraId="1B5DB7C5" w14:textId="24F42874" w:rsidR="00962A71" w:rsidRPr="00396766" w:rsidRDefault="00962A71" w:rsidP="00E200E5">
            <w:pPr>
              <w:pStyle w:val="Paragraph"/>
              <w:spacing w:after="0"/>
            </w:pPr>
            <w:r w:rsidRPr="00396766">
              <w:t>Much of Latin America excluding Brazil</w:t>
            </w:r>
          </w:p>
        </w:tc>
      </w:tr>
      <w:tr w:rsidR="00962A71" w:rsidRPr="009A54DB" w14:paraId="60FE17B4" w14:textId="77777777" w:rsidTr="00E200E5">
        <w:trPr>
          <w:trHeight w:val="285"/>
        </w:trPr>
        <w:tc>
          <w:tcPr>
            <w:tcW w:w="1980" w:type="dxa"/>
            <w:tcBorders>
              <w:top w:val="nil"/>
              <w:left w:val="single" w:sz="4" w:space="0" w:color="auto"/>
              <w:bottom w:val="single" w:sz="4" w:space="0" w:color="auto"/>
              <w:right w:val="single" w:sz="4" w:space="0" w:color="auto"/>
            </w:tcBorders>
            <w:shd w:val="clear" w:color="000000" w:fill="FFFFFF"/>
            <w:hideMark/>
          </w:tcPr>
          <w:p w14:paraId="771732CC" w14:textId="45C0B25F" w:rsidR="00962A71" w:rsidRPr="00B7024E" w:rsidRDefault="00962A71" w:rsidP="00DB2F62">
            <w:pPr>
              <w:spacing w:after="0" w:line="240" w:lineRule="auto"/>
              <w:rPr>
                <w:rFonts w:cs="Arial"/>
                <w:color w:val="333333"/>
                <w:szCs w:val="20"/>
              </w:rPr>
            </w:pPr>
            <w:r w:rsidRPr="00B7024E">
              <w:rPr>
                <w:rFonts w:cs="Arial"/>
                <w:color w:val="333333"/>
                <w:szCs w:val="20"/>
              </w:rPr>
              <w:t>19</w:t>
            </w:r>
            <w:r w:rsidR="00DD6F32" w:rsidRPr="00B7024E">
              <w:rPr>
                <w:rFonts w:cs="Arial"/>
                <w:color w:val="333333"/>
                <w:szCs w:val="20"/>
              </w:rPr>
              <w:t>2</w:t>
            </w:r>
            <w:r w:rsidRPr="00B7024E">
              <w:rPr>
                <w:rFonts w:cs="Arial"/>
                <w:color w:val="333333"/>
                <w:szCs w:val="20"/>
              </w:rPr>
              <w:t>0</w:t>
            </w:r>
            <w:r w:rsidR="00B7024E" w:rsidRPr="00B7024E">
              <w:rPr>
                <w:rFonts w:eastAsiaTheme="minorHAnsi"/>
                <w:szCs w:val="20"/>
                <w:lang w:eastAsia="en-US"/>
              </w:rPr>
              <w:t>–</w:t>
            </w:r>
            <w:r w:rsidRPr="00B7024E">
              <w:rPr>
                <w:rFonts w:cs="Arial"/>
                <w:color w:val="333333"/>
                <w:szCs w:val="20"/>
              </w:rPr>
              <w:t>1930 MHz</w:t>
            </w:r>
          </w:p>
        </w:tc>
        <w:tc>
          <w:tcPr>
            <w:tcW w:w="5670" w:type="dxa"/>
            <w:tcBorders>
              <w:top w:val="nil"/>
              <w:left w:val="nil"/>
              <w:bottom w:val="single" w:sz="4" w:space="0" w:color="auto"/>
              <w:right w:val="single" w:sz="4" w:space="0" w:color="auto"/>
            </w:tcBorders>
            <w:shd w:val="clear" w:color="000000" w:fill="FFFFFF"/>
            <w:hideMark/>
          </w:tcPr>
          <w:p w14:paraId="5004BE1C" w14:textId="5C2CABB2" w:rsidR="00962A71" w:rsidRPr="00396766" w:rsidRDefault="00962A71" w:rsidP="00E200E5">
            <w:pPr>
              <w:pStyle w:val="Paragraph"/>
              <w:spacing w:after="0"/>
            </w:pPr>
            <w:r w:rsidRPr="00396766">
              <w:t>USA &amp; Canada</w:t>
            </w:r>
            <w:r w:rsidR="00A8286C">
              <w:t xml:space="preserve"> (</w:t>
            </w:r>
            <w:r w:rsidR="00A8286C" w:rsidRPr="003955CA">
              <w:rPr>
                <w:rFonts w:eastAsiaTheme="minorHAnsi"/>
                <w:lang w:eastAsia="en-US"/>
              </w:rPr>
              <w:t xml:space="preserve">DECT, DECT-6.0, </w:t>
            </w:r>
            <w:r w:rsidR="00A8286C">
              <w:rPr>
                <w:rFonts w:eastAsiaTheme="minorHAnsi"/>
                <w:lang w:eastAsia="en-US"/>
              </w:rPr>
              <w:t>NG-DECT</w:t>
            </w:r>
            <w:r w:rsidR="00A8286C" w:rsidRPr="003955CA">
              <w:rPr>
                <w:rFonts w:eastAsiaTheme="minorHAnsi"/>
                <w:lang w:eastAsia="en-US"/>
              </w:rPr>
              <w:t>, ULE, DECT Evolution</w:t>
            </w:r>
            <w:r w:rsidR="00A8286C">
              <w:rPr>
                <w:rFonts w:eastAsiaTheme="minorHAnsi"/>
                <w:lang w:eastAsia="en-US"/>
              </w:rPr>
              <w:t>)</w:t>
            </w:r>
          </w:p>
        </w:tc>
      </w:tr>
    </w:tbl>
    <w:p w14:paraId="0EE044F0" w14:textId="77777777" w:rsidR="00962A71" w:rsidRDefault="00962A71" w:rsidP="00962A71">
      <w:pPr>
        <w:autoSpaceDE w:val="0"/>
        <w:autoSpaceDN w:val="0"/>
        <w:adjustRightInd w:val="0"/>
        <w:spacing w:after="0" w:line="240" w:lineRule="auto"/>
        <w:rPr>
          <w:rFonts w:eastAsiaTheme="minorHAnsi" w:cs="Arial"/>
          <w:szCs w:val="20"/>
          <w:lang w:eastAsia="en-US"/>
        </w:rPr>
      </w:pPr>
    </w:p>
    <w:p w14:paraId="1A2A6B41" w14:textId="4F8087A4" w:rsidR="00CB33DA" w:rsidRDefault="00CB33DA" w:rsidP="00B7024E">
      <w:pPr>
        <w:pStyle w:val="Paragraph"/>
        <w:rPr>
          <w:rFonts w:eastAsiaTheme="minorHAnsi"/>
          <w:szCs w:val="20"/>
          <w:lang w:eastAsia="en-US"/>
        </w:rPr>
      </w:pPr>
      <w:r w:rsidRPr="00B373D1">
        <w:t xml:space="preserve">The technology has now matured to include </w:t>
      </w:r>
      <w:hyperlink r:id="rId97" w:anchor="page=1&amp;search=TS%20103%20636%20&amp;title=0&amp;etsiNumber=1&amp;content=0&amp;version=1&amp;onApproval=0&amp;published=1&amp;historical=0&amp;startDate=1988-01-15&amp;endDate=2020-10-07&amp;harmonized=0&amp;keyword=&amp;TB=&amp;stdType=&amp;frequency=&amp;mandate=&amp;collection=&amp;sort=1" w:history="1">
        <w:r w:rsidRPr="003035FF">
          <w:rPr>
            <w:rStyle w:val="Hyperlink"/>
          </w:rPr>
          <w:t>DECT-2020 New Radio (NR) standards.</w:t>
        </w:r>
      </w:hyperlink>
      <w:r w:rsidRPr="00B373D1">
        <w:t xml:space="preserve"> DECT-2020 NR was developed to support broad and diverse wireless</w:t>
      </w:r>
      <w:r w:rsidR="00C6530C">
        <w:t xml:space="preserve"> </w:t>
      </w:r>
      <w:r w:rsidR="00B7024E">
        <w:t>i</w:t>
      </w:r>
      <w:r w:rsidR="00C6530C">
        <w:t xml:space="preserve">nternet of </w:t>
      </w:r>
      <w:r w:rsidR="00B7024E">
        <w:t>t</w:t>
      </w:r>
      <w:r w:rsidR="00C6530C">
        <w:t>hings (</w:t>
      </w:r>
      <w:r w:rsidRPr="00B373D1">
        <w:t>IoT</w:t>
      </w:r>
      <w:r w:rsidR="00C6530C">
        <w:t>)</w:t>
      </w:r>
      <w:r w:rsidRPr="00B373D1">
        <w:t xml:space="preserve"> applications requiring both ultra-reliable and low-latency communication needed in voice and industrial applications.</w:t>
      </w:r>
      <w:r>
        <w:t xml:space="preserve"> </w:t>
      </w:r>
      <w:r w:rsidR="00C6530C">
        <w:t xml:space="preserve">The </w:t>
      </w:r>
      <w:r w:rsidR="001708B4">
        <w:t xml:space="preserve">DECT-2020 NR </w:t>
      </w:r>
      <w:r w:rsidR="00C6530C">
        <w:t xml:space="preserve">standard </w:t>
      </w:r>
      <w:r w:rsidR="001708B4">
        <w:t xml:space="preserve">supports operation in the 1880 to 1900 MHz range and </w:t>
      </w:r>
      <w:r w:rsidR="00CE2324">
        <w:t xml:space="preserve">the </w:t>
      </w:r>
      <w:r w:rsidR="001708B4">
        <w:t xml:space="preserve">1900 to 1920 MHz range. The ACMA has identified </w:t>
      </w:r>
      <w:r w:rsidR="001708B4" w:rsidRPr="006A79F5">
        <w:t>commercia</w:t>
      </w:r>
      <w:r w:rsidR="001708B4">
        <w:t>l</w:t>
      </w:r>
      <w:r w:rsidR="001708B4" w:rsidRPr="006A79F5">
        <w:t>l</w:t>
      </w:r>
      <w:r w:rsidR="001708B4">
        <w:t>y</w:t>
      </w:r>
      <w:r w:rsidR="001708B4" w:rsidRPr="006A79F5">
        <w:t xml:space="preserve"> available products</w:t>
      </w:r>
      <w:r w:rsidR="001708B4">
        <w:t xml:space="preserve"> in </w:t>
      </w:r>
      <w:r w:rsidR="00640EEC">
        <w:t>overseas</w:t>
      </w:r>
      <w:r w:rsidR="00FD16F0">
        <w:t xml:space="preserve"> </w:t>
      </w:r>
      <w:r w:rsidR="001708B4">
        <w:t xml:space="preserve">markets that are currently supplying DECT-2020 NR equipment. </w:t>
      </w:r>
    </w:p>
    <w:p w14:paraId="1FF76B4A" w14:textId="10E087DB" w:rsidR="00C532FC" w:rsidRPr="006D52B7" w:rsidRDefault="00C532FC" w:rsidP="00B7024E">
      <w:pPr>
        <w:pStyle w:val="Heading3"/>
      </w:pPr>
      <w:r w:rsidRPr="006D52B7">
        <w:t xml:space="preserve">Future Rail Mobile Communication System </w:t>
      </w:r>
    </w:p>
    <w:p w14:paraId="204513ED" w14:textId="7A784D5C" w:rsidR="008943DF" w:rsidRDefault="00C532FC" w:rsidP="008943DF">
      <w:pPr>
        <w:pStyle w:val="Paragraph"/>
      </w:pPr>
      <w:r w:rsidRPr="001D43A9">
        <w:t>3GPP LTE</w:t>
      </w:r>
      <w:r>
        <w:t xml:space="preserve"> </w:t>
      </w:r>
      <w:r w:rsidR="00B7024E">
        <w:t>and</w:t>
      </w:r>
      <w:r>
        <w:t xml:space="preserve"> 5G</w:t>
      </w:r>
      <w:r w:rsidR="00F5099F">
        <w:t xml:space="preserve"> </w:t>
      </w:r>
      <w:hyperlink r:id="rId98" w:history="1">
        <w:r w:rsidRPr="000245C3">
          <w:rPr>
            <w:rStyle w:val="Hyperlink"/>
            <w:szCs w:val="20"/>
          </w:rPr>
          <w:t>mobile communication system</w:t>
        </w:r>
      </w:hyperlink>
      <w:r w:rsidRPr="001D43A9">
        <w:t xml:space="preserve"> </w:t>
      </w:r>
      <w:r w:rsidR="00725F4D">
        <w:t>are two</w:t>
      </w:r>
      <w:r w:rsidRPr="001D43A9">
        <w:t xml:space="preserve"> candidate</w:t>
      </w:r>
      <w:r w:rsidR="00725F4D">
        <w:t>s</w:t>
      </w:r>
      <w:r w:rsidRPr="001D43A9">
        <w:t xml:space="preserve"> for the radio access technology to be used for the Future Rail Mobile Communications System </w:t>
      </w:r>
      <w:r w:rsidRPr="001615F0">
        <w:t>(FRMCS</w:t>
      </w:r>
      <w:r w:rsidRPr="001E65C3">
        <w:t xml:space="preserve">). </w:t>
      </w:r>
      <w:r w:rsidR="00806226" w:rsidRPr="001E65C3">
        <w:t xml:space="preserve">The </w:t>
      </w:r>
      <w:r w:rsidR="001615F0" w:rsidRPr="001E65C3">
        <w:t>European Telecommunications Standards Institute</w:t>
      </w:r>
      <w:r w:rsidR="001615F0" w:rsidRPr="00E200E5">
        <w:t xml:space="preserve"> (</w:t>
      </w:r>
      <w:r w:rsidR="00806226" w:rsidRPr="001E65C3">
        <w:t>ETSI</w:t>
      </w:r>
      <w:r w:rsidR="001615F0" w:rsidRPr="001E65C3">
        <w:t>)</w:t>
      </w:r>
      <w:r w:rsidR="0093172D" w:rsidRPr="001E65C3">
        <w:t xml:space="preserve"> t</w:t>
      </w:r>
      <w:r w:rsidR="0093172D" w:rsidRPr="001D43A9">
        <w:t xml:space="preserve">echnical committees </w:t>
      </w:r>
      <w:r w:rsidR="00806226">
        <w:t xml:space="preserve">identified </w:t>
      </w:r>
      <w:r w:rsidR="0093172D" w:rsidRPr="001D43A9">
        <w:t xml:space="preserve">ongoing challenges in </w:t>
      </w:r>
      <w:hyperlink r:id="rId99" w:history="1">
        <w:r w:rsidR="0093172D" w:rsidRPr="00C5671B">
          <w:rPr>
            <w:rStyle w:val="Hyperlink"/>
            <w:szCs w:val="20"/>
          </w:rPr>
          <w:t>FRMCS</w:t>
        </w:r>
      </w:hyperlink>
      <w:r w:rsidR="00B7024E">
        <w:t xml:space="preserve">, </w:t>
      </w:r>
      <w:r w:rsidR="0093172D" w:rsidRPr="001D43A9">
        <w:t>includ</w:t>
      </w:r>
      <w:r w:rsidR="00F40A32">
        <w:t>ing</w:t>
      </w:r>
      <w:r w:rsidR="0093172D" w:rsidRPr="001D43A9">
        <w:t xml:space="preserve"> the integration of rail frequency spectr</w:t>
      </w:r>
      <w:r w:rsidR="0093172D">
        <w:t>um</w:t>
      </w:r>
      <w:r w:rsidR="0093172D" w:rsidRPr="001D43A9">
        <w:t xml:space="preserve"> for the use of 3GPP radio technologies</w:t>
      </w:r>
      <w:r w:rsidR="0093172D">
        <w:t>,</w:t>
      </w:r>
      <w:r w:rsidR="0093172D" w:rsidRPr="001D43A9">
        <w:t xml:space="preserve"> and </w:t>
      </w:r>
      <w:r w:rsidR="00CC4D1E">
        <w:t xml:space="preserve">other </w:t>
      </w:r>
      <w:r w:rsidR="0093172D" w:rsidRPr="001D43A9">
        <w:t>spectrum issues related to FRMCS</w:t>
      </w:r>
      <w:r w:rsidR="00CC4D1E">
        <w:t>.</w:t>
      </w:r>
    </w:p>
    <w:p w14:paraId="1832C417" w14:textId="75446D0F" w:rsidR="00C532FC" w:rsidRDefault="00C532FC" w:rsidP="008943DF">
      <w:pPr>
        <w:pStyle w:val="Paragraph"/>
      </w:pPr>
      <w:r w:rsidRPr="001D43A9">
        <w:t xml:space="preserve">FRMCS will rely on the </w:t>
      </w:r>
      <w:r w:rsidR="00C96399">
        <w:t xml:space="preserve">defined </w:t>
      </w:r>
      <w:r w:rsidRPr="001D43A9">
        <w:t>Mission Critical</w:t>
      </w:r>
      <w:r>
        <w:t xml:space="preserve"> (</w:t>
      </w:r>
      <w:hyperlink r:id="rId100" w:history="1">
        <w:r w:rsidRPr="00B70BA3">
          <w:rPr>
            <w:rStyle w:val="Hyperlink"/>
            <w:szCs w:val="20"/>
          </w:rPr>
          <w:t>MC</w:t>
        </w:r>
      </w:hyperlink>
      <w:r>
        <w:t>)</w:t>
      </w:r>
      <w:r w:rsidRPr="001D43A9">
        <w:t xml:space="preserve"> </w:t>
      </w:r>
      <w:r>
        <w:t>S</w:t>
      </w:r>
      <w:r w:rsidRPr="001D43A9">
        <w:t>ervice</w:t>
      </w:r>
      <w:r>
        <w:t xml:space="preserve"> </w:t>
      </w:r>
      <w:r w:rsidRPr="001D43A9">
        <w:t>functionality to provide point-to-point and group communication</w:t>
      </w:r>
      <w:r w:rsidR="00B919CB">
        <w:t>s</w:t>
      </w:r>
      <w:r w:rsidR="005A1F67">
        <w:t xml:space="preserve"> for</w:t>
      </w:r>
      <w:r w:rsidRPr="001D43A9" w:rsidDel="00C96399">
        <w:t xml:space="preserve"> </w:t>
      </w:r>
      <w:r w:rsidRPr="001D43A9">
        <w:t>voice, video and data</w:t>
      </w:r>
      <w:r w:rsidR="003B4359">
        <w:t xml:space="preserve"> at </w:t>
      </w:r>
      <w:r w:rsidR="00FD16F0">
        <w:t>train speeds of</w:t>
      </w:r>
      <w:r w:rsidR="003B4359">
        <w:t xml:space="preserve"> up to 500</w:t>
      </w:r>
      <w:r w:rsidR="00B7024E">
        <w:t xml:space="preserve"> </w:t>
      </w:r>
      <w:r w:rsidR="003B4359">
        <w:t>km/h</w:t>
      </w:r>
      <w:r w:rsidRPr="001D43A9">
        <w:t xml:space="preserve">. </w:t>
      </w:r>
      <w:r w:rsidR="00C96399">
        <w:t>The intent is that t</w:t>
      </w:r>
      <w:r w:rsidRPr="001D43A9">
        <w:t>rains will simultaneously exchange control information and status information with the responsible traffic management</w:t>
      </w:r>
      <w:r w:rsidDel="00C96399">
        <w:t xml:space="preserve"> </w:t>
      </w:r>
      <w:r w:rsidRPr="001D43A9">
        <w:t xml:space="preserve">system. This is </w:t>
      </w:r>
      <w:r w:rsidR="00CC4D1E">
        <w:t>considered</w:t>
      </w:r>
      <w:r w:rsidR="00C96399">
        <w:t xml:space="preserve"> </w:t>
      </w:r>
      <w:r w:rsidDel="00C96399">
        <w:t>important</w:t>
      </w:r>
      <w:r w:rsidRPr="001D43A9" w:rsidDel="00C96399">
        <w:t xml:space="preserve"> </w:t>
      </w:r>
      <w:r w:rsidRPr="001D43A9">
        <w:t xml:space="preserve">for </w:t>
      </w:r>
      <w:r w:rsidR="003B4359">
        <w:t xml:space="preserve">driverless </w:t>
      </w:r>
      <w:r w:rsidRPr="001D43A9">
        <w:t xml:space="preserve">train operation and </w:t>
      </w:r>
      <w:r w:rsidR="003B4359">
        <w:t>for</w:t>
      </w:r>
      <w:r w:rsidR="003B4359" w:rsidRPr="001D43A9">
        <w:t xml:space="preserve"> </w:t>
      </w:r>
      <w:r w:rsidRPr="001D43A9">
        <w:t xml:space="preserve">traditional voice communication </w:t>
      </w:r>
      <w:r w:rsidR="003B4359">
        <w:t>between</w:t>
      </w:r>
      <w:r w:rsidRPr="001D43A9">
        <w:t xml:space="preserve"> train staff </w:t>
      </w:r>
      <w:r w:rsidR="003B4359">
        <w:t>and</w:t>
      </w:r>
      <w:r w:rsidRPr="001D43A9">
        <w:t xml:space="preserve"> ground staff</w:t>
      </w:r>
      <w:r w:rsidDel="003B4359">
        <w:t>.</w:t>
      </w:r>
    </w:p>
    <w:p w14:paraId="0CF2883A" w14:textId="0C23F245" w:rsidR="00C532FC" w:rsidRPr="00B7024E" w:rsidRDefault="008A47D0" w:rsidP="00E200E5">
      <w:pPr>
        <w:pStyle w:val="Heading3"/>
        <w:rPr>
          <w:rStyle w:val="Heading3Char"/>
        </w:rPr>
      </w:pPr>
      <w:r w:rsidRPr="00B7024E">
        <w:rPr>
          <w:rStyle w:val="Heading3Char"/>
          <w:b/>
          <w:bCs/>
        </w:rPr>
        <w:lastRenderedPageBreak/>
        <w:t xml:space="preserve">MulteFire </w:t>
      </w:r>
    </w:p>
    <w:p w14:paraId="5B1C890B" w14:textId="224D6748" w:rsidR="00413ABD" w:rsidRDefault="00413ABD" w:rsidP="00B7024E">
      <w:pPr>
        <w:pStyle w:val="Paragraph"/>
      </w:pPr>
      <w:r>
        <w:t xml:space="preserve">MulteFire is a technology designed to create new wireless networks by operating </w:t>
      </w:r>
      <w:r w:rsidR="00FD16F0">
        <w:t xml:space="preserve">the </w:t>
      </w:r>
      <w:r>
        <w:t xml:space="preserve">LTE technology standalone in </w:t>
      </w:r>
      <w:r w:rsidR="00107702">
        <w:t>un</w:t>
      </w:r>
      <w:r w:rsidR="00963B37">
        <w:t>licensed</w:t>
      </w:r>
      <w:r w:rsidR="00107702">
        <w:rPr>
          <w:rStyle w:val="FootnoteReference"/>
        </w:rPr>
        <w:footnoteReference w:id="14"/>
      </w:r>
      <w:r>
        <w:t xml:space="preserve"> spectrum</w:t>
      </w:r>
      <w:r w:rsidR="008B477A">
        <w:t xml:space="preserve"> </w:t>
      </w:r>
      <w:r w:rsidR="001037E2">
        <w:t>(</w:t>
      </w:r>
      <w:r w:rsidR="00B7024E">
        <w:t xml:space="preserve">for example, </w:t>
      </w:r>
      <w:r w:rsidR="001037E2">
        <w:t>2.4 GHz,</w:t>
      </w:r>
      <w:r w:rsidR="00B7024E">
        <w:t xml:space="preserve"> and</w:t>
      </w:r>
      <w:r w:rsidR="001037E2">
        <w:t xml:space="preserve"> </w:t>
      </w:r>
      <w:r w:rsidR="00B7024E">
        <w:t>5 </w:t>
      </w:r>
      <w:r w:rsidR="001037E2">
        <w:t>GHz)</w:t>
      </w:r>
      <w:r>
        <w:t>. The MulteFire Release 1.0 specification was completed in January 2017 by the MulteFire Alliance. The MulteFire Alliance is an open, international organi</w:t>
      </w:r>
      <w:r w:rsidR="005327B8">
        <w:t>s</w:t>
      </w:r>
      <w:r>
        <w:t>ation dedicated to support</w:t>
      </w:r>
      <w:r w:rsidR="00B7024E">
        <w:t>ing</w:t>
      </w:r>
      <w:r>
        <w:t xml:space="preserve"> the application of LTE and next generation mobile cellular technologies in configurations that use only </w:t>
      </w:r>
      <w:r w:rsidR="00D365AA">
        <w:t>unlicensed</w:t>
      </w:r>
      <w:r w:rsidR="00FD16F0">
        <w:t xml:space="preserve"> </w:t>
      </w:r>
      <w:r>
        <w:t xml:space="preserve">radio spectrum. </w:t>
      </w:r>
    </w:p>
    <w:p w14:paraId="0966E27A" w14:textId="7A311026" w:rsidR="00F5099F" w:rsidRDefault="00E66F72" w:rsidP="00285E8F">
      <w:pPr>
        <w:pStyle w:val="Paragraph"/>
      </w:pPr>
      <w:r>
        <w:t>The MulteFire</w:t>
      </w:r>
      <w:r w:rsidR="00413ABD">
        <w:t xml:space="preserve"> Alliance release</w:t>
      </w:r>
      <w:r w:rsidR="00F422C9">
        <w:t>d</w:t>
      </w:r>
      <w:r w:rsidR="00413ABD">
        <w:t xml:space="preserve"> a </w:t>
      </w:r>
      <w:hyperlink r:id="rId101" w:history="1">
        <w:r w:rsidR="00413ABD" w:rsidRPr="00413ABD">
          <w:rPr>
            <w:rStyle w:val="Hyperlink"/>
          </w:rPr>
          <w:t>white paper</w:t>
        </w:r>
      </w:hyperlink>
      <w:r w:rsidR="00413ABD">
        <w:t xml:space="preserve"> in 2019 identifying the plans for expansion of </w:t>
      </w:r>
      <w:r>
        <w:t>MulteFire</w:t>
      </w:r>
      <w:r w:rsidR="00413ABD">
        <w:t xml:space="preserve"> into the 1.9 GHz band.</w:t>
      </w:r>
      <w:r w:rsidR="00413ABD" w:rsidRPr="00413ABD">
        <w:t xml:space="preserve"> </w:t>
      </w:r>
      <w:r w:rsidR="005327B8">
        <w:t>T</w:t>
      </w:r>
      <w:r w:rsidR="00413ABD">
        <w:t>he key target of MulteFire in</w:t>
      </w:r>
      <w:r w:rsidR="001037E2">
        <w:t xml:space="preserve"> the </w:t>
      </w:r>
      <w:r w:rsidR="00413ABD">
        <w:t>1.9</w:t>
      </w:r>
      <w:r w:rsidR="00C956BB">
        <w:t> </w:t>
      </w:r>
      <w:r w:rsidR="00413ABD">
        <w:t xml:space="preserve">GHz </w:t>
      </w:r>
      <w:r w:rsidR="001037E2">
        <w:t xml:space="preserve">band </w:t>
      </w:r>
      <w:r w:rsidR="00413ABD">
        <w:t xml:space="preserve">is to reuse the existing </w:t>
      </w:r>
      <w:r w:rsidR="001037E2">
        <w:t>3GPP n</w:t>
      </w:r>
      <w:r w:rsidR="00413ABD">
        <w:t xml:space="preserve">39 </w:t>
      </w:r>
      <w:r w:rsidR="001037E2">
        <w:t xml:space="preserve">band </w:t>
      </w:r>
      <w:r w:rsidR="00413ABD">
        <w:t>terminals.</w:t>
      </w:r>
      <w:r w:rsidR="00CB33DA" w:rsidRPr="006C2DCC">
        <w:t xml:space="preserve"> </w:t>
      </w:r>
      <w:r w:rsidR="00CB33DA">
        <w:t>MulteFire 1.9 GHz uses the d</w:t>
      </w:r>
      <w:r w:rsidR="00CB33DA" w:rsidRPr="003035FF">
        <w:t>evelopment</w:t>
      </w:r>
      <w:r w:rsidR="00CB33DA">
        <w:t>s</w:t>
      </w:r>
      <w:r w:rsidR="00CB33DA" w:rsidRPr="003035FF">
        <w:t xml:space="preserve"> of </w:t>
      </w:r>
      <w:r w:rsidR="00107702">
        <w:t xml:space="preserve">the </w:t>
      </w:r>
      <w:r w:rsidR="00CB33DA" w:rsidRPr="003035FF">
        <w:t>3GPP standards for 5G.</w:t>
      </w:r>
      <w:r w:rsidR="00CB33DA">
        <w:t xml:space="preserve"> </w:t>
      </w:r>
      <w:r w:rsidR="00CB33DA" w:rsidRPr="006C2DCC">
        <w:t>MulteFire technology can be deployed as a private LTE network to deliver local and customi</w:t>
      </w:r>
      <w:r w:rsidR="00CB33DA">
        <w:t>s</w:t>
      </w:r>
      <w:r w:rsidR="00CB33DA" w:rsidRPr="006C2DCC">
        <w:t>ed services for industrial IoT applications</w:t>
      </w:r>
      <w:r w:rsidR="00CB33DA">
        <w:t>.</w:t>
      </w:r>
    </w:p>
    <w:p w14:paraId="48D2AEBD" w14:textId="3509D93C" w:rsidR="009C689A" w:rsidRDefault="001B23A2" w:rsidP="009C689A">
      <w:pPr>
        <w:pStyle w:val="Paragraph"/>
      </w:pPr>
      <w:r>
        <w:t xml:space="preserve">Like DECT, </w:t>
      </w:r>
      <w:r w:rsidR="00E66F72">
        <w:t>MulteFire</w:t>
      </w:r>
      <w:r>
        <w:t xml:space="preserve"> can be used </w:t>
      </w:r>
      <w:r w:rsidRPr="001B23A2">
        <w:t xml:space="preserve">to provide enhanced cordless phone services within enterprise, private and public venues. </w:t>
      </w:r>
      <w:r>
        <w:t>Besides voice and data services, various IoT and machine to machine services can also be supported by MulteFire in 1.9 GHz.</w:t>
      </w:r>
    </w:p>
    <w:p w14:paraId="3EAEDB14" w14:textId="77777777" w:rsidR="00B7024E" w:rsidRPr="00E200E5" w:rsidRDefault="00B7024E"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360" w:hanging="360"/>
        <w:rPr>
          <w:b/>
          <w:bCs/>
        </w:rPr>
      </w:pPr>
      <w:r w:rsidRPr="00E200E5">
        <w:rPr>
          <w:b/>
          <w:bCs/>
        </w:rPr>
        <w:t>Issue for comment 2:</w:t>
      </w:r>
    </w:p>
    <w:p w14:paraId="5586614D" w14:textId="0FB20C19" w:rsidR="009C689A" w:rsidRDefault="00B7024E"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360" w:hanging="360"/>
      </w:pPr>
      <w:r>
        <w:t>What is the i</w:t>
      </w:r>
      <w:r w:rsidR="00A81C5D">
        <w:t xml:space="preserve">nterest in the use of </w:t>
      </w:r>
      <w:r w:rsidR="00A81C5D" w:rsidRPr="00C956BB">
        <w:rPr>
          <w:iCs/>
        </w:rPr>
        <w:t>new technologies</w:t>
      </w:r>
      <w:r w:rsidR="00A81C5D">
        <w:t xml:space="preserve"> to provide a service</w:t>
      </w:r>
      <w:r>
        <w:t>?</w:t>
      </w:r>
    </w:p>
    <w:p w14:paraId="1F4F9C3E" w14:textId="77777777" w:rsidR="009C689A" w:rsidRDefault="009C689A"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360" w:hanging="360"/>
      </w:pPr>
      <w:r>
        <w:t>a) How much spectrum is required to provide the service?</w:t>
      </w:r>
    </w:p>
    <w:p w14:paraId="797C24DA" w14:textId="6B2B5C17" w:rsidR="009C689A" w:rsidRDefault="009C689A"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360" w:hanging="360"/>
      </w:pPr>
      <w:r>
        <w:t>b) What interservice considerations need to be undertaken for the service</w:t>
      </w:r>
      <w:r w:rsidR="00B7024E">
        <w:t xml:space="preserve"> </w:t>
      </w:r>
      <w:r>
        <w:t xml:space="preserve">to be </w:t>
      </w:r>
      <w:r w:rsidR="00B11663">
        <w:t>deployed</w:t>
      </w:r>
      <w:r w:rsidR="00196AFE">
        <w:t>?</w:t>
      </w:r>
    </w:p>
    <w:p w14:paraId="3B9453D6" w14:textId="593B8508" w:rsidR="009C689A" w:rsidRDefault="009C689A"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360" w:hanging="360"/>
      </w:pPr>
      <w:r>
        <w:t>c) What are the deployment scenarios for the service?</w:t>
      </w:r>
    </w:p>
    <w:p w14:paraId="7DDE6F38" w14:textId="77777777" w:rsidR="004A0094" w:rsidRPr="000D76E0" w:rsidRDefault="004A0094" w:rsidP="004A0094">
      <w:pPr>
        <w:pStyle w:val="Heading1"/>
      </w:pPr>
      <w:bookmarkStart w:id="48" w:name="_Toc525659983"/>
      <w:bookmarkStart w:id="49" w:name="_Toc87534288"/>
      <w:r>
        <w:lastRenderedPageBreak/>
        <w:t xml:space="preserve">Domestic </w:t>
      </w:r>
      <w:r w:rsidRPr="006E7DB4">
        <w:t>considerations</w:t>
      </w:r>
      <w:bookmarkEnd w:id="48"/>
      <w:bookmarkEnd w:id="49"/>
      <w:r>
        <w:t xml:space="preserve"> </w:t>
      </w:r>
    </w:p>
    <w:p w14:paraId="352C4606" w14:textId="7978CF0B" w:rsidR="006242F2" w:rsidRDefault="00285E8F" w:rsidP="004A0094">
      <w:pPr>
        <w:pStyle w:val="Paragraph"/>
      </w:pPr>
      <w:r>
        <w:t>Several</w:t>
      </w:r>
      <w:r w:rsidR="004A0094">
        <w:t xml:space="preserve"> </w:t>
      </w:r>
      <w:r w:rsidR="00AB00DA">
        <w:t xml:space="preserve">representations to the </w:t>
      </w:r>
      <w:r w:rsidR="004A0094">
        <w:t xml:space="preserve">ACMA </w:t>
      </w:r>
      <w:r w:rsidR="00AB00DA">
        <w:t>from industry</w:t>
      </w:r>
      <w:r w:rsidR="00960CA2">
        <w:t>, along with the ACMA’s monitoring of technolog</w:t>
      </w:r>
      <w:r w:rsidR="00AB00DA">
        <w:t>y developments</w:t>
      </w:r>
      <w:r w:rsidR="00960CA2">
        <w:t>,</w:t>
      </w:r>
      <w:r w:rsidR="004A0094">
        <w:t xml:space="preserve"> have identified new or evolving domestic interest in the </w:t>
      </w:r>
      <w:r w:rsidR="00711B11">
        <w:t>1.9</w:t>
      </w:r>
      <w:r w:rsidR="004A0094">
        <w:t xml:space="preserve"> GHz band.</w:t>
      </w:r>
      <w:r w:rsidR="004A0094">
        <w:rPr>
          <w:rStyle w:val="FootnoteReference"/>
        </w:rPr>
        <w:footnoteReference w:id="15"/>
      </w:r>
      <w:r w:rsidR="004A0094">
        <w:t xml:space="preserve"> This section provides an overview of this interest</w:t>
      </w:r>
      <w:r w:rsidR="003F68BA">
        <w:t>.</w:t>
      </w:r>
    </w:p>
    <w:p w14:paraId="0FF3C75C" w14:textId="0994CA63" w:rsidR="00075091" w:rsidRDefault="00472A06" w:rsidP="00075091">
      <w:pPr>
        <w:pStyle w:val="Heading2"/>
      </w:pPr>
      <w:bookmarkStart w:id="50" w:name="_Toc525659984"/>
      <w:bookmarkStart w:id="51" w:name="_Toc87534289"/>
      <w:r>
        <w:t>DECT</w:t>
      </w:r>
      <w:r w:rsidR="00075091">
        <w:t xml:space="preserve"> </w:t>
      </w:r>
      <w:bookmarkEnd w:id="50"/>
      <w:r w:rsidR="004876C8">
        <w:t>and DECT</w:t>
      </w:r>
      <w:r w:rsidR="006B69B0">
        <w:t>-2020</w:t>
      </w:r>
      <w:r w:rsidR="009D071B">
        <w:t xml:space="preserve"> NR</w:t>
      </w:r>
      <w:bookmarkEnd w:id="51"/>
    </w:p>
    <w:p w14:paraId="28FE95FE" w14:textId="2AABE065" w:rsidR="00D33F7D" w:rsidRDefault="00075091" w:rsidP="00075091">
      <w:r>
        <w:t xml:space="preserve">In Australia, </w:t>
      </w:r>
      <w:r w:rsidR="006E28CC">
        <w:t xml:space="preserve">DECT is </w:t>
      </w:r>
      <w:r w:rsidR="00CC756D">
        <w:t xml:space="preserve">the dominant technology used for providing CTS </w:t>
      </w:r>
      <w:r w:rsidR="00CE64F3">
        <w:t>in the 1</w:t>
      </w:r>
      <w:r w:rsidR="00BF6FA0">
        <w:t>880 to 1900 MHz frequency range</w:t>
      </w:r>
      <w:r w:rsidR="00CE64F3">
        <w:t>.</w:t>
      </w:r>
      <w:r w:rsidR="001859CC">
        <w:t xml:space="preserve"> </w:t>
      </w:r>
      <w:r w:rsidR="0009083C">
        <w:t xml:space="preserve">While DECT uses </w:t>
      </w:r>
      <w:r w:rsidR="00201FB6">
        <w:t>other class</w:t>
      </w:r>
      <w:r w:rsidR="00B7024E">
        <w:t>-</w:t>
      </w:r>
      <w:r w:rsidR="00201FB6">
        <w:t>licensed bands</w:t>
      </w:r>
      <w:r w:rsidR="00201FB6">
        <w:rPr>
          <w:rStyle w:val="FootnoteReference"/>
        </w:rPr>
        <w:footnoteReference w:id="16"/>
      </w:r>
      <w:r w:rsidR="00201FB6">
        <w:t>,</w:t>
      </w:r>
      <w:r w:rsidR="00C1147C">
        <w:t xml:space="preserve"> the 1.9</w:t>
      </w:r>
      <w:r w:rsidR="00F5099F">
        <w:t> </w:t>
      </w:r>
      <w:r w:rsidR="00C1147C">
        <w:t xml:space="preserve">GHz band </w:t>
      </w:r>
      <w:r w:rsidR="00C24A59">
        <w:t>form</w:t>
      </w:r>
      <w:r w:rsidR="00BF6FA0">
        <w:t>s</w:t>
      </w:r>
      <w:r w:rsidR="00C24A59">
        <w:t xml:space="preserve"> an integral part of the </w:t>
      </w:r>
      <w:r w:rsidR="004F05DC">
        <w:t xml:space="preserve">DECT services. </w:t>
      </w:r>
    </w:p>
    <w:p w14:paraId="5D91A416" w14:textId="474585C1" w:rsidR="00A375F4" w:rsidRDefault="000F42BC">
      <w:pPr>
        <w:pStyle w:val="Paragraph"/>
        <w:rPr>
          <w:rStyle w:val="CommentReference"/>
          <w:sz w:val="20"/>
          <w:szCs w:val="24"/>
        </w:rPr>
      </w:pPr>
      <w:r>
        <w:t>Several wireless microphone operators have provided feedback to the ACMA on the</w:t>
      </w:r>
      <w:r w:rsidR="00900C66">
        <w:t xml:space="preserve"> importance of DECT and the </w:t>
      </w:r>
      <w:r>
        <w:t>intention to use DECT-2020 NR within their business.</w:t>
      </w:r>
      <w:r w:rsidR="00900C66">
        <w:t xml:space="preserve"> The operators are using DECT</w:t>
      </w:r>
      <w:r w:rsidR="00B7024E">
        <w:t>-</w:t>
      </w:r>
      <w:r w:rsidR="00AD4729">
        <w:t>b</w:t>
      </w:r>
      <w:r w:rsidR="00A375F4">
        <w:t xml:space="preserve">ased </w:t>
      </w:r>
      <w:r w:rsidR="00AD4729">
        <w:t>w</w:t>
      </w:r>
      <w:r w:rsidR="00A375F4">
        <w:t xml:space="preserve">ireless audio devices </w:t>
      </w:r>
      <w:r w:rsidR="00900C66">
        <w:t xml:space="preserve">to provide services </w:t>
      </w:r>
      <w:r w:rsidR="00A375F4">
        <w:t xml:space="preserve">to </w:t>
      </w:r>
      <w:r w:rsidR="008752DD">
        <w:t>a</w:t>
      </w:r>
      <w:r w:rsidR="00A375F4">
        <w:t xml:space="preserve">udio </w:t>
      </w:r>
      <w:r w:rsidR="008752DD">
        <w:t>v</w:t>
      </w:r>
      <w:r w:rsidR="00A375F4">
        <w:t xml:space="preserve">isual and </w:t>
      </w:r>
      <w:r w:rsidR="008752DD">
        <w:t>e</w:t>
      </w:r>
      <w:r w:rsidR="00A375F4">
        <w:t xml:space="preserve">ntertainment industries for applications such as production </w:t>
      </w:r>
      <w:r w:rsidR="00B7024E">
        <w:t xml:space="preserve">of </w:t>
      </w:r>
      <w:r w:rsidR="00A375F4">
        <w:t>intercom and video conference systems. In addition to these systems</w:t>
      </w:r>
      <w:r w:rsidR="00B7024E">
        <w:t>,</w:t>
      </w:r>
      <w:r w:rsidR="00A375F4">
        <w:t xml:space="preserve"> a growing number of manufacturers are offering wireless microphone systems that operate </w:t>
      </w:r>
      <w:r w:rsidR="009C689A" w:rsidRPr="009C689A">
        <w:t>using DECT in the 1.9 GHz band</w:t>
      </w:r>
      <w:r w:rsidR="009C689A">
        <w:t>.</w:t>
      </w:r>
      <w:r w:rsidR="009C689A" w:rsidRPr="009C689A" w:rsidDel="009C689A">
        <w:rPr>
          <w:rStyle w:val="CommentReference"/>
          <w:sz w:val="20"/>
          <w:szCs w:val="24"/>
        </w:rPr>
        <w:t xml:space="preserve"> </w:t>
      </w:r>
    </w:p>
    <w:p w14:paraId="38961DAB" w14:textId="52996B9B" w:rsidR="00B7024E" w:rsidRDefault="00B7024E" w:rsidP="006817AE">
      <w:pPr>
        <w:pStyle w:val="Paragraph"/>
        <w:rPr>
          <w:rStyle w:val="CommentReference"/>
          <w:sz w:val="20"/>
          <w:szCs w:val="24"/>
        </w:rPr>
      </w:pPr>
      <w:r>
        <w:rPr>
          <w:rStyle w:val="CommentReference"/>
          <w:sz w:val="20"/>
          <w:szCs w:val="24"/>
        </w:rPr>
        <w:t>F</w:t>
      </w:r>
      <w:r w:rsidR="006817AE">
        <w:rPr>
          <w:rStyle w:val="CommentReference"/>
          <w:sz w:val="20"/>
          <w:szCs w:val="24"/>
        </w:rPr>
        <w:t xml:space="preserve">eedback from operators indicate there </w:t>
      </w:r>
      <w:r w:rsidR="00CE2324">
        <w:rPr>
          <w:rStyle w:val="CommentReference"/>
          <w:sz w:val="20"/>
          <w:szCs w:val="24"/>
        </w:rPr>
        <w:t>should be</w:t>
      </w:r>
      <w:r w:rsidR="006817AE">
        <w:rPr>
          <w:rStyle w:val="CommentReference"/>
          <w:sz w:val="20"/>
          <w:szCs w:val="24"/>
        </w:rPr>
        <w:t xml:space="preserve"> continuing support </w:t>
      </w:r>
      <w:r w:rsidR="009D4DF4">
        <w:rPr>
          <w:rStyle w:val="CommentReference"/>
          <w:sz w:val="20"/>
          <w:szCs w:val="24"/>
        </w:rPr>
        <w:t xml:space="preserve">for the use of DECT </w:t>
      </w:r>
      <w:r w:rsidR="006817AE">
        <w:rPr>
          <w:rStyle w:val="CommentReference"/>
          <w:sz w:val="20"/>
          <w:szCs w:val="24"/>
        </w:rPr>
        <w:t xml:space="preserve">in this band. However, given </w:t>
      </w:r>
      <w:r w:rsidR="006817AE" w:rsidRPr="006817AE">
        <w:rPr>
          <w:rStyle w:val="CommentReference"/>
          <w:sz w:val="20"/>
          <w:szCs w:val="24"/>
        </w:rPr>
        <w:t>we are undertaking a review of the band</w:t>
      </w:r>
      <w:r>
        <w:rPr>
          <w:rStyle w:val="CommentReference"/>
          <w:sz w:val="20"/>
          <w:szCs w:val="24"/>
        </w:rPr>
        <w:t>,</w:t>
      </w:r>
      <w:r w:rsidR="006817AE" w:rsidRPr="006817AE">
        <w:rPr>
          <w:rStyle w:val="CommentReference"/>
          <w:sz w:val="20"/>
          <w:szCs w:val="24"/>
        </w:rPr>
        <w:t xml:space="preserve"> </w:t>
      </w:r>
      <w:r w:rsidR="006817AE">
        <w:rPr>
          <w:rStyle w:val="CommentReference"/>
          <w:sz w:val="20"/>
          <w:szCs w:val="24"/>
        </w:rPr>
        <w:t xml:space="preserve">the ACMA would like to determine the nature of this support. </w:t>
      </w:r>
    </w:p>
    <w:p w14:paraId="1D6B5AE1" w14:textId="77777777" w:rsidR="00B7024E" w:rsidRPr="00E200E5" w:rsidRDefault="00B7024E" w:rsidP="00E200E5">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spacing w:after="80"/>
        <w:rPr>
          <w:rStyle w:val="CommentReference"/>
          <w:b/>
          <w:bCs/>
          <w:sz w:val="20"/>
          <w:szCs w:val="24"/>
        </w:rPr>
      </w:pPr>
      <w:r w:rsidRPr="00E200E5">
        <w:rPr>
          <w:rStyle w:val="CommentReference"/>
          <w:b/>
          <w:bCs/>
          <w:sz w:val="20"/>
          <w:szCs w:val="24"/>
        </w:rPr>
        <w:t>Issue for comment 3:</w:t>
      </w:r>
    </w:p>
    <w:p w14:paraId="4B47BD17" w14:textId="62C20B76" w:rsidR="006817AE" w:rsidRDefault="00B7024E" w:rsidP="00E200E5">
      <w:pPr>
        <w:pStyle w:val="Paragraph"/>
        <w:pBdr>
          <w:top w:val="single" w:sz="4" w:space="1" w:color="auto"/>
          <w:left w:val="single" w:sz="4" w:space="4" w:color="auto"/>
          <w:bottom w:val="single" w:sz="4" w:space="1" w:color="auto"/>
          <w:right w:val="single" w:sz="4" w:space="4" w:color="auto"/>
        </w:pBdr>
        <w:shd w:val="clear" w:color="auto" w:fill="F2F2F2" w:themeFill="background1" w:themeFillShade="F2"/>
      </w:pPr>
      <w:r>
        <w:rPr>
          <w:rStyle w:val="CommentReference"/>
          <w:sz w:val="20"/>
          <w:szCs w:val="24"/>
        </w:rPr>
        <w:t>A</w:t>
      </w:r>
      <w:r w:rsidR="006817AE">
        <w:rPr>
          <w:rStyle w:val="CommentReference"/>
          <w:sz w:val="20"/>
          <w:szCs w:val="24"/>
        </w:rPr>
        <w:t>re services still using DECT or are they transitioning to DECT-2020 NR?</w:t>
      </w:r>
    </w:p>
    <w:p w14:paraId="55EDB530" w14:textId="77777777" w:rsidR="00075091" w:rsidRDefault="00075091" w:rsidP="00075091">
      <w:pPr>
        <w:pStyle w:val="Heading2"/>
      </w:pPr>
      <w:bookmarkStart w:id="52" w:name="_Toc525659986"/>
      <w:bookmarkStart w:id="53" w:name="_Toc87534290"/>
      <w:r>
        <w:t>Point-to-point</w:t>
      </w:r>
      <w:bookmarkEnd w:id="52"/>
      <w:bookmarkEnd w:id="53"/>
    </w:p>
    <w:p w14:paraId="1B4CC95B" w14:textId="41B72197" w:rsidR="00075091" w:rsidRDefault="00075091" w:rsidP="00075091">
      <w:r>
        <w:t xml:space="preserve">The </w:t>
      </w:r>
      <w:r w:rsidR="00663EE4">
        <w:t>1.</w:t>
      </w:r>
      <w:r>
        <w:t xml:space="preserve">8 GHz </w:t>
      </w:r>
      <w:r w:rsidR="00663EE4">
        <w:t xml:space="preserve">and 2.1 GHz </w:t>
      </w:r>
      <w:r>
        <w:t>point-to-point channel plan</w:t>
      </w:r>
      <w:r w:rsidR="00663EE4">
        <w:t>s</w:t>
      </w:r>
      <w:r>
        <w:t xml:space="preserve"> in RALI FX 3 </w:t>
      </w:r>
      <w:r w:rsidR="00CE2324">
        <w:t>were</w:t>
      </w:r>
      <w:r>
        <w:t xml:space="preserve"> created to provide capacity for </w:t>
      </w:r>
      <w:r w:rsidR="00186905">
        <w:t>long</w:t>
      </w:r>
      <w:r>
        <w:t xml:space="preserve"> haul networks.</w:t>
      </w:r>
    </w:p>
    <w:p w14:paraId="46276771" w14:textId="12C3C837" w:rsidR="001B4837" w:rsidRDefault="00201FB6" w:rsidP="00075091">
      <w:r>
        <w:t>T</w:t>
      </w:r>
      <w:r w:rsidR="00075091">
        <w:t xml:space="preserve">he </w:t>
      </w:r>
      <w:r w:rsidR="005705B9">
        <w:t>use</w:t>
      </w:r>
      <w:r w:rsidR="00075091">
        <w:t xml:space="preserve"> of </w:t>
      </w:r>
      <w:r w:rsidR="0014091B">
        <w:t xml:space="preserve">point-to-point services </w:t>
      </w:r>
      <w:r w:rsidR="00075091">
        <w:t xml:space="preserve">the </w:t>
      </w:r>
      <w:r w:rsidR="0014091B">
        <w:t>1.9</w:t>
      </w:r>
      <w:r w:rsidR="00075091">
        <w:t xml:space="preserve"> GHz band has been relatively low</w:t>
      </w:r>
      <w:r w:rsidR="005705B9">
        <w:t>, with</w:t>
      </w:r>
      <w:r w:rsidR="001B4837">
        <w:t xml:space="preserve"> a steady decline over a number of years up until 2017. Since 2017, the </w:t>
      </w:r>
      <w:r w:rsidR="009D4DF4">
        <w:t>number of</w:t>
      </w:r>
      <w:r w:rsidR="001B4837">
        <w:t xml:space="preserve"> point-to-point links plateaued </w:t>
      </w:r>
      <w:r w:rsidR="005705B9">
        <w:t xml:space="preserve">at </w:t>
      </w:r>
      <w:r w:rsidR="001B4837">
        <w:t xml:space="preserve">around 50 assignments. This indicates that while operators see some utility in the band, there is a </w:t>
      </w:r>
      <w:r w:rsidR="006817AE">
        <w:t xml:space="preserve">very </w:t>
      </w:r>
      <w:r w:rsidR="001B4837">
        <w:t xml:space="preserve">low </w:t>
      </w:r>
      <w:r w:rsidR="006817AE">
        <w:t>level</w:t>
      </w:r>
      <w:r w:rsidR="001B4837">
        <w:t xml:space="preserve"> of interest in the 1.9 GHz band for point-to-</w:t>
      </w:r>
      <w:r w:rsidR="005A5C51">
        <w:t>point</w:t>
      </w:r>
      <w:r w:rsidR="001B4837">
        <w:t xml:space="preserve"> services.</w:t>
      </w:r>
    </w:p>
    <w:p w14:paraId="773039E2" w14:textId="0D6639D3" w:rsidR="00075091" w:rsidRDefault="00E4112A" w:rsidP="00075091">
      <w:pPr>
        <w:pStyle w:val="Heading2"/>
      </w:pPr>
      <w:bookmarkStart w:id="54" w:name="_Toc87534291"/>
      <w:r>
        <w:t>Wireless broadband</w:t>
      </w:r>
      <w:r w:rsidR="00B601D9">
        <w:t xml:space="preserve"> </w:t>
      </w:r>
      <w:r w:rsidR="004876C8">
        <w:t>services</w:t>
      </w:r>
      <w:bookmarkEnd w:id="54"/>
    </w:p>
    <w:p w14:paraId="673DDC94" w14:textId="493E9079" w:rsidR="00E30058" w:rsidRDefault="00A550A9" w:rsidP="00075091">
      <w:pPr>
        <w:pStyle w:val="CommentText"/>
      </w:pPr>
      <w:r>
        <w:t>T</w:t>
      </w:r>
      <w:r w:rsidR="00E30058">
        <w:t xml:space="preserve">he ACMA </w:t>
      </w:r>
      <w:r>
        <w:t xml:space="preserve">allocated </w:t>
      </w:r>
      <w:r w:rsidR="00CD4618">
        <w:t>spectrum licen</w:t>
      </w:r>
      <w:r>
        <w:t>ces in the</w:t>
      </w:r>
      <w:r w:rsidR="00CD4618">
        <w:t xml:space="preserve"> 1900</w:t>
      </w:r>
      <w:r w:rsidR="00B7024E">
        <w:t>–</w:t>
      </w:r>
      <w:r w:rsidR="00CD4618">
        <w:t>1920 MHz</w:t>
      </w:r>
      <w:r w:rsidR="008850B2">
        <w:t xml:space="preserve"> </w:t>
      </w:r>
      <w:r>
        <w:t xml:space="preserve">band optimised </w:t>
      </w:r>
      <w:r w:rsidR="008850B2">
        <w:t xml:space="preserve">for </w:t>
      </w:r>
      <w:r w:rsidR="008D3D0F">
        <w:t>Time Division Duplex (</w:t>
      </w:r>
      <w:r w:rsidR="008850B2">
        <w:t>TDD in</w:t>
      </w:r>
      <w:r w:rsidR="00CD4618">
        <w:t xml:space="preserve"> 2000 as part of </w:t>
      </w:r>
      <w:r w:rsidR="008850B2">
        <w:t xml:space="preserve">the 2 GHz spectrum licence </w:t>
      </w:r>
      <w:r>
        <w:t xml:space="preserve">allocation </w:t>
      </w:r>
      <w:r w:rsidR="009C51F3">
        <w:t>process</w:t>
      </w:r>
      <w:r w:rsidR="008850B2">
        <w:t xml:space="preserve">, </w:t>
      </w:r>
      <w:r>
        <w:t>but</w:t>
      </w:r>
      <w:r w:rsidR="009C51F3">
        <w:t xml:space="preserve"> this band </w:t>
      </w:r>
      <w:r>
        <w:t>was not heavily used</w:t>
      </w:r>
      <w:r w:rsidR="009C51F3">
        <w:t>.</w:t>
      </w:r>
      <w:r w:rsidR="003F0BC8">
        <w:t xml:space="preserve"> </w:t>
      </w:r>
      <w:r>
        <w:t xml:space="preserve">As a </w:t>
      </w:r>
      <w:r w:rsidR="001265EA">
        <w:t>result,</w:t>
      </w:r>
      <w:r>
        <w:t xml:space="preserve"> the spectrum licences were not renewed in this band</w:t>
      </w:r>
      <w:r w:rsidR="009B47D4">
        <w:t xml:space="preserve"> after an effective date of 2017</w:t>
      </w:r>
      <w:r>
        <w:t>.</w:t>
      </w:r>
      <w:r w:rsidR="003F0BC8">
        <w:t xml:space="preserve"> </w:t>
      </w:r>
    </w:p>
    <w:p w14:paraId="1FE910E0" w14:textId="342C8DFB" w:rsidR="00E4112A" w:rsidRDefault="00E4112A" w:rsidP="00075091">
      <w:pPr>
        <w:pStyle w:val="CommentText"/>
      </w:pPr>
      <w:r>
        <w:t xml:space="preserve">Point-to-multipoint </w:t>
      </w:r>
      <w:r w:rsidR="009B47D4">
        <w:t xml:space="preserve">services </w:t>
      </w:r>
      <w:r>
        <w:t>in the 1.9 GHz band are used in Australia predominantly</w:t>
      </w:r>
      <w:r w:rsidRPr="005C74DB">
        <w:t xml:space="preserve"> by</w:t>
      </w:r>
      <w:r>
        <w:t xml:space="preserve"> regional operators to provide </w:t>
      </w:r>
      <w:r w:rsidR="00211397">
        <w:t>wireless broadband services</w:t>
      </w:r>
      <w:r>
        <w:t>. With the establish</w:t>
      </w:r>
      <w:r w:rsidR="00A550A9">
        <w:t>ment</w:t>
      </w:r>
      <w:r>
        <w:t xml:space="preserve"> of point-to-multipoint as a primary service via the </w:t>
      </w:r>
      <w:hyperlink r:id="rId102" w:history="1">
        <w:r w:rsidRPr="001A24D5">
          <w:rPr>
            <w:rStyle w:val="Hyperlink"/>
          </w:rPr>
          <w:t>1900–1920 MHz Frequency Band Plan 2012</w:t>
        </w:r>
      </w:hyperlink>
      <w:r>
        <w:t xml:space="preserve">, operators </w:t>
      </w:r>
      <w:r w:rsidR="00E02D24">
        <w:t>have been deploying</w:t>
      </w:r>
      <w:r>
        <w:t xml:space="preserve"> networks. </w:t>
      </w:r>
      <w:r w:rsidR="00211397">
        <w:t>While the</w:t>
      </w:r>
      <w:r w:rsidR="001B4837">
        <w:t>re was a steady decline in</w:t>
      </w:r>
      <w:r w:rsidR="00211397">
        <w:t xml:space="preserve"> use of the band </w:t>
      </w:r>
      <w:r w:rsidR="001B4837">
        <w:t xml:space="preserve">over a number of years, </w:t>
      </w:r>
      <w:r w:rsidR="00211397">
        <w:t>s</w:t>
      </w:r>
      <w:r>
        <w:t xml:space="preserve">ince </w:t>
      </w:r>
      <w:r w:rsidR="001B4837">
        <w:t>2017</w:t>
      </w:r>
      <w:r>
        <w:t xml:space="preserve"> the</w:t>
      </w:r>
      <w:r w:rsidR="00E02D24">
        <w:t>re</w:t>
      </w:r>
      <w:r>
        <w:t xml:space="preserve"> ha</w:t>
      </w:r>
      <w:r w:rsidR="001B4837">
        <w:t xml:space="preserve">s </w:t>
      </w:r>
      <w:r>
        <w:t xml:space="preserve">been </w:t>
      </w:r>
      <w:r w:rsidR="001B4837">
        <w:t xml:space="preserve">a steady </w:t>
      </w:r>
      <w:r w:rsidR="009D4DF4">
        <w:lastRenderedPageBreak/>
        <w:t>increase</w:t>
      </w:r>
      <w:r w:rsidR="001B4837">
        <w:t xml:space="preserve"> in use with 72</w:t>
      </w:r>
      <w:r>
        <w:t xml:space="preserve"> new point-to-multipoint assignments. This indicates </w:t>
      </w:r>
      <w:r w:rsidR="00211397">
        <w:t xml:space="preserve">there may be </w:t>
      </w:r>
      <w:r w:rsidR="00E02D24">
        <w:t xml:space="preserve">some </w:t>
      </w:r>
      <w:r>
        <w:t>interest in the 1.9 GHz band for point-to-multipoint services</w:t>
      </w:r>
      <w:r w:rsidR="00A9440F">
        <w:t>.</w:t>
      </w:r>
    </w:p>
    <w:p w14:paraId="10643EE2" w14:textId="767AF1DC" w:rsidR="00AA668C" w:rsidRDefault="00CB33DA">
      <w:pPr>
        <w:pStyle w:val="Paragraph"/>
      </w:pPr>
      <w:r>
        <w:t>The Australian railway industry has supported</w:t>
      </w:r>
      <w:r w:rsidR="00211397">
        <w:t xml:space="preserve"> the outcome of</w:t>
      </w:r>
      <w:r>
        <w:t xml:space="preserve"> the European review of the band for investigating use of 1900</w:t>
      </w:r>
      <w:r w:rsidR="005027A8">
        <w:rPr>
          <w:rFonts w:eastAsiaTheme="minorHAnsi"/>
          <w:lang w:eastAsia="en-US"/>
        </w:rPr>
        <w:t>–</w:t>
      </w:r>
      <w:r>
        <w:t>1910 MHz for FMRCS.</w:t>
      </w:r>
      <w:r w:rsidDel="003B4359">
        <w:t xml:space="preserve"> </w:t>
      </w:r>
      <w:r w:rsidR="00AE034D">
        <w:t xml:space="preserve">The </w:t>
      </w:r>
      <w:r w:rsidR="00F127F1">
        <w:t>Australian</w:t>
      </w:r>
      <w:r>
        <w:t xml:space="preserve"> rail industry</w:t>
      </w:r>
      <w:r w:rsidR="00F127F1">
        <w:t xml:space="preserve">, in the </w:t>
      </w:r>
      <w:r w:rsidR="00FE6215">
        <w:t>Australasian</w:t>
      </w:r>
      <w:r w:rsidR="008721CB">
        <w:t xml:space="preserve"> Railway Association (ARA) submission to the 2021</w:t>
      </w:r>
      <w:r w:rsidR="005027A8">
        <w:rPr>
          <w:rFonts w:eastAsiaTheme="minorHAnsi"/>
          <w:lang w:eastAsia="en-US"/>
        </w:rPr>
        <w:t>–</w:t>
      </w:r>
      <w:r w:rsidR="008721CB">
        <w:t xml:space="preserve">26 </w:t>
      </w:r>
      <w:r w:rsidR="00FE6215" w:rsidRPr="00285E8F">
        <w:t>FYSO</w:t>
      </w:r>
      <w:r w:rsidR="00FE6215">
        <w:t xml:space="preserve"> </w:t>
      </w:r>
      <w:hyperlink r:id="rId103" w:history="1">
        <w:r w:rsidR="00FE6215" w:rsidRPr="00FE6215">
          <w:rPr>
            <w:rStyle w:val="Hyperlink"/>
          </w:rPr>
          <w:t>consultation</w:t>
        </w:r>
      </w:hyperlink>
      <w:r w:rsidR="00F127F1">
        <w:t xml:space="preserve">, </w:t>
      </w:r>
      <w:r>
        <w:t xml:space="preserve">believes that a similar arrangement could offer several benefits to the Australian rail </w:t>
      </w:r>
      <w:r w:rsidR="005027A8">
        <w:t>i</w:t>
      </w:r>
      <w:r>
        <w:t xml:space="preserve">ndustry </w:t>
      </w:r>
      <w:r w:rsidRPr="00CF6336">
        <w:t>by aligning with any European arrangements and developments on FMRCS</w:t>
      </w:r>
      <w:r w:rsidR="005027A8">
        <w:t>,</w:t>
      </w:r>
      <w:r w:rsidRPr="00CF6336">
        <w:t xml:space="preserve"> including</w:t>
      </w:r>
      <w:r>
        <w:t xml:space="preserve"> access to standard 3GPP equipment to take advantage of economies of scale.</w:t>
      </w:r>
      <w:r w:rsidR="000F42BC">
        <w:t xml:space="preserve"> </w:t>
      </w:r>
      <w:r w:rsidR="001B57A8">
        <w:t xml:space="preserve">They have indicated that obtaining spectrum outside the 1.8 GHz band for rail services would </w:t>
      </w:r>
      <w:r w:rsidR="000F42BC">
        <w:t xml:space="preserve">also </w:t>
      </w:r>
      <w:r w:rsidR="001B57A8">
        <w:t xml:space="preserve">be advantageous to providing a more reliable network. </w:t>
      </w:r>
    </w:p>
    <w:p w14:paraId="556CDF83" w14:textId="098ADA2F" w:rsidR="002431BE" w:rsidRDefault="002431BE" w:rsidP="00240CE7">
      <w:pPr>
        <w:pStyle w:val="Heading1"/>
      </w:pPr>
      <w:bookmarkStart w:id="55" w:name="_Toc87534292"/>
      <w:bookmarkStart w:id="56" w:name="_Toc16064511"/>
      <w:bookmarkEnd w:id="40"/>
      <w:r>
        <w:lastRenderedPageBreak/>
        <w:t>Preliminary coexistence considerations</w:t>
      </w:r>
      <w:bookmarkEnd w:id="55"/>
      <w:r>
        <w:t xml:space="preserve"> </w:t>
      </w:r>
    </w:p>
    <w:p w14:paraId="2EE0F426" w14:textId="51291202" w:rsidR="00235C1F" w:rsidRDefault="009642A9" w:rsidP="00235C1F">
      <w:pPr>
        <w:pStyle w:val="Paragraph"/>
      </w:pPr>
      <w:r>
        <w:t xml:space="preserve">While there </w:t>
      </w:r>
      <w:r w:rsidR="00511232">
        <w:t xml:space="preserve">are </w:t>
      </w:r>
      <w:r>
        <w:t xml:space="preserve">changing demand and use cases for spectrum in the 1.9 GHz band, </w:t>
      </w:r>
      <w:r w:rsidR="00DD69B8">
        <w:t xml:space="preserve">consideration also needs to be given to the </w:t>
      </w:r>
      <w:r w:rsidR="00AE034D">
        <w:t xml:space="preserve">technical </w:t>
      </w:r>
      <w:r w:rsidR="00DD69B8">
        <w:t xml:space="preserve">coexistence between services. This includes </w:t>
      </w:r>
      <w:r w:rsidR="007A0314">
        <w:t xml:space="preserve">services </w:t>
      </w:r>
      <w:r w:rsidR="00DD69B8">
        <w:t xml:space="preserve">both </w:t>
      </w:r>
      <w:r w:rsidR="007A0314">
        <w:t>in the band</w:t>
      </w:r>
      <w:r w:rsidR="00DD69B8">
        <w:t xml:space="preserve"> and </w:t>
      </w:r>
      <w:r w:rsidR="007A0314">
        <w:t xml:space="preserve">in </w:t>
      </w:r>
      <w:r w:rsidR="00DD69B8">
        <w:t>adjacent</w:t>
      </w:r>
      <w:r w:rsidR="005A5C51">
        <w:t xml:space="preserve"> </w:t>
      </w:r>
      <w:r w:rsidR="007A0314">
        <w:t>bands</w:t>
      </w:r>
      <w:r w:rsidR="00DD69B8">
        <w:t>.</w:t>
      </w:r>
      <w:r w:rsidR="00AE034D">
        <w:t xml:space="preserve"> Early identification and consideration of coexistence issues can help inform which scenarios may </w:t>
      </w:r>
      <w:r w:rsidR="00733D17">
        <w:t>(</w:t>
      </w:r>
      <w:r w:rsidR="004836A1">
        <w:t xml:space="preserve">or may not) </w:t>
      </w:r>
      <w:r w:rsidR="00AE034D">
        <w:t xml:space="preserve">be practically viable and/or give early insight on </w:t>
      </w:r>
      <w:r w:rsidR="00CB6924">
        <w:t>potential</w:t>
      </w:r>
      <w:r w:rsidR="00AE034D">
        <w:t xml:space="preserve"> sharing approaches and </w:t>
      </w:r>
      <w:r w:rsidR="00716AE0">
        <w:t>their impact</w:t>
      </w:r>
      <w:r w:rsidR="00AE034D">
        <w:t xml:space="preserve"> on spectrum uses.</w:t>
      </w:r>
    </w:p>
    <w:p w14:paraId="2F0ED814" w14:textId="659D6906" w:rsidR="00235C1F" w:rsidRDefault="007A0314" w:rsidP="00235C1F">
      <w:pPr>
        <w:pStyle w:val="Heading2"/>
      </w:pPr>
      <w:bookmarkStart w:id="57" w:name="_Toc87534293"/>
      <w:r>
        <w:t>In</w:t>
      </w:r>
      <w:r w:rsidR="00196AFE">
        <w:t>-</w:t>
      </w:r>
      <w:r>
        <w:t>band</w:t>
      </w:r>
      <w:r w:rsidR="00235C1F">
        <w:t xml:space="preserve"> </w:t>
      </w:r>
      <w:r w:rsidR="00DD69B8">
        <w:t>services</w:t>
      </w:r>
      <w:bookmarkEnd w:id="57"/>
    </w:p>
    <w:p w14:paraId="1D705F56" w14:textId="54B5748F" w:rsidR="00235C1F" w:rsidRDefault="00DD69B8" w:rsidP="00235C1F">
      <w:pPr>
        <w:pStyle w:val="Paragraph"/>
      </w:pPr>
      <w:r>
        <w:t>Based on the domestic considerations, the</w:t>
      </w:r>
      <w:r w:rsidR="00A00C15">
        <w:t>re</w:t>
      </w:r>
      <w:r w:rsidR="00716AE0">
        <w:t xml:space="preserve"> is potential for</w:t>
      </w:r>
      <w:r>
        <w:t xml:space="preserve"> </w:t>
      </w:r>
      <w:r w:rsidR="00A00C15">
        <w:t>a</w:t>
      </w:r>
      <w:r>
        <w:t xml:space="preserve"> </w:t>
      </w:r>
      <w:r w:rsidR="00254226">
        <w:t xml:space="preserve">range of </w:t>
      </w:r>
      <w:r>
        <w:t xml:space="preserve">services that </w:t>
      </w:r>
      <w:r w:rsidR="00716AE0">
        <w:t>could be</w:t>
      </w:r>
      <w:r>
        <w:t xml:space="preserve"> considered for </w:t>
      </w:r>
      <w:r w:rsidR="007A0314">
        <w:t>use in this</w:t>
      </w:r>
      <w:r>
        <w:t xml:space="preserve"> band</w:t>
      </w:r>
      <w:r w:rsidR="00716AE0">
        <w:t>, including</w:t>
      </w:r>
      <w:r>
        <w:t xml:space="preserve"> </w:t>
      </w:r>
      <w:r w:rsidR="005F7328">
        <w:t>CTS using</w:t>
      </w:r>
      <w:r>
        <w:t xml:space="preserve"> DECT (DECT and DECT-2020 NR)</w:t>
      </w:r>
      <w:r w:rsidR="007A0314">
        <w:t>,</w:t>
      </w:r>
      <w:r>
        <w:t xml:space="preserve"> </w:t>
      </w:r>
      <w:r w:rsidR="009B4852">
        <w:t>WBB</w:t>
      </w:r>
      <w:r>
        <w:t xml:space="preserve"> (</w:t>
      </w:r>
      <w:r w:rsidR="007A0314">
        <w:t xml:space="preserve">fixed </w:t>
      </w:r>
      <w:r>
        <w:t>point-to-multipoint, FRMCS</w:t>
      </w:r>
      <w:r w:rsidR="005F7328">
        <w:t>) using various technologies such as</w:t>
      </w:r>
      <w:r>
        <w:t xml:space="preserve"> </w:t>
      </w:r>
      <w:r w:rsidR="00CB6924">
        <w:t>MulteFire</w:t>
      </w:r>
      <w:r>
        <w:t xml:space="preserve"> </w:t>
      </w:r>
      <w:r w:rsidR="00716AE0">
        <w:t xml:space="preserve">or </w:t>
      </w:r>
      <w:r>
        <w:t xml:space="preserve">3GPP </w:t>
      </w:r>
      <w:r w:rsidR="0006482A">
        <w:t xml:space="preserve">based </w:t>
      </w:r>
      <w:r>
        <w:t>technologies</w:t>
      </w:r>
      <w:r w:rsidR="007A0314">
        <w:t xml:space="preserve"> and fixed point-to-point</w:t>
      </w:r>
      <w:r w:rsidR="009B47D4">
        <w:t xml:space="preserve"> services</w:t>
      </w:r>
      <w:r>
        <w:t xml:space="preserve">. </w:t>
      </w:r>
    </w:p>
    <w:p w14:paraId="5CE05C19" w14:textId="5AEE69AB" w:rsidR="00716AE0" w:rsidRDefault="00716AE0" w:rsidP="00235C1F">
      <w:pPr>
        <w:pStyle w:val="Paragraph"/>
      </w:pPr>
      <w:r>
        <w:t xml:space="preserve">In any scenario where there is more than one spectrum use supported in the band, there will be in band coexistence boundaries, </w:t>
      </w:r>
      <w:r w:rsidR="00511232">
        <w:t xml:space="preserve">being </w:t>
      </w:r>
      <w:r>
        <w:t>spectral and/or geographic.</w:t>
      </w:r>
      <w:r w:rsidR="004029BF">
        <w:t xml:space="preserve"> The viability of these boundaries will be further influenced by the nature of the authorisation regime. For example, class</w:t>
      </w:r>
      <w:r w:rsidR="00196AFE">
        <w:t>-</w:t>
      </w:r>
      <w:r w:rsidR="004029BF">
        <w:t>licensed devices are not coordinated or registered</w:t>
      </w:r>
      <w:r w:rsidR="00196AFE">
        <w:t>,</w:t>
      </w:r>
      <w:r w:rsidR="004029BF">
        <w:t xml:space="preserve"> so coexistence with other uses must depend solely on technical and expect</w:t>
      </w:r>
      <w:r w:rsidR="00A00C15">
        <w:t>ed</w:t>
      </w:r>
      <w:r w:rsidR="004029BF">
        <w:t xml:space="preserve"> usage characteristics of the devices. This may make sharing with other uses such as WBB impractical. </w:t>
      </w:r>
      <w:r w:rsidR="004836A1">
        <w:t>Alternatively, some geographic sharing approaches may be more readily achieved when both spectrum u</w:t>
      </w:r>
      <w:r w:rsidR="00A00C15">
        <w:t>s</w:t>
      </w:r>
      <w:r w:rsidR="004836A1">
        <w:t>es are subject to a licensing regime where devices are registered and hence can be more readily coordinated – for example</w:t>
      </w:r>
      <w:r w:rsidR="00196AFE">
        <w:t>,</w:t>
      </w:r>
      <w:r w:rsidR="004836A1">
        <w:t xml:space="preserve"> WBB and point-to-point. </w:t>
      </w:r>
    </w:p>
    <w:p w14:paraId="34173692" w14:textId="79D5DBC4" w:rsidR="004836A1" w:rsidRDefault="004836A1" w:rsidP="00235C1F">
      <w:pPr>
        <w:pStyle w:val="Paragraph"/>
      </w:pPr>
      <w:r>
        <w:t>The band planning scenarios in the following chapter identify some potential spectral and geographic boundaries</w:t>
      </w:r>
      <w:r w:rsidR="00FE14E0">
        <w:t>.</w:t>
      </w:r>
      <w:r>
        <w:t xml:space="preserve"> </w:t>
      </w:r>
    </w:p>
    <w:p w14:paraId="7956422B" w14:textId="77777777" w:rsidR="00235C1F" w:rsidRDefault="00235C1F" w:rsidP="00235C1F">
      <w:pPr>
        <w:pStyle w:val="Heading2"/>
      </w:pPr>
      <w:bookmarkStart w:id="58" w:name="_Toc87534294"/>
      <w:r>
        <w:t>Adjacent band services</w:t>
      </w:r>
      <w:bookmarkEnd w:id="58"/>
    </w:p>
    <w:p w14:paraId="7D356BAC" w14:textId="05647B88" w:rsidR="00235C1F" w:rsidRDefault="00235C1F" w:rsidP="00235C1F">
      <w:pPr>
        <w:pStyle w:val="Paragraph"/>
      </w:pPr>
      <w:r>
        <w:t xml:space="preserve">In the </w:t>
      </w:r>
      <w:r w:rsidR="005F7328">
        <w:t xml:space="preserve">bands </w:t>
      </w:r>
      <w:r>
        <w:t xml:space="preserve">adjacent to the 1.9 GHz band, there are </w:t>
      </w:r>
      <w:r w:rsidR="00697D79">
        <w:t>spectrum licensed</w:t>
      </w:r>
      <w:r>
        <w:t xml:space="preserve"> and PMTS Class B and C services</w:t>
      </w:r>
      <w:r w:rsidR="00AE034D">
        <w:t xml:space="preserve"> operating in a </w:t>
      </w:r>
      <w:r w:rsidR="00A153BA">
        <w:t>F</w:t>
      </w:r>
      <w:r w:rsidR="00AE034D">
        <w:t xml:space="preserve">requency </w:t>
      </w:r>
      <w:r w:rsidR="00A153BA">
        <w:t>D</w:t>
      </w:r>
      <w:r w:rsidR="007C407A">
        <w:t>ivision</w:t>
      </w:r>
      <w:r w:rsidR="00AE034D">
        <w:t xml:space="preserve"> </w:t>
      </w:r>
      <w:r w:rsidR="00A153BA">
        <w:t>D</w:t>
      </w:r>
      <w:r w:rsidR="00AE034D">
        <w:t>uplex (FDD) mode</w:t>
      </w:r>
      <w:r>
        <w:t xml:space="preserve">. Figure </w:t>
      </w:r>
      <w:r w:rsidR="00112018">
        <w:t>2</w:t>
      </w:r>
      <w:r>
        <w:t xml:space="preserve"> and the section </w:t>
      </w:r>
      <w:r w:rsidRPr="00285E8F">
        <w:rPr>
          <w:i/>
          <w:iCs/>
        </w:rPr>
        <w:t>Adjacent</w:t>
      </w:r>
      <w:r w:rsidR="00196AFE">
        <w:rPr>
          <w:i/>
          <w:iCs/>
        </w:rPr>
        <w:t>-</w:t>
      </w:r>
      <w:r w:rsidRPr="00285E8F">
        <w:rPr>
          <w:i/>
          <w:iCs/>
        </w:rPr>
        <w:t xml:space="preserve">band </w:t>
      </w:r>
      <w:r w:rsidR="00196AFE">
        <w:rPr>
          <w:i/>
          <w:iCs/>
        </w:rPr>
        <w:t>s</w:t>
      </w:r>
      <w:r w:rsidRPr="00285E8F">
        <w:rPr>
          <w:i/>
          <w:iCs/>
        </w:rPr>
        <w:t>pectrum</w:t>
      </w:r>
      <w:r w:rsidR="00196AFE">
        <w:rPr>
          <w:i/>
          <w:iCs/>
        </w:rPr>
        <w:t>-</w:t>
      </w:r>
      <w:r w:rsidRPr="00285E8F">
        <w:rPr>
          <w:i/>
          <w:iCs/>
        </w:rPr>
        <w:t>licensed and PMTS B and C apparatus</w:t>
      </w:r>
      <w:r w:rsidR="00196AFE">
        <w:rPr>
          <w:i/>
          <w:iCs/>
        </w:rPr>
        <w:t>-</w:t>
      </w:r>
      <w:r w:rsidRPr="00285E8F">
        <w:rPr>
          <w:i/>
          <w:iCs/>
        </w:rPr>
        <w:t>licensed services</w:t>
      </w:r>
      <w:r>
        <w:t xml:space="preserve"> provide an overview.</w:t>
      </w:r>
    </w:p>
    <w:p w14:paraId="116ACA7B" w14:textId="7C596216" w:rsidR="00AE034D" w:rsidRDefault="00235C1F">
      <w:pPr>
        <w:pStyle w:val="Paragraph"/>
      </w:pPr>
      <w:r>
        <w:t xml:space="preserve">Below the 1880 MHz band edge, the 1.8 GHz </w:t>
      </w:r>
      <w:r w:rsidR="00697D79">
        <w:t>spectrum licensed</w:t>
      </w:r>
      <w:r>
        <w:t xml:space="preserve"> and PMTS Class B and C services are </w:t>
      </w:r>
      <w:r w:rsidR="005F7328">
        <w:t>used for</w:t>
      </w:r>
      <w:r>
        <w:t xml:space="preserve"> base</w:t>
      </w:r>
      <w:r w:rsidR="009B4852">
        <w:t xml:space="preserve"> station</w:t>
      </w:r>
      <w:r w:rsidR="00A95EF3">
        <w:t xml:space="preserve"> transmitters</w:t>
      </w:r>
      <w:r>
        <w:t xml:space="preserve">. Above the 1920 MHz band edge, the 2 GHz </w:t>
      </w:r>
      <w:r w:rsidR="00697D79">
        <w:t>spectrum licensed</w:t>
      </w:r>
      <w:r>
        <w:t xml:space="preserve"> and PMTS Class B and C services are </w:t>
      </w:r>
      <w:r w:rsidR="005F7328">
        <w:t>used for</w:t>
      </w:r>
      <w:r>
        <w:t xml:space="preserve"> base </w:t>
      </w:r>
      <w:r w:rsidR="009B4852">
        <w:t>station</w:t>
      </w:r>
      <w:r w:rsidR="00A95EF3">
        <w:t xml:space="preserve"> receivers</w:t>
      </w:r>
      <w:r>
        <w:t xml:space="preserve">. Any considerations regarding </w:t>
      </w:r>
      <w:r w:rsidR="00A77589">
        <w:t>arrangements for</w:t>
      </w:r>
      <w:r>
        <w:t xml:space="preserve"> services in the 1.9 GHz band need to consider the impact to and from these adjacent band services.</w:t>
      </w:r>
      <w:r w:rsidR="00AE034D">
        <w:t xml:space="preserve"> </w:t>
      </w:r>
    </w:p>
    <w:p w14:paraId="05708FA9" w14:textId="7287C5FE" w:rsidR="00235C1F" w:rsidRDefault="00CB6924">
      <w:pPr>
        <w:pStyle w:val="Paragraph"/>
      </w:pPr>
      <w:r>
        <w:t>The</w:t>
      </w:r>
      <w:r w:rsidR="00AE034D">
        <w:t xml:space="preserve"> ACMA notes that coexistence between TDD</w:t>
      </w:r>
      <w:r w:rsidR="00AE034D" w:rsidDel="009642A9">
        <w:t xml:space="preserve"> </w:t>
      </w:r>
      <w:r w:rsidR="00AE034D">
        <w:t xml:space="preserve">WBB systems below 1920 MHz and FDD systems above 1920 MHz </w:t>
      </w:r>
      <w:r w:rsidR="00692F7C">
        <w:t xml:space="preserve">are </w:t>
      </w:r>
      <w:r w:rsidR="00AE034D">
        <w:t>likely to result in a particularly challenging coexistence scenario (</w:t>
      </w:r>
      <w:r w:rsidR="00196AFE">
        <w:t>for example,</w:t>
      </w:r>
      <w:r w:rsidR="00AE034D">
        <w:t xml:space="preserve"> high sit</w:t>
      </w:r>
      <w:r w:rsidR="00692F7C">
        <w:t>e</w:t>
      </w:r>
      <w:r w:rsidR="00AE034D">
        <w:t xml:space="preserve"> to high site interference paths). This is especially likely in areas of high density FDD system deployment</w:t>
      </w:r>
      <w:r w:rsidR="00196AFE">
        <w:t>,</w:t>
      </w:r>
      <w:r w:rsidR="00AE034D">
        <w:t xml:space="preserve"> such as metropolitan areas. This may require substantial restricted</w:t>
      </w:r>
      <w:r w:rsidR="00196AFE">
        <w:t>-</w:t>
      </w:r>
      <w:r w:rsidR="007C407A">
        <w:t xml:space="preserve">use blocks </w:t>
      </w:r>
      <w:r w:rsidR="00AE034D">
        <w:t xml:space="preserve">(perhaps </w:t>
      </w:r>
      <w:r w:rsidR="00196AFE">
        <w:t>10 </w:t>
      </w:r>
      <w:r w:rsidR="00AE034D">
        <w:t>MHz)</w:t>
      </w:r>
      <w:r w:rsidR="00196AFE">
        <w:t>,</w:t>
      </w:r>
      <w:r w:rsidR="00AE034D">
        <w:t xml:space="preserve"> which would reduce the amount of spectrum</w:t>
      </w:r>
      <w:r w:rsidR="007C407A">
        <w:t xml:space="preserve"> available for WBB use below 1920</w:t>
      </w:r>
      <w:r w:rsidR="00692F7C">
        <w:t> </w:t>
      </w:r>
      <w:r w:rsidR="007C407A">
        <w:t>MHz</w:t>
      </w:r>
      <w:r w:rsidR="004836A1">
        <w:t xml:space="preserve"> and hence </w:t>
      </w:r>
      <w:r w:rsidR="00C54C3C">
        <w:t>may</w:t>
      </w:r>
      <w:r w:rsidR="004836A1">
        <w:t xml:space="preserve"> make this scenario unattractive in some </w:t>
      </w:r>
      <w:r w:rsidR="00597101">
        <w:t>areas</w:t>
      </w:r>
      <w:r w:rsidR="007C407A">
        <w:t>.</w:t>
      </w:r>
      <w:r w:rsidR="00AE034D">
        <w:t xml:space="preserve"> </w:t>
      </w:r>
      <w:r w:rsidR="00BE0A21" w:rsidRPr="00BE0A21">
        <w:t xml:space="preserve">Similarly, if TDD WBB arrangements are extended below 1900 MHz, some form of frequency separation </w:t>
      </w:r>
      <w:r w:rsidR="00794BC1">
        <w:t>via a</w:t>
      </w:r>
      <w:r w:rsidR="00BE0A21" w:rsidRPr="00BE0A21">
        <w:t xml:space="preserve"> restricted</w:t>
      </w:r>
      <w:r w:rsidR="00196AFE">
        <w:t>-</w:t>
      </w:r>
      <w:r w:rsidR="00BE0A21" w:rsidRPr="00BE0A21">
        <w:t>use block would be required with FDD services operating below 1880 MHz to manage interference</w:t>
      </w:r>
      <w:r w:rsidR="00AE034D">
        <w:t xml:space="preserve"> </w:t>
      </w:r>
    </w:p>
    <w:p w14:paraId="1BC9D148" w14:textId="77777777" w:rsidR="00196AFE" w:rsidRPr="00E200E5" w:rsidRDefault="00196AFE"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E200E5">
        <w:rPr>
          <w:b/>
          <w:bCs/>
        </w:rPr>
        <w:lastRenderedPageBreak/>
        <w:t>Issue for comment 4:</w:t>
      </w:r>
    </w:p>
    <w:p w14:paraId="34F3F313" w14:textId="4844404B" w:rsidR="00196AFE" w:rsidRDefault="004819E2" w:rsidP="00196AFE">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CB6924">
        <w:t>A</w:t>
      </w:r>
      <w:r w:rsidR="00196AFE">
        <w:t>re there a</w:t>
      </w:r>
      <w:r>
        <w:t xml:space="preserve">ny </w:t>
      </w:r>
      <w:r w:rsidRPr="00CB6924">
        <w:t>applicable coexistence scenarios not identified</w:t>
      </w:r>
      <w:r w:rsidR="00196AFE">
        <w:t>?</w:t>
      </w:r>
      <w:r w:rsidR="00196AFE" w:rsidRPr="00CB6924">
        <w:t xml:space="preserve"> </w:t>
      </w:r>
    </w:p>
    <w:p w14:paraId="006A1EC7" w14:textId="093701E9" w:rsidR="004819E2" w:rsidRPr="0091124E" w:rsidRDefault="004819E2" w:rsidP="00E200E5">
      <w:pPr>
        <w:pStyle w:val="ListNumber"/>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CB6924">
        <w:t xml:space="preserve">Are there any </w:t>
      </w:r>
      <w:r w:rsidR="00145062">
        <w:t xml:space="preserve">scenarios </w:t>
      </w:r>
      <w:r w:rsidRPr="00CB6924">
        <w:t>that are unlikely to be practically achievable (and hence the associated planning scenario should be discounted)</w:t>
      </w:r>
      <w:r>
        <w:t>, or are</w:t>
      </w:r>
      <w:r w:rsidRPr="00CB6924">
        <w:t xml:space="preserve"> there any that are readily achieved? </w:t>
      </w:r>
    </w:p>
    <w:p w14:paraId="2ACFC415" w14:textId="3501F930" w:rsidR="00240CE7" w:rsidRDefault="00240CE7" w:rsidP="00240CE7">
      <w:pPr>
        <w:pStyle w:val="Heading1"/>
      </w:pPr>
      <w:bookmarkStart w:id="59" w:name="_Toc87534295"/>
      <w:r>
        <w:lastRenderedPageBreak/>
        <w:t xml:space="preserve">Band planning </w:t>
      </w:r>
      <w:bookmarkEnd w:id="56"/>
      <w:r w:rsidR="002431BE">
        <w:t>scenarios</w:t>
      </w:r>
      <w:bookmarkEnd w:id="59"/>
    </w:p>
    <w:p w14:paraId="748E84D9" w14:textId="5967D5E8" w:rsidR="002745EB" w:rsidRDefault="009642A9" w:rsidP="002745EB">
      <w:pPr>
        <w:spacing w:after="80"/>
        <w:rPr>
          <w:rFonts w:cs="Arial"/>
        </w:rPr>
      </w:pPr>
      <w:r>
        <w:rPr>
          <w:rFonts w:cs="Arial"/>
        </w:rPr>
        <w:t>T</w:t>
      </w:r>
      <w:r w:rsidR="00F57D42">
        <w:rPr>
          <w:rFonts w:cs="Arial"/>
        </w:rPr>
        <w:t xml:space="preserve">here is interest in access to </w:t>
      </w:r>
      <w:r w:rsidR="00E02D24">
        <w:rPr>
          <w:rFonts w:cs="Arial"/>
        </w:rPr>
        <w:t xml:space="preserve">the </w:t>
      </w:r>
      <w:r w:rsidR="0099575F">
        <w:rPr>
          <w:rFonts w:cs="Arial"/>
        </w:rPr>
        <w:t>1.9</w:t>
      </w:r>
      <w:r w:rsidR="00F57D42">
        <w:rPr>
          <w:rFonts w:cs="Arial"/>
        </w:rPr>
        <w:t xml:space="preserve"> GHz </w:t>
      </w:r>
      <w:r w:rsidR="00E02D24">
        <w:rPr>
          <w:rFonts w:cs="Arial"/>
        </w:rPr>
        <w:t xml:space="preserve">band </w:t>
      </w:r>
      <w:r w:rsidR="00F57D42">
        <w:rPr>
          <w:rFonts w:cs="Arial"/>
        </w:rPr>
        <w:t xml:space="preserve">for </w:t>
      </w:r>
      <w:r w:rsidR="00B95E61">
        <w:rPr>
          <w:rFonts w:cs="Arial"/>
        </w:rPr>
        <w:t>several</w:t>
      </w:r>
      <w:r w:rsidR="00F57D42">
        <w:rPr>
          <w:rFonts w:cs="Arial"/>
        </w:rPr>
        <w:t xml:space="preserve"> different and</w:t>
      </w:r>
      <w:r w:rsidR="00DD4AA4">
        <w:rPr>
          <w:rFonts w:cs="Arial"/>
        </w:rPr>
        <w:t>,</w:t>
      </w:r>
      <w:r w:rsidR="00F57D42">
        <w:rPr>
          <w:rFonts w:cs="Arial"/>
        </w:rPr>
        <w:t xml:space="preserve"> potentially competing</w:t>
      </w:r>
      <w:r w:rsidR="00DD4AA4">
        <w:rPr>
          <w:rFonts w:cs="Arial"/>
        </w:rPr>
        <w:t>,</w:t>
      </w:r>
      <w:r w:rsidR="00F57D42">
        <w:rPr>
          <w:rFonts w:cs="Arial"/>
        </w:rPr>
        <w:t xml:space="preserve"> uses. To aid discussion</w:t>
      </w:r>
      <w:r>
        <w:rPr>
          <w:rFonts w:cs="Arial"/>
        </w:rPr>
        <w:t xml:space="preserve"> about potential use cases in the band, we have developed</w:t>
      </w:r>
      <w:r w:rsidR="002745EB">
        <w:rPr>
          <w:rFonts w:cs="Arial"/>
        </w:rPr>
        <w:t xml:space="preserve"> a set of</w:t>
      </w:r>
      <w:r w:rsidR="00F57D42">
        <w:rPr>
          <w:rFonts w:cs="Arial"/>
        </w:rPr>
        <w:t xml:space="preserve"> scenarios.</w:t>
      </w:r>
      <w:r w:rsidR="00D01FB0">
        <w:rPr>
          <w:rFonts w:cs="Arial"/>
        </w:rPr>
        <w:t xml:space="preserve"> It should be noted that these </w:t>
      </w:r>
      <w:r w:rsidR="00F57D42">
        <w:rPr>
          <w:rFonts w:cs="Arial"/>
        </w:rPr>
        <w:t xml:space="preserve">scenarios </w:t>
      </w:r>
      <w:r>
        <w:rPr>
          <w:rFonts w:cs="Arial"/>
        </w:rPr>
        <w:t xml:space="preserve">do not represent a </w:t>
      </w:r>
      <w:r w:rsidR="00F57D42">
        <w:rPr>
          <w:rFonts w:cs="Arial"/>
        </w:rPr>
        <w:t xml:space="preserve">preliminary view of the </w:t>
      </w:r>
      <w:r w:rsidR="00697D79">
        <w:rPr>
          <w:rFonts w:cs="Arial"/>
        </w:rPr>
        <w:t>ACMA but</w:t>
      </w:r>
      <w:r w:rsidR="00D01FB0">
        <w:rPr>
          <w:rFonts w:cs="Arial"/>
        </w:rPr>
        <w:t xml:space="preserve"> are intended to invite feedback. </w:t>
      </w:r>
      <w:r w:rsidR="00F57D42" w:rsidRPr="007D0E2E">
        <w:rPr>
          <w:rFonts w:cs="Arial"/>
        </w:rPr>
        <w:t>In</w:t>
      </w:r>
      <w:r w:rsidR="00D01FB0">
        <w:rPr>
          <w:rFonts w:cs="Arial"/>
        </w:rPr>
        <w:t xml:space="preserve"> each </w:t>
      </w:r>
      <w:r w:rsidR="00B95E61">
        <w:rPr>
          <w:rFonts w:cs="Arial"/>
        </w:rPr>
        <w:t xml:space="preserve">of </w:t>
      </w:r>
      <w:r w:rsidR="00B95E61" w:rsidRPr="007D0E2E">
        <w:rPr>
          <w:rFonts w:cs="Arial"/>
        </w:rPr>
        <w:t>the</w:t>
      </w:r>
      <w:r w:rsidR="00F57D42" w:rsidRPr="007D0E2E">
        <w:rPr>
          <w:rFonts w:cs="Arial"/>
        </w:rPr>
        <w:t xml:space="preserve"> following </w:t>
      </w:r>
      <w:r w:rsidR="00F57D42">
        <w:rPr>
          <w:rFonts w:cs="Arial"/>
        </w:rPr>
        <w:t>scenarios,</w:t>
      </w:r>
      <w:r w:rsidR="00F57D42" w:rsidRPr="007D0E2E">
        <w:rPr>
          <w:rFonts w:cs="Arial"/>
        </w:rPr>
        <w:t xml:space="preserve"> </w:t>
      </w:r>
      <w:r w:rsidR="00D01FB0">
        <w:rPr>
          <w:rFonts w:cs="Arial"/>
        </w:rPr>
        <w:t xml:space="preserve">we </w:t>
      </w:r>
      <w:r w:rsidR="009B4852">
        <w:rPr>
          <w:rFonts w:cs="Arial"/>
        </w:rPr>
        <w:t>want</w:t>
      </w:r>
      <w:r w:rsidR="00D01FB0">
        <w:rPr>
          <w:rFonts w:cs="Arial"/>
        </w:rPr>
        <w:t xml:space="preserve"> to explore: </w:t>
      </w:r>
    </w:p>
    <w:p w14:paraId="1B6C8300" w14:textId="008B2170" w:rsidR="00F57D42" w:rsidRPr="007D0E2E" w:rsidRDefault="00F57D42" w:rsidP="002745EB">
      <w:pPr>
        <w:pStyle w:val="ListBullet2"/>
        <w:tabs>
          <w:tab w:val="clear" w:pos="845"/>
          <w:tab w:val="num" w:pos="544"/>
        </w:tabs>
        <w:ind w:left="544"/>
      </w:pPr>
      <w:r w:rsidRPr="007D0E2E">
        <w:t>What services/applications should be accommodated in the band?</w:t>
      </w:r>
    </w:p>
    <w:p w14:paraId="2CEA66F3" w14:textId="77777777" w:rsidR="00F57D42" w:rsidRPr="007D0E2E" w:rsidRDefault="00F57D42" w:rsidP="002745EB">
      <w:pPr>
        <w:pStyle w:val="ListBullet2"/>
        <w:tabs>
          <w:tab w:val="clear" w:pos="845"/>
          <w:tab w:val="num" w:pos="544"/>
        </w:tabs>
        <w:ind w:left="544"/>
      </w:pPr>
      <w:r w:rsidRPr="007D0E2E">
        <w:t xml:space="preserve">Which frequencies </w:t>
      </w:r>
      <w:r>
        <w:t xml:space="preserve">ranges </w:t>
      </w:r>
      <w:r w:rsidRPr="007D0E2E">
        <w:t xml:space="preserve">should be </w:t>
      </w:r>
      <w:r>
        <w:t>made available</w:t>
      </w:r>
      <w:r w:rsidRPr="007D0E2E">
        <w:t xml:space="preserve"> for these services/applications?</w:t>
      </w:r>
    </w:p>
    <w:p w14:paraId="377C4AD9" w14:textId="77777777" w:rsidR="00F57D42" w:rsidRPr="007D0E2E" w:rsidRDefault="00F57D42" w:rsidP="002745EB">
      <w:pPr>
        <w:pStyle w:val="ListBullet2"/>
        <w:tabs>
          <w:tab w:val="clear" w:pos="845"/>
          <w:tab w:val="num" w:pos="544"/>
        </w:tabs>
        <w:ind w:left="544"/>
      </w:pPr>
      <w:r>
        <w:t>Which</w:t>
      </w:r>
      <w:r w:rsidRPr="007D0E2E">
        <w:t xml:space="preserve"> geographic areas should </w:t>
      </w:r>
      <w:r>
        <w:t>be made available for</w:t>
      </w:r>
      <w:r w:rsidRPr="007D0E2E">
        <w:t xml:space="preserve"> these services/applications?</w:t>
      </w:r>
    </w:p>
    <w:p w14:paraId="3650471E" w14:textId="59DD175E" w:rsidR="00F57D42" w:rsidRDefault="00F57D42" w:rsidP="002745EB">
      <w:pPr>
        <w:pStyle w:val="ListBullet2"/>
        <w:tabs>
          <w:tab w:val="clear" w:pos="845"/>
          <w:tab w:val="num" w:pos="544"/>
        </w:tabs>
        <w:ind w:left="544"/>
      </w:pPr>
      <w:r w:rsidRPr="007D0E2E">
        <w:t xml:space="preserve">On what basis should access be provided? </w:t>
      </w:r>
      <w:r w:rsidR="00381CF7">
        <w:t>For example, s</w:t>
      </w:r>
      <w:r>
        <w:t>hould</w:t>
      </w:r>
      <w:r w:rsidRPr="007D0E2E">
        <w:t xml:space="preserve"> access be granted on an exclusive or shared basis, coordinated or uncoordinated? </w:t>
      </w:r>
    </w:p>
    <w:p w14:paraId="40C50D09" w14:textId="77777777" w:rsidR="00F57D42" w:rsidRPr="007D0E2E" w:rsidRDefault="00F57D42" w:rsidP="002745EB">
      <w:pPr>
        <w:pStyle w:val="ListBullet2"/>
        <w:tabs>
          <w:tab w:val="clear" w:pos="845"/>
          <w:tab w:val="num" w:pos="544"/>
        </w:tabs>
        <w:ind w:left="544"/>
      </w:pPr>
      <w:r>
        <w:t xml:space="preserve">What licensing mechanisms are appropriate? </w:t>
      </w:r>
    </w:p>
    <w:p w14:paraId="3089A654" w14:textId="11D65F72" w:rsidR="00F57D42" w:rsidRDefault="00F57D42" w:rsidP="00F57D42">
      <w:pPr>
        <w:pStyle w:val="Heading2"/>
      </w:pPr>
      <w:bookmarkStart w:id="60" w:name="_Toc525659989"/>
      <w:bookmarkStart w:id="61" w:name="_Toc87534296"/>
      <w:r>
        <w:t>Scenario</w:t>
      </w:r>
      <w:r w:rsidRPr="00722B79">
        <w:t xml:space="preserve"> 1: </w:t>
      </w:r>
      <w:bookmarkStart w:id="62" w:name="_Hlk84403293"/>
      <w:r>
        <w:t>S</w:t>
      </w:r>
      <w:r w:rsidRPr="00722B79">
        <w:t>ingle service</w:t>
      </w:r>
      <w:r>
        <w:t>/application</w:t>
      </w:r>
      <w:r w:rsidRPr="00722B79">
        <w:t xml:space="preserve"> use of </w:t>
      </w:r>
      <w:r>
        <w:t xml:space="preserve">entire </w:t>
      </w:r>
      <w:r w:rsidRPr="00722B79">
        <w:t>band</w:t>
      </w:r>
      <w:bookmarkEnd w:id="60"/>
      <w:bookmarkEnd w:id="61"/>
    </w:p>
    <w:bookmarkEnd w:id="62"/>
    <w:p w14:paraId="2BBEA6E7" w14:textId="578242C2" w:rsidR="00F57D42" w:rsidRDefault="00F57D42" w:rsidP="00F57D42">
      <w:pPr>
        <w:rPr>
          <w:b/>
          <w:bCs/>
          <w:color w:val="323232"/>
          <w:szCs w:val="20"/>
        </w:rPr>
      </w:pPr>
      <w:r>
        <w:t xml:space="preserve">One approach may be to establish optimised arrangements across </w:t>
      </w:r>
      <w:r w:rsidR="00B95E61">
        <w:t>most of</w:t>
      </w:r>
      <w:r>
        <w:t xml:space="preserve"> the band for a single service or application. Figure</w:t>
      </w:r>
      <w:r w:rsidDel="00586F01">
        <w:t xml:space="preserve"> </w:t>
      </w:r>
      <w:r w:rsidR="00586F01">
        <w:t>1</w:t>
      </w:r>
      <w:r w:rsidR="001E65C3">
        <w:t>5</w:t>
      </w:r>
      <w:r>
        <w:t xml:space="preserve"> illustrates the band being used by </w:t>
      </w:r>
      <w:r w:rsidR="005B462C">
        <w:t>DECT</w:t>
      </w:r>
      <w:r>
        <w:t xml:space="preserve"> services and Figure </w:t>
      </w:r>
      <w:r w:rsidR="001E65C3">
        <w:t xml:space="preserve">16 </w:t>
      </w:r>
      <w:r>
        <w:t xml:space="preserve">illustrates the band being used </w:t>
      </w:r>
      <w:r w:rsidR="00381CF7">
        <w:t>by</w:t>
      </w:r>
      <w:r>
        <w:t xml:space="preserve"> </w:t>
      </w:r>
      <w:r w:rsidR="00823523">
        <w:t>wireless broadband</w:t>
      </w:r>
      <w:r w:rsidR="000153BF">
        <w:t xml:space="preserve"> services</w:t>
      </w:r>
      <w:r>
        <w:t>.</w:t>
      </w:r>
    </w:p>
    <w:p w14:paraId="0E976AC3" w14:textId="3B47FF7E" w:rsidR="00DD4AA4" w:rsidRDefault="00B72590" w:rsidP="00C956BB">
      <w:pPr>
        <w:pStyle w:val="Figureheading"/>
        <w:rPr>
          <w:noProof/>
        </w:rPr>
      </w:pPr>
      <w:r w:rsidRPr="001E65C3">
        <w:t>DECT</w:t>
      </w:r>
      <w:r w:rsidR="00F57D42" w:rsidRPr="001E65C3">
        <w:t xml:space="preserve"> </w:t>
      </w:r>
      <w:bookmarkStart w:id="63" w:name="_Hlk83844067"/>
      <w:r w:rsidR="00F57D42" w:rsidRPr="001E65C3">
        <w:t xml:space="preserve">single use </w:t>
      </w:r>
      <w:bookmarkEnd w:id="63"/>
    </w:p>
    <w:p w14:paraId="5650FBE9" w14:textId="542157A5" w:rsidR="00F57D42" w:rsidRDefault="00BB02AD" w:rsidP="00C956BB">
      <w:pPr>
        <w:spacing w:after="0"/>
      </w:pPr>
      <w:r>
        <w:rPr>
          <w:noProof/>
        </w:rPr>
        <w:drawing>
          <wp:inline distT="0" distB="0" distL="0" distR="0" wp14:anchorId="10D7C7E8" wp14:editId="0E4542E5">
            <wp:extent cx="6133542" cy="1266093"/>
            <wp:effectExtent l="0" t="0" r="0" b="0"/>
            <wp:docPr id="10" name="Picture 10"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f you need help accessing or reading this diagram, please contact the ACMA's Customer Service Centre by phone on 1300 850 115 or by email at  info@acma.gov.au"/>
                    <pic:cNvPicPr>
                      <a:picLocks noChangeAspect="1" noChangeArrowheads="1"/>
                    </pic:cNvPicPr>
                  </pic:nvPicPr>
                  <pic:blipFill rotWithShape="1">
                    <a:blip r:embed="rId104">
                      <a:extLst>
                        <a:ext uri="{28A0092B-C50C-407E-A947-70E740481C1C}">
                          <a14:useLocalDpi xmlns:a14="http://schemas.microsoft.com/office/drawing/2010/main" val="0"/>
                        </a:ext>
                      </a:extLst>
                    </a:blip>
                    <a:srcRect l="6937"/>
                    <a:stretch/>
                  </pic:blipFill>
                  <pic:spPr bwMode="auto">
                    <a:xfrm>
                      <a:off x="0" y="0"/>
                      <a:ext cx="6163503" cy="1272278"/>
                    </a:xfrm>
                    <a:prstGeom prst="rect">
                      <a:avLst/>
                    </a:prstGeom>
                    <a:noFill/>
                    <a:ln>
                      <a:noFill/>
                    </a:ln>
                    <a:extLst>
                      <a:ext uri="{53640926-AAD7-44D8-BBD7-CCE9431645EC}">
                        <a14:shadowObscured xmlns:a14="http://schemas.microsoft.com/office/drawing/2010/main"/>
                      </a:ext>
                    </a:extLst>
                  </pic:spPr>
                </pic:pic>
              </a:graphicData>
            </a:graphic>
          </wp:inline>
        </w:drawing>
      </w:r>
    </w:p>
    <w:p w14:paraId="68921567" w14:textId="5F33B68F" w:rsidR="00F57D42" w:rsidRDefault="007D7C08" w:rsidP="00E200E5">
      <w:pPr>
        <w:pStyle w:val="Figureheading"/>
        <w:spacing w:before="360"/>
      </w:pPr>
      <w:r>
        <w:t>Wireless broadband</w:t>
      </w:r>
      <w:r w:rsidR="00B72590">
        <w:t xml:space="preserve"> </w:t>
      </w:r>
      <w:r w:rsidR="00EB2F96">
        <w:t xml:space="preserve">single use </w:t>
      </w:r>
    </w:p>
    <w:p w14:paraId="474C08D4" w14:textId="7B068B94" w:rsidR="00F57D42" w:rsidRDefault="00AD4729" w:rsidP="00F57D42">
      <w:pPr>
        <w:pStyle w:val="ACMASpaceaftertable"/>
      </w:pPr>
      <w:r>
        <w:rPr>
          <w:noProof/>
        </w:rPr>
        <w:drawing>
          <wp:inline distT="0" distB="0" distL="0" distR="0" wp14:anchorId="7125E4A9" wp14:editId="54CAE0EA">
            <wp:extent cx="6215571" cy="886265"/>
            <wp:effectExtent l="0" t="0" r="0" b="0"/>
            <wp:docPr id="4" name="Picture 4"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f you need help accessing or reading this diagram, please contact the ACMA's Customer Service Centre by phone on 1300 850 115 or by email at  info@acma.gov.au"/>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48699" cy="905247"/>
                    </a:xfrm>
                    <a:prstGeom prst="rect">
                      <a:avLst/>
                    </a:prstGeom>
                    <a:noFill/>
                  </pic:spPr>
                </pic:pic>
              </a:graphicData>
            </a:graphic>
          </wp:inline>
        </w:drawing>
      </w:r>
    </w:p>
    <w:p w14:paraId="4AFB82E2" w14:textId="61F865C8" w:rsidR="00F57D42" w:rsidRDefault="00F57D42" w:rsidP="00F57D42">
      <w:pPr>
        <w:spacing w:after="80"/>
      </w:pPr>
      <w:r>
        <w:t xml:space="preserve">Questions raised by these scenarios </w:t>
      </w:r>
      <w:r w:rsidR="0011452D">
        <w:t xml:space="preserve">may </w:t>
      </w:r>
      <w:r>
        <w:t>include:</w:t>
      </w:r>
    </w:p>
    <w:p w14:paraId="2DD8F816" w14:textId="77777777" w:rsidR="00F57D42" w:rsidRDefault="00F57D42" w:rsidP="00F57D42">
      <w:pPr>
        <w:pStyle w:val="ListBullet"/>
        <w:numPr>
          <w:ilvl w:val="0"/>
          <w:numId w:val="1"/>
        </w:numPr>
      </w:pPr>
      <w:r>
        <w:t>Will the demand for a single service be sufficient to justify the exclusion of other service types?</w:t>
      </w:r>
    </w:p>
    <w:p w14:paraId="77B2319D" w14:textId="77777777" w:rsidR="00F57D42" w:rsidRDefault="00F57D42" w:rsidP="00F57D42">
      <w:pPr>
        <w:pStyle w:val="ListBullet"/>
        <w:numPr>
          <w:ilvl w:val="0"/>
          <w:numId w:val="1"/>
        </w:numPr>
      </w:pPr>
      <w:r>
        <w:t>What is the impact on services excluded from the band? Can they be accommodated in other bands?</w:t>
      </w:r>
    </w:p>
    <w:p w14:paraId="0A265B22" w14:textId="387584F0" w:rsidR="00F57D42" w:rsidRDefault="00F57D42" w:rsidP="00F57D42">
      <w:pPr>
        <w:pStyle w:val="ListBulletLast"/>
        <w:numPr>
          <w:ilvl w:val="0"/>
          <w:numId w:val="1"/>
        </w:numPr>
      </w:pPr>
      <w:r>
        <w:t xml:space="preserve">What are the related spectrum considerations? For </w:t>
      </w:r>
      <w:r w:rsidR="00E9589A">
        <w:t>point-to-point services</w:t>
      </w:r>
      <w:r>
        <w:t xml:space="preserve">, </w:t>
      </w:r>
      <w:r w:rsidR="001E3337">
        <w:t>each</w:t>
      </w:r>
      <w:r w:rsidR="00E9589A">
        <w:t xml:space="preserve"> channel</w:t>
      </w:r>
      <w:r>
        <w:t xml:space="preserve"> </w:t>
      </w:r>
      <w:r w:rsidR="00F47F95">
        <w:t xml:space="preserve">usually </w:t>
      </w:r>
      <w:r>
        <w:t xml:space="preserve">has a relationship with </w:t>
      </w:r>
      <w:r w:rsidR="00F47F95">
        <w:t xml:space="preserve">another </w:t>
      </w:r>
      <w:r>
        <w:t xml:space="preserve">paired </w:t>
      </w:r>
      <w:r w:rsidR="001E3337">
        <w:t>channel</w:t>
      </w:r>
      <w:r>
        <w:t>.</w:t>
      </w:r>
    </w:p>
    <w:p w14:paraId="7C82EE01" w14:textId="77777777" w:rsidR="00F57D42" w:rsidRDefault="00F57D42" w:rsidP="00F57D42">
      <w:pPr>
        <w:pStyle w:val="Heading2"/>
      </w:pPr>
      <w:bookmarkStart w:id="64" w:name="_Toc525659990"/>
      <w:bookmarkStart w:id="65" w:name="_Toc87534297"/>
      <w:r>
        <w:lastRenderedPageBreak/>
        <w:t>Scenario</w:t>
      </w:r>
      <w:r w:rsidRPr="00722B79">
        <w:t xml:space="preserve"> </w:t>
      </w:r>
      <w:r>
        <w:t>2</w:t>
      </w:r>
      <w:r w:rsidRPr="00722B79">
        <w:t xml:space="preserve">: </w:t>
      </w:r>
      <w:bookmarkStart w:id="66" w:name="_Hlk84403314"/>
      <w:r>
        <w:t xml:space="preserve">All </w:t>
      </w:r>
      <w:r w:rsidRPr="00722B79">
        <w:t>service</w:t>
      </w:r>
      <w:r>
        <w:t>s/applications</w:t>
      </w:r>
      <w:r w:rsidRPr="00722B79">
        <w:t xml:space="preserve"> </w:t>
      </w:r>
      <w:r>
        <w:t>with dedicated, exclusive spectrum</w:t>
      </w:r>
      <w:bookmarkEnd w:id="64"/>
      <w:bookmarkEnd w:id="66"/>
      <w:bookmarkEnd w:id="65"/>
    </w:p>
    <w:p w14:paraId="45F1A794" w14:textId="204B8A0E" w:rsidR="00F57D42" w:rsidRDefault="00F57D42" w:rsidP="00E200E5">
      <w:pPr>
        <w:pStyle w:val="Paragraph"/>
      </w:pPr>
      <w:r>
        <w:t>Another approach might be to provide all the services/applications with dedicated Australia-wide allocations. Providing all services/applications with dedicated spectrum, (given there is only finite spectrum available in the band) would result in each service/allo</w:t>
      </w:r>
      <w:r w:rsidRPr="009C2E7D">
        <w:t xml:space="preserve">cation only having access to a modest subset for the band. For example, in the </w:t>
      </w:r>
      <w:r w:rsidR="00AD4729" w:rsidRPr="009C2E7D">
        <w:t xml:space="preserve">scenario shown in </w:t>
      </w:r>
      <w:r w:rsidRPr="009C2E7D">
        <w:t xml:space="preserve">Figure </w:t>
      </w:r>
      <w:r w:rsidR="007D7C08" w:rsidRPr="009C2E7D">
        <w:t>1</w:t>
      </w:r>
      <w:r w:rsidR="001E65C3" w:rsidRPr="009C2E7D">
        <w:t>7</w:t>
      </w:r>
      <w:r w:rsidRPr="009C2E7D">
        <w:t xml:space="preserve">, </w:t>
      </w:r>
      <w:r w:rsidR="00AD4729" w:rsidRPr="009C2E7D">
        <w:t>DECT</w:t>
      </w:r>
      <w:r w:rsidRPr="009C2E7D">
        <w:t xml:space="preserve"> services ha</w:t>
      </w:r>
      <w:r w:rsidR="007364C2" w:rsidRPr="009C2E7D">
        <w:t>ve</w:t>
      </w:r>
      <w:r w:rsidRPr="009C2E7D">
        <w:t xml:space="preserve"> </w:t>
      </w:r>
      <w:r w:rsidR="00381CF7" w:rsidRPr="009C2E7D">
        <w:t xml:space="preserve">only </w:t>
      </w:r>
      <w:r w:rsidRPr="009C2E7D">
        <w:t xml:space="preserve">been allocated to </w:t>
      </w:r>
      <w:r w:rsidR="00AD4729" w:rsidRPr="009C2E7D">
        <w:t>1880</w:t>
      </w:r>
      <w:r w:rsidR="00DC047C" w:rsidRPr="009C2E7D">
        <w:t>–</w:t>
      </w:r>
      <w:r w:rsidR="00AD4729" w:rsidRPr="009C2E7D">
        <w:t xml:space="preserve">1900 </w:t>
      </w:r>
      <w:r w:rsidR="00DC047C" w:rsidRPr="009C2E7D">
        <w:t>MHz</w:t>
      </w:r>
      <w:r w:rsidR="00AD4729" w:rsidRPr="009C2E7D">
        <w:t xml:space="preserve"> and </w:t>
      </w:r>
      <w:r w:rsidR="00EB2F96" w:rsidRPr="009C2E7D">
        <w:t>wireless broadband services to 1900–1920 MHz</w:t>
      </w:r>
      <w:r w:rsidRPr="009C2E7D">
        <w:t xml:space="preserve">. </w:t>
      </w:r>
      <w:r w:rsidR="00DD2DFD" w:rsidRPr="009C2E7D">
        <w:t xml:space="preserve">Also, given the limited spectrum available, in this scenario there is no spectrum for </w:t>
      </w:r>
      <w:r w:rsidR="00EB2F96" w:rsidRPr="009C2E7D">
        <w:t>point-to-point services.</w:t>
      </w:r>
      <w:r w:rsidR="00DD2DFD" w:rsidRPr="009C2E7D">
        <w:t xml:space="preserve"> </w:t>
      </w:r>
      <w:r w:rsidRPr="009C2E7D">
        <w:t>Figure</w:t>
      </w:r>
      <w:r w:rsidRPr="009C2E7D" w:rsidDel="00586F01">
        <w:t xml:space="preserve"> </w:t>
      </w:r>
      <w:r w:rsidR="00586F01" w:rsidRPr="009C2E7D">
        <w:t>1</w:t>
      </w:r>
      <w:r w:rsidR="000D7B67" w:rsidRPr="009C2E7D">
        <w:t>7</w:t>
      </w:r>
      <w:r w:rsidRPr="009C2E7D">
        <w:t xml:space="preserve"> illust</w:t>
      </w:r>
      <w:r>
        <w:t xml:space="preserve">rates the band with all potential services being allocated some </w:t>
      </w:r>
      <w:r w:rsidR="00381CF7">
        <w:t xml:space="preserve">spectrum </w:t>
      </w:r>
      <w:r>
        <w:t>Australia-wide.</w:t>
      </w:r>
    </w:p>
    <w:p w14:paraId="1D148675" w14:textId="0CFC0737" w:rsidR="00EB2F96" w:rsidRDefault="00F57D42" w:rsidP="00E200E5">
      <w:pPr>
        <w:pStyle w:val="Paragraph"/>
      </w:pPr>
      <w:r>
        <w:t xml:space="preserve">This scenario also allows for different licensing mechanisms to be used for similar technologies based on the intended application. For example, </w:t>
      </w:r>
      <w:r w:rsidR="007D7C08">
        <w:t>wireless broadband</w:t>
      </w:r>
      <w:r w:rsidR="00FF5FEF">
        <w:t xml:space="preserve"> services </w:t>
      </w:r>
      <w:r>
        <w:t xml:space="preserve">may use area-based licensing, while the </w:t>
      </w:r>
      <w:r w:rsidR="00EB2F96">
        <w:t>DECT and DECT-2020 NR</w:t>
      </w:r>
      <w:r w:rsidR="00FF5FEF">
        <w:t xml:space="preserve"> </w:t>
      </w:r>
      <w:r>
        <w:t xml:space="preserve">may use </w:t>
      </w:r>
      <w:r w:rsidR="00EB2F96">
        <w:t>class</w:t>
      </w:r>
      <w:r>
        <w:t xml:space="preserve"> licensing.</w:t>
      </w:r>
      <w:r w:rsidR="00BB02AD">
        <w:t xml:space="preserve"> </w:t>
      </w:r>
    </w:p>
    <w:p w14:paraId="0F187406" w14:textId="3223A8EE" w:rsidR="00F57D42" w:rsidRDefault="00F57D42" w:rsidP="00E200E5">
      <w:pPr>
        <w:pStyle w:val="Figureheading"/>
      </w:pPr>
      <w:r>
        <w:t>Dedicated spectrum approach</w:t>
      </w:r>
    </w:p>
    <w:p w14:paraId="3827C3BA" w14:textId="153D6350" w:rsidR="00F57D42" w:rsidRDefault="00AD4729" w:rsidP="00F57D42">
      <w:pPr>
        <w:spacing w:after="0"/>
      </w:pPr>
      <w:r>
        <w:rPr>
          <w:noProof/>
        </w:rPr>
        <w:drawing>
          <wp:inline distT="0" distB="0" distL="0" distR="0" wp14:anchorId="5BF4DECF" wp14:editId="72320185">
            <wp:extent cx="5795890" cy="1408868"/>
            <wp:effectExtent l="0" t="0" r="0" b="0"/>
            <wp:docPr id="5" name="Picture 5"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f you need help accessing or reading this diagram, please contact the ACMA's Customer Service Centre by phone on 1300 850 115 or by email at  info@acma.gov.a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4108" cy="1413296"/>
                    </a:xfrm>
                    <a:prstGeom prst="rect">
                      <a:avLst/>
                    </a:prstGeom>
                    <a:noFill/>
                  </pic:spPr>
                </pic:pic>
              </a:graphicData>
            </a:graphic>
          </wp:inline>
        </w:drawing>
      </w:r>
    </w:p>
    <w:p w14:paraId="3366B14A" w14:textId="77777777" w:rsidR="00EB2F96" w:rsidRDefault="00EB2F96" w:rsidP="00F57D42">
      <w:pPr>
        <w:spacing w:after="80"/>
      </w:pPr>
    </w:p>
    <w:p w14:paraId="70ACFEEC" w14:textId="6B8A4ADB" w:rsidR="00F57D42" w:rsidRDefault="00F57D42" w:rsidP="00F57D42">
      <w:pPr>
        <w:spacing w:after="80"/>
      </w:pPr>
      <w:r>
        <w:t>Questions raised by this scenario include:</w:t>
      </w:r>
    </w:p>
    <w:p w14:paraId="37BC904E" w14:textId="77777777" w:rsidR="00F57D42" w:rsidRDefault="00F57D42" w:rsidP="00F57D42">
      <w:pPr>
        <w:pStyle w:val="ListBullet"/>
        <w:numPr>
          <w:ilvl w:val="0"/>
          <w:numId w:val="1"/>
        </w:numPr>
      </w:pPr>
      <w:r>
        <w:t>Is there demand for each service/application in the band?</w:t>
      </w:r>
    </w:p>
    <w:p w14:paraId="57F8E1D1" w14:textId="5FC0BF4A" w:rsidR="00F57D42" w:rsidRDefault="00F57D42" w:rsidP="00F57D42">
      <w:pPr>
        <w:pStyle w:val="ListBulletLast"/>
        <w:numPr>
          <w:ilvl w:val="0"/>
          <w:numId w:val="1"/>
        </w:numPr>
      </w:pPr>
      <w:r>
        <w:t xml:space="preserve">Does this allow enough spectrum for </w:t>
      </w:r>
      <w:r w:rsidR="00197EC4">
        <w:t>all</w:t>
      </w:r>
      <w:r>
        <w:t xml:space="preserve"> services/applications?</w:t>
      </w:r>
    </w:p>
    <w:p w14:paraId="01FBF4D5" w14:textId="77777777" w:rsidR="00F57D42" w:rsidRDefault="00F57D42" w:rsidP="00F57D42">
      <w:pPr>
        <w:pStyle w:val="Heading2"/>
      </w:pPr>
      <w:bookmarkStart w:id="67" w:name="_Toc525659991"/>
      <w:bookmarkStart w:id="68" w:name="_Toc87534298"/>
      <w:r>
        <w:t>Scenario</w:t>
      </w:r>
      <w:r w:rsidRPr="00722B79">
        <w:t xml:space="preserve"> </w:t>
      </w:r>
      <w:r>
        <w:t>3</w:t>
      </w:r>
      <w:r w:rsidRPr="00722B79">
        <w:t xml:space="preserve">: </w:t>
      </w:r>
      <w:bookmarkStart w:id="69" w:name="_Hlk84403331"/>
      <w:r>
        <w:t>Geographic separation of services</w:t>
      </w:r>
      <w:bookmarkEnd w:id="67"/>
      <w:bookmarkEnd w:id="69"/>
      <w:bookmarkEnd w:id="68"/>
    </w:p>
    <w:p w14:paraId="39EC440E" w14:textId="0CB141F8" w:rsidR="00F57D42" w:rsidRDefault="00F57D42" w:rsidP="00F57D42">
      <w:r>
        <w:t xml:space="preserve">There is a </w:t>
      </w:r>
      <w:r w:rsidR="00AE51BC">
        <w:t>possibility</w:t>
      </w:r>
      <w:r>
        <w:t xml:space="preserve"> that</w:t>
      </w:r>
      <w:r w:rsidDel="000663C2">
        <w:t xml:space="preserve"> </w:t>
      </w:r>
      <w:r w:rsidR="00AE51BC">
        <w:t xml:space="preserve">demand for </w:t>
      </w:r>
      <w:r w:rsidR="000663C2">
        <w:t xml:space="preserve">some </w:t>
      </w:r>
      <w:r>
        <w:t xml:space="preserve">services/applications may be localised to certain geographic areas. For example, </w:t>
      </w:r>
      <w:r w:rsidR="007D7C08">
        <w:t>wireless broadband</w:t>
      </w:r>
      <w:r w:rsidR="008F4980">
        <w:t xml:space="preserve"> services</w:t>
      </w:r>
      <w:r>
        <w:t xml:space="preserve"> could be limited to major population areas and support for </w:t>
      </w:r>
      <w:r w:rsidR="00E5155B">
        <w:t xml:space="preserve">point-to-point </w:t>
      </w:r>
      <w:r>
        <w:t xml:space="preserve">services limited to regional areas, thus increasing the potential spectrum for </w:t>
      </w:r>
      <w:r w:rsidR="000663C2">
        <w:t xml:space="preserve">use by </w:t>
      </w:r>
      <w:r>
        <w:t xml:space="preserve">the </w:t>
      </w:r>
      <w:r w:rsidR="00DD4AA4">
        <w:t xml:space="preserve">2 </w:t>
      </w:r>
      <w:r>
        <w:t>services. Figure</w:t>
      </w:r>
      <w:r w:rsidDel="00586F01">
        <w:t xml:space="preserve"> </w:t>
      </w:r>
      <w:r w:rsidR="00586F01">
        <w:t>1</w:t>
      </w:r>
      <w:r w:rsidR="001E65C3">
        <w:t>8</w:t>
      </w:r>
      <w:r>
        <w:t xml:space="preserve"> illustrates the band with geographically separated services being allocated.</w:t>
      </w:r>
    </w:p>
    <w:p w14:paraId="37FB9B2A" w14:textId="77777777" w:rsidR="00F57D42" w:rsidRDefault="00F57D42" w:rsidP="00E200E5">
      <w:pPr>
        <w:pStyle w:val="Figureheading"/>
      </w:pPr>
      <w:r>
        <w:t>Geographically separated services</w:t>
      </w:r>
    </w:p>
    <w:p w14:paraId="4A7C6F14" w14:textId="492A5988" w:rsidR="00F57D42" w:rsidRDefault="00EB2F96" w:rsidP="00F57D42">
      <w:pPr>
        <w:spacing w:after="0"/>
      </w:pPr>
      <w:r>
        <w:rPr>
          <w:noProof/>
        </w:rPr>
        <w:drawing>
          <wp:inline distT="0" distB="0" distL="0" distR="0" wp14:anchorId="1FF3CE43" wp14:editId="106FA59C">
            <wp:extent cx="5627077" cy="1673678"/>
            <wp:effectExtent l="0" t="0" r="0" b="0"/>
            <wp:docPr id="14" name="Picture 14"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f you need help accessing or reading this diagram, please contact the ACMA's Customer Service Centre by phone on 1300 850 115 or by email at  info@acma.gov.au"/>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48200" cy="1679961"/>
                    </a:xfrm>
                    <a:prstGeom prst="rect">
                      <a:avLst/>
                    </a:prstGeom>
                    <a:noFill/>
                  </pic:spPr>
                </pic:pic>
              </a:graphicData>
            </a:graphic>
          </wp:inline>
        </w:drawing>
      </w:r>
    </w:p>
    <w:p w14:paraId="727B72D3" w14:textId="77777777" w:rsidR="00F57D42" w:rsidRDefault="00F57D42" w:rsidP="00E200E5">
      <w:pPr>
        <w:spacing w:before="240" w:after="80"/>
      </w:pPr>
      <w:r>
        <w:lastRenderedPageBreak/>
        <w:t>Questions raised by this scenario include:</w:t>
      </w:r>
    </w:p>
    <w:p w14:paraId="04F10A82" w14:textId="77777777" w:rsidR="00F57D42" w:rsidRDefault="00F57D42" w:rsidP="00F57D42">
      <w:pPr>
        <w:pStyle w:val="ListBullet"/>
        <w:numPr>
          <w:ilvl w:val="0"/>
          <w:numId w:val="1"/>
        </w:numPr>
      </w:pPr>
      <w:r>
        <w:t>What is the impact of constraining a service geographically?</w:t>
      </w:r>
    </w:p>
    <w:p w14:paraId="0713294B" w14:textId="77777777" w:rsidR="00F57D42" w:rsidRDefault="00F57D42" w:rsidP="00F57D42">
      <w:pPr>
        <w:pStyle w:val="ListBulletLast"/>
        <w:numPr>
          <w:ilvl w:val="0"/>
          <w:numId w:val="1"/>
        </w:numPr>
      </w:pPr>
      <w:r>
        <w:t xml:space="preserve">How do trends/demand for allocations vary geographically? </w:t>
      </w:r>
    </w:p>
    <w:p w14:paraId="0523CE3C" w14:textId="77777777" w:rsidR="00F57D42" w:rsidRDefault="00F57D42" w:rsidP="00F57D42">
      <w:pPr>
        <w:pStyle w:val="Heading2"/>
      </w:pPr>
      <w:bookmarkStart w:id="70" w:name="_Toc525659992"/>
      <w:bookmarkStart w:id="71" w:name="_Toc87534299"/>
      <w:r>
        <w:t>Scenario</w:t>
      </w:r>
      <w:r w:rsidRPr="00722B79">
        <w:t xml:space="preserve"> </w:t>
      </w:r>
      <w:r>
        <w:t>4</w:t>
      </w:r>
      <w:r w:rsidRPr="00722B79">
        <w:t xml:space="preserve">: </w:t>
      </w:r>
      <w:bookmarkStart w:id="72" w:name="_Hlk84403341"/>
      <w:r>
        <w:t>Sharing of spectrum by services/applications</w:t>
      </w:r>
      <w:bookmarkEnd w:id="70"/>
      <w:bookmarkEnd w:id="72"/>
      <w:bookmarkEnd w:id="71"/>
    </w:p>
    <w:p w14:paraId="49AB78D0" w14:textId="073C7720" w:rsidR="00F57D42" w:rsidRDefault="00F57D42" w:rsidP="00F57D42">
      <w:r>
        <w:t xml:space="preserve">Where possible, this approach would utilise the ability of different services/applications coexisting in shared spectrum in the same geographic area. Under this scenario, in sections of the band, all the services are shown to be operating in the same band without </w:t>
      </w:r>
      <w:r w:rsidR="00381CF7">
        <w:t xml:space="preserve">geographic </w:t>
      </w:r>
      <w:r>
        <w:t>restriction</w:t>
      </w:r>
      <w:r w:rsidR="00381CF7">
        <w:t>s</w:t>
      </w:r>
      <w:r>
        <w:t xml:space="preserve">. </w:t>
      </w:r>
      <w:r w:rsidR="00823C9A">
        <w:t xml:space="preserve">This approach is obviously highly contingent on technical coexistence being achievable between spectrum uses in a viable manner. </w:t>
      </w:r>
      <w:r>
        <w:t>Figure</w:t>
      </w:r>
      <w:r w:rsidDel="00586F01">
        <w:t xml:space="preserve"> </w:t>
      </w:r>
      <w:r w:rsidR="00586F01">
        <w:t>1</w:t>
      </w:r>
      <w:r w:rsidR="001E65C3">
        <w:t>9</w:t>
      </w:r>
      <w:r>
        <w:t xml:space="preserve"> illustrates an example of </w:t>
      </w:r>
      <w:r w:rsidR="00C96D57">
        <w:t xml:space="preserve">the </w:t>
      </w:r>
      <w:r>
        <w:t>spectrum sharing/coexisting approach.</w:t>
      </w:r>
    </w:p>
    <w:p w14:paraId="52469310" w14:textId="77777777" w:rsidR="00F57D42" w:rsidRDefault="00F57D42" w:rsidP="00E200E5">
      <w:pPr>
        <w:pStyle w:val="Figureheading"/>
      </w:pPr>
      <w:r>
        <w:t>Co-channel services</w:t>
      </w:r>
    </w:p>
    <w:p w14:paraId="78849BEF" w14:textId="72EDF9D7" w:rsidR="00F57D42" w:rsidRDefault="00EB2F96" w:rsidP="00F57D42">
      <w:pPr>
        <w:spacing w:after="0"/>
      </w:pPr>
      <w:r>
        <w:rPr>
          <w:noProof/>
        </w:rPr>
        <w:drawing>
          <wp:inline distT="0" distB="0" distL="0" distR="0" wp14:anchorId="75540124" wp14:editId="1142B9D8">
            <wp:extent cx="5767754" cy="1715520"/>
            <wp:effectExtent l="0" t="0" r="0" b="0"/>
            <wp:docPr id="18" name="Picture 18"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f you need help accessing or reading this diagram, please contact the ACMA's Customer Service Centre by phone on 1300 850 115 or by email at  info@acma.gov.au"/>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90305" cy="1722228"/>
                    </a:xfrm>
                    <a:prstGeom prst="rect">
                      <a:avLst/>
                    </a:prstGeom>
                    <a:noFill/>
                  </pic:spPr>
                </pic:pic>
              </a:graphicData>
            </a:graphic>
          </wp:inline>
        </w:drawing>
      </w:r>
    </w:p>
    <w:p w14:paraId="65488AB4" w14:textId="77777777" w:rsidR="00F57D42" w:rsidRDefault="00F57D42" w:rsidP="00E200E5">
      <w:pPr>
        <w:spacing w:before="240" w:after="80"/>
      </w:pPr>
      <w:r>
        <w:t>Questions raised by this scenario include:</w:t>
      </w:r>
    </w:p>
    <w:p w14:paraId="2AFE07BD" w14:textId="77777777" w:rsidR="00F57D42" w:rsidRDefault="00F57D42" w:rsidP="00F57D42">
      <w:pPr>
        <w:pStyle w:val="ListBullet"/>
        <w:numPr>
          <w:ilvl w:val="0"/>
          <w:numId w:val="1"/>
        </w:numPr>
      </w:pPr>
      <w:r>
        <w:t>Does the sharing of spectrum by services cause inefficiencies?</w:t>
      </w:r>
    </w:p>
    <w:p w14:paraId="193BD232" w14:textId="35B2CAA9" w:rsidR="00F57D42" w:rsidRDefault="00F57D42" w:rsidP="00F57D42">
      <w:pPr>
        <w:pStyle w:val="ListBulletLast"/>
        <w:numPr>
          <w:ilvl w:val="0"/>
          <w:numId w:val="1"/>
        </w:numPr>
      </w:pPr>
      <w:r>
        <w:t xml:space="preserve">Are there any services </w:t>
      </w:r>
      <w:r w:rsidR="00DD4AA4">
        <w:t xml:space="preserve">that </w:t>
      </w:r>
      <w:r>
        <w:t>can coexist with minimal impact</w:t>
      </w:r>
      <w:r w:rsidR="000663C2">
        <w:t xml:space="preserve"> on spectrum efficiency</w:t>
      </w:r>
      <w:r w:rsidDel="000663C2">
        <w:t>?</w:t>
      </w:r>
    </w:p>
    <w:p w14:paraId="26FB7FD6" w14:textId="77777777" w:rsidR="00F57D42" w:rsidRDefault="00F57D42" w:rsidP="00F57D42">
      <w:pPr>
        <w:pStyle w:val="Heading2"/>
      </w:pPr>
      <w:bookmarkStart w:id="73" w:name="_Toc525659993"/>
      <w:bookmarkStart w:id="74" w:name="_Toc87534300"/>
      <w:r>
        <w:t>Scenario</w:t>
      </w:r>
      <w:r w:rsidRPr="00722B79">
        <w:t xml:space="preserve"> </w:t>
      </w:r>
      <w:r>
        <w:t>5</w:t>
      </w:r>
      <w:r w:rsidRPr="00722B79">
        <w:t xml:space="preserve">: </w:t>
      </w:r>
      <w:r>
        <w:t>Combination or hybrid approach of other scenarios</w:t>
      </w:r>
      <w:bookmarkEnd w:id="73"/>
      <w:bookmarkEnd w:id="74"/>
    </w:p>
    <w:p w14:paraId="19640D03" w14:textId="00BD4721" w:rsidR="00F57D42" w:rsidRDefault="00F57D42" w:rsidP="00F57D42">
      <w:r>
        <w:t>In considering scenarios 1 to 4, different possibilities may present themselves. Some services may be able to coexist in the same geographic area in the same spectrum, while other services may be able to share the same frequency range but are separated by geographic area. Some services/applications may require dedicated Australia-wide spectrum. Scenario 5 is a combination of scenarios 1 to 4.</w:t>
      </w:r>
      <w:r w:rsidRPr="00731761">
        <w:t xml:space="preserve"> </w:t>
      </w:r>
      <w:r w:rsidRPr="001E65C3">
        <w:t>Figure</w:t>
      </w:r>
      <w:r w:rsidRPr="001E65C3" w:rsidDel="00586F01">
        <w:t xml:space="preserve"> </w:t>
      </w:r>
      <w:r w:rsidR="001E65C3">
        <w:t>20</w:t>
      </w:r>
      <w:r>
        <w:t xml:space="preserve"> illustrates conceptually what this would look like.</w:t>
      </w:r>
    </w:p>
    <w:p w14:paraId="2E53DE85" w14:textId="77777777" w:rsidR="00F57D42" w:rsidRDefault="00F57D42" w:rsidP="00E200E5">
      <w:pPr>
        <w:pStyle w:val="Figureheading"/>
      </w:pPr>
      <w:r>
        <w:t>Combination of all considerations</w:t>
      </w:r>
    </w:p>
    <w:p w14:paraId="3C125841" w14:textId="2ED84C11" w:rsidR="00F57D42" w:rsidRDefault="00BB02AD" w:rsidP="00C2123E">
      <w:pPr>
        <w:spacing w:after="0"/>
      </w:pPr>
      <w:r>
        <w:rPr>
          <w:noProof/>
        </w:rPr>
        <w:drawing>
          <wp:inline distT="0" distB="0" distL="0" distR="0" wp14:anchorId="710380CD" wp14:editId="30EDDA94">
            <wp:extent cx="5669280" cy="1686231"/>
            <wp:effectExtent l="0" t="0" r="0" b="0"/>
            <wp:docPr id="436" name="Picture 436" descr="If you need help accessing or reading this diagram, please contact the ACMA's Customer Service Centre by phone on 1300 850 115 or by email a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If you need help accessing or reading this diagram, please contact the ACMA's Customer Service Centre by phone on 1300 850 115 or by email at  info@acma.gov.au"/>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90149" cy="1692438"/>
                    </a:xfrm>
                    <a:prstGeom prst="rect">
                      <a:avLst/>
                    </a:prstGeom>
                    <a:noFill/>
                  </pic:spPr>
                </pic:pic>
              </a:graphicData>
            </a:graphic>
          </wp:inline>
        </w:drawing>
      </w:r>
      <w:r>
        <w:br w:type="textWrapping" w:clear="all"/>
      </w:r>
    </w:p>
    <w:p w14:paraId="26D07E98" w14:textId="77777777" w:rsidR="00F57D42" w:rsidRDefault="00F57D42" w:rsidP="00F57D42">
      <w:r>
        <w:lastRenderedPageBreak/>
        <w:t>All questions raised in the previous scenarios would be relevant to this scenario.</w:t>
      </w:r>
    </w:p>
    <w:p w14:paraId="6AC39057" w14:textId="5938A079" w:rsidR="0011452D" w:rsidRDefault="00F57D42" w:rsidP="006853F4">
      <w:pPr>
        <w:pStyle w:val="Paragraph"/>
      </w:pPr>
      <w:r>
        <w:t xml:space="preserve">Based on the current domestic and international considerations, and </w:t>
      </w:r>
      <w:r w:rsidR="00DD4AA4">
        <w:t>considering</w:t>
      </w:r>
      <w:r>
        <w:t xml:space="preserve"> the planning scenarios and the questions the different scenarios raise, </w:t>
      </w:r>
      <w:r w:rsidR="00C66CE2">
        <w:t>w</w:t>
      </w:r>
      <w:r w:rsidR="005D3095">
        <w:t>e</w:t>
      </w:r>
      <w:r>
        <w:t xml:space="preserve"> invite </w:t>
      </w:r>
      <w:r w:rsidR="0011452D">
        <w:t>comment on</w:t>
      </w:r>
      <w:r w:rsidR="00DD4AA4">
        <w:t xml:space="preserve"> the following:</w:t>
      </w:r>
    </w:p>
    <w:p w14:paraId="4CDA1882" w14:textId="77777777" w:rsidR="00DD4AA4" w:rsidRPr="00E200E5" w:rsidRDefault="00DD4AA4" w:rsidP="00E200E5">
      <w:pPr>
        <w:pStyle w:val="ListNumber"/>
        <w:keepNext/>
        <w:keepLines/>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sidRPr="00E200E5">
        <w:rPr>
          <w:b/>
          <w:bCs/>
        </w:rPr>
        <w:t>Issue for comment 5:</w:t>
      </w:r>
    </w:p>
    <w:p w14:paraId="3F26BDB1" w14:textId="42EB72B5" w:rsidR="00DD4AA4" w:rsidRPr="00866939" w:rsidRDefault="00DD4AA4" w:rsidP="00E200E5">
      <w:pPr>
        <w:pStyle w:val="ListNumber"/>
        <w:keepNext/>
        <w:keepLines/>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What are </w:t>
      </w:r>
      <w:r w:rsidR="00866939" w:rsidRPr="00866939">
        <w:t xml:space="preserve">possible planning scenarios and industry views on the </w:t>
      </w:r>
      <w:r w:rsidR="00866939" w:rsidRPr="00C956BB">
        <w:rPr>
          <w:iCs/>
        </w:rPr>
        <w:t>overall future use</w:t>
      </w:r>
      <w:r w:rsidR="00866939" w:rsidRPr="00866939">
        <w:t xml:space="preserve"> of the 1.9 GHz band and its services</w:t>
      </w:r>
      <w:r>
        <w:t>?</w:t>
      </w:r>
    </w:p>
    <w:p w14:paraId="684675FB" w14:textId="5D9C5F52" w:rsidR="00DD4AA4" w:rsidRDefault="006853F4" w:rsidP="00E200E5">
      <w:pPr>
        <w:pStyle w:val="ListNumber"/>
        <w:keepNext/>
        <w:keepLines/>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a) How much spectrum is required </w:t>
      </w:r>
      <w:r w:rsidR="004836A1">
        <w:t xml:space="preserve">(distinguishing between the minimum viable and desirable) </w:t>
      </w:r>
      <w:r>
        <w:t>to provide the service?</w:t>
      </w:r>
    </w:p>
    <w:p w14:paraId="7924146C" w14:textId="7E43D1C1" w:rsidR="00DD4AA4" w:rsidRDefault="006853F4" w:rsidP="00E200E5">
      <w:pPr>
        <w:pStyle w:val="ListNumber"/>
        <w:keepNext/>
        <w:keepLines/>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t>b) Is there a clear geographical delineation</w:t>
      </w:r>
      <w:r w:rsidR="00145062">
        <w:t xml:space="preserve"> – </w:t>
      </w:r>
      <w:r>
        <w:t>for example, metropolitan or</w:t>
      </w:r>
      <w:r w:rsidR="00F5099F">
        <w:t xml:space="preserve"> </w:t>
      </w:r>
      <w:r>
        <w:t>regional</w:t>
      </w:r>
      <w:r w:rsidR="00145062">
        <w:t xml:space="preserve"> – </w:t>
      </w:r>
      <w:r>
        <w:t xml:space="preserve"> for the service?</w:t>
      </w:r>
    </w:p>
    <w:p w14:paraId="39FDE9C3" w14:textId="0AD2E30F" w:rsidR="0011452D" w:rsidRDefault="006853F4" w:rsidP="00E200E5">
      <w:pPr>
        <w:pStyle w:val="ListNumber"/>
        <w:keepNext/>
        <w:keepLines/>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 Is there or will there be </w:t>
      </w:r>
      <w:r w:rsidR="00145062">
        <w:t xml:space="preserve">equipment </w:t>
      </w:r>
      <w:r>
        <w:t>readily available for the service?</w:t>
      </w:r>
    </w:p>
    <w:p w14:paraId="74F0D4F1" w14:textId="49D3618B" w:rsidR="006C1631" w:rsidRDefault="006C1631" w:rsidP="006C1631">
      <w:pPr>
        <w:pStyle w:val="Heading1"/>
      </w:pPr>
      <w:bookmarkStart w:id="75" w:name="_Toc87534301"/>
      <w:r>
        <w:lastRenderedPageBreak/>
        <w:t>Invitation to comment</w:t>
      </w:r>
      <w:bookmarkEnd w:id="75"/>
    </w:p>
    <w:p w14:paraId="56261683" w14:textId="77777777" w:rsidR="006C1631" w:rsidRDefault="006C1631" w:rsidP="006C1631">
      <w:pPr>
        <w:pStyle w:val="Heading2"/>
      </w:pPr>
      <w:bookmarkStart w:id="76" w:name="_Toc433122131"/>
      <w:bookmarkStart w:id="77" w:name="_Toc348105637"/>
      <w:bookmarkStart w:id="78" w:name="_Toc300909556"/>
      <w:bookmarkStart w:id="79" w:name="_Toc298924673"/>
      <w:bookmarkStart w:id="80" w:name="_Toc87534302"/>
      <w:bookmarkStart w:id="81" w:name="_Toc348105638"/>
      <w:bookmarkStart w:id="82" w:name="_Toc300909557"/>
      <w:bookmarkStart w:id="83" w:name="_Toc298924674"/>
      <w:bookmarkStart w:id="84" w:name="_Toc274296357"/>
      <w:r>
        <w:t>Making a submission</w:t>
      </w:r>
      <w:bookmarkEnd w:id="76"/>
      <w:bookmarkEnd w:id="77"/>
      <w:bookmarkEnd w:id="78"/>
      <w:bookmarkEnd w:id="79"/>
      <w:bookmarkEnd w:id="80"/>
    </w:p>
    <w:p w14:paraId="0E3A8E43" w14:textId="77777777" w:rsidR="006C1631" w:rsidRDefault="006C5FD4" w:rsidP="005F37DE">
      <w:pPr>
        <w:pStyle w:val="Paragraphbeforelist"/>
      </w:pPr>
      <w:r>
        <w:t>We</w:t>
      </w:r>
      <w:r w:rsidR="006C1631">
        <w:t xml:space="preserve"> invite comments on the issues set out in this discussion paper. </w:t>
      </w:r>
    </w:p>
    <w:p w14:paraId="77705EAD" w14:textId="77777777" w:rsidR="0070133D" w:rsidRDefault="00D82479" w:rsidP="0070133D">
      <w:pPr>
        <w:pStyle w:val="Bulletlevel1"/>
      </w:pPr>
      <w:hyperlink r:id="rId110" w:history="1">
        <w:r w:rsidR="0070133D">
          <w:rPr>
            <w:rStyle w:val="Hyperlink"/>
          </w:rPr>
          <w:t>Online submissions</w:t>
        </w:r>
      </w:hyperlink>
      <w:r w:rsidR="0070133D">
        <w:t xml:space="preserve"> can be made by </w:t>
      </w:r>
      <w:r w:rsidR="0070133D" w:rsidRPr="0070133D">
        <w:t>uploading</w:t>
      </w:r>
      <w:r w:rsidR="0070133D">
        <w:t xml:space="preserve"> a document. Submissions in</w:t>
      </w:r>
      <w:r w:rsidR="00396DC2">
        <w:t xml:space="preserve"> PDF, </w:t>
      </w:r>
      <w:r w:rsidR="0070133D">
        <w:t>Microsoft Word or Rich Text Format are preferred.</w:t>
      </w:r>
    </w:p>
    <w:p w14:paraId="2CED17D9" w14:textId="77777777" w:rsidR="006C1631" w:rsidRDefault="006C1631" w:rsidP="0070133D">
      <w:pPr>
        <w:pStyle w:val="Bulletlevel1"/>
      </w:pPr>
      <w:r>
        <w:t xml:space="preserve">Submissions by post can be sent to: </w:t>
      </w:r>
    </w:p>
    <w:p w14:paraId="1EB8A332" w14:textId="77777777" w:rsidR="006C1631" w:rsidRPr="00285E8F" w:rsidRDefault="006C1631" w:rsidP="006C1631">
      <w:pPr>
        <w:tabs>
          <w:tab w:val="num" w:pos="295"/>
        </w:tabs>
        <w:spacing w:after="0"/>
        <w:ind w:left="295"/>
        <w:rPr>
          <w:szCs w:val="20"/>
        </w:rPr>
      </w:pPr>
      <w:r w:rsidRPr="00285E8F">
        <w:rPr>
          <w:szCs w:val="20"/>
        </w:rPr>
        <w:t>The Manager</w:t>
      </w:r>
    </w:p>
    <w:p w14:paraId="2C5973F5" w14:textId="7953891F" w:rsidR="006C1631" w:rsidRPr="00285E8F" w:rsidRDefault="00285E8F" w:rsidP="006C1631">
      <w:pPr>
        <w:spacing w:after="0"/>
        <w:ind w:left="295"/>
        <w:rPr>
          <w:szCs w:val="20"/>
        </w:rPr>
      </w:pPr>
      <w:r w:rsidRPr="00285E8F">
        <w:rPr>
          <w:szCs w:val="20"/>
        </w:rPr>
        <w:t>Wireless Broadband</w:t>
      </w:r>
    </w:p>
    <w:p w14:paraId="7EC239B8" w14:textId="77777777" w:rsidR="006C1631" w:rsidRPr="00285E8F" w:rsidRDefault="006C1631" w:rsidP="006C1631">
      <w:pPr>
        <w:spacing w:after="0"/>
        <w:ind w:left="295"/>
        <w:rPr>
          <w:szCs w:val="20"/>
        </w:rPr>
      </w:pPr>
      <w:r w:rsidRPr="00285E8F">
        <w:rPr>
          <w:szCs w:val="20"/>
        </w:rPr>
        <w:t>Australian Communications and Media Authority</w:t>
      </w:r>
    </w:p>
    <w:p w14:paraId="7C2D3F20" w14:textId="77777777" w:rsidR="006C1631" w:rsidRPr="00285E8F" w:rsidRDefault="006C1631" w:rsidP="006C1631">
      <w:pPr>
        <w:spacing w:after="0"/>
        <w:ind w:left="295"/>
        <w:rPr>
          <w:szCs w:val="20"/>
        </w:rPr>
      </w:pPr>
      <w:r w:rsidRPr="00285E8F">
        <w:rPr>
          <w:szCs w:val="20"/>
        </w:rPr>
        <w:t>PO Box 78</w:t>
      </w:r>
    </w:p>
    <w:p w14:paraId="6EDBB56B" w14:textId="77777777" w:rsidR="006C1631" w:rsidRDefault="006C1631" w:rsidP="006C1631">
      <w:pPr>
        <w:ind w:left="295"/>
        <w:rPr>
          <w:szCs w:val="20"/>
        </w:rPr>
      </w:pPr>
      <w:r w:rsidRPr="00285E8F">
        <w:rPr>
          <w:szCs w:val="20"/>
        </w:rPr>
        <w:t>Belconnen ACT 2616</w:t>
      </w:r>
    </w:p>
    <w:p w14:paraId="7DCBC161" w14:textId="7F137199" w:rsidR="006C1631" w:rsidRDefault="006C1631" w:rsidP="005F37DE">
      <w:pPr>
        <w:pStyle w:val="Paragraph"/>
      </w:pPr>
      <w:r>
        <w:t xml:space="preserve">The closing date for submissions is </w:t>
      </w:r>
      <w:r w:rsidR="00B53056" w:rsidRPr="0048310F">
        <w:rPr>
          <w:b/>
          <w:bCs/>
          <w:szCs w:val="20"/>
        </w:rPr>
        <w:t xml:space="preserve">COB, Friday </w:t>
      </w:r>
      <w:r w:rsidR="00A95EF3">
        <w:rPr>
          <w:b/>
          <w:bCs/>
        </w:rPr>
        <w:t>1</w:t>
      </w:r>
      <w:r w:rsidR="00A95EF3" w:rsidRPr="0048310F">
        <w:rPr>
          <w:b/>
          <w:bCs/>
        </w:rPr>
        <w:t xml:space="preserve">1 </w:t>
      </w:r>
      <w:r w:rsidR="00A95EF3">
        <w:rPr>
          <w:b/>
          <w:bCs/>
        </w:rPr>
        <w:t>February</w:t>
      </w:r>
      <w:r w:rsidR="00B53056" w:rsidRPr="0048310F">
        <w:rPr>
          <w:b/>
          <w:bCs/>
        </w:rPr>
        <w:t xml:space="preserve"> 2022</w:t>
      </w:r>
      <w:r>
        <w:t>.</w:t>
      </w:r>
    </w:p>
    <w:p w14:paraId="0CC69BA8" w14:textId="14C05B55" w:rsidR="006C1631" w:rsidRDefault="006C1631" w:rsidP="005F37DE">
      <w:pPr>
        <w:pStyle w:val="Paragraph"/>
        <w:rPr>
          <w:szCs w:val="20"/>
        </w:rPr>
      </w:pPr>
      <w:r w:rsidRPr="00285E8F">
        <w:t xml:space="preserve">Consultation enquiries can be emailed </w:t>
      </w:r>
      <w:r w:rsidRPr="00285E8F">
        <w:rPr>
          <w:szCs w:val="20"/>
        </w:rPr>
        <w:t xml:space="preserve">to </w:t>
      </w:r>
      <w:hyperlink r:id="rId111" w:history="1">
        <w:r w:rsidR="00285E8F" w:rsidRPr="00285E8F">
          <w:rPr>
            <w:rStyle w:val="Hyperlink"/>
            <w:szCs w:val="20"/>
          </w:rPr>
          <w:t>freqplan@acma.gov.au</w:t>
        </w:r>
      </w:hyperlink>
      <w:r w:rsidRPr="00285E8F">
        <w:rPr>
          <w:szCs w:val="20"/>
        </w:rPr>
        <w:t>.</w:t>
      </w:r>
    </w:p>
    <w:p w14:paraId="3A4E216C" w14:textId="77777777" w:rsidR="006C1631" w:rsidRDefault="006C1631" w:rsidP="005B2F0D">
      <w:pPr>
        <w:pStyle w:val="Heading4"/>
      </w:pPr>
      <w:bookmarkStart w:id="85" w:name="_Toc348105639"/>
      <w:bookmarkStart w:id="86" w:name="_Toc300909558"/>
      <w:bookmarkStart w:id="87" w:name="_Hlk59627494"/>
      <w:bookmarkEnd w:id="81"/>
      <w:bookmarkEnd w:id="82"/>
      <w:r>
        <w:t xml:space="preserve">Publication of </w:t>
      </w:r>
      <w:r w:rsidRPr="005B2F0D">
        <w:t>submissions</w:t>
      </w:r>
      <w:bookmarkEnd w:id="83"/>
      <w:bookmarkEnd w:id="84"/>
      <w:bookmarkEnd w:id="85"/>
      <w:bookmarkEnd w:id="86"/>
    </w:p>
    <w:p w14:paraId="6264F836" w14:textId="77777777" w:rsidR="006C1631" w:rsidRDefault="006C5FD4" w:rsidP="005F37DE">
      <w:pPr>
        <w:pStyle w:val="Paragraph"/>
      </w:pPr>
      <w:bookmarkStart w:id="88" w:name="_Toc348105640"/>
      <w:bookmarkStart w:id="89" w:name="_Toc300909559"/>
      <w:bookmarkStart w:id="90" w:name="_Toc265246234"/>
      <w:r>
        <w:t>We</w:t>
      </w:r>
      <w:r w:rsidR="006C1631">
        <w:t xml:space="preserve"> publish submissions on our website, including personal information (such as names and contact details), except for information that you have claimed (and we have accepted) is confidential. </w:t>
      </w:r>
    </w:p>
    <w:p w14:paraId="56931080" w14:textId="77777777" w:rsidR="006C1631" w:rsidRDefault="006C1631" w:rsidP="005F37DE">
      <w:pPr>
        <w:pStyle w:val="Paragraph"/>
      </w:pPr>
      <w:r>
        <w:t>Confidential information will not be published or otherwise released unless required or authorised by law.</w:t>
      </w:r>
    </w:p>
    <w:p w14:paraId="62ECD304" w14:textId="77777777" w:rsidR="006C1631" w:rsidRDefault="006C1631" w:rsidP="005B2F0D">
      <w:pPr>
        <w:pStyle w:val="Heading4"/>
      </w:pPr>
      <w:r>
        <w:t>Privacy</w:t>
      </w:r>
    </w:p>
    <w:p w14:paraId="32683C76" w14:textId="77777777" w:rsidR="006C1631" w:rsidRDefault="00E21056" w:rsidP="005B2F0D">
      <w:pPr>
        <w:pStyle w:val="Paragraph"/>
      </w:pPr>
      <w:r>
        <w:t>View</w:t>
      </w:r>
      <w:r w:rsidR="006C1631">
        <w:t xml:space="preserve"> information about </w:t>
      </w:r>
      <w:r>
        <w:t xml:space="preserve">our policy on the </w:t>
      </w:r>
      <w:hyperlink r:id="rId112" w:history="1">
        <w:r>
          <w:rPr>
            <w:rStyle w:val="Hyperlink"/>
          </w:rPr>
          <w:t>p</w:t>
        </w:r>
        <w:r w:rsidRPr="00E21056">
          <w:rPr>
            <w:rStyle w:val="Hyperlink"/>
          </w:rPr>
          <w:t>ublication of submissions</w:t>
        </w:r>
      </w:hyperlink>
      <w:r>
        <w:t xml:space="preserve">, including </w:t>
      </w:r>
      <w:r w:rsidR="006C1631">
        <w:t>collection of personal information during consultation and how we handle that information</w:t>
      </w:r>
      <w:r>
        <w:t>.</w:t>
      </w:r>
    </w:p>
    <w:bookmarkEnd w:id="88"/>
    <w:bookmarkEnd w:id="89"/>
    <w:bookmarkEnd w:id="90"/>
    <w:p w14:paraId="63E445F2" w14:textId="77777777" w:rsidR="00A4193E" w:rsidRPr="0041233F" w:rsidRDefault="006C1631" w:rsidP="005B2F0D">
      <w:pPr>
        <w:pStyle w:val="Paragraph"/>
      </w:pPr>
      <w:r>
        <w:t xml:space="preserve">Information on the </w:t>
      </w:r>
      <w:r>
        <w:rPr>
          <w:i/>
        </w:rPr>
        <w:t>Privacy Act 1988</w:t>
      </w:r>
      <w:r w:rsidR="006A4CCA">
        <w:rPr>
          <w:i/>
        </w:rPr>
        <w:t xml:space="preserve">, </w:t>
      </w:r>
      <w:r>
        <w:t xml:space="preserve">how to access or correct personal information, how to make a privacy complaint and how we will deal with </w:t>
      </w:r>
      <w:r w:rsidR="006C5FD4">
        <w:t xml:space="preserve">any </w:t>
      </w:r>
      <w:r>
        <w:t>complaint</w:t>
      </w:r>
      <w:r w:rsidR="006C5FD4">
        <w:t>s</w:t>
      </w:r>
      <w:r w:rsidR="00BB6335">
        <w:t>,</w:t>
      </w:r>
      <w:r w:rsidR="00CF0BFE">
        <w:t xml:space="preserve"> </w:t>
      </w:r>
      <w:r>
        <w:t xml:space="preserve">is available </w:t>
      </w:r>
      <w:r w:rsidR="00E21056">
        <w:t xml:space="preserve">in our </w:t>
      </w:r>
      <w:hyperlink r:id="rId113" w:history="1">
        <w:r w:rsidR="00E21056" w:rsidRPr="00E21056">
          <w:rPr>
            <w:rStyle w:val="Hyperlink"/>
          </w:rPr>
          <w:t>privacy policy</w:t>
        </w:r>
      </w:hyperlink>
      <w:r>
        <w:t>.</w:t>
      </w:r>
      <w:r w:rsidR="00A4193E">
        <w:t xml:space="preserve"> </w:t>
      </w:r>
    </w:p>
    <w:p w14:paraId="7BC85D55" w14:textId="453AFB34" w:rsidR="00F51BE5" w:rsidRDefault="00A95068" w:rsidP="001342B8">
      <w:pPr>
        <w:pStyle w:val="Heading1"/>
      </w:pPr>
      <w:bookmarkStart w:id="91" w:name="_Toc87534303"/>
      <w:bookmarkEnd w:id="87"/>
      <w:r>
        <w:lastRenderedPageBreak/>
        <w:t xml:space="preserve">Acronym </w:t>
      </w:r>
      <w:r w:rsidR="00196AFE">
        <w:t>l</w:t>
      </w:r>
      <w:r>
        <w:t>ist</w:t>
      </w:r>
      <w:bookmarkEnd w:id="91"/>
    </w:p>
    <w:p w14:paraId="6D7287EE" w14:textId="77777777" w:rsidR="000F4A25" w:rsidRDefault="000F4A25" w:rsidP="00E200E5">
      <w:pPr>
        <w:pStyle w:val="Paragraph"/>
        <w:spacing w:after="60"/>
      </w:pPr>
      <w:r>
        <w:t>3GPP</w:t>
      </w:r>
      <w:r w:rsidRPr="001F528E">
        <w:tab/>
      </w:r>
      <w:r w:rsidRPr="001F528E">
        <w:tab/>
      </w:r>
      <w:r w:rsidRPr="001F528E">
        <w:tab/>
      </w:r>
      <w:r w:rsidRPr="001F528E">
        <w:tab/>
      </w:r>
      <w:r w:rsidRPr="001F528E">
        <w:tab/>
      </w:r>
      <w:r>
        <w:tab/>
      </w:r>
      <w:r w:rsidRPr="00A3190C">
        <w:t xml:space="preserve">3rd Generation Partnership Project </w:t>
      </w:r>
    </w:p>
    <w:p w14:paraId="5DD5AF38" w14:textId="79FE4664" w:rsidR="000F4A25" w:rsidRPr="00B77333" w:rsidRDefault="000F4A25" w:rsidP="00E200E5">
      <w:pPr>
        <w:pStyle w:val="Paragraph"/>
        <w:spacing w:after="60"/>
      </w:pPr>
      <w:r>
        <w:t>ARSP</w:t>
      </w:r>
      <w:r>
        <w:tab/>
      </w:r>
      <w:r>
        <w:tab/>
      </w:r>
      <w:r>
        <w:tab/>
      </w:r>
      <w:r>
        <w:tab/>
      </w:r>
      <w:r>
        <w:tab/>
      </w:r>
      <w:r>
        <w:tab/>
        <w:t>Australian Radiofrequency Spectrum Plan</w:t>
      </w:r>
      <w:r w:rsidR="00270F57">
        <w:t xml:space="preserve"> 20</w:t>
      </w:r>
      <w:r w:rsidR="00083874">
        <w:t>21</w:t>
      </w:r>
      <w:r w:rsidRPr="00B77333">
        <w:tab/>
      </w:r>
      <w:r w:rsidRPr="00B77333">
        <w:tab/>
      </w:r>
      <w:r w:rsidRPr="00B77333">
        <w:tab/>
      </w:r>
      <w:r w:rsidRPr="00B77333">
        <w:tab/>
      </w:r>
      <w:r w:rsidRPr="00B77333">
        <w:tab/>
      </w:r>
    </w:p>
    <w:p w14:paraId="19EFFEA0" w14:textId="77777777" w:rsidR="000F4A25" w:rsidRPr="00B77333" w:rsidRDefault="000F4A25" w:rsidP="00E200E5">
      <w:pPr>
        <w:pStyle w:val="Paragraph"/>
        <w:spacing w:after="60"/>
        <w:ind w:left="1988" w:hanging="1988"/>
      </w:pPr>
      <w:r w:rsidRPr="00B77333">
        <w:t>CEPT</w:t>
      </w:r>
      <w:r w:rsidRPr="00B77333">
        <w:tab/>
        <w:t xml:space="preserve">Conference </w:t>
      </w:r>
      <w:r>
        <w:t xml:space="preserve">of </w:t>
      </w:r>
      <w:r w:rsidRPr="00B77333">
        <w:t xml:space="preserve">European Postal and Telecommunications </w:t>
      </w:r>
    </w:p>
    <w:p w14:paraId="27081060" w14:textId="77777777" w:rsidR="000F4A25" w:rsidRPr="00B77333" w:rsidRDefault="000F4A25" w:rsidP="00E200E5">
      <w:pPr>
        <w:pStyle w:val="Paragraph"/>
        <w:spacing w:after="60"/>
      </w:pPr>
      <w:r>
        <w:t>CTS</w:t>
      </w:r>
      <w:r w:rsidRPr="00B77333">
        <w:tab/>
      </w:r>
      <w:r w:rsidRPr="00B77333">
        <w:tab/>
      </w:r>
      <w:r w:rsidRPr="00B77333">
        <w:tab/>
      </w:r>
      <w:r w:rsidRPr="00B77333">
        <w:tab/>
      </w:r>
      <w:r w:rsidRPr="00B77333">
        <w:tab/>
      </w:r>
      <w:r w:rsidRPr="00B77333">
        <w:tab/>
      </w:r>
      <w:r>
        <w:t xml:space="preserve">cordless telecommunications services </w:t>
      </w:r>
    </w:p>
    <w:p w14:paraId="7B68FAF4" w14:textId="52EF922F" w:rsidR="000F4A25" w:rsidRDefault="000F4A25" w:rsidP="00E200E5">
      <w:pPr>
        <w:pStyle w:val="Paragraph"/>
        <w:spacing w:after="60"/>
      </w:pPr>
      <w:r>
        <w:t>DECT</w:t>
      </w:r>
      <w:r w:rsidRPr="00B77333">
        <w:tab/>
      </w:r>
      <w:r w:rsidRPr="00B77333">
        <w:tab/>
      </w:r>
      <w:r w:rsidRPr="00B77333">
        <w:tab/>
      </w:r>
      <w:r w:rsidRPr="00B77333">
        <w:tab/>
      </w:r>
      <w:r w:rsidRPr="00B77333">
        <w:tab/>
      </w:r>
      <w:r w:rsidRPr="00B77333">
        <w:tab/>
      </w:r>
      <w:r w:rsidR="001615F0">
        <w:t>d</w:t>
      </w:r>
      <w:r>
        <w:t xml:space="preserve">igital </w:t>
      </w:r>
      <w:r w:rsidR="00FE7E0B">
        <w:t>e</w:t>
      </w:r>
      <w:r>
        <w:t xml:space="preserve">nhanced </w:t>
      </w:r>
      <w:r w:rsidR="00FE7E0B">
        <w:t>c</w:t>
      </w:r>
      <w:r>
        <w:t xml:space="preserve">ordless </w:t>
      </w:r>
      <w:r w:rsidR="00FE7E0B">
        <w:t>t</w:t>
      </w:r>
      <w:r>
        <w:t>elecommunications</w:t>
      </w:r>
    </w:p>
    <w:p w14:paraId="057058CE" w14:textId="4BC7FE7F" w:rsidR="000F4A25" w:rsidRPr="00B77333" w:rsidRDefault="000F4A25" w:rsidP="00E200E5">
      <w:pPr>
        <w:pStyle w:val="Paragraph"/>
        <w:spacing w:after="60"/>
      </w:pPr>
      <w:r>
        <w:t>ECC</w:t>
      </w:r>
      <w:r>
        <w:tab/>
      </w:r>
      <w:r>
        <w:tab/>
      </w:r>
      <w:r>
        <w:tab/>
      </w:r>
      <w:r>
        <w:tab/>
      </w:r>
      <w:r>
        <w:tab/>
      </w:r>
      <w:r>
        <w:tab/>
        <w:t>Electronic Communications Committee</w:t>
      </w:r>
      <w:r w:rsidRPr="00B77333">
        <w:tab/>
      </w:r>
    </w:p>
    <w:p w14:paraId="0AF4588B" w14:textId="77777777" w:rsidR="000F4A25" w:rsidRDefault="000F4A25" w:rsidP="00E200E5">
      <w:pPr>
        <w:pStyle w:val="Paragraph"/>
        <w:spacing w:after="60"/>
      </w:pPr>
      <w:r>
        <w:t>ETSI</w:t>
      </w:r>
      <w:r w:rsidRPr="00A4262A">
        <w:tab/>
      </w:r>
      <w:r w:rsidRPr="00A4262A">
        <w:tab/>
      </w:r>
      <w:r w:rsidRPr="00A4262A">
        <w:tab/>
      </w:r>
      <w:r w:rsidRPr="00A4262A">
        <w:tab/>
      </w:r>
      <w:r w:rsidRPr="00A4262A">
        <w:tab/>
      </w:r>
      <w:r w:rsidRPr="00A4262A">
        <w:tab/>
      </w:r>
      <w:r w:rsidRPr="00810E4E">
        <w:t>European Telecommunications Standards Institute</w:t>
      </w:r>
    </w:p>
    <w:p w14:paraId="5AF57DCC" w14:textId="77777777" w:rsidR="000F4A25" w:rsidRPr="00121201" w:rsidRDefault="000F4A25" w:rsidP="00E200E5">
      <w:pPr>
        <w:pStyle w:val="Paragraph"/>
        <w:spacing w:after="60"/>
        <w:rPr>
          <w:highlight w:val="cyan"/>
        </w:rPr>
      </w:pPr>
      <w:r w:rsidRPr="00C24A0F">
        <w:rPr>
          <w:szCs w:val="20"/>
        </w:rPr>
        <w:t>FDD</w:t>
      </w:r>
      <w:r w:rsidRPr="0014496E">
        <w:tab/>
      </w:r>
      <w:r>
        <w:tab/>
      </w:r>
      <w:r>
        <w:tab/>
      </w:r>
      <w:r>
        <w:tab/>
      </w:r>
      <w:r>
        <w:tab/>
      </w:r>
      <w:r>
        <w:tab/>
      </w:r>
      <w:r>
        <w:rPr>
          <w:szCs w:val="20"/>
        </w:rPr>
        <w:t>F</w:t>
      </w:r>
      <w:r w:rsidRPr="00C24A0F">
        <w:rPr>
          <w:szCs w:val="20"/>
        </w:rPr>
        <w:t xml:space="preserve">requency </w:t>
      </w:r>
      <w:r>
        <w:rPr>
          <w:szCs w:val="20"/>
        </w:rPr>
        <w:t>D</w:t>
      </w:r>
      <w:r w:rsidRPr="00C24A0F">
        <w:rPr>
          <w:szCs w:val="20"/>
        </w:rPr>
        <w:t xml:space="preserve">ivision </w:t>
      </w:r>
      <w:r>
        <w:rPr>
          <w:szCs w:val="20"/>
        </w:rPr>
        <w:t>D</w:t>
      </w:r>
      <w:r w:rsidRPr="00C24A0F">
        <w:rPr>
          <w:szCs w:val="20"/>
        </w:rPr>
        <w:t>uplex</w:t>
      </w:r>
      <w:r w:rsidRPr="0014496E">
        <w:tab/>
      </w:r>
    </w:p>
    <w:p w14:paraId="59DDDD8C" w14:textId="528E8DCA" w:rsidR="000F4A25" w:rsidRDefault="000F4A25" w:rsidP="00E200E5">
      <w:pPr>
        <w:pStyle w:val="Paragraph"/>
        <w:spacing w:after="60"/>
      </w:pPr>
      <w:r>
        <w:t>FMRCS</w:t>
      </w:r>
      <w:r w:rsidRPr="00B77333">
        <w:tab/>
      </w:r>
      <w:r w:rsidRPr="00B77333">
        <w:tab/>
      </w:r>
      <w:r w:rsidRPr="00B77333">
        <w:tab/>
      </w:r>
      <w:r w:rsidRPr="00B77333">
        <w:tab/>
      </w:r>
      <w:r w:rsidRPr="00B77333">
        <w:tab/>
      </w:r>
      <w:r>
        <w:t xml:space="preserve">Future Railway Mobile Communication Systems </w:t>
      </w:r>
    </w:p>
    <w:p w14:paraId="2F892D96" w14:textId="77777777" w:rsidR="000F4A25" w:rsidRPr="00B77333" w:rsidRDefault="000F4A25" w:rsidP="00E200E5">
      <w:pPr>
        <w:pStyle w:val="Paragraph"/>
        <w:spacing w:after="60"/>
      </w:pPr>
      <w:r>
        <w:t>FYSO</w:t>
      </w:r>
      <w:r w:rsidRPr="00B77333">
        <w:tab/>
      </w:r>
      <w:r w:rsidRPr="00B77333">
        <w:tab/>
      </w:r>
      <w:r w:rsidRPr="00B77333">
        <w:tab/>
      </w:r>
      <w:r w:rsidRPr="00B77333">
        <w:tab/>
      </w:r>
      <w:r>
        <w:tab/>
      </w:r>
      <w:r>
        <w:tab/>
        <w:t>f</w:t>
      </w:r>
      <w:r w:rsidRPr="00F363E2">
        <w:t>ive-year spectrum outlook</w:t>
      </w:r>
    </w:p>
    <w:p w14:paraId="3CA69248" w14:textId="77777777" w:rsidR="000F4A25" w:rsidRPr="00B77333" w:rsidRDefault="000F4A25" w:rsidP="00E200E5">
      <w:pPr>
        <w:pStyle w:val="Paragraph"/>
        <w:spacing w:after="60"/>
      </w:pPr>
      <w:r>
        <w:t>IMT</w:t>
      </w:r>
      <w:r w:rsidRPr="00B77333">
        <w:tab/>
      </w:r>
      <w:r w:rsidRPr="00B77333">
        <w:tab/>
      </w:r>
      <w:r w:rsidRPr="00B77333">
        <w:tab/>
      </w:r>
      <w:r w:rsidRPr="00B77333">
        <w:tab/>
      </w:r>
      <w:r w:rsidRPr="00B77333">
        <w:tab/>
      </w:r>
      <w:r>
        <w:tab/>
      </w:r>
      <w:r w:rsidRPr="00BF4A35">
        <w:t>International Mobile Telecommunications</w:t>
      </w:r>
    </w:p>
    <w:p w14:paraId="5D46B63C" w14:textId="77777777" w:rsidR="000F4A25" w:rsidRPr="004E2F07" w:rsidRDefault="000F4A25" w:rsidP="00E200E5">
      <w:pPr>
        <w:pStyle w:val="Paragraph"/>
        <w:spacing w:after="60"/>
      </w:pPr>
      <w:r w:rsidRPr="00C24A0F">
        <w:rPr>
          <w:rFonts w:eastAsiaTheme="minorHAnsi"/>
          <w:szCs w:val="20"/>
          <w:lang w:eastAsia="en-US"/>
        </w:rPr>
        <w:t>ISDN</w:t>
      </w:r>
      <w:r w:rsidRPr="004E2F07">
        <w:tab/>
      </w:r>
      <w:r w:rsidRPr="004E2F07">
        <w:tab/>
      </w:r>
      <w:r w:rsidRPr="004E2F07">
        <w:tab/>
      </w:r>
      <w:r w:rsidRPr="004E2F07">
        <w:tab/>
      </w:r>
      <w:r w:rsidRPr="004E2F07">
        <w:tab/>
      </w:r>
      <w:r>
        <w:tab/>
      </w:r>
      <w:r w:rsidRPr="00C24A0F">
        <w:rPr>
          <w:rFonts w:eastAsiaTheme="minorHAnsi"/>
          <w:szCs w:val="20"/>
          <w:lang w:eastAsia="en-US"/>
        </w:rPr>
        <w:t xml:space="preserve">Integrated Services Digital Network </w:t>
      </w:r>
    </w:p>
    <w:p w14:paraId="7CCA1314" w14:textId="77777777" w:rsidR="000F4A25" w:rsidRPr="0014496E" w:rsidRDefault="000F4A25" w:rsidP="00E200E5">
      <w:pPr>
        <w:pStyle w:val="Paragraph"/>
        <w:spacing w:after="60"/>
      </w:pPr>
      <w:r w:rsidRPr="0014496E">
        <w:t>ITU</w:t>
      </w:r>
      <w:r w:rsidRPr="0014496E">
        <w:tab/>
      </w:r>
      <w:r w:rsidRPr="0014496E">
        <w:tab/>
      </w:r>
      <w:r w:rsidRPr="0014496E">
        <w:tab/>
      </w:r>
      <w:r w:rsidRPr="0014496E">
        <w:tab/>
      </w:r>
      <w:r w:rsidRPr="0014496E">
        <w:tab/>
      </w:r>
      <w:r w:rsidRPr="0014496E">
        <w:tab/>
        <w:t>International Telecommunication Union</w:t>
      </w:r>
    </w:p>
    <w:p w14:paraId="6F4AED0F" w14:textId="24156991" w:rsidR="000F4A25" w:rsidRPr="00121201" w:rsidRDefault="000F4A25" w:rsidP="00E200E5">
      <w:pPr>
        <w:pStyle w:val="Paragraph"/>
        <w:spacing w:after="60"/>
        <w:ind w:left="1988" w:hanging="1988"/>
        <w:rPr>
          <w:highlight w:val="cyan"/>
        </w:rPr>
      </w:pPr>
      <w:r w:rsidRPr="0014496E">
        <w:t>ITU-R</w:t>
      </w:r>
      <w:r w:rsidRPr="0014496E">
        <w:tab/>
        <w:t xml:space="preserve">International Telecommunication Union Radiocommunication </w:t>
      </w:r>
      <w:r w:rsidR="000F29A9">
        <w:t>Sector</w:t>
      </w:r>
    </w:p>
    <w:p w14:paraId="16BE208F" w14:textId="77777777" w:rsidR="00E21AFA" w:rsidRDefault="000F4A25">
      <w:pPr>
        <w:pStyle w:val="Paragraph"/>
        <w:spacing w:after="60"/>
      </w:pPr>
      <w:r w:rsidRPr="004E2F07">
        <w:t>LIPD</w:t>
      </w:r>
      <w:r w:rsidRPr="004E2F07">
        <w:tab/>
      </w:r>
      <w:r w:rsidRPr="004E2F07">
        <w:tab/>
      </w:r>
      <w:r w:rsidRPr="004E2F07">
        <w:tab/>
      </w:r>
      <w:r w:rsidRPr="004E2F07">
        <w:tab/>
      </w:r>
      <w:r w:rsidRPr="004E2F07">
        <w:tab/>
      </w:r>
      <w:r w:rsidRPr="004E2F07">
        <w:tab/>
      </w:r>
      <w:r w:rsidRPr="00121201">
        <w:t>l</w:t>
      </w:r>
      <w:r w:rsidRPr="004E2F07">
        <w:t xml:space="preserve">ow </w:t>
      </w:r>
      <w:r w:rsidRPr="00121201">
        <w:t>i</w:t>
      </w:r>
      <w:r w:rsidRPr="004E2F07">
        <w:t xml:space="preserve">nterference </w:t>
      </w:r>
      <w:r w:rsidRPr="00121201">
        <w:t>p</w:t>
      </w:r>
      <w:r w:rsidRPr="004E2F07">
        <w:t xml:space="preserve">otential </w:t>
      </w:r>
      <w:r w:rsidRPr="00121201">
        <w:t>d</w:t>
      </w:r>
      <w:r w:rsidRPr="004E2F07">
        <w:t>evices</w:t>
      </w:r>
    </w:p>
    <w:p w14:paraId="28754FF6" w14:textId="41E25081" w:rsidR="000F4A25" w:rsidRDefault="000F4A25" w:rsidP="00E200E5">
      <w:pPr>
        <w:pStyle w:val="Paragraph"/>
        <w:spacing w:after="60"/>
      </w:pPr>
      <w:r>
        <w:t>LTE</w:t>
      </w:r>
      <w:r w:rsidRPr="00466AAE">
        <w:tab/>
      </w:r>
      <w:r w:rsidRPr="00466AAE">
        <w:tab/>
      </w:r>
      <w:r w:rsidRPr="00466AAE">
        <w:tab/>
      </w:r>
      <w:r w:rsidRPr="00466AAE">
        <w:tab/>
      </w:r>
      <w:r w:rsidRPr="00466AAE">
        <w:tab/>
      </w:r>
      <w:r>
        <w:tab/>
        <w:t>Long Term Evolution</w:t>
      </w:r>
    </w:p>
    <w:p w14:paraId="38B46C27" w14:textId="72D36C01" w:rsidR="00556521" w:rsidRPr="00121201" w:rsidRDefault="00556521" w:rsidP="00E200E5">
      <w:pPr>
        <w:pStyle w:val="Paragraph"/>
        <w:spacing w:after="60"/>
        <w:rPr>
          <w:highlight w:val="cyan"/>
        </w:rPr>
      </w:pPr>
      <w:r>
        <w:t>MC</w:t>
      </w:r>
      <w:r>
        <w:tab/>
      </w:r>
      <w:r>
        <w:tab/>
      </w:r>
      <w:r>
        <w:tab/>
      </w:r>
      <w:r>
        <w:tab/>
      </w:r>
      <w:r>
        <w:tab/>
      </w:r>
      <w:r>
        <w:tab/>
      </w:r>
      <w:r w:rsidRPr="00556521">
        <w:t>Mission Critical</w:t>
      </w:r>
    </w:p>
    <w:p w14:paraId="2C1E578D" w14:textId="77777777" w:rsidR="000F4A25" w:rsidRPr="00B77333" w:rsidRDefault="000F4A25" w:rsidP="00E200E5">
      <w:pPr>
        <w:pStyle w:val="Paragraph"/>
        <w:spacing w:after="60"/>
      </w:pPr>
      <w:r w:rsidRPr="004D6FD0">
        <w:t>NG-DECT</w:t>
      </w:r>
      <w:r w:rsidRPr="00B77333">
        <w:tab/>
      </w:r>
      <w:r w:rsidRPr="00B77333">
        <w:tab/>
      </w:r>
      <w:r w:rsidRPr="00B77333">
        <w:tab/>
      </w:r>
      <w:r w:rsidRPr="00B77333">
        <w:tab/>
      </w:r>
      <w:r>
        <w:t>New Generation DECT</w:t>
      </w:r>
      <w:r w:rsidRPr="00B77333">
        <w:tab/>
      </w:r>
    </w:p>
    <w:p w14:paraId="2311813C" w14:textId="77777777" w:rsidR="000F4A25" w:rsidRPr="00B77333" w:rsidRDefault="000F4A25" w:rsidP="00E200E5">
      <w:pPr>
        <w:pStyle w:val="Paragraph"/>
        <w:spacing w:after="60"/>
      </w:pPr>
      <w:r>
        <w:t>NR</w:t>
      </w:r>
      <w:r w:rsidRPr="00B77333">
        <w:tab/>
      </w:r>
      <w:r w:rsidRPr="00B77333">
        <w:tab/>
      </w:r>
      <w:r w:rsidRPr="00B77333">
        <w:tab/>
      </w:r>
      <w:r w:rsidRPr="00B77333">
        <w:tab/>
      </w:r>
      <w:r w:rsidRPr="00B77333">
        <w:tab/>
      </w:r>
      <w:r w:rsidRPr="00B77333">
        <w:tab/>
      </w:r>
      <w:r>
        <w:t>New Radio</w:t>
      </w:r>
    </w:p>
    <w:p w14:paraId="7197996F" w14:textId="03CC37D5" w:rsidR="000F4A25" w:rsidRDefault="000F4A25" w:rsidP="00E200E5">
      <w:pPr>
        <w:pStyle w:val="Paragraph"/>
        <w:spacing w:after="60"/>
      </w:pPr>
      <w:r>
        <w:t>PHS</w:t>
      </w:r>
      <w:r w:rsidRPr="00B77333">
        <w:tab/>
      </w:r>
      <w:r w:rsidRPr="00B77333">
        <w:tab/>
      </w:r>
      <w:r w:rsidRPr="00B77333">
        <w:tab/>
      </w:r>
      <w:r w:rsidRPr="00B77333">
        <w:tab/>
      </w:r>
      <w:r w:rsidRPr="00B77333">
        <w:tab/>
      </w:r>
      <w:r>
        <w:tab/>
        <w:t>Personal Handy</w:t>
      </w:r>
      <w:r w:rsidR="00FE7E0B">
        <w:t>-p</w:t>
      </w:r>
      <w:r>
        <w:t>hone System</w:t>
      </w:r>
    </w:p>
    <w:p w14:paraId="1D12919F" w14:textId="77777777" w:rsidR="000F4A25" w:rsidRPr="004E2F07" w:rsidRDefault="000F4A25" w:rsidP="00E200E5">
      <w:pPr>
        <w:pStyle w:val="Paragraph"/>
        <w:spacing w:after="60"/>
      </w:pPr>
      <w:r>
        <w:t>PSTN</w:t>
      </w:r>
      <w:r w:rsidRPr="004E2F07">
        <w:tab/>
      </w:r>
      <w:r w:rsidRPr="004E2F07">
        <w:tab/>
      </w:r>
      <w:r w:rsidRPr="004E2F07">
        <w:tab/>
      </w:r>
      <w:r w:rsidRPr="004E2F07">
        <w:tab/>
      </w:r>
      <w:r w:rsidRPr="004E2F07">
        <w:tab/>
      </w:r>
      <w:r w:rsidRPr="004E2F07">
        <w:tab/>
      </w:r>
      <w:r>
        <w:rPr>
          <w:lang w:val="en-GB"/>
        </w:rPr>
        <w:t>P</w:t>
      </w:r>
      <w:r w:rsidRPr="00847A99">
        <w:rPr>
          <w:lang w:val="en-GB"/>
        </w:rPr>
        <w:t xml:space="preserve">ublic </w:t>
      </w:r>
      <w:r>
        <w:rPr>
          <w:lang w:val="en-GB"/>
        </w:rPr>
        <w:t>S</w:t>
      </w:r>
      <w:r w:rsidRPr="00847A99">
        <w:rPr>
          <w:lang w:val="en-GB"/>
        </w:rPr>
        <w:t xml:space="preserve">witched </w:t>
      </w:r>
      <w:r>
        <w:rPr>
          <w:lang w:val="en-GB"/>
        </w:rPr>
        <w:t>T</w:t>
      </w:r>
      <w:r w:rsidRPr="00847A99">
        <w:rPr>
          <w:lang w:val="en-GB"/>
        </w:rPr>
        <w:t xml:space="preserve">elephone </w:t>
      </w:r>
      <w:r>
        <w:rPr>
          <w:lang w:val="en-GB"/>
        </w:rPr>
        <w:t>N</w:t>
      </w:r>
      <w:r w:rsidRPr="00847A99">
        <w:rPr>
          <w:lang w:val="en-GB"/>
        </w:rPr>
        <w:t>etwork</w:t>
      </w:r>
    </w:p>
    <w:p w14:paraId="1CF163B8" w14:textId="77777777" w:rsidR="000F4A25" w:rsidRDefault="000F4A25" w:rsidP="00E200E5">
      <w:pPr>
        <w:pStyle w:val="Paragraph"/>
        <w:spacing w:after="60"/>
        <w:rPr>
          <w:rFonts w:asciiTheme="minorHAnsi" w:eastAsiaTheme="minorEastAsia" w:hAnsiTheme="minorHAnsi" w:cstheme="minorBidi"/>
          <w:b/>
          <w:noProof/>
          <w:sz w:val="22"/>
          <w:szCs w:val="22"/>
        </w:rPr>
      </w:pPr>
      <w:r>
        <w:t>T</w:t>
      </w:r>
      <w:r w:rsidRPr="00B77333">
        <w:t>DD</w:t>
      </w:r>
      <w:r w:rsidRPr="00B77333">
        <w:tab/>
      </w:r>
      <w:r w:rsidRPr="00B77333">
        <w:tab/>
      </w:r>
      <w:r w:rsidRPr="00B77333">
        <w:tab/>
      </w:r>
      <w:r w:rsidRPr="00B77333">
        <w:tab/>
      </w:r>
      <w:r w:rsidRPr="00B77333">
        <w:tab/>
      </w:r>
      <w:r w:rsidRPr="00B77333">
        <w:tab/>
      </w:r>
      <w:r w:rsidRPr="00121201">
        <w:t>t</w:t>
      </w:r>
      <w:r w:rsidRPr="00B77333">
        <w:t xml:space="preserve">ime </w:t>
      </w:r>
      <w:r w:rsidRPr="00121201">
        <w:t>d</w:t>
      </w:r>
      <w:r w:rsidRPr="00B77333">
        <w:t xml:space="preserve">ivision </w:t>
      </w:r>
      <w:r w:rsidRPr="00121201">
        <w:t>d</w:t>
      </w:r>
      <w:r w:rsidRPr="00B77333">
        <w:t>uplex</w:t>
      </w:r>
    </w:p>
    <w:p w14:paraId="434E5B56" w14:textId="77777777" w:rsidR="000F4A25" w:rsidRPr="001F528E" w:rsidRDefault="000F4A25" w:rsidP="00E200E5">
      <w:pPr>
        <w:pStyle w:val="Paragraph"/>
        <w:spacing w:after="60"/>
      </w:pPr>
      <w:r>
        <w:t>UIC</w:t>
      </w:r>
      <w:r>
        <w:tab/>
      </w:r>
      <w:r>
        <w:tab/>
      </w:r>
      <w:r>
        <w:tab/>
      </w:r>
      <w:r>
        <w:tab/>
      </w:r>
      <w:r>
        <w:tab/>
      </w:r>
      <w:r>
        <w:tab/>
        <w:t>International Union of Railways</w:t>
      </w:r>
    </w:p>
    <w:p w14:paraId="3012C57D" w14:textId="77777777" w:rsidR="000F4A25" w:rsidRPr="00A4262A" w:rsidRDefault="000F4A25" w:rsidP="00E200E5">
      <w:pPr>
        <w:pStyle w:val="Paragraph"/>
        <w:spacing w:after="60"/>
      </w:pPr>
      <w:r>
        <w:t xml:space="preserve">ULE </w:t>
      </w:r>
      <w:r>
        <w:tab/>
      </w:r>
      <w:r>
        <w:tab/>
      </w:r>
      <w:r>
        <w:tab/>
      </w:r>
      <w:r>
        <w:tab/>
      </w:r>
      <w:r>
        <w:tab/>
      </w:r>
      <w:r>
        <w:tab/>
      </w:r>
      <w:r w:rsidRPr="000A2E9A">
        <w:rPr>
          <w:rFonts w:eastAsiaTheme="minorHAnsi"/>
          <w:szCs w:val="20"/>
          <w:lang w:eastAsia="en-US"/>
        </w:rPr>
        <w:t>Ultra</w:t>
      </w:r>
      <w:r>
        <w:rPr>
          <w:rFonts w:eastAsiaTheme="minorHAnsi"/>
          <w:szCs w:val="20"/>
          <w:lang w:eastAsia="en-US"/>
        </w:rPr>
        <w:t xml:space="preserve"> </w:t>
      </w:r>
      <w:r w:rsidRPr="000A2E9A">
        <w:rPr>
          <w:rFonts w:eastAsiaTheme="minorHAnsi"/>
          <w:szCs w:val="20"/>
          <w:lang w:eastAsia="en-US"/>
        </w:rPr>
        <w:t>Low Energy</w:t>
      </w:r>
    </w:p>
    <w:p w14:paraId="1F99B8EF" w14:textId="77777777" w:rsidR="000F4A25" w:rsidRPr="00042AAA" w:rsidRDefault="000F4A25" w:rsidP="00A0200F">
      <w:pPr>
        <w:pStyle w:val="Paragraph"/>
      </w:pPr>
    </w:p>
    <w:sectPr w:rsidR="000F4A25" w:rsidRPr="00042AAA" w:rsidSect="00BE1E8A">
      <w:headerReference w:type="even" r:id="rId114"/>
      <w:headerReference w:type="default" r:id="rId115"/>
      <w:footerReference w:type="even" r:id="rId116"/>
      <w:footerReference w:type="default" r:id="rId117"/>
      <w:headerReference w:type="first" r:id="rId118"/>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EFCF9" w14:textId="77777777" w:rsidR="00A8725B" w:rsidRDefault="00A8725B">
      <w:r>
        <w:separator/>
      </w:r>
    </w:p>
  </w:endnote>
  <w:endnote w:type="continuationSeparator" w:id="0">
    <w:p w14:paraId="62DF65E7" w14:textId="77777777" w:rsidR="00A8725B" w:rsidRDefault="00A8725B">
      <w:r>
        <w:continuationSeparator/>
      </w:r>
    </w:p>
  </w:endnote>
  <w:endnote w:type="continuationNotice" w:id="1">
    <w:p w14:paraId="73AA0DE2" w14:textId="77777777" w:rsidR="00A8725B" w:rsidRDefault="00A87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282D" w14:textId="77777777" w:rsidR="00B70BA3" w:rsidRDefault="00B70BA3" w:rsidP="005E250B">
    <w:pPr>
      <w:pStyle w:val="Footer"/>
      <w:jc w:val="right"/>
    </w:pPr>
    <w:r w:rsidRPr="005E250B">
      <w:rPr>
        <w:noProof/>
        <w:vertAlign w:val="subscript"/>
      </w:rPr>
      <w:drawing>
        <wp:inline distT="0" distB="0" distL="0" distR="0" wp14:anchorId="759089E4" wp14:editId="4506EC22">
          <wp:extent cx="1066800" cy="277368"/>
          <wp:effectExtent l="0" t="0" r="0" b="0"/>
          <wp:docPr id="3" name="Picture 3"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781" w14:textId="77777777" w:rsidR="00B70BA3" w:rsidRDefault="00B70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6322" w14:textId="77777777" w:rsidR="00B70BA3" w:rsidRDefault="00B70B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85A0" w14:textId="77777777" w:rsidR="00B70BA3" w:rsidRPr="00622A3B" w:rsidRDefault="00B70BA3"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2FA02F9B" w14:textId="77777777" w:rsidR="00B70BA3" w:rsidRPr="00A5474E" w:rsidRDefault="00B70BA3"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AA49" w14:textId="77777777" w:rsidR="00B70BA3" w:rsidRPr="00622A3B" w:rsidRDefault="00B70BA3"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41186938" w14:textId="77777777" w:rsidR="00B70BA3" w:rsidRPr="00A5474E" w:rsidRDefault="00B70BA3"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AE64" w14:textId="77777777" w:rsidR="00B70BA3" w:rsidRPr="00622A3B" w:rsidRDefault="00B70BA3"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3E54EA4D" w14:textId="77777777" w:rsidR="00B70BA3" w:rsidRPr="00A5474E" w:rsidRDefault="00B70BA3"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E2A2" w14:textId="77777777" w:rsidR="00B70BA3" w:rsidRPr="00622A3B" w:rsidRDefault="00B70BA3"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267E20B1" w14:textId="77777777" w:rsidR="00B70BA3" w:rsidRPr="00A5474E" w:rsidRDefault="00B70BA3"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C6CA" w14:textId="77777777" w:rsidR="00B70BA3" w:rsidRPr="00622A3B" w:rsidRDefault="00B70BA3"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67F0F2B2" w14:textId="77777777" w:rsidR="00B70BA3" w:rsidRPr="00A5474E" w:rsidRDefault="00B70BA3"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3FB22" w14:textId="77777777" w:rsidR="00A8725B" w:rsidRDefault="00A8725B" w:rsidP="00EA0969">
      <w:pPr>
        <w:spacing w:after="0"/>
      </w:pPr>
      <w:r>
        <w:separator/>
      </w:r>
    </w:p>
  </w:footnote>
  <w:footnote w:type="continuationSeparator" w:id="0">
    <w:p w14:paraId="60664566" w14:textId="77777777" w:rsidR="00A8725B" w:rsidRDefault="00A8725B">
      <w:r>
        <w:continuationSeparator/>
      </w:r>
    </w:p>
  </w:footnote>
  <w:footnote w:type="continuationNotice" w:id="1">
    <w:p w14:paraId="4EE71BE5" w14:textId="77777777" w:rsidR="00A8725B" w:rsidRDefault="00A8725B">
      <w:pPr>
        <w:spacing w:after="0" w:line="240" w:lineRule="auto"/>
      </w:pPr>
    </w:p>
  </w:footnote>
  <w:footnote w:id="2">
    <w:p w14:paraId="72C7D717" w14:textId="3B9191D9" w:rsidR="000E1878" w:rsidRDefault="000E1878">
      <w:pPr>
        <w:pStyle w:val="FootnoteText"/>
      </w:pPr>
      <w:r>
        <w:rPr>
          <w:rStyle w:val="FootnoteReference"/>
        </w:rPr>
        <w:footnoteRef/>
      </w:r>
      <w:r>
        <w:t xml:space="preserve"> </w:t>
      </w:r>
      <w:r w:rsidR="007C021F">
        <w:t xml:space="preserve">DECT forum, </w:t>
      </w:r>
      <w:hyperlink r:id="rId1" w:history="1">
        <w:r w:rsidRPr="000E1878">
          <w:rPr>
            <w:rStyle w:val="Hyperlink"/>
          </w:rPr>
          <w:t>DECT Technology</w:t>
        </w:r>
      </w:hyperlink>
      <w:r w:rsidR="007C021F" w:rsidRPr="001F08F2">
        <w:t>, DECT forum, n.d., accessed 26 October 2021.</w:t>
      </w:r>
    </w:p>
  </w:footnote>
  <w:footnote w:id="3">
    <w:p w14:paraId="42469D91" w14:textId="301CE68F" w:rsidR="002321A1" w:rsidRDefault="002321A1" w:rsidP="002321A1">
      <w:pPr>
        <w:pStyle w:val="FootnoteText"/>
      </w:pPr>
      <w:r>
        <w:rPr>
          <w:rStyle w:val="FootnoteReference"/>
        </w:rPr>
        <w:footnoteRef/>
      </w:r>
      <w:r>
        <w:t xml:space="preserve"> </w:t>
      </w:r>
      <w:r w:rsidR="007A72E8">
        <w:t>ACMA (</w:t>
      </w:r>
      <w:r w:rsidR="00F20EDE">
        <w:t>Australian Communicatio</w:t>
      </w:r>
      <w:r w:rsidR="00F20EDE" w:rsidRPr="000764D8">
        <w:t xml:space="preserve">ns and </w:t>
      </w:r>
      <w:r w:rsidR="00EC12C3" w:rsidRPr="000764D8">
        <w:t>M</w:t>
      </w:r>
      <w:r w:rsidR="00F20EDE" w:rsidRPr="000764D8">
        <w:t>edia Authority</w:t>
      </w:r>
      <w:r w:rsidR="00F20EDE" w:rsidRPr="001E65C3">
        <w:t>)</w:t>
      </w:r>
      <w:r w:rsidR="00EC12C3" w:rsidRPr="001E65C3">
        <w:t>,</w:t>
      </w:r>
      <w:r w:rsidRPr="001E65C3">
        <w:t xml:space="preserve"> </w:t>
      </w:r>
      <w:hyperlink r:id="rId2" w:history="1">
        <w:r w:rsidRPr="000764D8">
          <w:rPr>
            <w:rStyle w:val="Hyperlink"/>
            <w:i/>
          </w:rPr>
          <w:t>Corporate plan 2020–21</w:t>
        </w:r>
      </w:hyperlink>
      <w:r w:rsidR="007C021F" w:rsidRPr="00E200E5">
        <w:t xml:space="preserve">, ACMA, </w:t>
      </w:r>
      <w:r w:rsidR="007C021F">
        <w:t>2020, accessed 26 October 2021.</w:t>
      </w:r>
    </w:p>
  </w:footnote>
  <w:footnote w:id="4">
    <w:p w14:paraId="68CBAE0F" w14:textId="77777777" w:rsidR="002321A1" w:rsidRDefault="002321A1" w:rsidP="002321A1">
      <w:pPr>
        <w:pStyle w:val="FootnoteText"/>
        <w:ind w:right="16"/>
      </w:pPr>
      <w:r>
        <w:rPr>
          <w:rStyle w:val="FootnoteReference"/>
        </w:rPr>
        <w:footnoteRef/>
      </w:r>
      <w:r>
        <w:t xml:space="preserve"> Technical conditions include maximum power, frequency range, out-of-band emissions limits, geographical licence area, and out-of-area emission limits. </w:t>
      </w:r>
    </w:p>
  </w:footnote>
  <w:footnote w:id="5">
    <w:p w14:paraId="3BE731F8" w14:textId="77777777" w:rsidR="002A0C6B" w:rsidRDefault="002A0C6B" w:rsidP="002A0C6B">
      <w:pPr>
        <w:pStyle w:val="FootnoteText"/>
      </w:pPr>
      <w:r>
        <w:rPr>
          <w:rStyle w:val="FootnoteReference"/>
        </w:rPr>
        <w:footnoteRef/>
      </w:r>
      <w:r>
        <w:t xml:space="preserve"> S Antipolis, </w:t>
      </w:r>
      <w:hyperlink r:id="rId3" w:history="1">
        <w:r w:rsidRPr="00214696">
          <w:rPr>
            <w:rStyle w:val="Hyperlink"/>
          </w:rPr>
          <w:t>ETSI launches DECT-2020 new</w:t>
        </w:r>
        <w:bookmarkStart w:id="24" w:name="_Hlt66874979"/>
        <w:bookmarkStart w:id="25" w:name="_Hlt66874980"/>
        <w:bookmarkEnd w:id="24"/>
        <w:bookmarkEnd w:id="25"/>
        <w:r w:rsidRPr="00214696">
          <w:rPr>
            <w:rStyle w:val="Hyperlink"/>
          </w:rPr>
          <w:t xml:space="preserve"> radio interface for IoT</w:t>
        </w:r>
      </w:hyperlink>
      <w:r>
        <w:t xml:space="preserve"> [media release], ETSI, 20 October 2020, accessed 9 March 2021.</w:t>
      </w:r>
    </w:p>
  </w:footnote>
  <w:footnote w:id="6">
    <w:p w14:paraId="2F74D5BB" w14:textId="4A25AEC6" w:rsidR="002A0C6B" w:rsidRDefault="002A0C6B" w:rsidP="002A0C6B">
      <w:pPr>
        <w:pStyle w:val="FootnoteText"/>
      </w:pPr>
      <w:r>
        <w:rPr>
          <w:rStyle w:val="FootnoteReference"/>
        </w:rPr>
        <w:footnoteRef/>
      </w:r>
      <w:r>
        <w:t xml:space="preserve"> UIC, </w:t>
      </w:r>
      <w:hyperlink r:id="rId4" w:history="1">
        <w:r w:rsidRPr="00214696">
          <w:rPr>
            <w:rStyle w:val="Hyperlink"/>
          </w:rPr>
          <w:t xml:space="preserve">Future </w:t>
        </w:r>
        <w:r w:rsidR="007C021F">
          <w:rPr>
            <w:rStyle w:val="Hyperlink"/>
          </w:rPr>
          <w:t>R</w:t>
        </w:r>
        <w:r w:rsidRPr="00214696">
          <w:rPr>
            <w:rStyle w:val="Hyperlink"/>
          </w:rPr>
          <w:t xml:space="preserve">ailway </w:t>
        </w:r>
        <w:r w:rsidR="007C021F">
          <w:rPr>
            <w:rStyle w:val="Hyperlink"/>
          </w:rPr>
          <w:t>M</w:t>
        </w:r>
        <w:r w:rsidRPr="00214696">
          <w:rPr>
            <w:rStyle w:val="Hyperlink"/>
          </w:rPr>
          <w:t xml:space="preserve">obile </w:t>
        </w:r>
        <w:r w:rsidR="007C021F">
          <w:rPr>
            <w:rStyle w:val="Hyperlink"/>
          </w:rPr>
          <w:t>C</w:t>
        </w:r>
        <w:r w:rsidRPr="00214696">
          <w:rPr>
            <w:rStyle w:val="Hyperlink"/>
          </w:rPr>
          <w:t xml:space="preserve">ommunication </w:t>
        </w:r>
        <w:r w:rsidR="007C021F">
          <w:rPr>
            <w:rStyle w:val="Hyperlink"/>
          </w:rPr>
          <w:t>S</w:t>
        </w:r>
        <w:r w:rsidRPr="00214696">
          <w:rPr>
            <w:rStyle w:val="Hyperlink"/>
          </w:rPr>
          <w:t>yst</w:t>
        </w:r>
        <w:bookmarkStart w:id="26" w:name="_Hlt66874989"/>
        <w:bookmarkStart w:id="27" w:name="_Hlt66874990"/>
        <w:bookmarkEnd w:id="26"/>
        <w:bookmarkEnd w:id="27"/>
        <w:r w:rsidRPr="00214696">
          <w:rPr>
            <w:rStyle w:val="Hyperlink"/>
          </w:rPr>
          <w:t>em</w:t>
        </w:r>
      </w:hyperlink>
      <w:r>
        <w:t xml:space="preserve">, </w:t>
      </w:r>
      <w:r w:rsidR="007C021F">
        <w:t xml:space="preserve">UIC, n.d., </w:t>
      </w:r>
      <w:r w:rsidRPr="00DE43F6">
        <w:t>acces</w:t>
      </w:r>
      <w:r>
        <w:t>sed 9 March 2021.</w:t>
      </w:r>
    </w:p>
  </w:footnote>
  <w:footnote w:id="7">
    <w:p w14:paraId="375CE7E2" w14:textId="3955196C" w:rsidR="00496640" w:rsidRDefault="00496640">
      <w:pPr>
        <w:pStyle w:val="FootnoteText"/>
      </w:pPr>
      <w:r>
        <w:rPr>
          <w:rStyle w:val="FootnoteReference"/>
        </w:rPr>
        <w:footnoteRef/>
      </w:r>
      <w:r>
        <w:t xml:space="preserve"> For point-to-point services</w:t>
      </w:r>
      <w:r w:rsidR="00BC67B0">
        <w:t>,</w:t>
      </w:r>
      <w:r>
        <w:t xml:space="preserve"> every transmitter has a paired receiver. That is</w:t>
      </w:r>
      <w:r w:rsidR="00BC67B0">
        <w:t>,</w:t>
      </w:r>
      <w:r>
        <w:t xml:space="preserve"> every 2 assignments (</w:t>
      </w:r>
      <w:r w:rsidR="00BC67B0">
        <w:t>one </w:t>
      </w:r>
      <w:r>
        <w:t xml:space="preserve">transmitter and </w:t>
      </w:r>
      <w:r w:rsidR="00BC67B0">
        <w:t>one</w:t>
      </w:r>
      <w:r>
        <w:t xml:space="preserve"> receiver) equals </w:t>
      </w:r>
      <w:r w:rsidR="00BC67B0">
        <w:t>one</w:t>
      </w:r>
      <w:r>
        <w:t xml:space="preserve"> point-to-point link.</w:t>
      </w:r>
    </w:p>
  </w:footnote>
  <w:footnote w:id="8">
    <w:p w14:paraId="7AE24229" w14:textId="0FD40809" w:rsidR="00991BCE" w:rsidRDefault="00991BCE">
      <w:pPr>
        <w:pStyle w:val="FootnoteText"/>
      </w:pPr>
      <w:r>
        <w:rPr>
          <w:rStyle w:val="FootnoteReference"/>
        </w:rPr>
        <w:footnoteRef/>
      </w:r>
      <w:r>
        <w:t xml:space="preserve"> For point-to-multipoint services</w:t>
      </w:r>
      <w:r w:rsidR="00517F15">
        <w:t>,</w:t>
      </w:r>
      <w:r>
        <w:t xml:space="preserve"> every site will have a transmitter and a receiver. That is every 2 assignments (</w:t>
      </w:r>
      <w:r w:rsidR="00517F15">
        <w:t xml:space="preserve">one </w:t>
      </w:r>
      <w:r>
        <w:t xml:space="preserve">transmitter and </w:t>
      </w:r>
      <w:r w:rsidR="00517F15">
        <w:t>one</w:t>
      </w:r>
      <w:r>
        <w:t xml:space="preserve"> receiver) equals </w:t>
      </w:r>
      <w:r w:rsidR="00517F15">
        <w:t>one</w:t>
      </w:r>
      <w:r>
        <w:t xml:space="preserve"> point-to-multipoint site.</w:t>
      </w:r>
    </w:p>
  </w:footnote>
  <w:footnote w:id="9">
    <w:p w14:paraId="0B4229FC" w14:textId="3C101C7E" w:rsidR="00B26B42" w:rsidRDefault="00B26B42" w:rsidP="005D6DD1">
      <w:pPr>
        <w:pStyle w:val="FootnoteText"/>
      </w:pPr>
      <w:r>
        <w:rPr>
          <w:rStyle w:val="FootnoteReference"/>
        </w:rPr>
        <w:footnoteRef/>
      </w:r>
      <w:r>
        <w:t xml:space="preserve"> </w:t>
      </w:r>
      <w:r w:rsidRPr="00A00C87">
        <w:t xml:space="preserve">CEPT T/R </w:t>
      </w:r>
      <w:r w:rsidR="00DB6FC5">
        <w:t>22</w:t>
      </w:r>
      <w:r w:rsidRPr="00A00C87">
        <w:t xml:space="preserve">-02, </w:t>
      </w:r>
      <w:r w:rsidR="005D6DD1" w:rsidRPr="005D6DD1">
        <w:rPr>
          <w:i/>
        </w:rPr>
        <w:t>frequency band to be designated</w:t>
      </w:r>
      <w:r w:rsidR="005D6DD1">
        <w:rPr>
          <w:i/>
        </w:rPr>
        <w:t xml:space="preserve"> f</w:t>
      </w:r>
      <w:r w:rsidR="005D6DD1" w:rsidRPr="005D6DD1">
        <w:rPr>
          <w:i/>
        </w:rPr>
        <w:t>or the European digital cordless telecommunication system (DECT)</w:t>
      </w:r>
      <w:r w:rsidR="00C82E4A">
        <w:rPr>
          <w:i/>
        </w:rPr>
        <w:t>.</w:t>
      </w:r>
    </w:p>
  </w:footnote>
  <w:footnote w:id="10">
    <w:p w14:paraId="28203CCD" w14:textId="228ABD08" w:rsidR="004A51A2" w:rsidRDefault="004A51A2">
      <w:pPr>
        <w:pStyle w:val="FootnoteText"/>
      </w:pPr>
      <w:r>
        <w:rPr>
          <w:rStyle w:val="FootnoteReference"/>
        </w:rPr>
        <w:footnoteRef/>
      </w:r>
      <w:r>
        <w:t xml:space="preserve"> </w:t>
      </w:r>
      <w:r w:rsidR="00B2796E">
        <w:t xml:space="preserve">CEPT Report 52, Report from CEPT to the European Commission in response to the </w:t>
      </w:r>
      <w:r w:rsidR="00C82E4A">
        <w:t>m</w:t>
      </w:r>
      <w:r w:rsidR="00B2796E">
        <w:t>andate</w:t>
      </w:r>
      <w:r w:rsidR="00C82E4A">
        <w:t>:</w:t>
      </w:r>
      <w:r w:rsidR="00B2796E">
        <w:t xml:space="preserve"> </w:t>
      </w:r>
      <w:r w:rsidR="00C82E4A">
        <w:t>‘</w:t>
      </w:r>
      <w:r w:rsidR="00B2796E">
        <w:t>To undertake studies on the harmonised technical conditions for the 1900</w:t>
      </w:r>
      <w:r w:rsidR="00C82E4A">
        <w:t>–</w:t>
      </w:r>
      <w:r w:rsidR="00B2796E">
        <w:t>1920 MHz and 2010</w:t>
      </w:r>
      <w:r w:rsidR="00C82E4A">
        <w:t>–</w:t>
      </w:r>
      <w:r w:rsidR="00B2796E">
        <w:t>2025 MHz frequency bands (“Unpaired terrestrial 2 GHz bands”) in the EU</w:t>
      </w:r>
      <w:r w:rsidR="00C82E4A">
        <w:t>’.</w:t>
      </w:r>
    </w:p>
  </w:footnote>
  <w:footnote w:id="11">
    <w:p w14:paraId="3D17512E" w14:textId="3F829274" w:rsidR="00122BAA" w:rsidRDefault="00122BAA">
      <w:pPr>
        <w:pStyle w:val="FootnoteText"/>
      </w:pPr>
      <w:r>
        <w:rPr>
          <w:rStyle w:val="FootnoteReference"/>
        </w:rPr>
        <w:footnoteRef/>
      </w:r>
      <w:r>
        <w:t xml:space="preserve"> ECC Decision (15)02 on ‘The harmonised use of broadband Direct Air-to-Ground Communications (DA2GC) systems in the frequency band 1900</w:t>
      </w:r>
      <w:r w:rsidR="00C82E4A">
        <w:t>–</w:t>
      </w:r>
      <w:r>
        <w:t>1920 MHz</w:t>
      </w:r>
      <w:r w:rsidR="00C82E4A">
        <w:t>.</w:t>
      </w:r>
    </w:p>
  </w:footnote>
  <w:footnote w:id="12">
    <w:p w14:paraId="0E07A790" w14:textId="4912A3E6" w:rsidR="00BB1E4D" w:rsidRDefault="00BB1E4D">
      <w:pPr>
        <w:pStyle w:val="FootnoteText"/>
      </w:pPr>
      <w:r>
        <w:rPr>
          <w:rStyle w:val="FootnoteReference"/>
        </w:rPr>
        <w:footnoteRef/>
      </w:r>
      <w:r>
        <w:t xml:space="preserve"> ECC Report 314, Co-existence between Future Railway Mobile Communication System (FRMCS) in the frequency range 1900-1920 MHz and other applications in adjacent bands</w:t>
      </w:r>
    </w:p>
  </w:footnote>
  <w:footnote w:id="13">
    <w:p w14:paraId="5146EE28" w14:textId="24977057" w:rsidR="00754533" w:rsidRDefault="00754533" w:rsidP="00F52ED2">
      <w:pPr>
        <w:pStyle w:val="FootnoteText"/>
      </w:pPr>
      <w:r>
        <w:rPr>
          <w:rStyle w:val="FootnoteReference"/>
        </w:rPr>
        <w:footnoteRef/>
      </w:r>
      <w:r>
        <w:t xml:space="preserve"> </w:t>
      </w:r>
      <w:r w:rsidR="00F52ED2">
        <w:t xml:space="preserve">This is a link to </w:t>
      </w:r>
      <w:r w:rsidR="00F52ED2" w:rsidRPr="00F52ED2">
        <w:t>3GPP TS 38.101-1 version 16.5.0 Release 16</w:t>
      </w:r>
      <w:r w:rsidR="00F52ED2">
        <w:t xml:space="preserve">, </w:t>
      </w:r>
      <w:r w:rsidR="00956560">
        <w:t>‘</w:t>
      </w:r>
      <w:r w:rsidR="00F52ED2">
        <w:t>User Equipment (UE) radio transmission and reception; Part 1: Range 1 Standalone</w:t>
      </w:r>
      <w:r w:rsidR="00956560">
        <w:t>’,</w:t>
      </w:r>
      <w:r w:rsidR="00F52ED2">
        <w:t xml:space="preserve"> which includes lists of operating bands.</w:t>
      </w:r>
    </w:p>
  </w:footnote>
  <w:footnote w:id="14">
    <w:p w14:paraId="13259F24" w14:textId="6E24B18B" w:rsidR="00107702" w:rsidRDefault="00107702">
      <w:pPr>
        <w:pStyle w:val="FootnoteText"/>
      </w:pPr>
      <w:r>
        <w:rPr>
          <w:rStyle w:val="FootnoteReference"/>
        </w:rPr>
        <w:footnoteRef/>
      </w:r>
      <w:r>
        <w:t xml:space="preserve"> </w:t>
      </w:r>
      <w:r w:rsidR="00B7024E">
        <w:t>Th</w:t>
      </w:r>
      <w:r w:rsidR="005327B8">
        <w:t>is</w:t>
      </w:r>
      <w:r w:rsidR="00B7024E">
        <w:t xml:space="preserve"> is </w:t>
      </w:r>
      <w:r>
        <w:t>similar to the ACMA class licence mechanism, where an individual device licence is not required.</w:t>
      </w:r>
    </w:p>
  </w:footnote>
  <w:footnote w:id="15">
    <w:p w14:paraId="7A0F9659" w14:textId="7D2C3793" w:rsidR="004A0094" w:rsidRDefault="004A0094" w:rsidP="004A0094">
      <w:pPr>
        <w:pStyle w:val="FootnoteText"/>
      </w:pPr>
      <w:r>
        <w:rPr>
          <w:rStyle w:val="FootnoteReference"/>
        </w:rPr>
        <w:footnoteRef/>
      </w:r>
      <w:r>
        <w:t xml:space="preserve"> ACMA</w:t>
      </w:r>
      <w:r w:rsidRPr="006E7DB4">
        <w:t xml:space="preserve">, </w:t>
      </w:r>
      <w:hyperlink r:id="rId5" w:history="1">
        <w:r w:rsidRPr="007C021F">
          <w:rPr>
            <w:rStyle w:val="Hyperlink"/>
            <w:i/>
          </w:rPr>
          <w:t>Five-year spectrum outlook 20</w:t>
        </w:r>
        <w:r w:rsidR="00397CD6" w:rsidRPr="007C021F">
          <w:rPr>
            <w:rStyle w:val="Hyperlink"/>
            <w:i/>
          </w:rPr>
          <w:t>21</w:t>
        </w:r>
        <w:r w:rsidRPr="007C021F">
          <w:rPr>
            <w:rStyle w:val="Hyperlink"/>
            <w:i/>
          </w:rPr>
          <w:t>−2</w:t>
        </w:r>
        <w:r w:rsidR="00397CD6" w:rsidRPr="007C021F">
          <w:rPr>
            <w:rStyle w:val="Hyperlink"/>
            <w:i/>
          </w:rPr>
          <w:t>6</w:t>
        </w:r>
      </w:hyperlink>
      <w:r w:rsidR="007C021F" w:rsidRPr="00E200E5">
        <w:rPr>
          <w:iCs/>
        </w:rPr>
        <w:t>, ACMA, September 2021, accessed 26 October 2021.</w:t>
      </w:r>
    </w:p>
  </w:footnote>
  <w:footnote w:id="16">
    <w:p w14:paraId="28A640DE" w14:textId="183ACF39" w:rsidR="00201FB6" w:rsidRDefault="00201FB6">
      <w:pPr>
        <w:pStyle w:val="FootnoteText"/>
      </w:pPr>
      <w:r>
        <w:rPr>
          <w:rStyle w:val="FootnoteReference"/>
        </w:rPr>
        <w:footnoteRef/>
      </w:r>
      <w:r>
        <w:t xml:space="preserve"> See </w:t>
      </w:r>
      <w:hyperlink r:id="rId6" w:history="1">
        <w:r w:rsidRPr="00E200E5">
          <w:rPr>
            <w:rStyle w:val="Hyperlink"/>
          </w:rPr>
          <w:t>Radiocommunications (Low Interference Potential Devices) Class Licence 2015</w:t>
        </w:r>
      </w:hyperlink>
      <w:r w:rsidR="005027A8" w:rsidRPr="00E200E5">
        <w:rPr>
          <w:rStyle w:val="Hyperlink"/>
          <w:color w:val="auto"/>
          <w:u w:val="no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F927" w14:textId="0D4FADF4" w:rsidR="00B70BA3" w:rsidRPr="00A5474E" w:rsidRDefault="00B70BA3" w:rsidP="00A5474E">
    <w:pPr>
      <w:pStyle w:val="Header"/>
    </w:pPr>
    <w:r>
      <w:rPr>
        <w:noProof/>
      </w:rPr>
      <w:drawing>
        <wp:inline distT="0" distB="0" distL="0" distR="0" wp14:anchorId="32AB1DEF" wp14:editId="69A8389B">
          <wp:extent cx="6210300" cy="571134"/>
          <wp:effectExtent l="0" t="0" r="0" b="0"/>
          <wp:docPr id="2" name="Picture 2"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4805" w14:textId="78F87A96" w:rsidR="00B70BA3" w:rsidRDefault="00B70B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094F" w14:textId="68614796" w:rsidR="00126646" w:rsidRDefault="00126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FE62" w14:textId="1B2BC547" w:rsidR="00B70BA3" w:rsidRPr="00A5474E" w:rsidRDefault="00B70BA3"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55620" w14:textId="25E0D35D" w:rsidR="00B70BA3" w:rsidRDefault="00B70B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3ADF" w14:textId="3D196A2E" w:rsidR="00B70BA3" w:rsidRDefault="00B70B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530C" w14:textId="44D120B7" w:rsidR="00126646" w:rsidRDefault="001266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F412AF" w14:paraId="46CC38F5" w14:textId="77777777" w:rsidTr="00144254">
      <w:trPr>
        <w:trHeight w:hRule="exact" w:val="988"/>
      </w:trPr>
      <w:tc>
        <w:tcPr>
          <w:tcW w:w="7678" w:type="dxa"/>
          <w:shd w:val="clear" w:color="auto" w:fill="auto"/>
        </w:tcPr>
        <w:p w14:paraId="3516CD3C" w14:textId="77777777" w:rsidR="00F412AF" w:rsidRDefault="00F412AF" w:rsidP="00F412AF">
          <w:pPr>
            <w:pStyle w:val="Header"/>
          </w:pPr>
        </w:p>
      </w:tc>
    </w:tr>
    <w:tr w:rsidR="00F412AF" w14:paraId="7D7A7E67" w14:textId="77777777" w:rsidTr="00144254">
      <w:tc>
        <w:tcPr>
          <w:tcW w:w="7678" w:type="dxa"/>
          <w:shd w:val="clear" w:color="auto" w:fill="auto"/>
        </w:tcPr>
        <w:p w14:paraId="23B1F7C1" w14:textId="77777777" w:rsidR="00F412AF" w:rsidRDefault="00F412AF" w:rsidP="00F412AF">
          <w:pPr>
            <w:pStyle w:val="GridTable31"/>
          </w:pPr>
          <w:bookmarkStart w:id="0" w:name="_Hlk85807922"/>
          <w:r>
            <w:t xml:space="preserve">Contents </w:t>
          </w:r>
          <w:r w:rsidRPr="00915B1C">
            <w:rPr>
              <w:b w:val="0"/>
              <w:spacing w:val="0"/>
              <w:sz w:val="28"/>
              <w:szCs w:val="28"/>
            </w:rPr>
            <w:t>(Continued)</w:t>
          </w:r>
          <w:bookmarkEnd w:id="0"/>
        </w:p>
      </w:tc>
    </w:tr>
    <w:tr w:rsidR="00F412AF" w14:paraId="20E9E02C" w14:textId="77777777" w:rsidTr="00144254">
      <w:trPr>
        <w:trHeight w:val="1220"/>
      </w:trPr>
      <w:tc>
        <w:tcPr>
          <w:tcW w:w="7678" w:type="dxa"/>
          <w:shd w:val="clear" w:color="auto" w:fill="auto"/>
        </w:tcPr>
        <w:p w14:paraId="5F5026B5" w14:textId="77777777" w:rsidR="00F412AF" w:rsidRDefault="00F412AF" w:rsidP="00F412AF"/>
      </w:tc>
    </w:tr>
  </w:tbl>
  <w:p w14:paraId="19CBE253" w14:textId="32AC87E7" w:rsidR="00B70BA3" w:rsidRDefault="00B70BA3"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B70BA3" w14:paraId="7ECE0763" w14:textId="77777777" w:rsidTr="008131E5">
      <w:trPr>
        <w:trHeight w:hRule="exact" w:val="988"/>
      </w:trPr>
      <w:tc>
        <w:tcPr>
          <w:tcW w:w="7678" w:type="dxa"/>
          <w:shd w:val="clear" w:color="auto" w:fill="auto"/>
        </w:tcPr>
        <w:p w14:paraId="16E23312" w14:textId="77777777" w:rsidR="00B70BA3" w:rsidRDefault="00B70BA3" w:rsidP="00971914">
          <w:pPr>
            <w:pStyle w:val="Header"/>
          </w:pPr>
        </w:p>
      </w:tc>
    </w:tr>
    <w:tr w:rsidR="00B70BA3" w14:paraId="784D32AD" w14:textId="77777777" w:rsidTr="008131E5">
      <w:tc>
        <w:tcPr>
          <w:tcW w:w="7678" w:type="dxa"/>
          <w:shd w:val="clear" w:color="auto" w:fill="auto"/>
        </w:tcPr>
        <w:p w14:paraId="40FE569A" w14:textId="77777777" w:rsidR="00B70BA3" w:rsidRDefault="00B70BA3" w:rsidP="00971914">
          <w:pPr>
            <w:pStyle w:val="GridTable31"/>
          </w:pPr>
          <w:r>
            <w:t xml:space="preserve">Contents </w:t>
          </w:r>
          <w:r w:rsidRPr="00915B1C">
            <w:rPr>
              <w:b w:val="0"/>
              <w:spacing w:val="0"/>
              <w:sz w:val="28"/>
              <w:szCs w:val="28"/>
            </w:rPr>
            <w:t>(Continued)</w:t>
          </w:r>
        </w:p>
      </w:tc>
    </w:tr>
    <w:tr w:rsidR="00B70BA3" w14:paraId="7D0460C7" w14:textId="77777777" w:rsidTr="008131E5">
      <w:trPr>
        <w:trHeight w:val="1220"/>
      </w:trPr>
      <w:tc>
        <w:tcPr>
          <w:tcW w:w="7678" w:type="dxa"/>
          <w:shd w:val="clear" w:color="auto" w:fill="auto"/>
        </w:tcPr>
        <w:p w14:paraId="449E03CB" w14:textId="77777777" w:rsidR="00B70BA3" w:rsidRDefault="00B70BA3" w:rsidP="00971914"/>
      </w:tc>
    </w:tr>
  </w:tbl>
  <w:p w14:paraId="2C01B0EC" w14:textId="1FE67D4A" w:rsidR="00B70BA3" w:rsidRPr="00A5474E" w:rsidRDefault="00B70BA3"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95C7" w14:textId="4D42648A" w:rsidR="00126646" w:rsidRDefault="00F412AF" w:rsidP="00F412AF">
    <w:pPr>
      <w:pStyle w:val="GridTable31"/>
      <w:spacing w:before="1200" w:after="240"/>
    </w:pPr>
    <w:r w:rsidRPr="0029593B">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E30E" w14:textId="77043F2C" w:rsidR="00B70BA3" w:rsidRDefault="00B70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1"/>
    <w:multiLevelType w:val="singleLevel"/>
    <w:tmpl w:val="809693F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B1E065A8"/>
    <w:lvl w:ilvl="0">
      <w:start w:val="2"/>
      <w:numFmt w:val="decimal"/>
      <w:pStyle w:val="ListNumber"/>
      <w:lvlText w:val="%1."/>
      <w:lvlJc w:val="left"/>
      <w:pPr>
        <w:ind w:left="360" w:hanging="360"/>
      </w:pPr>
      <w:rPr>
        <w:rFonts w:hint="default"/>
        <w:b w:val="0"/>
        <w:bCs/>
        <w:caps/>
        <w:sz w:val="20"/>
      </w:rPr>
    </w:lvl>
  </w:abstractNum>
  <w:abstractNum w:abstractNumId="4"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FD1E56"/>
    <w:multiLevelType w:val="hybridMultilevel"/>
    <w:tmpl w:val="1BA02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8F3A7B"/>
    <w:multiLevelType w:val="hybridMultilevel"/>
    <w:tmpl w:val="32B0E74E"/>
    <w:lvl w:ilvl="0" w:tplc="06CAF7E2">
      <w:start w:val="5"/>
      <w:numFmt w:val="bullet"/>
      <w:lvlText w:val=""/>
      <w:lvlJc w:val="left"/>
      <w:pPr>
        <w:ind w:left="720" w:hanging="360"/>
      </w:pPr>
      <w:rPr>
        <w:rFonts w:ascii="Symbol" w:eastAsia="Times New Roman" w:hAnsi="Symbol" w:cs="Arial" w:hint="default"/>
        <w:i/>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F50189"/>
    <w:multiLevelType w:val="hybridMultilevel"/>
    <w:tmpl w:val="38961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C015BC"/>
    <w:multiLevelType w:val="multilevel"/>
    <w:tmpl w:val="001E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D4204"/>
    <w:multiLevelType w:val="hybridMultilevel"/>
    <w:tmpl w:val="C0C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D375BC"/>
    <w:multiLevelType w:val="hybridMultilevel"/>
    <w:tmpl w:val="31F6378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8B5B6E"/>
    <w:multiLevelType w:val="hybridMultilevel"/>
    <w:tmpl w:val="1C60FC16"/>
    <w:lvl w:ilvl="0" w:tplc="5562290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197A3F"/>
    <w:multiLevelType w:val="hybridMultilevel"/>
    <w:tmpl w:val="2402B74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5" w15:restartNumberingAfterBreak="0">
    <w:nsid w:val="21BE2879"/>
    <w:multiLevelType w:val="hybridMultilevel"/>
    <w:tmpl w:val="D300640C"/>
    <w:lvl w:ilvl="0" w:tplc="6DD26B38">
      <w:start w:val="1"/>
      <w:numFmt w:val="bullet"/>
      <w:lvlText w:val="&gt;"/>
      <w:lvlJc w:val="left"/>
      <w:pPr>
        <w:ind w:left="720" w:hanging="360"/>
      </w:pPr>
      <w:rPr>
        <w:rFonts w:ascii="Adobe Caslon Pro" w:hAnsi="Adobe Caslon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026A11"/>
    <w:multiLevelType w:val="hybridMultilevel"/>
    <w:tmpl w:val="D5CEE3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301DD4"/>
    <w:multiLevelType w:val="multilevel"/>
    <w:tmpl w:val="B5AC124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8" w15:restartNumberingAfterBreak="0">
    <w:nsid w:val="2F5A5080"/>
    <w:multiLevelType w:val="hybridMultilevel"/>
    <w:tmpl w:val="BE2AF6CE"/>
    <w:lvl w:ilvl="0" w:tplc="D05E2434">
      <w:start w:val="1"/>
      <w:numFmt w:val="bullet"/>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337370BB"/>
    <w:multiLevelType w:val="hybridMultilevel"/>
    <w:tmpl w:val="2CEA9B02"/>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5414289"/>
    <w:multiLevelType w:val="hybridMultilevel"/>
    <w:tmpl w:val="A2D41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117D4C"/>
    <w:multiLevelType w:val="hybridMultilevel"/>
    <w:tmpl w:val="22B85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A03ED5"/>
    <w:multiLevelType w:val="hybridMultilevel"/>
    <w:tmpl w:val="7098D490"/>
    <w:lvl w:ilvl="0" w:tplc="6DD26B38">
      <w:start w:val="1"/>
      <w:numFmt w:val="bullet"/>
      <w:lvlText w:val="&gt;"/>
      <w:lvlJc w:val="left"/>
      <w:pPr>
        <w:ind w:left="720" w:hanging="360"/>
      </w:pPr>
      <w:rPr>
        <w:rFonts w:ascii="Adobe Caslon Pro" w:hAnsi="Adobe Caslon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9C073E"/>
    <w:multiLevelType w:val="hybridMultilevel"/>
    <w:tmpl w:val="0436FC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F9410C"/>
    <w:multiLevelType w:val="hybridMultilevel"/>
    <w:tmpl w:val="E4A2A4CC"/>
    <w:lvl w:ilvl="0" w:tplc="0C09000F">
      <w:start w:val="1"/>
      <w:numFmt w:val="decimal"/>
      <w:lvlText w:val="%1."/>
      <w:lvlJc w:val="left"/>
      <w:pPr>
        <w:ind w:left="720" w:hanging="360"/>
      </w:pPr>
    </w:lvl>
    <w:lvl w:ilvl="1" w:tplc="DA50D02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991124"/>
    <w:multiLevelType w:val="hybridMultilevel"/>
    <w:tmpl w:val="98A0D5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575F38"/>
    <w:multiLevelType w:val="hybridMultilevel"/>
    <w:tmpl w:val="88C45948"/>
    <w:lvl w:ilvl="0" w:tplc="856E6310">
      <w:start w:val="1"/>
      <w:numFmt w:val="bullet"/>
      <w:lvlText w:val="&gt;"/>
      <w:lvlJc w:val="left"/>
      <w:pPr>
        <w:ind w:left="780" w:hanging="360"/>
      </w:pPr>
      <w:rPr>
        <w:rFonts w:ascii="Arial" w:hAnsi="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15:restartNumberingAfterBreak="0">
    <w:nsid w:val="53A656A7"/>
    <w:multiLevelType w:val="hybridMultilevel"/>
    <w:tmpl w:val="FEB059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D85887"/>
    <w:multiLevelType w:val="hybridMultilevel"/>
    <w:tmpl w:val="201AE0E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5B748E"/>
    <w:multiLevelType w:val="hybridMultilevel"/>
    <w:tmpl w:val="8834D91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954D2D"/>
    <w:multiLevelType w:val="hybridMultilevel"/>
    <w:tmpl w:val="DD50C584"/>
    <w:lvl w:ilvl="0" w:tplc="0C090017">
      <w:start w:val="1"/>
      <w:numFmt w:val="lowerLetter"/>
      <w:lvlText w:val="%1)"/>
      <w:lvlJc w:val="left"/>
      <w:pPr>
        <w:ind w:left="360" w:hanging="360"/>
      </w:pPr>
    </w:lvl>
    <w:lvl w:ilvl="1" w:tplc="E444AD82">
      <w:start w:val="1"/>
      <w:numFmt w:val="lowerRoman"/>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15:restartNumberingAfterBreak="0">
    <w:nsid w:val="5E6B704F"/>
    <w:multiLevelType w:val="hybridMultilevel"/>
    <w:tmpl w:val="C220E7C2"/>
    <w:lvl w:ilvl="0" w:tplc="6DD26B38">
      <w:start w:val="1"/>
      <w:numFmt w:val="bullet"/>
      <w:lvlText w:val="&gt;"/>
      <w:lvlJc w:val="left"/>
      <w:pPr>
        <w:ind w:left="720" w:hanging="360"/>
      </w:pPr>
      <w:rPr>
        <w:rFonts w:ascii="Adobe Caslon Pro" w:hAnsi="Adobe Caslon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0B40BA"/>
    <w:multiLevelType w:val="hybridMultilevel"/>
    <w:tmpl w:val="A3326878"/>
    <w:lvl w:ilvl="0" w:tplc="6DD26B38">
      <w:start w:val="1"/>
      <w:numFmt w:val="bullet"/>
      <w:lvlText w:val="&gt;"/>
      <w:lvlJc w:val="left"/>
      <w:pPr>
        <w:ind w:left="720" w:hanging="360"/>
      </w:pPr>
      <w:rPr>
        <w:rFonts w:ascii="Adobe Caslon Pro" w:hAnsi="Adobe Caslon Pro"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CA3F73"/>
    <w:multiLevelType w:val="hybridMultilevel"/>
    <w:tmpl w:val="03227634"/>
    <w:lvl w:ilvl="0" w:tplc="691CE742">
      <w:start w:val="1"/>
      <w:numFmt w:val="decimal"/>
      <w:lvlText w:val="%1."/>
      <w:lvlJc w:val="left"/>
      <w:pPr>
        <w:ind w:left="644" w:hanging="360"/>
      </w:pPr>
      <w:rPr>
        <w:rFonts w:hint="default"/>
        <w:b/>
      </w:rPr>
    </w:lvl>
    <w:lvl w:ilvl="1" w:tplc="14289602">
      <w:start w:val="1"/>
      <w:numFmt w:val="lowerLetter"/>
      <w:lvlText w:val="%2."/>
      <w:lvlJc w:val="left"/>
      <w:pPr>
        <w:ind w:left="1364" w:hanging="360"/>
      </w:pPr>
      <w:rPr>
        <w:b/>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21185A"/>
    <w:multiLevelType w:val="hybridMultilevel"/>
    <w:tmpl w:val="3C2CAD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B5359"/>
    <w:multiLevelType w:val="hybridMultilevel"/>
    <w:tmpl w:val="9F9487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442FF"/>
    <w:multiLevelType w:val="hybridMultilevel"/>
    <w:tmpl w:val="E118EB40"/>
    <w:lvl w:ilvl="0" w:tplc="856E6310">
      <w:start w:val="1"/>
      <w:numFmt w:val="bullet"/>
      <w:lvlText w:val="&gt;"/>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D579E4"/>
    <w:multiLevelType w:val="hybridMultilevel"/>
    <w:tmpl w:val="F4480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4F6B3F"/>
    <w:multiLevelType w:val="hybridMultilevel"/>
    <w:tmpl w:val="201AE0E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027592"/>
    <w:multiLevelType w:val="hybridMultilevel"/>
    <w:tmpl w:val="597A223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428279175">
    <w:abstractNumId w:val="4"/>
  </w:num>
  <w:num w:numId="2" w16cid:durableId="1680696497">
    <w:abstractNumId w:val="2"/>
  </w:num>
  <w:num w:numId="3" w16cid:durableId="740298919">
    <w:abstractNumId w:val="3"/>
  </w:num>
  <w:num w:numId="4" w16cid:durableId="1979802109">
    <w:abstractNumId w:val="0"/>
  </w:num>
  <w:num w:numId="5" w16cid:durableId="418722987">
    <w:abstractNumId w:val="17"/>
  </w:num>
  <w:num w:numId="6" w16cid:durableId="105927571">
    <w:abstractNumId w:val="37"/>
  </w:num>
  <w:num w:numId="7" w16cid:durableId="1294215160">
    <w:abstractNumId w:val="29"/>
  </w:num>
  <w:num w:numId="8" w16cid:durableId="360398543">
    <w:abstractNumId w:val="35"/>
  </w:num>
  <w:num w:numId="9" w16cid:durableId="1431121316">
    <w:abstractNumId w:val="39"/>
  </w:num>
  <w:num w:numId="10" w16cid:durableId="1461531626">
    <w:abstractNumId w:val="9"/>
  </w:num>
  <w:num w:numId="11" w16cid:durableId="1391341710">
    <w:abstractNumId w:val="5"/>
  </w:num>
  <w:num w:numId="12" w16cid:durableId="258297570">
    <w:abstractNumId w:val="4"/>
  </w:num>
  <w:num w:numId="13" w16cid:durableId="1933272150">
    <w:abstractNumId w:val="3"/>
    <w:lvlOverride w:ilvl="0">
      <w:startOverride w:val="1"/>
    </w:lvlOverride>
  </w:num>
  <w:num w:numId="14" w16cid:durableId="499002463">
    <w:abstractNumId w:val="3"/>
    <w:lvlOverride w:ilvl="0">
      <w:startOverride w:val="1"/>
    </w:lvlOverride>
  </w:num>
  <w:num w:numId="15" w16cid:durableId="1836022824">
    <w:abstractNumId w:val="3"/>
    <w:lvlOverride w:ilvl="0">
      <w:startOverride w:val="1"/>
    </w:lvlOverride>
  </w:num>
  <w:num w:numId="16" w16cid:durableId="141042600">
    <w:abstractNumId w:val="18"/>
  </w:num>
  <w:num w:numId="17" w16cid:durableId="367148782">
    <w:abstractNumId w:val="3"/>
    <w:lvlOverride w:ilvl="0">
      <w:startOverride w:val="1"/>
    </w:lvlOverride>
  </w:num>
  <w:num w:numId="18" w16cid:durableId="1456363907">
    <w:abstractNumId w:val="20"/>
  </w:num>
  <w:num w:numId="19" w16cid:durableId="1420709800">
    <w:abstractNumId w:val="11"/>
  </w:num>
  <w:num w:numId="20" w16cid:durableId="2109345301">
    <w:abstractNumId w:val="22"/>
  </w:num>
  <w:num w:numId="21" w16cid:durableId="1257052300">
    <w:abstractNumId w:val="33"/>
  </w:num>
  <w:num w:numId="22" w16cid:durableId="687215323">
    <w:abstractNumId w:val="14"/>
  </w:num>
  <w:num w:numId="23" w16cid:durableId="396978827">
    <w:abstractNumId w:val="32"/>
  </w:num>
  <w:num w:numId="24" w16cid:durableId="718018077">
    <w:abstractNumId w:val="15"/>
  </w:num>
  <w:num w:numId="25" w16cid:durableId="401415962">
    <w:abstractNumId w:val="13"/>
  </w:num>
  <w:num w:numId="26" w16cid:durableId="1775247179">
    <w:abstractNumId w:val="16"/>
  </w:num>
  <w:num w:numId="27" w16cid:durableId="1087733706">
    <w:abstractNumId w:val="24"/>
  </w:num>
  <w:num w:numId="28" w16cid:durableId="303507734">
    <w:abstractNumId w:val="21"/>
  </w:num>
  <w:num w:numId="29" w16cid:durableId="1860661968">
    <w:abstractNumId w:val="25"/>
  </w:num>
  <w:num w:numId="30" w16cid:durableId="2138336154">
    <w:abstractNumId w:val="36"/>
  </w:num>
  <w:num w:numId="31" w16cid:durableId="205459788">
    <w:abstractNumId w:val="34"/>
  </w:num>
  <w:num w:numId="32" w16cid:durableId="1568875725">
    <w:abstractNumId w:val="1"/>
  </w:num>
  <w:num w:numId="33" w16cid:durableId="1627202683">
    <w:abstractNumId w:val="8"/>
  </w:num>
  <w:num w:numId="34" w16cid:durableId="184753150">
    <w:abstractNumId w:val="38"/>
  </w:num>
  <w:num w:numId="35" w16cid:durableId="1414664449">
    <w:abstractNumId w:val="12"/>
  </w:num>
  <w:num w:numId="36" w16cid:durableId="69279486">
    <w:abstractNumId w:val="6"/>
  </w:num>
  <w:num w:numId="37" w16cid:durableId="1967202026">
    <w:abstractNumId w:val="30"/>
  </w:num>
  <w:num w:numId="38" w16cid:durableId="943611301">
    <w:abstractNumId w:val="42"/>
  </w:num>
  <w:num w:numId="39" w16cid:durableId="542519613">
    <w:abstractNumId w:val="10"/>
  </w:num>
  <w:num w:numId="40" w16cid:durableId="2057585370">
    <w:abstractNumId w:val="27"/>
  </w:num>
  <w:num w:numId="41" w16cid:durableId="94907496">
    <w:abstractNumId w:val="28"/>
  </w:num>
  <w:num w:numId="42" w16cid:durableId="1325160834">
    <w:abstractNumId w:val="3"/>
    <w:lvlOverride w:ilvl="0">
      <w:startOverride w:val="2"/>
    </w:lvlOverride>
  </w:num>
  <w:num w:numId="43" w16cid:durableId="823163305">
    <w:abstractNumId w:val="23"/>
  </w:num>
  <w:num w:numId="44" w16cid:durableId="915433105">
    <w:abstractNumId w:val="7"/>
  </w:num>
  <w:num w:numId="45" w16cid:durableId="10058653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831452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877818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52332306">
    <w:abstractNumId w:val="40"/>
  </w:num>
  <w:num w:numId="49" w16cid:durableId="1938828296">
    <w:abstractNumId w:val="26"/>
  </w:num>
  <w:num w:numId="50" w16cid:durableId="646200959">
    <w:abstractNumId w:val="41"/>
  </w:num>
  <w:num w:numId="51" w16cid:durableId="549924957">
    <w:abstractNumId w:val="3"/>
  </w:num>
  <w:num w:numId="52" w16cid:durableId="2001931806">
    <w:abstractNumId w:val="3"/>
  </w:num>
  <w:num w:numId="53" w16cid:durableId="455487802">
    <w:abstractNumId w:val="3"/>
  </w:num>
  <w:num w:numId="54" w16cid:durableId="384989981">
    <w:abstractNumId w:val="3"/>
  </w:num>
  <w:num w:numId="55" w16cid:durableId="218595043">
    <w:abstractNumId w:val="3"/>
  </w:num>
  <w:num w:numId="56" w16cid:durableId="1939412273">
    <w:abstractNumId w:val="19"/>
  </w:num>
  <w:num w:numId="57" w16cid:durableId="1525941050">
    <w:abstractNumId w:val="4"/>
  </w:num>
  <w:num w:numId="58" w16cid:durableId="704601952">
    <w:abstractNumId w:val="4"/>
  </w:num>
  <w:num w:numId="59" w16cid:durableId="1749305269">
    <w:abstractNumId w:val="2"/>
  </w:num>
  <w:num w:numId="60" w16cid:durableId="417365251">
    <w:abstractNumId w:val="2"/>
  </w:num>
  <w:num w:numId="61" w16cid:durableId="246618706">
    <w:abstractNumId w:val="17"/>
  </w:num>
  <w:num w:numId="62" w16cid:durableId="1258710751">
    <w:abstractNumId w:val="37"/>
  </w:num>
  <w:num w:numId="63" w16cid:durableId="1951159203">
    <w:abstractNumId w:val="37"/>
  </w:num>
  <w:num w:numId="64" w16cid:durableId="78164905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284"/>
  <w:evenAndOddHeaders/>
  <w:drawingGridHorizontalSpacing w:val="100"/>
  <w:displayHorizontalDrawingGridEvery w:val="2"/>
  <w:characterSpacingControl w:val="doNotCompress"/>
  <w:hdrShapeDefaults>
    <o:shapedefaults v:ext="edit" spidmax="110593">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8B5"/>
    <w:rsid w:val="00000488"/>
    <w:rsid w:val="000007CC"/>
    <w:rsid w:val="00000E58"/>
    <w:rsid w:val="00001166"/>
    <w:rsid w:val="000016ED"/>
    <w:rsid w:val="0000173C"/>
    <w:rsid w:val="00001F9A"/>
    <w:rsid w:val="00002215"/>
    <w:rsid w:val="00002302"/>
    <w:rsid w:val="00002FC0"/>
    <w:rsid w:val="000033BC"/>
    <w:rsid w:val="00005161"/>
    <w:rsid w:val="0000669A"/>
    <w:rsid w:val="0000695B"/>
    <w:rsid w:val="00010667"/>
    <w:rsid w:val="00010E61"/>
    <w:rsid w:val="000129D5"/>
    <w:rsid w:val="00013A91"/>
    <w:rsid w:val="00013BFD"/>
    <w:rsid w:val="000143B1"/>
    <w:rsid w:val="000147D2"/>
    <w:rsid w:val="0001514D"/>
    <w:rsid w:val="000153BF"/>
    <w:rsid w:val="000154A6"/>
    <w:rsid w:val="0001594F"/>
    <w:rsid w:val="00015A29"/>
    <w:rsid w:val="00015AE7"/>
    <w:rsid w:val="00016E21"/>
    <w:rsid w:val="00017027"/>
    <w:rsid w:val="0001719C"/>
    <w:rsid w:val="000204E7"/>
    <w:rsid w:val="000210B7"/>
    <w:rsid w:val="0002224E"/>
    <w:rsid w:val="00022B69"/>
    <w:rsid w:val="00023A36"/>
    <w:rsid w:val="00024043"/>
    <w:rsid w:val="000245C3"/>
    <w:rsid w:val="000245E5"/>
    <w:rsid w:val="00025831"/>
    <w:rsid w:val="00025B7F"/>
    <w:rsid w:val="00025BB9"/>
    <w:rsid w:val="00025EC2"/>
    <w:rsid w:val="00025F03"/>
    <w:rsid w:val="00026609"/>
    <w:rsid w:val="00026F91"/>
    <w:rsid w:val="00030A06"/>
    <w:rsid w:val="00030D61"/>
    <w:rsid w:val="00032621"/>
    <w:rsid w:val="0003288A"/>
    <w:rsid w:val="000332A7"/>
    <w:rsid w:val="000335AC"/>
    <w:rsid w:val="00033861"/>
    <w:rsid w:val="00034F62"/>
    <w:rsid w:val="000355F7"/>
    <w:rsid w:val="00036148"/>
    <w:rsid w:val="00037D71"/>
    <w:rsid w:val="000407C8"/>
    <w:rsid w:val="000409E5"/>
    <w:rsid w:val="000414F2"/>
    <w:rsid w:val="0004192F"/>
    <w:rsid w:val="00042A7C"/>
    <w:rsid w:val="00042AAA"/>
    <w:rsid w:val="00044C9C"/>
    <w:rsid w:val="000455CE"/>
    <w:rsid w:val="00045A62"/>
    <w:rsid w:val="00045C75"/>
    <w:rsid w:val="00045EDF"/>
    <w:rsid w:val="0004666F"/>
    <w:rsid w:val="00047266"/>
    <w:rsid w:val="0004764C"/>
    <w:rsid w:val="00047AE5"/>
    <w:rsid w:val="0005011A"/>
    <w:rsid w:val="0005045A"/>
    <w:rsid w:val="00051186"/>
    <w:rsid w:val="00051C1E"/>
    <w:rsid w:val="00051F15"/>
    <w:rsid w:val="000524C4"/>
    <w:rsid w:val="00052829"/>
    <w:rsid w:val="00053966"/>
    <w:rsid w:val="0005396C"/>
    <w:rsid w:val="000539F9"/>
    <w:rsid w:val="0005414E"/>
    <w:rsid w:val="000546C5"/>
    <w:rsid w:val="0005488C"/>
    <w:rsid w:val="00054BF8"/>
    <w:rsid w:val="00054C27"/>
    <w:rsid w:val="00055565"/>
    <w:rsid w:val="00055E4E"/>
    <w:rsid w:val="00055EC3"/>
    <w:rsid w:val="000563CE"/>
    <w:rsid w:val="0005737A"/>
    <w:rsid w:val="0005799C"/>
    <w:rsid w:val="00060448"/>
    <w:rsid w:val="0006044A"/>
    <w:rsid w:val="00061016"/>
    <w:rsid w:val="000613BA"/>
    <w:rsid w:val="000613C4"/>
    <w:rsid w:val="000624BB"/>
    <w:rsid w:val="00063BF6"/>
    <w:rsid w:val="00064159"/>
    <w:rsid w:val="0006482A"/>
    <w:rsid w:val="00064F62"/>
    <w:rsid w:val="000659B6"/>
    <w:rsid w:val="000663C2"/>
    <w:rsid w:val="000665C4"/>
    <w:rsid w:val="0006686F"/>
    <w:rsid w:val="00067226"/>
    <w:rsid w:val="0006722A"/>
    <w:rsid w:val="00070375"/>
    <w:rsid w:val="00070CAD"/>
    <w:rsid w:val="000724B5"/>
    <w:rsid w:val="00072B5A"/>
    <w:rsid w:val="000732CF"/>
    <w:rsid w:val="00074B34"/>
    <w:rsid w:val="00075091"/>
    <w:rsid w:val="00075798"/>
    <w:rsid w:val="00075B96"/>
    <w:rsid w:val="000764D8"/>
    <w:rsid w:val="00076C55"/>
    <w:rsid w:val="000805E5"/>
    <w:rsid w:val="00080724"/>
    <w:rsid w:val="0008097C"/>
    <w:rsid w:val="00080E7D"/>
    <w:rsid w:val="0008196A"/>
    <w:rsid w:val="00081E68"/>
    <w:rsid w:val="00082C19"/>
    <w:rsid w:val="00082E08"/>
    <w:rsid w:val="00082F09"/>
    <w:rsid w:val="00083588"/>
    <w:rsid w:val="00083874"/>
    <w:rsid w:val="00084964"/>
    <w:rsid w:val="00084B6A"/>
    <w:rsid w:val="00084E89"/>
    <w:rsid w:val="00085B90"/>
    <w:rsid w:val="00085F2F"/>
    <w:rsid w:val="0008632A"/>
    <w:rsid w:val="00090298"/>
    <w:rsid w:val="0009083C"/>
    <w:rsid w:val="00091447"/>
    <w:rsid w:val="000915ED"/>
    <w:rsid w:val="0009193A"/>
    <w:rsid w:val="0009209D"/>
    <w:rsid w:val="00092BB6"/>
    <w:rsid w:val="000940A4"/>
    <w:rsid w:val="00094213"/>
    <w:rsid w:val="0009463C"/>
    <w:rsid w:val="000946BC"/>
    <w:rsid w:val="00094FEA"/>
    <w:rsid w:val="00096006"/>
    <w:rsid w:val="000969BD"/>
    <w:rsid w:val="000969BF"/>
    <w:rsid w:val="0009746C"/>
    <w:rsid w:val="00097616"/>
    <w:rsid w:val="000A0C22"/>
    <w:rsid w:val="000A11CD"/>
    <w:rsid w:val="000A1400"/>
    <w:rsid w:val="000A1AC2"/>
    <w:rsid w:val="000A1F1E"/>
    <w:rsid w:val="000A2E9A"/>
    <w:rsid w:val="000A30C9"/>
    <w:rsid w:val="000A3C43"/>
    <w:rsid w:val="000A402B"/>
    <w:rsid w:val="000A4A51"/>
    <w:rsid w:val="000A5C6B"/>
    <w:rsid w:val="000A5D2B"/>
    <w:rsid w:val="000A6708"/>
    <w:rsid w:val="000A6ACD"/>
    <w:rsid w:val="000B1346"/>
    <w:rsid w:val="000B3045"/>
    <w:rsid w:val="000B4664"/>
    <w:rsid w:val="000B4A3C"/>
    <w:rsid w:val="000B4F17"/>
    <w:rsid w:val="000B549A"/>
    <w:rsid w:val="000B557C"/>
    <w:rsid w:val="000B5741"/>
    <w:rsid w:val="000B5DE3"/>
    <w:rsid w:val="000B657A"/>
    <w:rsid w:val="000B72A2"/>
    <w:rsid w:val="000C0A57"/>
    <w:rsid w:val="000C1249"/>
    <w:rsid w:val="000C1C18"/>
    <w:rsid w:val="000C230C"/>
    <w:rsid w:val="000C509E"/>
    <w:rsid w:val="000C5706"/>
    <w:rsid w:val="000C6854"/>
    <w:rsid w:val="000C6A92"/>
    <w:rsid w:val="000C6AB4"/>
    <w:rsid w:val="000C6F65"/>
    <w:rsid w:val="000D01FF"/>
    <w:rsid w:val="000D2FCE"/>
    <w:rsid w:val="000D3647"/>
    <w:rsid w:val="000D4268"/>
    <w:rsid w:val="000D5668"/>
    <w:rsid w:val="000D71D9"/>
    <w:rsid w:val="000D76E0"/>
    <w:rsid w:val="000D7B67"/>
    <w:rsid w:val="000D7E8B"/>
    <w:rsid w:val="000E0491"/>
    <w:rsid w:val="000E1184"/>
    <w:rsid w:val="000E1878"/>
    <w:rsid w:val="000E2859"/>
    <w:rsid w:val="000E2DD7"/>
    <w:rsid w:val="000E3442"/>
    <w:rsid w:val="000E3EEC"/>
    <w:rsid w:val="000E3FA8"/>
    <w:rsid w:val="000E4449"/>
    <w:rsid w:val="000E53CE"/>
    <w:rsid w:val="000E6097"/>
    <w:rsid w:val="000E615E"/>
    <w:rsid w:val="000F0393"/>
    <w:rsid w:val="000F0567"/>
    <w:rsid w:val="000F1D00"/>
    <w:rsid w:val="000F25E4"/>
    <w:rsid w:val="000F29A9"/>
    <w:rsid w:val="000F3468"/>
    <w:rsid w:val="000F3552"/>
    <w:rsid w:val="000F3D1A"/>
    <w:rsid w:val="000F3FFE"/>
    <w:rsid w:val="000F41B1"/>
    <w:rsid w:val="000F42BC"/>
    <w:rsid w:val="000F44B7"/>
    <w:rsid w:val="000F4636"/>
    <w:rsid w:val="000F479C"/>
    <w:rsid w:val="000F4A25"/>
    <w:rsid w:val="000F52C4"/>
    <w:rsid w:val="000F6C21"/>
    <w:rsid w:val="000F7547"/>
    <w:rsid w:val="000F77EB"/>
    <w:rsid w:val="000F7CA2"/>
    <w:rsid w:val="00100106"/>
    <w:rsid w:val="00100873"/>
    <w:rsid w:val="00100CD9"/>
    <w:rsid w:val="001012DD"/>
    <w:rsid w:val="00101593"/>
    <w:rsid w:val="0010190B"/>
    <w:rsid w:val="00101C9D"/>
    <w:rsid w:val="001026AA"/>
    <w:rsid w:val="00103636"/>
    <w:rsid w:val="001037E2"/>
    <w:rsid w:val="00103829"/>
    <w:rsid w:val="00103B7F"/>
    <w:rsid w:val="00103D8A"/>
    <w:rsid w:val="00103DEE"/>
    <w:rsid w:val="001047BC"/>
    <w:rsid w:val="001048BB"/>
    <w:rsid w:val="00105421"/>
    <w:rsid w:val="001055A6"/>
    <w:rsid w:val="00107702"/>
    <w:rsid w:val="00110E48"/>
    <w:rsid w:val="0011113B"/>
    <w:rsid w:val="001113CE"/>
    <w:rsid w:val="00111BD1"/>
    <w:rsid w:val="00111FCE"/>
    <w:rsid w:val="00112018"/>
    <w:rsid w:val="0011226A"/>
    <w:rsid w:val="001125C5"/>
    <w:rsid w:val="001128D7"/>
    <w:rsid w:val="0011341F"/>
    <w:rsid w:val="0011355D"/>
    <w:rsid w:val="00113B10"/>
    <w:rsid w:val="0011452D"/>
    <w:rsid w:val="00114A17"/>
    <w:rsid w:val="001156F9"/>
    <w:rsid w:val="00115764"/>
    <w:rsid w:val="00116259"/>
    <w:rsid w:val="001176EA"/>
    <w:rsid w:val="00117D57"/>
    <w:rsid w:val="001202D2"/>
    <w:rsid w:val="0012057A"/>
    <w:rsid w:val="0012221F"/>
    <w:rsid w:val="00122338"/>
    <w:rsid w:val="001229A5"/>
    <w:rsid w:val="00122BAA"/>
    <w:rsid w:val="00123618"/>
    <w:rsid w:val="001241AF"/>
    <w:rsid w:val="0012489B"/>
    <w:rsid w:val="001251E4"/>
    <w:rsid w:val="0012582F"/>
    <w:rsid w:val="001265EA"/>
    <w:rsid w:val="00126646"/>
    <w:rsid w:val="00126A0E"/>
    <w:rsid w:val="00127432"/>
    <w:rsid w:val="001279DB"/>
    <w:rsid w:val="00127B62"/>
    <w:rsid w:val="00127B9D"/>
    <w:rsid w:val="00130017"/>
    <w:rsid w:val="00130F91"/>
    <w:rsid w:val="00131976"/>
    <w:rsid w:val="00131E8A"/>
    <w:rsid w:val="001325DD"/>
    <w:rsid w:val="001328A3"/>
    <w:rsid w:val="00132AE9"/>
    <w:rsid w:val="00133A1E"/>
    <w:rsid w:val="001342B8"/>
    <w:rsid w:val="001348DE"/>
    <w:rsid w:val="001349ED"/>
    <w:rsid w:val="00135E77"/>
    <w:rsid w:val="00136B75"/>
    <w:rsid w:val="00137424"/>
    <w:rsid w:val="00140318"/>
    <w:rsid w:val="0014091B"/>
    <w:rsid w:val="00140CF6"/>
    <w:rsid w:val="0014144E"/>
    <w:rsid w:val="001419B6"/>
    <w:rsid w:val="00141AD9"/>
    <w:rsid w:val="00141BAD"/>
    <w:rsid w:val="00141D5F"/>
    <w:rsid w:val="00142C97"/>
    <w:rsid w:val="001432A4"/>
    <w:rsid w:val="00145062"/>
    <w:rsid w:val="0014579D"/>
    <w:rsid w:val="0014581D"/>
    <w:rsid w:val="00146CE6"/>
    <w:rsid w:val="001475E8"/>
    <w:rsid w:val="001477F4"/>
    <w:rsid w:val="001509AB"/>
    <w:rsid w:val="00150F7B"/>
    <w:rsid w:val="001526C1"/>
    <w:rsid w:val="00152730"/>
    <w:rsid w:val="00152903"/>
    <w:rsid w:val="0015389D"/>
    <w:rsid w:val="00153B3C"/>
    <w:rsid w:val="00153FD5"/>
    <w:rsid w:val="00154517"/>
    <w:rsid w:val="00154DE5"/>
    <w:rsid w:val="00155B3C"/>
    <w:rsid w:val="0015614F"/>
    <w:rsid w:val="001566CE"/>
    <w:rsid w:val="00156E22"/>
    <w:rsid w:val="00156F68"/>
    <w:rsid w:val="0015744B"/>
    <w:rsid w:val="001577C2"/>
    <w:rsid w:val="00160469"/>
    <w:rsid w:val="001606E5"/>
    <w:rsid w:val="0016071D"/>
    <w:rsid w:val="00160CE7"/>
    <w:rsid w:val="001615F0"/>
    <w:rsid w:val="001633C4"/>
    <w:rsid w:val="001641D2"/>
    <w:rsid w:val="00164A67"/>
    <w:rsid w:val="00165BA4"/>
    <w:rsid w:val="001666C2"/>
    <w:rsid w:val="001671F8"/>
    <w:rsid w:val="00167487"/>
    <w:rsid w:val="001679E4"/>
    <w:rsid w:val="00167AC2"/>
    <w:rsid w:val="001704D5"/>
    <w:rsid w:val="00170544"/>
    <w:rsid w:val="001708B4"/>
    <w:rsid w:val="00170D18"/>
    <w:rsid w:val="00171591"/>
    <w:rsid w:val="00172059"/>
    <w:rsid w:val="00172A82"/>
    <w:rsid w:val="00173981"/>
    <w:rsid w:val="00173E1C"/>
    <w:rsid w:val="00174426"/>
    <w:rsid w:val="001755F1"/>
    <w:rsid w:val="001756CC"/>
    <w:rsid w:val="0017719D"/>
    <w:rsid w:val="0017721E"/>
    <w:rsid w:val="0017726E"/>
    <w:rsid w:val="00180736"/>
    <w:rsid w:val="00183FD7"/>
    <w:rsid w:val="00184F4B"/>
    <w:rsid w:val="0018581D"/>
    <w:rsid w:val="001859CC"/>
    <w:rsid w:val="00185CAB"/>
    <w:rsid w:val="00186450"/>
    <w:rsid w:val="00186678"/>
    <w:rsid w:val="001866AE"/>
    <w:rsid w:val="00186905"/>
    <w:rsid w:val="00186998"/>
    <w:rsid w:val="0018759F"/>
    <w:rsid w:val="001875B7"/>
    <w:rsid w:val="00187CB3"/>
    <w:rsid w:val="001901E2"/>
    <w:rsid w:val="0019050A"/>
    <w:rsid w:val="00190D4F"/>
    <w:rsid w:val="00190F8A"/>
    <w:rsid w:val="001910D4"/>
    <w:rsid w:val="001920B6"/>
    <w:rsid w:val="00192636"/>
    <w:rsid w:val="00192C80"/>
    <w:rsid w:val="001935D4"/>
    <w:rsid w:val="00193642"/>
    <w:rsid w:val="0019493F"/>
    <w:rsid w:val="00195282"/>
    <w:rsid w:val="00195DF7"/>
    <w:rsid w:val="0019628B"/>
    <w:rsid w:val="00196644"/>
    <w:rsid w:val="001967C0"/>
    <w:rsid w:val="001967EA"/>
    <w:rsid w:val="00196AFE"/>
    <w:rsid w:val="00196C61"/>
    <w:rsid w:val="00196E16"/>
    <w:rsid w:val="001976E3"/>
    <w:rsid w:val="00197EC4"/>
    <w:rsid w:val="001A184A"/>
    <w:rsid w:val="001A199A"/>
    <w:rsid w:val="001A24D5"/>
    <w:rsid w:val="001A4357"/>
    <w:rsid w:val="001A44EC"/>
    <w:rsid w:val="001A4A23"/>
    <w:rsid w:val="001A5121"/>
    <w:rsid w:val="001A6517"/>
    <w:rsid w:val="001A6A30"/>
    <w:rsid w:val="001A7283"/>
    <w:rsid w:val="001A728E"/>
    <w:rsid w:val="001A735D"/>
    <w:rsid w:val="001A7456"/>
    <w:rsid w:val="001A788B"/>
    <w:rsid w:val="001A7AF3"/>
    <w:rsid w:val="001A7C3C"/>
    <w:rsid w:val="001B0457"/>
    <w:rsid w:val="001B061D"/>
    <w:rsid w:val="001B23A2"/>
    <w:rsid w:val="001B283F"/>
    <w:rsid w:val="001B2B3C"/>
    <w:rsid w:val="001B315A"/>
    <w:rsid w:val="001B37E2"/>
    <w:rsid w:val="001B4837"/>
    <w:rsid w:val="001B4F01"/>
    <w:rsid w:val="001B57A8"/>
    <w:rsid w:val="001B58AA"/>
    <w:rsid w:val="001B622A"/>
    <w:rsid w:val="001B6F74"/>
    <w:rsid w:val="001B7C04"/>
    <w:rsid w:val="001B7D4F"/>
    <w:rsid w:val="001B7E48"/>
    <w:rsid w:val="001C0787"/>
    <w:rsid w:val="001C141E"/>
    <w:rsid w:val="001C17CE"/>
    <w:rsid w:val="001C2174"/>
    <w:rsid w:val="001C225F"/>
    <w:rsid w:val="001C264C"/>
    <w:rsid w:val="001C28F9"/>
    <w:rsid w:val="001C30DA"/>
    <w:rsid w:val="001C36CA"/>
    <w:rsid w:val="001C44D1"/>
    <w:rsid w:val="001C56F7"/>
    <w:rsid w:val="001C65C1"/>
    <w:rsid w:val="001C6AEE"/>
    <w:rsid w:val="001C7630"/>
    <w:rsid w:val="001C7C4A"/>
    <w:rsid w:val="001D20F2"/>
    <w:rsid w:val="001D2B8F"/>
    <w:rsid w:val="001D3E0D"/>
    <w:rsid w:val="001D43A9"/>
    <w:rsid w:val="001D4AC3"/>
    <w:rsid w:val="001D52F3"/>
    <w:rsid w:val="001D687B"/>
    <w:rsid w:val="001D6D15"/>
    <w:rsid w:val="001E136B"/>
    <w:rsid w:val="001E3337"/>
    <w:rsid w:val="001E348E"/>
    <w:rsid w:val="001E34EB"/>
    <w:rsid w:val="001E3E2C"/>
    <w:rsid w:val="001E576A"/>
    <w:rsid w:val="001E5EC1"/>
    <w:rsid w:val="001E65C3"/>
    <w:rsid w:val="001E70EE"/>
    <w:rsid w:val="001F08F2"/>
    <w:rsid w:val="001F1A86"/>
    <w:rsid w:val="001F1C38"/>
    <w:rsid w:val="001F263D"/>
    <w:rsid w:val="001F2776"/>
    <w:rsid w:val="001F3803"/>
    <w:rsid w:val="001F4257"/>
    <w:rsid w:val="001F4C9A"/>
    <w:rsid w:val="001F50F7"/>
    <w:rsid w:val="001F53AF"/>
    <w:rsid w:val="001F62BC"/>
    <w:rsid w:val="001F7558"/>
    <w:rsid w:val="00200381"/>
    <w:rsid w:val="00200775"/>
    <w:rsid w:val="0020196C"/>
    <w:rsid w:val="00201CC9"/>
    <w:rsid w:val="00201EE2"/>
    <w:rsid w:val="00201F5A"/>
    <w:rsid w:val="00201FB6"/>
    <w:rsid w:val="00202C81"/>
    <w:rsid w:val="0020433B"/>
    <w:rsid w:val="002048D6"/>
    <w:rsid w:val="00204D09"/>
    <w:rsid w:val="00205B45"/>
    <w:rsid w:val="00205B57"/>
    <w:rsid w:val="00206145"/>
    <w:rsid w:val="00207123"/>
    <w:rsid w:val="002074AA"/>
    <w:rsid w:val="0021127A"/>
    <w:rsid w:val="00211397"/>
    <w:rsid w:val="0021225B"/>
    <w:rsid w:val="00212667"/>
    <w:rsid w:val="00212CBC"/>
    <w:rsid w:val="00213307"/>
    <w:rsid w:val="0021384C"/>
    <w:rsid w:val="00214225"/>
    <w:rsid w:val="0021426C"/>
    <w:rsid w:val="0021483C"/>
    <w:rsid w:val="00214BB0"/>
    <w:rsid w:val="002152E6"/>
    <w:rsid w:val="0021578F"/>
    <w:rsid w:val="002157E0"/>
    <w:rsid w:val="00215A31"/>
    <w:rsid w:val="00216A57"/>
    <w:rsid w:val="00216D79"/>
    <w:rsid w:val="00217448"/>
    <w:rsid w:val="002200BF"/>
    <w:rsid w:val="002201DB"/>
    <w:rsid w:val="002210BA"/>
    <w:rsid w:val="002217B5"/>
    <w:rsid w:val="00222247"/>
    <w:rsid w:val="002225B0"/>
    <w:rsid w:val="00222D53"/>
    <w:rsid w:val="0022334F"/>
    <w:rsid w:val="00223556"/>
    <w:rsid w:val="00224062"/>
    <w:rsid w:val="00224E95"/>
    <w:rsid w:val="002256F5"/>
    <w:rsid w:val="00226819"/>
    <w:rsid w:val="00226F4C"/>
    <w:rsid w:val="00227D0B"/>
    <w:rsid w:val="00230822"/>
    <w:rsid w:val="00230F3D"/>
    <w:rsid w:val="00231159"/>
    <w:rsid w:val="00231509"/>
    <w:rsid w:val="00231713"/>
    <w:rsid w:val="00231EDB"/>
    <w:rsid w:val="002321A1"/>
    <w:rsid w:val="00233101"/>
    <w:rsid w:val="0023311B"/>
    <w:rsid w:val="002333F5"/>
    <w:rsid w:val="0023349C"/>
    <w:rsid w:val="00233817"/>
    <w:rsid w:val="00235C1F"/>
    <w:rsid w:val="002365D1"/>
    <w:rsid w:val="002367FF"/>
    <w:rsid w:val="00236B76"/>
    <w:rsid w:val="00236BD1"/>
    <w:rsid w:val="00236D07"/>
    <w:rsid w:val="00236DD3"/>
    <w:rsid w:val="0023730F"/>
    <w:rsid w:val="00237CEB"/>
    <w:rsid w:val="00240CE7"/>
    <w:rsid w:val="00240CE9"/>
    <w:rsid w:val="002413E7"/>
    <w:rsid w:val="002416C1"/>
    <w:rsid w:val="002423F6"/>
    <w:rsid w:val="0024280A"/>
    <w:rsid w:val="002431BE"/>
    <w:rsid w:val="002434BA"/>
    <w:rsid w:val="0024373F"/>
    <w:rsid w:val="00243A65"/>
    <w:rsid w:val="00243BBC"/>
    <w:rsid w:val="00243C2C"/>
    <w:rsid w:val="00244642"/>
    <w:rsid w:val="002447EC"/>
    <w:rsid w:val="00244811"/>
    <w:rsid w:val="00244D50"/>
    <w:rsid w:val="00245DE8"/>
    <w:rsid w:val="00246089"/>
    <w:rsid w:val="00246093"/>
    <w:rsid w:val="00246702"/>
    <w:rsid w:val="00247C59"/>
    <w:rsid w:val="00247F2E"/>
    <w:rsid w:val="00247FF2"/>
    <w:rsid w:val="00250079"/>
    <w:rsid w:val="00250207"/>
    <w:rsid w:val="00250AD7"/>
    <w:rsid w:val="00250ADC"/>
    <w:rsid w:val="00250B07"/>
    <w:rsid w:val="00251C5B"/>
    <w:rsid w:val="00253137"/>
    <w:rsid w:val="00254226"/>
    <w:rsid w:val="00254850"/>
    <w:rsid w:val="00254869"/>
    <w:rsid w:val="002568B5"/>
    <w:rsid w:val="00257553"/>
    <w:rsid w:val="00257D32"/>
    <w:rsid w:val="00260956"/>
    <w:rsid w:val="00260FB2"/>
    <w:rsid w:val="00262128"/>
    <w:rsid w:val="002635F4"/>
    <w:rsid w:val="00263C73"/>
    <w:rsid w:val="002646F3"/>
    <w:rsid w:val="00264A36"/>
    <w:rsid w:val="002662CE"/>
    <w:rsid w:val="00270CD0"/>
    <w:rsid w:val="00270E1F"/>
    <w:rsid w:val="00270F57"/>
    <w:rsid w:val="0027165D"/>
    <w:rsid w:val="00272B59"/>
    <w:rsid w:val="00273094"/>
    <w:rsid w:val="00273CEB"/>
    <w:rsid w:val="002743AD"/>
    <w:rsid w:val="002745EB"/>
    <w:rsid w:val="00275BDE"/>
    <w:rsid w:val="00275DD1"/>
    <w:rsid w:val="00276EA5"/>
    <w:rsid w:val="00276F25"/>
    <w:rsid w:val="002773FB"/>
    <w:rsid w:val="00277FEC"/>
    <w:rsid w:val="002802E7"/>
    <w:rsid w:val="00280B5A"/>
    <w:rsid w:val="00280EE2"/>
    <w:rsid w:val="002816BF"/>
    <w:rsid w:val="00281C89"/>
    <w:rsid w:val="0028282F"/>
    <w:rsid w:val="00282AD6"/>
    <w:rsid w:val="002833F4"/>
    <w:rsid w:val="00284518"/>
    <w:rsid w:val="002850C3"/>
    <w:rsid w:val="00285366"/>
    <w:rsid w:val="00285E8F"/>
    <w:rsid w:val="0028711E"/>
    <w:rsid w:val="00290BED"/>
    <w:rsid w:val="00291ED0"/>
    <w:rsid w:val="0029242F"/>
    <w:rsid w:val="00292760"/>
    <w:rsid w:val="00292DB7"/>
    <w:rsid w:val="002941F5"/>
    <w:rsid w:val="00294DD3"/>
    <w:rsid w:val="0029593B"/>
    <w:rsid w:val="00296932"/>
    <w:rsid w:val="00296D44"/>
    <w:rsid w:val="00297FC5"/>
    <w:rsid w:val="002A00DC"/>
    <w:rsid w:val="002A0417"/>
    <w:rsid w:val="002A0C6B"/>
    <w:rsid w:val="002A16D8"/>
    <w:rsid w:val="002A19B5"/>
    <w:rsid w:val="002A1BC8"/>
    <w:rsid w:val="002A2995"/>
    <w:rsid w:val="002A3EF2"/>
    <w:rsid w:val="002A4030"/>
    <w:rsid w:val="002A4770"/>
    <w:rsid w:val="002A70D0"/>
    <w:rsid w:val="002A765C"/>
    <w:rsid w:val="002A76D3"/>
    <w:rsid w:val="002A79F5"/>
    <w:rsid w:val="002B03E8"/>
    <w:rsid w:val="002B04E3"/>
    <w:rsid w:val="002B0DED"/>
    <w:rsid w:val="002B100F"/>
    <w:rsid w:val="002B19A2"/>
    <w:rsid w:val="002B215D"/>
    <w:rsid w:val="002B217E"/>
    <w:rsid w:val="002B2561"/>
    <w:rsid w:val="002B2564"/>
    <w:rsid w:val="002B381A"/>
    <w:rsid w:val="002B3A99"/>
    <w:rsid w:val="002B4FCC"/>
    <w:rsid w:val="002B535A"/>
    <w:rsid w:val="002B53E6"/>
    <w:rsid w:val="002B5DAF"/>
    <w:rsid w:val="002B7408"/>
    <w:rsid w:val="002B7651"/>
    <w:rsid w:val="002B77BF"/>
    <w:rsid w:val="002B7CFD"/>
    <w:rsid w:val="002C0530"/>
    <w:rsid w:val="002C0C20"/>
    <w:rsid w:val="002C210F"/>
    <w:rsid w:val="002C2B9B"/>
    <w:rsid w:val="002C3E86"/>
    <w:rsid w:val="002C40F4"/>
    <w:rsid w:val="002C4329"/>
    <w:rsid w:val="002C442D"/>
    <w:rsid w:val="002C62EF"/>
    <w:rsid w:val="002D1847"/>
    <w:rsid w:val="002D24EC"/>
    <w:rsid w:val="002D3600"/>
    <w:rsid w:val="002D396B"/>
    <w:rsid w:val="002D40DB"/>
    <w:rsid w:val="002D4D75"/>
    <w:rsid w:val="002D50E8"/>
    <w:rsid w:val="002D5AE7"/>
    <w:rsid w:val="002D5B63"/>
    <w:rsid w:val="002D5E17"/>
    <w:rsid w:val="002D73C4"/>
    <w:rsid w:val="002D75C6"/>
    <w:rsid w:val="002D7B78"/>
    <w:rsid w:val="002E13FA"/>
    <w:rsid w:val="002E257C"/>
    <w:rsid w:val="002E3389"/>
    <w:rsid w:val="002E3AD6"/>
    <w:rsid w:val="002E3C33"/>
    <w:rsid w:val="002E4367"/>
    <w:rsid w:val="002E4DDC"/>
    <w:rsid w:val="002E5692"/>
    <w:rsid w:val="002E5A2E"/>
    <w:rsid w:val="002E66E1"/>
    <w:rsid w:val="002F06C2"/>
    <w:rsid w:val="002F0858"/>
    <w:rsid w:val="002F0DD3"/>
    <w:rsid w:val="002F0F32"/>
    <w:rsid w:val="002F32B9"/>
    <w:rsid w:val="002F3826"/>
    <w:rsid w:val="002F3A98"/>
    <w:rsid w:val="002F54B4"/>
    <w:rsid w:val="002F5609"/>
    <w:rsid w:val="002F56F1"/>
    <w:rsid w:val="002F5EF3"/>
    <w:rsid w:val="002F6023"/>
    <w:rsid w:val="002F60B4"/>
    <w:rsid w:val="002F6152"/>
    <w:rsid w:val="002F7B33"/>
    <w:rsid w:val="002F7B62"/>
    <w:rsid w:val="00300E30"/>
    <w:rsid w:val="00301449"/>
    <w:rsid w:val="00301F3F"/>
    <w:rsid w:val="00302480"/>
    <w:rsid w:val="00302758"/>
    <w:rsid w:val="00302DA8"/>
    <w:rsid w:val="003035FF"/>
    <w:rsid w:val="0030440A"/>
    <w:rsid w:val="003044FE"/>
    <w:rsid w:val="00306623"/>
    <w:rsid w:val="003070FC"/>
    <w:rsid w:val="003079A0"/>
    <w:rsid w:val="00307F35"/>
    <w:rsid w:val="003125C3"/>
    <w:rsid w:val="00312E55"/>
    <w:rsid w:val="00312FA4"/>
    <w:rsid w:val="003136DF"/>
    <w:rsid w:val="00313BF3"/>
    <w:rsid w:val="003149D9"/>
    <w:rsid w:val="00315F7B"/>
    <w:rsid w:val="003163D0"/>
    <w:rsid w:val="003165E6"/>
    <w:rsid w:val="003175E1"/>
    <w:rsid w:val="003208C2"/>
    <w:rsid w:val="00320C98"/>
    <w:rsid w:val="00320DA7"/>
    <w:rsid w:val="003215B5"/>
    <w:rsid w:val="003221CF"/>
    <w:rsid w:val="003232EE"/>
    <w:rsid w:val="003233ED"/>
    <w:rsid w:val="003241CB"/>
    <w:rsid w:val="0032463A"/>
    <w:rsid w:val="0032466B"/>
    <w:rsid w:val="00324C41"/>
    <w:rsid w:val="00324D9F"/>
    <w:rsid w:val="00324E70"/>
    <w:rsid w:val="003253EE"/>
    <w:rsid w:val="00325BA2"/>
    <w:rsid w:val="00327948"/>
    <w:rsid w:val="00327A9F"/>
    <w:rsid w:val="00327D6D"/>
    <w:rsid w:val="0033000F"/>
    <w:rsid w:val="003303D2"/>
    <w:rsid w:val="00330E91"/>
    <w:rsid w:val="003316F5"/>
    <w:rsid w:val="003317C0"/>
    <w:rsid w:val="00331DD9"/>
    <w:rsid w:val="00332011"/>
    <w:rsid w:val="00332518"/>
    <w:rsid w:val="00332820"/>
    <w:rsid w:val="00332925"/>
    <w:rsid w:val="00332E3F"/>
    <w:rsid w:val="003332ED"/>
    <w:rsid w:val="003344DA"/>
    <w:rsid w:val="00334954"/>
    <w:rsid w:val="00334BD8"/>
    <w:rsid w:val="0033517F"/>
    <w:rsid w:val="0033542A"/>
    <w:rsid w:val="003368DC"/>
    <w:rsid w:val="00336C1F"/>
    <w:rsid w:val="00340F58"/>
    <w:rsid w:val="003416E8"/>
    <w:rsid w:val="00341DAD"/>
    <w:rsid w:val="00341E4F"/>
    <w:rsid w:val="003431C4"/>
    <w:rsid w:val="0034490B"/>
    <w:rsid w:val="003452B4"/>
    <w:rsid w:val="00345598"/>
    <w:rsid w:val="00345927"/>
    <w:rsid w:val="00345FAF"/>
    <w:rsid w:val="00346A14"/>
    <w:rsid w:val="00346ED4"/>
    <w:rsid w:val="0034765D"/>
    <w:rsid w:val="00350584"/>
    <w:rsid w:val="00351857"/>
    <w:rsid w:val="00352D09"/>
    <w:rsid w:val="003542C9"/>
    <w:rsid w:val="003545E8"/>
    <w:rsid w:val="00354718"/>
    <w:rsid w:val="0035495F"/>
    <w:rsid w:val="0035524E"/>
    <w:rsid w:val="00355329"/>
    <w:rsid w:val="0035553F"/>
    <w:rsid w:val="00355E25"/>
    <w:rsid w:val="003570C4"/>
    <w:rsid w:val="0035752E"/>
    <w:rsid w:val="003579C7"/>
    <w:rsid w:val="00360821"/>
    <w:rsid w:val="003608BE"/>
    <w:rsid w:val="0036090D"/>
    <w:rsid w:val="003610E1"/>
    <w:rsid w:val="0036129F"/>
    <w:rsid w:val="00361A2E"/>
    <w:rsid w:val="00362442"/>
    <w:rsid w:val="003628CD"/>
    <w:rsid w:val="0036407B"/>
    <w:rsid w:val="00364275"/>
    <w:rsid w:val="00364442"/>
    <w:rsid w:val="00365330"/>
    <w:rsid w:val="0036561A"/>
    <w:rsid w:val="00365D8A"/>
    <w:rsid w:val="0036641C"/>
    <w:rsid w:val="00366D58"/>
    <w:rsid w:val="003671BE"/>
    <w:rsid w:val="003678A0"/>
    <w:rsid w:val="00370E55"/>
    <w:rsid w:val="00371064"/>
    <w:rsid w:val="00372219"/>
    <w:rsid w:val="00372485"/>
    <w:rsid w:val="0037250F"/>
    <w:rsid w:val="00373200"/>
    <w:rsid w:val="003737DD"/>
    <w:rsid w:val="00373E2F"/>
    <w:rsid w:val="003746A9"/>
    <w:rsid w:val="00374C09"/>
    <w:rsid w:val="0037532C"/>
    <w:rsid w:val="00375EF5"/>
    <w:rsid w:val="003767A5"/>
    <w:rsid w:val="00376823"/>
    <w:rsid w:val="00377CE9"/>
    <w:rsid w:val="0038006E"/>
    <w:rsid w:val="00381CF7"/>
    <w:rsid w:val="00381D15"/>
    <w:rsid w:val="00382CD5"/>
    <w:rsid w:val="00382E13"/>
    <w:rsid w:val="003830F4"/>
    <w:rsid w:val="00384BB7"/>
    <w:rsid w:val="00384D94"/>
    <w:rsid w:val="00385254"/>
    <w:rsid w:val="00385E08"/>
    <w:rsid w:val="0038649B"/>
    <w:rsid w:val="003869C2"/>
    <w:rsid w:val="00387D89"/>
    <w:rsid w:val="00387DE8"/>
    <w:rsid w:val="00390D91"/>
    <w:rsid w:val="00391780"/>
    <w:rsid w:val="0039321F"/>
    <w:rsid w:val="003933E8"/>
    <w:rsid w:val="0039380F"/>
    <w:rsid w:val="00394031"/>
    <w:rsid w:val="003943EA"/>
    <w:rsid w:val="0039464A"/>
    <w:rsid w:val="00394849"/>
    <w:rsid w:val="003955CA"/>
    <w:rsid w:val="00395745"/>
    <w:rsid w:val="00396307"/>
    <w:rsid w:val="00396DC2"/>
    <w:rsid w:val="00397B3B"/>
    <w:rsid w:val="00397CD6"/>
    <w:rsid w:val="003A04DB"/>
    <w:rsid w:val="003A19BF"/>
    <w:rsid w:val="003A1C81"/>
    <w:rsid w:val="003A2B12"/>
    <w:rsid w:val="003A4546"/>
    <w:rsid w:val="003A534A"/>
    <w:rsid w:val="003A5F5B"/>
    <w:rsid w:val="003A7453"/>
    <w:rsid w:val="003A789A"/>
    <w:rsid w:val="003B0058"/>
    <w:rsid w:val="003B12EC"/>
    <w:rsid w:val="003B1BDD"/>
    <w:rsid w:val="003B1BFB"/>
    <w:rsid w:val="003B30C7"/>
    <w:rsid w:val="003B3317"/>
    <w:rsid w:val="003B3622"/>
    <w:rsid w:val="003B4359"/>
    <w:rsid w:val="003B4CB9"/>
    <w:rsid w:val="003B4DCD"/>
    <w:rsid w:val="003B5889"/>
    <w:rsid w:val="003B606D"/>
    <w:rsid w:val="003B67FA"/>
    <w:rsid w:val="003B686D"/>
    <w:rsid w:val="003B6A17"/>
    <w:rsid w:val="003B77B9"/>
    <w:rsid w:val="003B7A21"/>
    <w:rsid w:val="003C00ED"/>
    <w:rsid w:val="003C03B8"/>
    <w:rsid w:val="003C11F2"/>
    <w:rsid w:val="003C1AE2"/>
    <w:rsid w:val="003C1E01"/>
    <w:rsid w:val="003C2780"/>
    <w:rsid w:val="003C48BD"/>
    <w:rsid w:val="003C5301"/>
    <w:rsid w:val="003C5A2F"/>
    <w:rsid w:val="003C644E"/>
    <w:rsid w:val="003C69FD"/>
    <w:rsid w:val="003C6A51"/>
    <w:rsid w:val="003C701D"/>
    <w:rsid w:val="003C7114"/>
    <w:rsid w:val="003C7203"/>
    <w:rsid w:val="003C76E0"/>
    <w:rsid w:val="003C7774"/>
    <w:rsid w:val="003C77E0"/>
    <w:rsid w:val="003C78FA"/>
    <w:rsid w:val="003C7B95"/>
    <w:rsid w:val="003C7F88"/>
    <w:rsid w:val="003D0954"/>
    <w:rsid w:val="003D17D7"/>
    <w:rsid w:val="003D1ADA"/>
    <w:rsid w:val="003D1B39"/>
    <w:rsid w:val="003D1B98"/>
    <w:rsid w:val="003D1CDD"/>
    <w:rsid w:val="003D2678"/>
    <w:rsid w:val="003D47EA"/>
    <w:rsid w:val="003D5471"/>
    <w:rsid w:val="003D71A3"/>
    <w:rsid w:val="003E0610"/>
    <w:rsid w:val="003E0DF0"/>
    <w:rsid w:val="003E22D4"/>
    <w:rsid w:val="003E2557"/>
    <w:rsid w:val="003E2B8A"/>
    <w:rsid w:val="003E391A"/>
    <w:rsid w:val="003E3A0B"/>
    <w:rsid w:val="003E4CC0"/>
    <w:rsid w:val="003E5B16"/>
    <w:rsid w:val="003E634D"/>
    <w:rsid w:val="003E77B1"/>
    <w:rsid w:val="003F0BC8"/>
    <w:rsid w:val="003F10EE"/>
    <w:rsid w:val="003F14A4"/>
    <w:rsid w:val="003F16E5"/>
    <w:rsid w:val="003F16F6"/>
    <w:rsid w:val="003F2129"/>
    <w:rsid w:val="003F4B36"/>
    <w:rsid w:val="003F4DC7"/>
    <w:rsid w:val="003F5235"/>
    <w:rsid w:val="003F557F"/>
    <w:rsid w:val="003F55D7"/>
    <w:rsid w:val="003F68BA"/>
    <w:rsid w:val="003F738F"/>
    <w:rsid w:val="003F74F8"/>
    <w:rsid w:val="003F7589"/>
    <w:rsid w:val="003F7977"/>
    <w:rsid w:val="00400EB8"/>
    <w:rsid w:val="004018F8"/>
    <w:rsid w:val="00401AC5"/>
    <w:rsid w:val="00402542"/>
    <w:rsid w:val="004027E4"/>
    <w:rsid w:val="004029BF"/>
    <w:rsid w:val="00403118"/>
    <w:rsid w:val="004035D8"/>
    <w:rsid w:val="00403A60"/>
    <w:rsid w:val="004045DB"/>
    <w:rsid w:val="0040460F"/>
    <w:rsid w:val="0040553E"/>
    <w:rsid w:val="00405B93"/>
    <w:rsid w:val="00406D53"/>
    <w:rsid w:val="00406DD3"/>
    <w:rsid w:val="0040725E"/>
    <w:rsid w:val="0041071D"/>
    <w:rsid w:val="00410D20"/>
    <w:rsid w:val="00410EA1"/>
    <w:rsid w:val="0041253C"/>
    <w:rsid w:val="00412961"/>
    <w:rsid w:val="00412DA6"/>
    <w:rsid w:val="00412DE8"/>
    <w:rsid w:val="00413ABD"/>
    <w:rsid w:val="00413E4B"/>
    <w:rsid w:val="00414AFC"/>
    <w:rsid w:val="004151A7"/>
    <w:rsid w:val="00415310"/>
    <w:rsid w:val="00415710"/>
    <w:rsid w:val="0041726E"/>
    <w:rsid w:val="00417393"/>
    <w:rsid w:val="00420669"/>
    <w:rsid w:val="00421709"/>
    <w:rsid w:val="00422328"/>
    <w:rsid w:val="00423763"/>
    <w:rsid w:val="004239A5"/>
    <w:rsid w:val="00423D6C"/>
    <w:rsid w:val="00424838"/>
    <w:rsid w:val="0042509B"/>
    <w:rsid w:val="00425180"/>
    <w:rsid w:val="0042762F"/>
    <w:rsid w:val="00427854"/>
    <w:rsid w:val="00427DC7"/>
    <w:rsid w:val="00430785"/>
    <w:rsid w:val="00431613"/>
    <w:rsid w:val="00431792"/>
    <w:rsid w:val="004321BF"/>
    <w:rsid w:val="0043297A"/>
    <w:rsid w:val="00432EB2"/>
    <w:rsid w:val="00433E1A"/>
    <w:rsid w:val="00433F91"/>
    <w:rsid w:val="00435AF2"/>
    <w:rsid w:val="00436AC1"/>
    <w:rsid w:val="00436DBD"/>
    <w:rsid w:val="0043714F"/>
    <w:rsid w:val="0043767A"/>
    <w:rsid w:val="00437D8C"/>
    <w:rsid w:val="004400BF"/>
    <w:rsid w:val="00440C53"/>
    <w:rsid w:val="00440F01"/>
    <w:rsid w:val="0044169B"/>
    <w:rsid w:val="004423C5"/>
    <w:rsid w:val="004423F3"/>
    <w:rsid w:val="00442977"/>
    <w:rsid w:val="0044364D"/>
    <w:rsid w:val="004438B5"/>
    <w:rsid w:val="004442A1"/>
    <w:rsid w:val="004442F4"/>
    <w:rsid w:val="00444686"/>
    <w:rsid w:val="00444ACC"/>
    <w:rsid w:val="00445288"/>
    <w:rsid w:val="004458F0"/>
    <w:rsid w:val="00446C03"/>
    <w:rsid w:val="00447037"/>
    <w:rsid w:val="004473AF"/>
    <w:rsid w:val="0045024F"/>
    <w:rsid w:val="004502A7"/>
    <w:rsid w:val="00450B00"/>
    <w:rsid w:val="0045119A"/>
    <w:rsid w:val="0045124D"/>
    <w:rsid w:val="00452984"/>
    <w:rsid w:val="00452FED"/>
    <w:rsid w:val="00453F80"/>
    <w:rsid w:val="00454596"/>
    <w:rsid w:val="00454C51"/>
    <w:rsid w:val="00455C1E"/>
    <w:rsid w:val="0045605D"/>
    <w:rsid w:val="004567BC"/>
    <w:rsid w:val="00457129"/>
    <w:rsid w:val="00460457"/>
    <w:rsid w:val="0046135B"/>
    <w:rsid w:val="00461D47"/>
    <w:rsid w:val="004621EB"/>
    <w:rsid w:val="00462BE1"/>
    <w:rsid w:val="004637FF"/>
    <w:rsid w:val="004645D4"/>
    <w:rsid w:val="00464BBC"/>
    <w:rsid w:val="00465458"/>
    <w:rsid w:val="0046590F"/>
    <w:rsid w:val="0046794B"/>
    <w:rsid w:val="00467EC2"/>
    <w:rsid w:val="00470F92"/>
    <w:rsid w:val="00471217"/>
    <w:rsid w:val="0047153E"/>
    <w:rsid w:val="004718CC"/>
    <w:rsid w:val="00471C8F"/>
    <w:rsid w:val="00471F7B"/>
    <w:rsid w:val="00472A06"/>
    <w:rsid w:val="00473469"/>
    <w:rsid w:val="00473660"/>
    <w:rsid w:val="004740B2"/>
    <w:rsid w:val="00474E2F"/>
    <w:rsid w:val="00474F5E"/>
    <w:rsid w:val="00476061"/>
    <w:rsid w:val="0047625D"/>
    <w:rsid w:val="00476D86"/>
    <w:rsid w:val="00481497"/>
    <w:rsid w:val="00481695"/>
    <w:rsid w:val="004819E2"/>
    <w:rsid w:val="00482FC4"/>
    <w:rsid w:val="004835F8"/>
    <w:rsid w:val="004836A1"/>
    <w:rsid w:val="00483784"/>
    <w:rsid w:val="00483CD0"/>
    <w:rsid w:val="0048681A"/>
    <w:rsid w:val="00487176"/>
    <w:rsid w:val="004876C8"/>
    <w:rsid w:val="004878E5"/>
    <w:rsid w:val="00487BAD"/>
    <w:rsid w:val="00487CDE"/>
    <w:rsid w:val="00491E7E"/>
    <w:rsid w:val="0049486F"/>
    <w:rsid w:val="00494A9C"/>
    <w:rsid w:val="00495A96"/>
    <w:rsid w:val="00495BB3"/>
    <w:rsid w:val="0049663F"/>
    <w:rsid w:val="00496640"/>
    <w:rsid w:val="00496FE6"/>
    <w:rsid w:val="004A0094"/>
    <w:rsid w:val="004A10D6"/>
    <w:rsid w:val="004A2045"/>
    <w:rsid w:val="004A348C"/>
    <w:rsid w:val="004A389E"/>
    <w:rsid w:val="004A50B5"/>
    <w:rsid w:val="004A50DF"/>
    <w:rsid w:val="004A51A2"/>
    <w:rsid w:val="004A56BB"/>
    <w:rsid w:val="004A5A7F"/>
    <w:rsid w:val="004A68C0"/>
    <w:rsid w:val="004A6906"/>
    <w:rsid w:val="004A70D6"/>
    <w:rsid w:val="004A75A4"/>
    <w:rsid w:val="004A77EC"/>
    <w:rsid w:val="004B063F"/>
    <w:rsid w:val="004B0E1B"/>
    <w:rsid w:val="004B124D"/>
    <w:rsid w:val="004B1751"/>
    <w:rsid w:val="004B2DC9"/>
    <w:rsid w:val="004B305B"/>
    <w:rsid w:val="004B3535"/>
    <w:rsid w:val="004B4125"/>
    <w:rsid w:val="004B4777"/>
    <w:rsid w:val="004B5FB9"/>
    <w:rsid w:val="004B747A"/>
    <w:rsid w:val="004C0253"/>
    <w:rsid w:val="004C0A69"/>
    <w:rsid w:val="004C0ECE"/>
    <w:rsid w:val="004C1AFE"/>
    <w:rsid w:val="004C2127"/>
    <w:rsid w:val="004C264C"/>
    <w:rsid w:val="004C2711"/>
    <w:rsid w:val="004C3B95"/>
    <w:rsid w:val="004C434B"/>
    <w:rsid w:val="004C59AF"/>
    <w:rsid w:val="004C5BCA"/>
    <w:rsid w:val="004C6628"/>
    <w:rsid w:val="004C6D0C"/>
    <w:rsid w:val="004C72B2"/>
    <w:rsid w:val="004D0994"/>
    <w:rsid w:val="004D0A19"/>
    <w:rsid w:val="004D2704"/>
    <w:rsid w:val="004D4550"/>
    <w:rsid w:val="004D4BDF"/>
    <w:rsid w:val="004D4D3E"/>
    <w:rsid w:val="004D4DC6"/>
    <w:rsid w:val="004D56FF"/>
    <w:rsid w:val="004D64E0"/>
    <w:rsid w:val="004D67CB"/>
    <w:rsid w:val="004D68D7"/>
    <w:rsid w:val="004D6FD0"/>
    <w:rsid w:val="004E0EFA"/>
    <w:rsid w:val="004E1BEF"/>
    <w:rsid w:val="004E2FD1"/>
    <w:rsid w:val="004E39D3"/>
    <w:rsid w:val="004E3C47"/>
    <w:rsid w:val="004E3F99"/>
    <w:rsid w:val="004E4488"/>
    <w:rsid w:val="004E4BC4"/>
    <w:rsid w:val="004E508A"/>
    <w:rsid w:val="004E5339"/>
    <w:rsid w:val="004E59A8"/>
    <w:rsid w:val="004E616D"/>
    <w:rsid w:val="004E6D07"/>
    <w:rsid w:val="004E7547"/>
    <w:rsid w:val="004E7775"/>
    <w:rsid w:val="004F05DC"/>
    <w:rsid w:val="004F18AE"/>
    <w:rsid w:val="004F1BDE"/>
    <w:rsid w:val="004F1F50"/>
    <w:rsid w:val="004F21E5"/>
    <w:rsid w:val="004F2B8D"/>
    <w:rsid w:val="004F2CEE"/>
    <w:rsid w:val="004F2EAE"/>
    <w:rsid w:val="004F3092"/>
    <w:rsid w:val="004F4516"/>
    <w:rsid w:val="004F4EE2"/>
    <w:rsid w:val="004F4FAA"/>
    <w:rsid w:val="004F556E"/>
    <w:rsid w:val="004F591C"/>
    <w:rsid w:val="004F680C"/>
    <w:rsid w:val="004F6D9D"/>
    <w:rsid w:val="004F7240"/>
    <w:rsid w:val="004F7F44"/>
    <w:rsid w:val="005027A8"/>
    <w:rsid w:val="005037B4"/>
    <w:rsid w:val="00505984"/>
    <w:rsid w:val="005070B3"/>
    <w:rsid w:val="005074F4"/>
    <w:rsid w:val="005079BF"/>
    <w:rsid w:val="00507D1B"/>
    <w:rsid w:val="005106D5"/>
    <w:rsid w:val="00511232"/>
    <w:rsid w:val="00511672"/>
    <w:rsid w:val="0051269A"/>
    <w:rsid w:val="00512ADC"/>
    <w:rsid w:val="00517F15"/>
    <w:rsid w:val="0052151A"/>
    <w:rsid w:val="00521892"/>
    <w:rsid w:val="005218AB"/>
    <w:rsid w:val="005219E7"/>
    <w:rsid w:val="00522981"/>
    <w:rsid w:val="00522DAA"/>
    <w:rsid w:val="00522FFA"/>
    <w:rsid w:val="005234B4"/>
    <w:rsid w:val="00523A83"/>
    <w:rsid w:val="00523D1A"/>
    <w:rsid w:val="00524DE2"/>
    <w:rsid w:val="0052546D"/>
    <w:rsid w:val="00526799"/>
    <w:rsid w:val="0052684F"/>
    <w:rsid w:val="005268F2"/>
    <w:rsid w:val="00526EB4"/>
    <w:rsid w:val="00526F20"/>
    <w:rsid w:val="005272A1"/>
    <w:rsid w:val="00527B27"/>
    <w:rsid w:val="005309A0"/>
    <w:rsid w:val="005318B4"/>
    <w:rsid w:val="00531B9A"/>
    <w:rsid w:val="00531D15"/>
    <w:rsid w:val="005327B8"/>
    <w:rsid w:val="00532970"/>
    <w:rsid w:val="00533056"/>
    <w:rsid w:val="00533C21"/>
    <w:rsid w:val="005340BC"/>
    <w:rsid w:val="00537604"/>
    <w:rsid w:val="00537DF5"/>
    <w:rsid w:val="005403AB"/>
    <w:rsid w:val="0054105C"/>
    <w:rsid w:val="00541F0F"/>
    <w:rsid w:val="00542377"/>
    <w:rsid w:val="0054360F"/>
    <w:rsid w:val="00544F64"/>
    <w:rsid w:val="005451A4"/>
    <w:rsid w:val="00546DAC"/>
    <w:rsid w:val="005476EB"/>
    <w:rsid w:val="00547CBE"/>
    <w:rsid w:val="00550569"/>
    <w:rsid w:val="0055076B"/>
    <w:rsid w:val="00550B41"/>
    <w:rsid w:val="00551084"/>
    <w:rsid w:val="0055149E"/>
    <w:rsid w:val="00551782"/>
    <w:rsid w:val="00551FF6"/>
    <w:rsid w:val="00552881"/>
    <w:rsid w:val="005535B6"/>
    <w:rsid w:val="00554C5E"/>
    <w:rsid w:val="00555E54"/>
    <w:rsid w:val="00556219"/>
    <w:rsid w:val="00556521"/>
    <w:rsid w:val="00557213"/>
    <w:rsid w:val="00560A04"/>
    <w:rsid w:val="00560C57"/>
    <w:rsid w:val="00560E8C"/>
    <w:rsid w:val="00562B2D"/>
    <w:rsid w:val="00563345"/>
    <w:rsid w:val="00563EF1"/>
    <w:rsid w:val="0056503E"/>
    <w:rsid w:val="005658EB"/>
    <w:rsid w:val="00566713"/>
    <w:rsid w:val="00566AB4"/>
    <w:rsid w:val="00566B9E"/>
    <w:rsid w:val="00566C0C"/>
    <w:rsid w:val="00566D5F"/>
    <w:rsid w:val="005705B9"/>
    <w:rsid w:val="00570B13"/>
    <w:rsid w:val="00571AF9"/>
    <w:rsid w:val="0057202E"/>
    <w:rsid w:val="0057213B"/>
    <w:rsid w:val="005723A7"/>
    <w:rsid w:val="005732FD"/>
    <w:rsid w:val="0057372F"/>
    <w:rsid w:val="00573812"/>
    <w:rsid w:val="005739CA"/>
    <w:rsid w:val="0057466C"/>
    <w:rsid w:val="00575133"/>
    <w:rsid w:val="00575AC5"/>
    <w:rsid w:val="00575C16"/>
    <w:rsid w:val="0057605D"/>
    <w:rsid w:val="00576337"/>
    <w:rsid w:val="005768DB"/>
    <w:rsid w:val="0057692F"/>
    <w:rsid w:val="00576D61"/>
    <w:rsid w:val="0057745D"/>
    <w:rsid w:val="005774B1"/>
    <w:rsid w:val="00577F98"/>
    <w:rsid w:val="00581347"/>
    <w:rsid w:val="005813FC"/>
    <w:rsid w:val="00581AC9"/>
    <w:rsid w:val="00581DD6"/>
    <w:rsid w:val="005823E3"/>
    <w:rsid w:val="00582B56"/>
    <w:rsid w:val="005849F8"/>
    <w:rsid w:val="00585ABB"/>
    <w:rsid w:val="00586B4D"/>
    <w:rsid w:val="00586F01"/>
    <w:rsid w:val="00587FAF"/>
    <w:rsid w:val="005905C9"/>
    <w:rsid w:val="005912EA"/>
    <w:rsid w:val="00591AE2"/>
    <w:rsid w:val="00592A05"/>
    <w:rsid w:val="00593687"/>
    <w:rsid w:val="005938DF"/>
    <w:rsid w:val="0059392F"/>
    <w:rsid w:val="00593DE0"/>
    <w:rsid w:val="00594E9C"/>
    <w:rsid w:val="005964F5"/>
    <w:rsid w:val="0059661A"/>
    <w:rsid w:val="00596852"/>
    <w:rsid w:val="00597101"/>
    <w:rsid w:val="005978B7"/>
    <w:rsid w:val="00597A7D"/>
    <w:rsid w:val="00597CA3"/>
    <w:rsid w:val="005A099B"/>
    <w:rsid w:val="005A0ABA"/>
    <w:rsid w:val="005A1F67"/>
    <w:rsid w:val="005A2210"/>
    <w:rsid w:val="005A243F"/>
    <w:rsid w:val="005A2920"/>
    <w:rsid w:val="005A2D9C"/>
    <w:rsid w:val="005A3697"/>
    <w:rsid w:val="005A4486"/>
    <w:rsid w:val="005A4DAF"/>
    <w:rsid w:val="005A51A0"/>
    <w:rsid w:val="005A55FE"/>
    <w:rsid w:val="005A5787"/>
    <w:rsid w:val="005A5C51"/>
    <w:rsid w:val="005A6135"/>
    <w:rsid w:val="005A6A11"/>
    <w:rsid w:val="005A6A41"/>
    <w:rsid w:val="005A73C8"/>
    <w:rsid w:val="005B0131"/>
    <w:rsid w:val="005B113D"/>
    <w:rsid w:val="005B14CC"/>
    <w:rsid w:val="005B28C6"/>
    <w:rsid w:val="005B28DF"/>
    <w:rsid w:val="005B2F0D"/>
    <w:rsid w:val="005B2FD4"/>
    <w:rsid w:val="005B462C"/>
    <w:rsid w:val="005B495F"/>
    <w:rsid w:val="005B4AED"/>
    <w:rsid w:val="005B5FAF"/>
    <w:rsid w:val="005B67B9"/>
    <w:rsid w:val="005C0123"/>
    <w:rsid w:val="005C0172"/>
    <w:rsid w:val="005C2667"/>
    <w:rsid w:val="005C2883"/>
    <w:rsid w:val="005C34EF"/>
    <w:rsid w:val="005C3CB1"/>
    <w:rsid w:val="005C480A"/>
    <w:rsid w:val="005C52BE"/>
    <w:rsid w:val="005C6AA9"/>
    <w:rsid w:val="005C6DC2"/>
    <w:rsid w:val="005C6ECC"/>
    <w:rsid w:val="005C770A"/>
    <w:rsid w:val="005D0801"/>
    <w:rsid w:val="005D0BCA"/>
    <w:rsid w:val="005D1E92"/>
    <w:rsid w:val="005D2502"/>
    <w:rsid w:val="005D2B54"/>
    <w:rsid w:val="005D3095"/>
    <w:rsid w:val="005D4027"/>
    <w:rsid w:val="005D40BB"/>
    <w:rsid w:val="005D43A2"/>
    <w:rsid w:val="005D47F3"/>
    <w:rsid w:val="005D49BF"/>
    <w:rsid w:val="005D4AA5"/>
    <w:rsid w:val="005D6BE1"/>
    <w:rsid w:val="005D6DD1"/>
    <w:rsid w:val="005D6DED"/>
    <w:rsid w:val="005D6F4E"/>
    <w:rsid w:val="005D7061"/>
    <w:rsid w:val="005D7C73"/>
    <w:rsid w:val="005D7C9B"/>
    <w:rsid w:val="005E0480"/>
    <w:rsid w:val="005E04A9"/>
    <w:rsid w:val="005E05C7"/>
    <w:rsid w:val="005E07A0"/>
    <w:rsid w:val="005E0C66"/>
    <w:rsid w:val="005E1270"/>
    <w:rsid w:val="005E2041"/>
    <w:rsid w:val="005E250B"/>
    <w:rsid w:val="005E2604"/>
    <w:rsid w:val="005E36A6"/>
    <w:rsid w:val="005E381F"/>
    <w:rsid w:val="005E3ACD"/>
    <w:rsid w:val="005E3B37"/>
    <w:rsid w:val="005E401C"/>
    <w:rsid w:val="005E5054"/>
    <w:rsid w:val="005E6112"/>
    <w:rsid w:val="005E6302"/>
    <w:rsid w:val="005E7226"/>
    <w:rsid w:val="005E75FB"/>
    <w:rsid w:val="005E7A57"/>
    <w:rsid w:val="005E7B89"/>
    <w:rsid w:val="005E7D9F"/>
    <w:rsid w:val="005F1685"/>
    <w:rsid w:val="005F24B0"/>
    <w:rsid w:val="005F2D1F"/>
    <w:rsid w:val="005F2F51"/>
    <w:rsid w:val="005F37DE"/>
    <w:rsid w:val="005F3BAB"/>
    <w:rsid w:val="005F406A"/>
    <w:rsid w:val="005F564D"/>
    <w:rsid w:val="005F575D"/>
    <w:rsid w:val="005F668A"/>
    <w:rsid w:val="005F6FAC"/>
    <w:rsid w:val="005F7328"/>
    <w:rsid w:val="005F784D"/>
    <w:rsid w:val="006005DC"/>
    <w:rsid w:val="006006AC"/>
    <w:rsid w:val="00600ABB"/>
    <w:rsid w:val="0060147B"/>
    <w:rsid w:val="006015A7"/>
    <w:rsid w:val="00601822"/>
    <w:rsid w:val="006018A7"/>
    <w:rsid w:val="00601A06"/>
    <w:rsid w:val="00601A93"/>
    <w:rsid w:val="00602388"/>
    <w:rsid w:val="00604315"/>
    <w:rsid w:val="00604E26"/>
    <w:rsid w:val="00604EAD"/>
    <w:rsid w:val="00604F15"/>
    <w:rsid w:val="0060507D"/>
    <w:rsid w:val="0060523F"/>
    <w:rsid w:val="006052CF"/>
    <w:rsid w:val="00606114"/>
    <w:rsid w:val="006068E7"/>
    <w:rsid w:val="00607B8D"/>
    <w:rsid w:val="00607E08"/>
    <w:rsid w:val="0061134C"/>
    <w:rsid w:val="006117A1"/>
    <w:rsid w:val="00611F5C"/>
    <w:rsid w:val="0061282D"/>
    <w:rsid w:val="0061289E"/>
    <w:rsid w:val="00613A6C"/>
    <w:rsid w:val="00613B74"/>
    <w:rsid w:val="006144DA"/>
    <w:rsid w:val="00615297"/>
    <w:rsid w:val="006155E6"/>
    <w:rsid w:val="00615722"/>
    <w:rsid w:val="006162FC"/>
    <w:rsid w:val="00616780"/>
    <w:rsid w:val="00616A65"/>
    <w:rsid w:val="00616E09"/>
    <w:rsid w:val="0061715F"/>
    <w:rsid w:val="006207E2"/>
    <w:rsid w:val="00620F14"/>
    <w:rsid w:val="00622A3B"/>
    <w:rsid w:val="00622AC4"/>
    <w:rsid w:val="00622EEA"/>
    <w:rsid w:val="0062396C"/>
    <w:rsid w:val="00623989"/>
    <w:rsid w:val="00623FF9"/>
    <w:rsid w:val="006242F2"/>
    <w:rsid w:val="0062437D"/>
    <w:rsid w:val="0062498F"/>
    <w:rsid w:val="0062677C"/>
    <w:rsid w:val="00626A3F"/>
    <w:rsid w:val="00627921"/>
    <w:rsid w:val="00627D4E"/>
    <w:rsid w:val="00630749"/>
    <w:rsid w:val="006320A3"/>
    <w:rsid w:val="00632B89"/>
    <w:rsid w:val="006331FC"/>
    <w:rsid w:val="0063346D"/>
    <w:rsid w:val="00633A0D"/>
    <w:rsid w:val="00634478"/>
    <w:rsid w:val="0063478F"/>
    <w:rsid w:val="00635124"/>
    <w:rsid w:val="00635F7B"/>
    <w:rsid w:val="00637340"/>
    <w:rsid w:val="00637CEE"/>
    <w:rsid w:val="006403FB"/>
    <w:rsid w:val="00640DE6"/>
    <w:rsid w:val="00640EEC"/>
    <w:rsid w:val="00641A56"/>
    <w:rsid w:val="00641DD7"/>
    <w:rsid w:val="0064277F"/>
    <w:rsid w:val="00644239"/>
    <w:rsid w:val="00644373"/>
    <w:rsid w:val="006448E1"/>
    <w:rsid w:val="00645915"/>
    <w:rsid w:val="00646CC4"/>
    <w:rsid w:val="00646ED8"/>
    <w:rsid w:val="006474BC"/>
    <w:rsid w:val="006476F0"/>
    <w:rsid w:val="00650719"/>
    <w:rsid w:val="006519C3"/>
    <w:rsid w:val="00651BC6"/>
    <w:rsid w:val="00651E67"/>
    <w:rsid w:val="00652B30"/>
    <w:rsid w:val="00652E46"/>
    <w:rsid w:val="00652FD5"/>
    <w:rsid w:val="00653EA9"/>
    <w:rsid w:val="006545B2"/>
    <w:rsid w:val="006549EE"/>
    <w:rsid w:val="00654E98"/>
    <w:rsid w:val="00654FA3"/>
    <w:rsid w:val="0065528C"/>
    <w:rsid w:val="00655E31"/>
    <w:rsid w:val="00655F1B"/>
    <w:rsid w:val="00656250"/>
    <w:rsid w:val="00656345"/>
    <w:rsid w:val="006569CA"/>
    <w:rsid w:val="00656DC6"/>
    <w:rsid w:val="00660EC6"/>
    <w:rsid w:val="00660F43"/>
    <w:rsid w:val="00662624"/>
    <w:rsid w:val="00662A43"/>
    <w:rsid w:val="00663EE4"/>
    <w:rsid w:val="00664000"/>
    <w:rsid w:val="00664110"/>
    <w:rsid w:val="00664D17"/>
    <w:rsid w:val="0066617D"/>
    <w:rsid w:val="00666355"/>
    <w:rsid w:val="00666520"/>
    <w:rsid w:val="0066696F"/>
    <w:rsid w:val="00667C5B"/>
    <w:rsid w:val="00670382"/>
    <w:rsid w:val="006708AB"/>
    <w:rsid w:val="0067200A"/>
    <w:rsid w:val="00672141"/>
    <w:rsid w:val="00672270"/>
    <w:rsid w:val="006737D5"/>
    <w:rsid w:val="00674367"/>
    <w:rsid w:val="00674F33"/>
    <w:rsid w:val="00675294"/>
    <w:rsid w:val="00675AB1"/>
    <w:rsid w:val="00675FF1"/>
    <w:rsid w:val="0067700C"/>
    <w:rsid w:val="0067788A"/>
    <w:rsid w:val="00677D29"/>
    <w:rsid w:val="006817AE"/>
    <w:rsid w:val="00682C0D"/>
    <w:rsid w:val="00683A01"/>
    <w:rsid w:val="00683C82"/>
    <w:rsid w:val="00684BE4"/>
    <w:rsid w:val="00684CB4"/>
    <w:rsid w:val="006853F4"/>
    <w:rsid w:val="00686468"/>
    <w:rsid w:val="00687133"/>
    <w:rsid w:val="0069084F"/>
    <w:rsid w:val="00691EB8"/>
    <w:rsid w:val="00692AAD"/>
    <w:rsid w:val="00692CDE"/>
    <w:rsid w:val="00692F7C"/>
    <w:rsid w:val="00693073"/>
    <w:rsid w:val="00694BC2"/>
    <w:rsid w:val="00694BEE"/>
    <w:rsid w:val="00695A25"/>
    <w:rsid w:val="00695C8F"/>
    <w:rsid w:val="00696B12"/>
    <w:rsid w:val="006977FF"/>
    <w:rsid w:val="00697D79"/>
    <w:rsid w:val="006A01FA"/>
    <w:rsid w:val="006A0E52"/>
    <w:rsid w:val="006A0E9E"/>
    <w:rsid w:val="006A19A8"/>
    <w:rsid w:val="006A1BB1"/>
    <w:rsid w:val="006A205E"/>
    <w:rsid w:val="006A2171"/>
    <w:rsid w:val="006A25C7"/>
    <w:rsid w:val="006A3ECF"/>
    <w:rsid w:val="006A4970"/>
    <w:rsid w:val="006A4AAD"/>
    <w:rsid w:val="006A4CCA"/>
    <w:rsid w:val="006A4F46"/>
    <w:rsid w:val="006A5127"/>
    <w:rsid w:val="006A5287"/>
    <w:rsid w:val="006A55EF"/>
    <w:rsid w:val="006A5622"/>
    <w:rsid w:val="006A6C29"/>
    <w:rsid w:val="006A6DA2"/>
    <w:rsid w:val="006A7AB2"/>
    <w:rsid w:val="006B0083"/>
    <w:rsid w:val="006B0657"/>
    <w:rsid w:val="006B0765"/>
    <w:rsid w:val="006B0D2D"/>
    <w:rsid w:val="006B1379"/>
    <w:rsid w:val="006B154C"/>
    <w:rsid w:val="006B190E"/>
    <w:rsid w:val="006B204F"/>
    <w:rsid w:val="006B52DE"/>
    <w:rsid w:val="006B565E"/>
    <w:rsid w:val="006B5717"/>
    <w:rsid w:val="006B582F"/>
    <w:rsid w:val="006B5EB2"/>
    <w:rsid w:val="006B669C"/>
    <w:rsid w:val="006B69B0"/>
    <w:rsid w:val="006B6C09"/>
    <w:rsid w:val="006B6C61"/>
    <w:rsid w:val="006B7267"/>
    <w:rsid w:val="006B7EFA"/>
    <w:rsid w:val="006C00CA"/>
    <w:rsid w:val="006C0623"/>
    <w:rsid w:val="006C0CEB"/>
    <w:rsid w:val="006C157C"/>
    <w:rsid w:val="006C1631"/>
    <w:rsid w:val="006C26BF"/>
    <w:rsid w:val="006C29B5"/>
    <w:rsid w:val="006C2DCC"/>
    <w:rsid w:val="006C39D4"/>
    <w:rsid w:val="006C3A43"/>
    <w:rsid w:val="006C3B1E"/>
    <w:rsid w:val="006C47FD"/>
    <w:rsid w:val="006C4EB7"/>
    <w:rsid w:val="006C4F7C"/>
    <w:rsid w:val="006C5995"/>
    <w:rsid w:val="006C5B1B"/>
    <w:rsid w:val="006C5C19"/>
    <w:rsid w:val="006C5FD4"/>
    <w:rsid w:val="006C6715"/>
    <w:rsid w:val="006C701B"/>
    <w:rsid w:val="006C70A0"/>
    <w:rsid w:val="006C7F09"/>
    <w:rsid w:val="006D01AE"/>
    <w:rsid w:val="006D0D3D"/>
    <w:rsid w:val="006D27CB"/>
    <w:rsid w:val="006D2F08"/>
    <w:rsid w:val="006D3E15"/>
    <w:rsid w:val="006D3F65"/>
    <w:rsid w:val="006D4D4A"/>
    <w:rsid w:val="006D52B7"/>
    <w:rsid w:val="006D54AA"/>
    <w:rsid w:val="006D576C"/>
    <w:rsid w:val="006D5865"/>
    <w:rsid w:val="006D5AAA"/>
    <w:rsid w:val="006D5C56"/>
    <w:rsid w:val="006D5E2E"/>
    <w:rsid w:val="006E092E"/>
    <w:rsid w:val="006E0DE1"/>
    <w:rsid w:val="006E12F7"/>
    <w:rsid w:val="006E193E"/>
    <w:rsid w:val="006E1B5B"/>
    <w:rsid w:val="006E1F07"/>
    <w:rsid w:val="006E28CC"/>
    <w:rsid w:val="006E3BC8"/>
    <w:rsid w:val="006E40F8"/>
    <w:rsid w:val="006E4122"/>
    <w:rsid w:val="006E4B1B"/>
    <w:rsid w:val="006E530C"/>
    <w:rsid w:val="006E5445"/>
    <w:rsid w:val="006E69B9"/>
    <w:rsid w:val="006E69D4"/>
    <w:rsid w:val="006E7D93"/>
    <w:rsid w:val="006E7FAC"/>
    <w:rsid w:val="006F04CC"/>
    <w:rsid w:val="006F3ADB"/>
    <w:rsid w:val="006F5A2B"/>
    <w:rsid w:val="006F7ED2"/>
    <w:rsid w:val="00700290"/>
    <w:rsid w:val="0070133D"/>
    <w:rsid w:val="00701A02"/>
    <w:rsid w:val="007029A3"/>
    <w:rsid w:val="00703684"/>
    <w:rsid w:val="0070454B"/>
    <w:rsid w:val="007045BC"/>
    <w:rsid w:val="00704ABC"/>
    <w:rsid w:val="007050A4"/>
    <w:rsid w:val="007054EC"/>
    <w:rsid w:val="00706BA0"/>
    <w:rsid w:val="00706E49"/>
    <w:rsid w:val="00706E4E"/>
    <w:rsid w:val="0070791C"/>
    <w:rsid w:val="00707A66"/>
    <w:rsid w:val="00707D64"/>
    <w:rsid w:val="0071067E"/>
    <w:rsid w:val="0071149D"/>
    <w:rsid w:val="00711B11"/>
    <w:rsid w:val="00711B67"/>
    <w:rsid w:val="007130FF"/>
    <w:rsid w:val="0071383C"/>
    <w:rsid w:val="00713F78"/>
    <w:rsid w:val="007141A7"/>
    <w:rsid w:val="00714C0C"/>
    <w:rsid w:val="00715555"/>
    <w:rsid w:val="00715722"/>
    <w:rsid w:val="00715BAF"/>
    <w:rsid w:val="00716AE0"/>
    <w:rsid w:val="007171A5"/>
    <w:rsid w:val="00717752"/>
    <w:rsid w:val="007178CE"/>
    <w:rsid w:val="007179CF"/>
    <w:rsid w:val="00720CCA"/>
    <w:rsid w:val="00720E06"/>
    <w:rsid w:val="00721032"/>
    <w:rsid w:val="00721B55"/>
    <w:rsid w:val="00721B80"/>
    <w:rsid w:val="007221D0"/>
    <w:rsid w:val="007225C8"/>
    <w:rsid w:val="00722E7F"/>
    <w:rsid w:val="00723590"/>
    <w:rsid w:val="00723F85"/>
    <w:rsid w:val="00724022"/>
    <w:rsid w:val="007243BD"/>
    <w:rsid w:val="00724974"/>
    <w:rsid w:val="007249F5"/>
    <w:rsid w:val="00724BF5"/>
    <w:rsid w:val="00725F4D"/>
    <w:rsid w:val="00726CE4"/>
    <w:rsid w:val="0072767B"/>
    <w:rsid w:val="00727793"/>
    <w:rsid w:val="007305BB"/>
    <w:rsid w:val="00730DC9"/>
    <w:rsid w:val="00731375"/>
    <w:rsid w:val="007322F3"/>
    <w:rsid w:val="00732516"/>
    <w:rsid w:val="00732E97"/>
    <w:rsid w:val="00733762"/>
    <w:rsid w:val="0073383D"/>
    <w:rsid w:val="00733D17"/>
    <w:rsid w:val="00734143"/>
    <w:rsid w:val="00734697"/>
    <w:rsid w:val="0073528E"/>
    <w:rsid w:val="00735C7F"/>
    <w:rsid w:val="007364C2"/>
    <w:rsid w:val="00737E47"/>
    <w:rsid w:val="00740EAC"/>
    <w:rsid w:val="007411F2"/>
    <w:rsid w:val="00742F8A"/>
    <w:rsid w:val="0074350D"/>
    <w:rsid w:val="00743771"/>
    <w:rsid w:val="0074393F"/>
    <w:rsid w:val="00743B2F"/>
    <w:rsid w:val="00743B59"/>
    <w:rsid w:val="00744836"/>
    <w:rsid w:val="00744956"/>
    <w:rsid w:val="00744C63"/>
    <w:rsid w:val="007456D6"/>
    <w:rsid w:val="00745A5C"/>
    <w:rsid w:val="0074605F"/>
    <w:rsid w:val="0074669E"/>
    <w:rsid w:val="00746DBE"/>
    <w:rsid w:val="00747022"/>
    <w:rsid w:val="007473D0"/>
    <w:rsid w:val="00747D48"/>
    <w:rsid w:val="00747E94"/>
    <w:rsid w:val="00752830"/>
    <w:rsid w:val="007539D9"/>
    <w:rsid w:val="00754533"/>
    <w:rsid w:val="00754C83"/>
    <w:rsid w:val="00754CFD"/>
    <w:rsid w:val="0075571C"/>
    <w:rsid w:val="00757D8F"/>
    <w:rsid w:val="00760612"/>
    <w:rsid w:val="00760B92"/>
    <w:rsid w:val="00761229"/>
    <w:rsid w:val="00761944"/>
    <w:rsid w:val="00761E5C"/>
    <w:rsid w:val="00761E88"/>
    <w:rsid w:val="00762269"/>
    <w:rsid w:val="007634B0"/>
    <w:rsid w:val="007639F6"/>
    <w:rsid w:val="00763F13"/>
    <w:rsid w:val="00764819"/>
    <w:rsid w:val="00765396"/>
    <w:rsid w:val="00765DF8"/>
    <w:rsid w:val="00766749"/>
    <w:rsid w:val="007674C8"/>
    <w:rsid w:val="00767C1B"/>
    <w:rsid w:val="00770B3F"/>
    <w:rsid w:val="0077116D"/>
    <w:rsid w:val="007714A9"/>
    <w:rsid w:val="00771655"/>
    <w:rsid w:val="00772942"/>
    <w:rsid w:val="00773BCE"/>
    <w:rsid w:val="0077481B"/>
    <w:rsid w:val="00774F88"/>
    <w:rsid w:val="00774FDB"/>
    <w:rsid w:val="00775980"/>
    <w:rsid w:val="00775D19"/>
    <w:rsid w:val="00777312"/>
    <w:rsid w:val="00777BA2"/>
    <w:rsid w:val="00781408"/>
    <w:rsid w:val="00781660"/>
    <w:rsid w:val="007818E9"/>
    <w:rsid w:val="00781B94"/>
    <w:rsid w:val="00782BA4"/>
    <w:rsid w:val="007836F5"/>
    <w:rsid w:val="00783932"/>
    <w:rsid w:val="00783C97"/>
    <w:rsid w:val="00784F7F"/>
    <w:rsid w:val="00785A16"/>
    <w:rsid w:val="00785B49"/>
    <w:rsid w:val="00785E80"/>
    <w:rsid w:val="007878BD"/>
    <w:rsid w:val="0079130B"/>
    <w:rsid w:val="007918B6"/>
    <w:rsid w:val="00792B5B"/>
    <w:rsid w:val="00793B77"/>
    <w:rsid w:val="00793F34"/>
    <w:rsid w:val="0079409A"/>
    <w:rsid w:val="00794BC1"/>
    <w:rsid w:val="0079575C"/>
    <w:rsid w:val="007963B5"/>
    <w:rsid w:val="00796685"/>
    <w:rsid w:val="00796E4E"/>
    <w:rsid w:val="00796F25"/>
    <w:rsid w:val="00796F34"/>
    <w:rsid w:val="007A0314"/>
    <w:rsid w:val="007A074E"/>
    <w:rsid w:val="007A0892"/>
    <w:rsid w:val="007A0FC6"/>
    <w:rsid w:val="007A20C9"/>
    <w:rsid w:val="007A29FA"/>
    <w:rsid w:val="007A2B7F"/>
    <w:rsid w:val="007A2E7A"/>
    <w:rsid w:val="007A2E98"/>
    <w:rsid w:val="007A3BA3"/>
    <w:rsid w:val="007A3BD7"/>
    <w:rsid w:val="007A40DC"/>
    <w:rsid w:val="007A4187"/>
    <w:rsid w:val="007A44AC"/>
    <w:rsid w:val="007A5AE0"/>
    <w:rsid w:val="007A5CDC"/>
    <w:rsid w:val="007A61C8"/>
    <w:rsid w:val="007A6218"/>
    <w:rsid w:val="007A6BD4"/>
    <w:rsid w:val="007A6CC0"/>
    <w:rsid w:val="007A6F15"/>
    <w:rsid w:val="007A72E8"/>
    <w:rsid w:val="007A757A"/>
    <w:rsid w:val="007A7DA7"/>
    <w:rsid w:val="007A7FEC"/>
    <w:rsid w:val="007B07F2"/>
    <w:rsid w:val="007B0803"/>
    <w:rsid w:val="007B0A1D"/>
    <w:rsid w:val="007B11D7"/>
    <w:rsid w:val="007B1499"/>
    <w:rsid w:val="007B1BBF"/>
    <w:rsid w:val="007B2056"/>
    <w:rsid w:val="007B2960"/>
    <w:rsid w:val="007B2F6B"/>
    <w:rsid w:val="007B355D"/>
    <w:rsid w:val="007B3770"/>
    <w:rsid w:val="007B39AC"/>
    <w:rsid w:val="007B4576"/>
    <w:rsid w:val="007B5C28"/>
    <w:rsid w:val="007B635B"/>
    <w:rsid w:val="007B6675"/>
    <w:rsid w:val="007B6B85"/>
    <w:rsid w:val="007B6BF7"/>
    <w:rsid w:val="007B750B"/>
    <w:rsid w:val="007B7980"/>
    <w:rsid w:val="007C021F"/>
    <w:rsid w:val="007C0DEF"/>
    <w:rsid w:val="007C0ECD"/>
    <w:rsid w:val="007C1B0D"/>
    <w:rsid w:val="007C1D66"/>
    <w:rsid w:val="007C2818"/>
    <w:rsid w:val="007C2948"/>
    <w:rsid w:val="007C407A"/>
    <w:rsid w:val="007C4C46"/>
    <w:rsid w:val="007C4D3E"/>
    <w:rsid w:val="007C5D5A"/>
    <w:rsid w:val="007C607F"/>
    <w:rsid w:val="007C6527"/>
    <w:rsid w:val="007C79DD"/>
    <w:rsid w:val="007D0ABF"/>
    <w:rsid w:val="007D0FF5"/>
    <w:rsid w:val="007D1A97"/>
    <w:rsid w:val="007D2A6D"/>
    <w:rsid w:val="007D2CD6"/>
    <w:rsid w:val="007D2DA5"/>
    <w:rsid w:val="007D3063"/>
    <w:rsid w:val="007D3B81"/>
    <w:rsid w:val="007D3CEB"/>
    <w:rsid w:val="007D40A2"/>
    <w:rsid w:val="007D5127"/>
    <w:rsid w:val="007D56B1"/>
    <w:rsid w:val="007D61FD"/>
    <w:rsid w:val="007D662B"/>
    <w:rsid w:val="007D7C08"/>
    <w:rsid w:val="007E0518"/>
    <w:rsid w:val="007E0AB7"/>
    <w:rsid w:val="007E17A1"/>
    <w:rsid w:val="007E234C"/>
    <w:rsid w:val="007E3A43"/>
    <w:rsid w:val="007E4889"/>
    <w:rsid w:val="007E4CDE"/>
    <w:rsid w:val="007E597F"/>
    <w:rsid w:val="007E6549"/>
    <w:rsid w:val="007E7683"/>
    <w:rsid w:val="007F0E93"/>
    <w:rsid w:val="007F1162"/>
    <w:rsid w:val="007F1795"/>
    <w:rsid w:val="007F1AC1"/>
    <w:rsid w:val="007F2294"/>
    <w:rsid w:val="007F3959"/>
    <w:rsid w:val="007F4644"/>
    <w:rsid w:val="007F49FA"/>
    <w:rsid w:val="007F54C4"/>
    <w:rsid w:val="007F6E9A"/>
    <w:rsid w:val="008004CC"/>
    <w:rsid w:val="0080097E"/>
    <w:rsid w:val="00800CCD"/>
    <w:rsid w:val="00800DB9"/>
    <w:rsid w:val="00801EEE"/>
    <w:rsid w:val="00801FEB"/>
    <w:rsid w:val="008020D9"/>
    <w:rsid w:val="00802CA6"/>
    <w:rsid w:val="00802D99"/>
    <w:rsid w:val="00803331"/>
    <w:rsid w:val="008037FB"/>
    <w:rsid w:val="00803A3E"/>
    <w:rsid w:val="00803AA2"/>
    <w:rsid w:val="00804134"/>
    <w:rsid w:val="008044D4"/>
    <w:rsid w:val="00805721"/>
    <w:rsid w:val="00805BA7"/>
    <w:rsid w:val="00806226"/>
    <w:rsid w:val="00810756"/>
    <w:rsid w:val="00810891"/>
    <w:rsid w:val="00810AB4"/>
    <w:rsid w:val="00810C63"/>
    <w:rsid w:val="00810E4E"/>
    <w:rsid w:val="00811E6E"/>
    <w:rsid w:val="0081271A"/>
    <w:rsid w:val="008127C7"/>
    <w:rsid w:val="00812BB7"/>
    <w:rsid w:val="00812F1F"/>
    <w:rsid w:val="008131AB"/>
    <w:rsid w:val="008131E5"/>
    <w:rsid w:val="008138FF"/>
    <w:rsid w:val="008140C2"/>
    <w:rsid w:val="00814142"/>
    <w:rsid w:val="008149C5"/>
    <w:rsid w:val="00814CC7"/>
    <w:rsid w:val="00814FA0"/>
    <w:rsid w:val="00815D1D"/>
    <w:rsid w:val="00815EAA"/>
    <w:rsid w:val="008172E2"/>
    <w:rsid w:val="00817B56"/>
    <w:rsid w:val="00820CBA"/>
    <w:rsid w:val="00821173"/>
    <w:rsid w:val="00821236"/>
    <w:rsid w:val="00821918"/>
    <w:rsid w:val="00821A88"/>
    <w:rsid w:val="0082322E"/>
    <w:rsid w:val="00823523"/>
    <w:rsid w:val="008237AF"/>
    <w:rsid w:val="008237B9"/>
    <w:rsid w:val="00823C9A"/>
    <w:rsid w:val="00823CE6"/>
    <w:rsid w:val="0082417C"/>
    <w:rsid w:val="0082446F"/>
    <w:rsid w:val="0082479D"/>
    <w:rsid w:val="0082495D"/>
    <w:rsid w:val="00826AC5"/>
    <w:rsid w:val="00830107"/>
    <w:rsid w:val="00831AC3"/>
    <w:rsid w:val="00831D45"/>
    <w:rsid w:val="008320F5"/>
    <w:rsid w:val="00832A16"/>
    <w:rsid w:val="0083365D"/>
    <w:rsid w:val="00833E94"/>
    <w:rsid w:val="00833F62"/>
    <w:rsid w:val="008347DA"/>
    <w:rsid w:val="00834CB5"/>
    <w:rsid w:val="00835646"/>
    <w:rsid w:val="00836735"/>
    <w:rsid w:val="00836FCE"/>
    <w:rsid w:val="008375CB"/>
    <w:rsid w:val="008376DE"/>
    <w:rsid w:val="008408FF"/>
    <w:rsid w:val="00840967"/>
    <w:rsid w:val="00841297"/>
    <w:rsid w:val="00841E0A"/>
    <w:rsid w:val="0084346D"/>
    <w:rsid w:val="008435AE"/>
    <w:rsid w:val="00843B3E"/>
    <w:rsid w:val="008459DF"/>
    <w:rsid w:val="00847A99"/>
    <w:rsid w:val="00847D78"/>
    <w:rsid w:val="00850101"/>
    <w:rsid w:val="00851427"/>
    <w:rsid w:val="00851F3F"/>
    <w:rsid w:val="00853A8E"/>
    <w:rsid w:val="00853C9B"/>
    <w:rsid w:val="00853E4B"/>
    <w:rsid w:val="0085415B"/>
    <w:rsid w:val="0085431A"/>
    <w:rsid w:val="0085514E"/>
    <w:rsid w:val="0085621D"/>
    <w:rsid w:val="00856C71"/>
    <w:rsid w:val="00856DD9"/>
    <w:rsid w:val="00856EDC"/>
    <w:rsid w:val="00857877"/>
    <w:rsid w:val="00860685"/>
    <w:rsid w:val="008623B5"/>
    <w:rsid w:val="00862AD1"/>
    <w:rsid w:val="00862E2E"/>
    <w:rsid w:val="0086328E"/>
    <w:rsid w:val="0086384E"/>
    <w:rsid w:val="008641E2"/>
    <w:rsid w:val="00864EC3"/>
    <w:rsid w:val="0086515B"/>
    <w:rsid w:val="008651A3"/>
    <w:rsid w:val="0086587C"/>
    <w:rsid w:val="00865886"/>
    <w:rsid w:val="00866939"/>
    <w:rsid w:val="00867C8C"/>
    <w:rsid w:val="0087026A"/>
    <w:rsid w:val="00870438"/>
    <w:rsid w:val="00870ABA"/>
    <w:rsid w:val="008710E1"/>
    <w:rsid w:val="00871165"/>
    <w:rsid w:val="00871235"/>
    <w:rsid w:val="008716E5"/>
    <w:rsid w:val="00871766"/>
    <w:rsid w:val="0087185D"/>
    <w:rsid w:val="008721CB"/>
    <w:rsid w:val="00872323"/>
    <w:rsid w:val="0087275B"/>
    <w:rsid w:val="00872858"/>
    <w:rsid w:val="00872D0B"/>
    <w:rsid w:val="008736E8"/>
    <w:rsid w:val="0087435A"/>
    <w:rsid w:val="00874A53"/>
    <w:rsid w:val="008752DD"/>
    <w:rsid w:val="00875694"/>
    <w:rsid w:val="00876ADF"/>
    <w:rsid w:val="00877A49"/>
    <w:rsid w:val="008809BA"/>
    <w:rsid w:val="00880B61"/>
    <w:rsid w:val="00881CA9"/>
    <w:rsid w:val="008826AE"/>
    <w:rsid w:val="008826EB"/>
    <w:rsid w:val="008829E0"/>
    <w:rsid w:val="00883493"/>
    <w:rsid w:val="00883628"/>
    <w:rsid w:val="008850B2"/>
    <w:rsid w:val="00885365"/>
    <w:rsid w:val="00885544"/>
    <w:rsid w:val="0088634E"/>
    <w:rsid w:val="0088714A"/>
    <w:rsid w:val="00887DCB"/>
    <w:rsid w:val="00890E53"/>
    <w:rsid w:val="00891865"/>
    <w:rsid w:val="00892193"/>
    <w:rsid w:val="00893361"/>
    <w:rsid w:val="008938BA"/>
    <w:rsid w:val="00893AB8"/>
    <w:rsid w:val="008943DF"/>
    <w:rsid w:val="00894EF6"/>
    <w:rsid w:val="00894F6A"/>
    <w:rsid w:val="00896211"/>
    <w:rsid w:val="00896878"/>
    <w:rsid w:val="00897E3B"/>
    <w:rsid w:val="008A04C8"/>
    <w:rsid w:val="008A0B8A"/>
    <w:rsid w:val="008A1B7D"/>
    <w:rsid w:val="008A1CC8"/>
    <w:rsid w:val="008A4066"/>
    <w:rsid w:val="008A47D0"/>
    <w:rsid w:val="008A5743"/>
    <w:rsid w:val="008A5751"/>
    <w:rsid w:val="008A6913"/>
    <w:rsid w:val="008A6F84"/>
    <w:rsid w:val="008B0184"/>
    <w:rsid w:val="008B08CA"/>
    <w:rsid w:val="008B2EC7"/>
    <w:rsid w:val="008B35CB"/>
    <w:rsid w:val="008B462F"/>
    <w:rsid w:val="008B477A"/>
    <w:rsid w:val="008B48DB"/>
    <w:rsid w:val="008B52EE"/>
    <w:rsid w:val="008B5EF9"/>
    <w:rsid w:val="008B5F31"/>
    <w:rsid w:val="008B6980"/>
    <w:rsid w:val="008B6B95"/>
    <w:rsid w:val="008B6C7D"/>
    <w:rsid w:val="008B702B"/>
    <w:rsid w:val="008B70F3"/>
    <w:rsid w:val="008B71C4"/>
    <w:rsid w:val="008B76DF"/>
    <w:rsid w:val="008B7963"/>
    <w:rsid w:val="008B7DDD"/>
    <w:rsid w:val="008B7E9E"/>
    <w:rsid w:val="008C10F4"/>
    <w:rsid w:val="008C1721"/>
    <w:rsid w:val="008C24CA"/>
    <w:rsid w:val="008C3FDC"/>
    <w:rsid w:val="008C5B02"/>
    <w:rsid w:val="008C62F2"/>
    <w:rsid w:val="008C65F7"/>
    <w:rsid w:val="008C6E26"/>
    <w:rsid w:val="008D1253"/>
    <w:rsid w:val="008D20F9"/>
    <w:rsid w:val="008D2537"/>
    <w:rsid w:val="008D3D0F"/>
    <w:rsid w:val="008D608D"/>
    <w:rsid w:val="008D6763"/>
    <w:rsid w:val="008D69D4"/>
    <w:rsid w:val="008D7BD6"/>
    <w:rsid w:val="008E0428"/>
    <w:rsid w:val="008E049C"/>
    <w:rsid w:val="008E09F3"/>
    <w:rsid w:val="008E2224"/>
    <w:rsid w:val="008E2A5F"/>
    <w:rsid w:val="008E3683"/>
    <w:rsid w:val="008E4767"/>
    <w:rsid w:val="008E5ECD"/>
    <w:rsid w:val="008E5F6B"/>
    <w:rsid w:val="008E6410"/>
    <w:rsid w:val="008E7420"/>
    <w:rsid w:val="008E7983"/>
    <w:rsid w:val="008E7A19"/>
    <w:rsid w:val="008E7A8C"/>
    <w:rsid w:val="008F0E42"/>
    <w:rsid w:val="008F1C10"/>
    <w:rsid w:val="008F1CE9"/>
    <w:rsid w:val="008F2463"/>
    <w:rsid w:val="008F3993"/>
    <w:rsid w:val="008F3DFF"/>
    <w:rsid w:val="008F4980"/>
    <w:rsid w:val="008F4FCA"/>
    <w:rsid w:val="008F5504"/>
    <w:rsid w:val="008F7393"/>
    <w:rsid w:val="00900410"/>
    <w:rsid w:val="00900C66"/>
    <w:rsid w:val="00900FFA"/>
    <w:rsid w:val="009014EE"/>
    <w:rsid w:val="00901762"/>
    <w:rsid w:val="0090182C"/>
    <w:rsid w:val="0090203B"/>
    <w:rsid w:val="00902172"/>
    <w:rsid w:val="009026E7"/>
    <w:rsid w:val="00902DE0"/>
    <w:rsid w:val="00903285"/>
    <w:rsid w:val="009037CB"/>
    <w:rsid w:val="00905344"/>
    <w:rsid w:val="009062B2"/>
    <w:rsid w:val="00906306"/>
    <w:rsid w:val="009064B1"/>
    <w:rsid w:val="00906F40"/>
    <w:rsid w:val="00907118"/>
    <w:rsid w:val="0090731E"/>
    <w:rsid w:val="00907C47"/>
    <w:rsid w:val="0091124E"/>
    <w:rsid w:val="0091178E"/>
    <w:rsid w:val="0091189E"/>
    <w:rsid w:val="00911A7A"/>
    <w:rsid w:val="00911F0C"/>
    <w:rsid w:val="00912DB8"/>
    <w:rsid w:val="009137D5"/>
    <w:rsid w:val="009142A4"/>
    <w:rsid w:val="00915B1C"/>
    <w:rsid w:val="00916273"/>
    <w:rsid w:val="00917334"/>
    <w:rsid w:val="009174F3"/>
    <w:rsid w:val="0091797D"/>
    <w:rsid w:val="009215A5"/>
    <w:rsid w:val="00921631"/>
    <w:rsid w:val="00921BAD"/>
    <w:rsid w:val="00922F5E"/>
    <w:rsid w:val="00923907"/>
    <w:rsid w:val="00923CBA"/>
    <w:rsid w:val="00923F4A"/>
    <w:rsid w:val="0092420A"/>
    <w:rsid w:val="00924920"/>
    <w:rsid w:val="009258E8"/>
    <w:rsid w:val="009260AE"/>
    <w:rsid w:val="00926703"/>
    <w:rsid w:val="0092727F"/>
    <w:rsid w:val="00927405"/>
    <w:rsid w:val="00927470"/>
    <w:rsid w:val="00927691"/>
    <w:rsid w:val="00927882"/>
    <w:rsid w:val="00927A5F"/>
    <w:rsid w:val="00927F10"/>
    <w:rsid w:val="00930359"/>
    <w:rsid w:val="00930510"/>
    <w:rsid w:val="00931225"/>
    <w:rsid w:val="00931299"/>
    <w:rsid w:val="0093172D"/>
    <w:rsid w:val="00931BAF"/>
    <w:rsid w:val="00931C4E"/>
    <w:rsid w:val="00932AAE"/>
    <w:rsid w:val="00934CEE"/>
    <w:rsid w:val="009357D9"/>
    <w:rsid w:val="00935A92"/>
    <w:rsid w:val="00935B63"/>
    <w:rsid w:val="00935CD4"/>
    <w:rsid w:val="00936090"/>
    <w:rsid w:val="00936102"/>
    <w:rsid w:val="00936E95"/>
    <w:rsid w:val="009373D0"/>
    <w:rsid w:val="00937BBF"/>
    <w:rsid w:val="00940243"/>
    <w:rsid w:val="0094027F"/>
    <w:rsid w:val="0094078F"/>
    <w:rsid w:val="00940FA3"/>
    <w:rsid w:val="009413AC"/>
    <w:rsid w:val="00941A60"/>
    <w:rsid w:val="00941FB0"/>
    <w:rsid w:val="00941FD4"/>
    <w:rsid w:val="00942111"/>
    <w:rsid w:val="009426D4"/>
    <w:rsid w:val="00942F69"/>
    <w:rsid w:val="00943ACC"/>
    <w:rsid w:val="00944034"/>
    <w:rsid w:val="0094432C"/>
    <w:rsid w:val="00945A8B"/>
    <w:rsid w:val="00946199"/>
    <w:rsid w:val="009467E7"/>
    <w:rsid w:val="009476E9"/>
    <w:rsid w:val="00947BF5"/>
    <w:rsid w:val="00947F25"/>
    <w:rsid w:val="00950159"/>
    <w:rsid w:val="009501BE"/>
    <w:rsid w:val="009502AC"/>
    <w:rsid w:val="00952991"/>
    <w:rsid w:val="00952AAA"/>
    <w:rsid w:val="00953309"/>
    <w:rsid w:val="00953EE5"/>
    <w:rsid w:val="00953FDE"/>
    <w:rsid w:val="0095490B"/>
    <w:rsid w:val="00954D15"/>
    <w:rsid w:val="00954DD8"/>
    <w:rsid w:val="00955D4B"/>
    <w:rsid w:val="009562DF"/>
    <w:rsid w:val="00956560"/>
    <w:rsid w:val="009577E2"/>
    <w:rsid w:val="0096069F"/>
    <w:rsid w:val="00960A33"/>
    <w:rsid w:val="00960B4C"/>
    <w:rsid w:val="00960CA2"/>
    <w:rsid w:val="009616B6"/>
    <w:rsid w:val="00961EFC"/>
    <w:rsid w:val="009624CC"/>
    <w:rsid w:val="00962A71"/>
    <w:rsid w:val="00962FDA"/>
    <w:rsid w:val="0096339E"/>
    <w:rsid w:val="00963B37"/>
    <w:rsid w:val="009642A9"/>
    <w:rsid w:val="00964AAB"/>
    <w:rsid w:val="0096686E"/>
    <w:rsid w:val="009673FD"/>
    <w:rsid w:val="0097088C"/>
    <w:rsid w:val="00970998"/>
    <w:rsid w:val="00970E2F"/>
    <w:rsid w:val="009717A0"/>
    <w:rsid w:val="00971914"/>
    <w:rsid w:val="009726E5"/>
    <w:rsid w:val="00972B19"/>
    <w:rsid w:val="00973A63"/>
    <w:rsid w:val="00973EDB"/>
    <w:rsid w:val="00974363"/>
    <w:rsid w:val="009752EC"/>
    <w:rsid w:val="00975BF6"/>
    <w:rsid w:val="00976834"/>
    <w:rsid w:val="00976EFE"/>
    <w:rsid w:val="00977382"/>
    <w:rsid w:val="009813DD"/>
    <w:rsid w:val="00981898"/>
    <w:rsid w:val="00982292"/>
    <w:rsid w:val="00982897"/>
    <w:rsid w:val="00984008"/>
    <w:rsid w:val="00984812"/>
    <w:rsid w:val="0098560C"/>
    <w:rsid w:val="00985630"/>
    <w:rsid w:val="009868FE"/>
    <w:rsid w:val="009869CC"/>
    <w:rsid w:val="00987DBF"/>
    <w:rsid w:val="00987E0E"/>
    <w:rsid w:val="00990282"/>
    <w:rsid w:val="0099191D"/>
    <w:rsid w:val="00991BCE"/>
    <w:rsid w:val="00992307"/>
    <w:rsid w:val="00992CA8"/>
    <w:rsid w:val="009952D0"/>
    <w:rsid w:val="0099575F"/>
    <w:rsid w:val="0099577C"/>
    <w:rsid w:val="00996355"/>
    <w:rsid w:val="009972FE"/>
    <w:rsid w:val="009973CE"/>
    <w:rsid w:val="009A006F"/>
    <w:rsid w:val="009A021C"/>
    <w:rsid w:val="009A0BBD"/>
    <w:rsid w:val="009A0F53"/>
    <w:rsid w:val="009A1022"/>
    <w:rsid w:val="009A16BE"/>
    <w:rsid w:val="009A1A2C"/>
    <w:rsid w:val="009A1FDD"/>
    <w:rsid w:val="009A25CC"/>
    <w:rsid w:val="009A369B"/>
    <w:rsid w:val="009A3F4C"/>
    <w:rsid w:val="009A4F4A"/>
    <w:rsid w:val="009A5283"/>
    <w:rsid w:val="009A5951"/>
    <w:rsid w:val="009A5A28"/>
    <w:rsid w:val="009A61B6"/>
    <w:rsid w:val="009A69DA"/>
    <w:rsid w:val="009A7E5B"/>
    <w:rsid w:val="009B064F"/>
    <w:rsid w:val="009B077C"/>
    <w:rsid w:val="009B0A98"/>
    <w:rsid w:val="009B133A"/>
    <w:rsid w:val="009B1F4D"/>
    <w:rsid w:val="009B247E"/>
    <w:rsid w:val="009B24A5"/>
    <w:rsid w:val="009B2601"/>
    <w:rsid w:val="009B30E2"/>
    <w:rsid w:val="009B34A1"/>
    <w:rsid w:val="009B47D4"/>
    <w:rsid w:val="009B4852"/>
    <w:rsid w:val="009B4E9E"/>
    <w:rsid w:val="009B4EC2"/>
    <w:rsid w:val="009B5101"/>
    <w:rsid w:val="009B579C"/>
    <w:rsid w:val="009B5E25"/>
    <w:rsid w:val="009B5FAE"/>
    <w:rsid w:val="009B62D7"/>
    <w:rsid w:val="009B76B6"/>
    <w:rsid w:val="009C1690"/>
    <w:rsid w:val="009C1EA2"/>
    <w:rsid w:val="009C2CE3"/>
    <w:rsid w:val="009C2E7D"/>
    <w:rsid w:val="009C2FCF"/>
    <w:rsid w:val="009C30B6"/>
    <w:rsid w:val="009C485B"/>
    <w:rsid w:val="009C491A"/>
    <w:rsid w:val="009C4E0A"/>
    <w:rsid w:val="009C51F3"/>
    <w:rsid w:val="009C625B"/>
    <w:rsid w:val="009C6559"/>
    <w:rsid w:val="009C66C2"/>
    <w:rsid w:val="009C66D5"/>
    <w:rsid w:val="009C6881"/>
    <w:rsid w:val="009C689A"/>
    <w:rsid w:val="009C6AFA"/>
    <w:rsid w:val="009C7759"/>
    <w:rsid w:val="009D043D"/>
    <w:rsid w:val="009D071B"/>
    <w:rsid w:val="009D07C8"/>
    <w:rsid w:val="009D099C"/>
    <w:rsid w:val="009D182B"/>
    <w:rsid w:val="009D20B6"/>
    <w:rsid w:val="009D2102"/>
    <w:rsid w:val="009D4C85"/>
    <w:rsid w:val="009D4DF4"/>
    <w:rsid w:val="009D67BB"/>
    <w:rsid w:val="009D6995"/>
    <w:rsid w:val="009D6C71"/>
    <w:rsid w:val="009D70A2"/>
    <w:rsid w:val="009D70DF"/>
    <w:rsid w:val="009D7688"/>
    <w:rsid w:val="009E0631"/>
    <w:rsid w:val="009E0637"/>
    <w:rsid w:val="009E0666"/>
    <w:rsid w:val="009E068F"/>
    <w:rsid w:val="009E16D0"/>
    <w:rsid w:val="009E2051"/>
    <w:rsid w:val="009E2592"/>
    <w:rsid w:val="009E2685"/>
    <w:rsid w:val="009E2EE3"/>
    <w:rsid w:val="009E38FD"/>
    <w:rsid w:val="009E58DA"/>
    <w:rsid w:val="009E62E0"/>
    <w:rsid w:val="009F106C"/>
    <w:rsid w:val="009F1082"/>
    <w:rsid w:val="009F13D6"/>
    <w:rsid w:val="009F231E"/>
    <w:rsid w:val="009F2CEB"/>
    <w:rsid w:val="009F43AA"/>
    <w:rsid w:val="009F484B"/>
    <w:rsid w:val="009F4C6B"/>
    <w:rsid w:val="009F5659"/>
    <w:rsid w:val="009F59EE"/>
    <w:rsid w:val="009F7266"/>
    <w:rsid w:val="009F76E5"/>
    <w:rsid w:val="009F78A8"/>
    <w:rsid w:val="009F7E95"/>
    <w:rsid w:val="00A00414"/>
    <w:rsid w:val="00A00C15"/>
    <w:rsid w:val="00A013B8"/>
    <w:rsid w:val="00A017E0"/>
    <w:rsid w:val="00A0200F"/>
    <w:rsid w:val="00A0231C"/>
    <w:rsid w:val="00A0235B"/>
    <w:rsid w:val="00A0273D"/>
    <w:rsid w:val="00A02AD6"/>
    <w:rsid w:val="00A0558B"/>
    <w:rsid w:val="00A059FC"/>
    <w:rsid w:val="00A05A78"/>
    <w:rsid w:val="00A06324"/>
    <w:rsid w:val="00A07096"/>
    <w:rsid w:val="00A07160"/>
    <w:rsid w:val="00A07318"/>
    <w:rsid w:val="00A07CE4"/>
    <w:rsid w:val="00A1075C"/>
    <w:rsid w:val="00A1090F"/>
    <w:rsid w:val="00A10C54"/>
    <w:rsid w:val="00A10F2D"/>
    <w:rsid w:val="00A11370"/>
    <w:rsid w:val="00A116B8"/>
    <w:rsid w:val="00A12BE9"/>
    <w:rsid w:val="00A12F5B"/>
    <w:rsid w:val="00A1343A"/>
    <w:rsid w:val="00A1389C"/>
    <w:rsid w:val="00A14880"/>
    <w:rsid w:val="00A153BA"/>
    <w:rsid w:val="00A169F7"/>
    <w:rsid w:val="00A1729B"/>
    <w:rsid w:val="00A17496"/>
    <w:rsid w:val="00A17A12"/>
    <w:rsid w:val="00A17EF5"/>
    <w:rsid w:val="00A2023B"/>
    <w:rsid w:val="00A202D6"/>
    <w:rsid w:val="00A21671"/>
    <w:rsid w:val="00A224CE"/>
    <w:rsid w:val="00A22522"/>
    <w:rsid w:val="00A22660"/>
    <w:rsid w:val="00A230AA"/>
    <w:rsid w:val="00A23217"/>
    <w:rsid w:val="00A237B7"/>
    <w:rsid w:val="00A24437"/>
    <w:rsid w:val="00A247F7"/>
    <w:rsid w:val="00A24AFD"/>
    <w:rsid w:val="00A24F5C"/>
    <w:rsid w:val="00A2582C"/>
    <w:rsid w:val="00A26818"/>
    <w:rsid w:val="00A26D71"/>
    <w:rsid w:val="00A30497"/>
    <w:rsid w:val="00A3184E"/>
    <w:rsid w:val="00A3190C"/>
    <w:rsid w:val="00A31D00"/>
    <w:rsid w:val="00A32F96"/>
    <w:rsid w:val="00A33166"/>
    <w:rsid w:val="00A3400F"/>
    <w:rsid w:val="00A34456"/>
    <w:rsid w:val="00A35181"/>
    <w:rsid w:val="00A362CF"/>
    <w:rsid w:val="00A3644F"/>
    <w:rsid w:val="00A36B0C"/>
    <w:rsid w:val="00A375F4"/>
    <w:rsid w:val="00A37F19"/>
    <w:rsid w:val="00A37F2D"/>
    <w:rsid w:val="00A405C1"/>
    <w:rsid w:val="00A40871"/>
    <w:rsid w:val="00A412AB"/>
    <w:rsid w:val="00A4193E"/>
    <w:rsid w:val="00A42472"/>
    <w:rsid w:val="00A42C28"/>
    <w:rsid w:val="00A4311C"/>
    <w:rsid w:val="00A43631"/>
    <w:rsid w:val="00A43978"/>
    <w:rsid w:val="00A440E0"/>
    <w:rsid w:val="00A442EF"/>
    <w:rsid w:val="00A44376"/>
    <w:rsid w:val="00A4637D"/>
    <w:rsid w:val="00A50872"/>
    <w:rsid w:val="00A50E15"/>
    <w:rsid w:val="00A51A4C"/>
    <w:rsid w:val="00A51D1A"/>
    <w:rsid w:val="00A526DE"/>
    <w:rsid w:val="00A52DF9"/>
    <w:rsid w:val="00A539C4"/>
    <w:rsid w:val="00A5418D"/>
    <w:rsid w:val="00A5474E"/>
    <w:rsid w:val="00A550A9"/>
    <w:rsid w:val="00A571BB"/>
    <w:rsid w:val="00A5796B"/>
    <w:rsid w:val="00A57D3E"/>
    <w:rsid w:val="00A607FF"/>
    <w:rsid w:val="00A60B7B"/>
    <w:rsid w:val="00A60E2D"/>
    <w:rsid w:val="00A6100B"/>
    <w:rsid w:val="00A61730"/>
    <w:rsid w:val="00A62401"/>
    <w:rsid w:val="00A62DC5"/>
    <w:rsid w:val="00A6365B"/>
    <w:rsid w:val="00A63E72"/>
    <w:rsid w:val="00A63EDA"/>
    <w:rsid w:val="00A64234"/>
    <w:rsid w:val="00A6517B"/>
    <w:rsid w:val="00A6517F"/>
    <w:rsid w:val="00A655B1"/>
    <w:rsid w:val="00A6669A"/>
    <w:rsid w:val="00A67BB0"/>
    <w:rsid w:val="00A70AC1"/>
    <w:rsid w:val="00A70ADF"/>
    <w:rsid w:val="00A70D93"/>
    <w:rsid w:val="00A70DD6"/>
    <w:rsid w:val="00A71466"/>
    <w:rsid w:val="00A7280E"/>
    <w:rsid w:val="00A73A29"/>
    <w:rsid w:val="00A746C1"/>
    <w:rsid w:val="00A7473E"/>
    <w:rsid w:val="00A74783"/>
    <w:rsid w:val="00A749F8"/>
    <w:rsid w:val="00A74B5E"/>
    <w:rsid w:val="00A74C64"/>
    <w:rsid w:val="00A759D8"/>
    <w:rsid w:val="00A77148"/>
    <w:rsid w:val="00A77289"/>
    <w:rsid w:val="00A77589"/>
    <w:rsid w:val="00A805BD"/>
    <w:rsid w:val="00A81BED"/>
    <w:rsid w:val="00A81C5D"/>
    <w:rsid w:val="00A81EC4"/>
    <w:rsid w:val="00A824E8"/>
    <w:rsid w:val="00A82661"/>
    <w:rsid w:val="00A8286C"/>
    <w:rsid w:val="00A8371F"/>
    <w:rsid w:val="00A83727"/>
    <w:rsid w:val="00A8430E"/>
    <w:rsid w:val="00A85750"/>
    <w:rsid w:val="00A85BC4"/>
    <w:rsid w:val="00A870C3"/>
    <w:rsid w:val="00A8725B"/>
    <w:rsid w:val="00A873C8"/>
    <w:rsid w:val="00A87DC7"/>
    <w:rsid w:val="00A90618"/>
    <w:rsid w:val="00A906DC"/>
    <w:rsid w:val="00A91D66"/>
    <w:rsid w:val="00A92E07"/>
    <w:rsid w:val="00A93540"/>
    <w:rsid w:val="00A93571"/>
    <w:rsid w:val="00A9440F"/>
    <w:rsid w:val="00A9499D"/>
    <w:rsid w:val="00A95068"/>
    <w:rsid w:val="00A9520E"/>
    <w:rsid w:val="00A95EF3"/>
    <w:rsid w:val="00A967FD"/>
    <w:rsid w:val="00A96E34"/>
    <w:rsid w:val="00A97F32"/>
    <w:rsid w:val="00AA1266"/>
    <w:rsid w:val="00AA1301"/>
    <w:rsid w:val="00AA1439"/>
    <w:rsid w:val="00AA2473"/>
    <w:rsid w:val="00AA2651"/>
    <w:rsid w:val="00AA2DE5"/>
    <w:rsid w:val="00AA33F1"/>
    <w:rsid w:val="00AA3532"/>
    <w:rsid w:val="00AA3674"/>
    <w:rsid w:val="00AA3DA7"/>
    <w:rsid w:val="00AA668C"/>
    <w:rsid w:val="00AA73B2"/>
    <w:rsid w:val="00AA7587"/>
    <w:rsid w:val="00AB00DA"/>
    <w:rsid w:val="00AB04BA"/>
    <w:rsid w:val="00AB156C"/>
    <w:rsid w:val="00AB192D"/>
    <w:rsid w:val="00AB1C0F"/>
    <w:rsid w:val="00AB246A"/>
    <w:rsid w:val="00AB2D77"/>
    <w:rsid w:val="00AB2DEC"/>
    <w:rsid w:val="00AB3F5C"/>
    <w:rsid w:val="00AB4366"/>
    <w:rsid w:val="00AB4728"/>
    <w:rsid w:val="00AB4EAD"/>
    <w:rsid w:val="00AB4F1D"/>
    <w:rsid w:val="00AB5562"/>
    <w:rsid w:val="00AB5E09"/>
    <w:rsid w:val="00AB66CC"/>
    <w:rsid w:val="00AB6814"/>
    <w:rsid w:val="00AB7583"/>
    <w:rsid w:val="00AC04BA"/>
    <w:rsid w:val="00AC0E39"/>
    <w:rsid w:val="00AC180F"/>
    <w:rsid w:val="00AC1DAD"/>
    <w:rsid w:val="00AC2FA1"/>
    <w:rsid w:val="00AC33E2"/>
    <w:rsid w:val="00AC39E4"/>
    <w:rsid w:val="00AC420F"/>
    <w:rsid w:val="00AC5304"/>
    <w:rsid w:val="00AC5824"/>
    <w:rsid w:val="00AC5936"/>
    <w:rsid w:val="00AC5E78"/>
    <w:rsid w:val="00AD1FAB"/>
    <w:rsid w:val="00AD3082"/>
    <w:rsid w:val="00AD32B4"/>
    <w:rsid w:val="00AD33F6"/>
    <w:rsid w:val="00AD3615"/>
    <w:rsid w:val="00AD3B16"/>
    <w:rsid w:val="00AD4729"/>
    <w:rsid w:val="00AD4AD0"/>
    <w:rsid w:val="00AD5436"/>
    <w:rsid w:val="00AD60CD"/>
    <w:rsid w:val="00AD6C8C"/>
    <w:rsid w:val="00AD6E07"/>
    <w:rsid w:val="00AD7CD2"/>
    <w:rsid w:val="00AE034D"/>
    <w:rsid w:val="00AE091D"/>
    <w:rsid w:val="00AE12E7"/>
    <w:rsid w:val="00AE1474"/>
    <w:rsid w:val="00AE14CD"/>
    <w:rsid w:val="00AE3425"/>
    <w:rsid w:val="00AE35FF"/>
    <w:rsid w:val="00AE3B60"/>
    <w:rsid w:val="00AE51BC"/>
    <w:rsid w:val="00AE53A1"/>
    <w:rsid w:val="00AE5BD0"/>
    <w:rsid w:val="00AE680D"/>
    <w:rsid w:val="00AE689D"/>
    <w:rsid w:val="00AE6D1A"/>
    <w:rsid w:val="00AE6F75"/>
    <w:rsid w:val="00AE72FB"/>
    <w:rsid w:val="00AE7C33"/>
    <w:rsid w:val="00AF08A5"/>
    <w:rsid w:val="00AF15DE"/>
    <w:rsid w:val="00AF19B7"/>
    <w:rsid w:val="00AF1BE6"/>
    <w:rsid w:val="00AF20C2"/>
    <w:rsid w:val="00AF2484"/>
    <w:rsid w:val="00AF2F07"/>
    <w:rsid w:val="00AF3A04"/>
    <w:rsid w:val="00AF3AD6"/>
    <w:rsid w:val="00AF42D6"/>
    <w:rsid w:val="00AF5A44"/>
    <w:rsid w:val="00AF614A"/>
    <w:rsid w:val="00AF63E7"/>
    <w:rsid w:val="00AF6E17"/>
    <w:rsid w:val="00AF7C6F"/>
    <w:rsid w:val="00AF7EE1"/>
    <w:rsid w:val="00B000E5"/>
    <w:rsid w:val="00B0037A"/>
    <w:rsid w:val="00B009AE"/>
    <w:rsid w:val="00B00FFC"/>
    <w:rsid w:val="00B0165D"/>
    <w:rsid w:val="00B01897"/>
    <w:rsid w:val="00B01B60"/>
    <w:rsid w:val="00B02345"/>
    <w:rsid w:val="00B024E9"/>
    <w:rsid w:val="00B02885"/>
    <w:rsid w:val="00B029AC"/>
    <w:rsid w:val="00B02F4B"/>
    <w:rsid w:val="00B031F3"/>
    <w:rsid w:val="00B04035"/>
    <w:rsid w:val="00B048D5"/>
    <w:rsid w:val="00B04955"/>
    <w:rsid w:val="00B05249"/>
    <w:rsid w:val="00B052A4"/>
    <w:rsid w:val="00B05823"/>
    <w:rsid w:val="00B06BE7"/>
    <w:rsid w:val="00B07581"/>
    <w:rsid w:val="00B07943"/>
    <w:rsid w:val="00B07B60"/>
    <w:rsid w:val="00B11663"/>
    <w:rsid w:val="00B11DC2"/>
    <w:rsid w:val="00B125DE"/>
    <w:rsid w:val="00B1314E"/>
    <w:rsid w:val="00B13FDD"/>
    <w:rsid w:val="00B167EA"/>
    <w:rsid w:val="00B16ADF"/>
    <w:rsid w:val="00B16B1B"/>
    <w:rsid w:val="00B17868"/>
    <w:rsid w:val="00B20C2B"/>
    <w:rsid w:val="00B21BA6"/>
    <w:rsid w:val="00B22D7B"/>
    <w:rsid w:val="00B22EB2"/>
    <w:rsid w:val="00B2450A"/>
    <w:rsid w:val="00B262B8"/>
    <w:rsid w:val="00B26358"/>
    <w:rsid w:val="00B26B42"/>
    <w:rsid w:val="00B26E5F"/>
    <w:rsid w:val="00B27442"/>
    <w:rsid w:val="00B2796E"/>
    <w:rsid w:val="00B3008E"/>
    <w:rsid w:val="00B30B60"/>
    <w:rsid w:val="00B31167"/>
    <w:rsid w:val="00B32354"/>
    <w:rsid w:val="00B324EC"/>
    <w:rsid w:val="00B32617"/>
    <w:rsid w:val="00B329D8"/>
    <w:rsid w:val="00B32BB9"/>
    <w:rsid w:val="00B32C07"/>
    <w:rsid w:val="00B33AE1"/>
    <w:rsid w:val="00B33C13"/>
    <w:rsid w:val="00B34463"/>
    <w:rsid w:val="00B347D6"/>
    <w:rsid w:val="00B34F8F"/>
    <w:rsid w:val="00B350B8"/>
    <w:rsid w:val="00B350EB"/>
    <w:rsid w:val="00B35832"/>
    <w:rsid w:val="00B36688"/>
    <w:rsid w:val="00B371D8"/>
    <w:rsid w:val="00B373D1"/>
    <w:rsid w:val="00B37C38"/>
    <w:rsid w:val="00B40E90"/>
    <w:rsid w:val="00B41228"/>
    <w:rsid w:val="00B412A5"/>
    <w:rsid w:val="00B417BD"/>
    <w:rsid w:val="00B4288C"/>
    <w:rsid w:val="00B43262"/>
    <w:rsid w:val="00B44100"/>
    <w:rsid w:val="00B44288"/>
    <w:rsid w:val="00B46CBA"/>
    <w:rsid w:val="00B46F94"/>
    <w:rsid w:val="00B47C46"/>
    <w:rsid w:val="00B50073"/>
    <w:rsid w:val="00B50824"/>
    <w:rsid w:val="00B5130C"/>
    <w:rsid w:val="00B519C7"/>
    <w:rsid w:val="00B53056"/>
    <w:rsid w:val="00B5633A"/>
    <w:rsid w:val="00B56435"/>
    <w:rsid w:val="00B569DC"/>
    <w:rsid w:val="00B56E1E"/>
    <w:rsid w:val="00B57AA0"/>
    <w:rsid w:val="00B6003C"/>
    <w:rsid w:val="00B601D9"/>
    <w:rsid w:val="00B60A2A"/>
    <w:rsid w:val="00B61E60"/>
    <w:rsid w:val="00B61F03"/>
    <w:rsid w:val="00B626E4"/>
    <w:rsid w:val="00B64100"/>
    <w:rsid w:val="00B6476C"/>
    <w:rsid w:val="00B650DA"/>
    <w:rsid w:val="00B66103"/>
    <w:rsid w:val="00B66FF0"/>
    <w:rsid w:val="00B67559"/>
    <w:rsid w:val="00B7001F"/>
    <w:rsid w:val="00B7024E"/>
    <w:rsid w:val="00B70283"/>
    <w:rsid w:val="00B70BA3"/>
    <w:rsid w:val="00B71522"/>
    <w:rsid w:val="00B719B6"/>
    <w:rsid w:val="00B72590"/>
    <w:rsid w:val="00B72F45"/>
    <w:rsid w:val="00B72F4A"/>
    <w:rsid w:val="00B739B8"/>
    <w:rsid w:val="00B73E0D"/>
    <w:rsid w:val="00B74ED9"/>
    <w:rsid w:val="00B75535"/>
    <w:rsid w:val="00B7754F"/>
    <w:rsid w:val="00B80858"/>
    <w:rsid w:val="00B8188F"/>
    <w:rsid w:val="00B8333C"/>
    <w:rsid w:val="00B83917"/>
    <w:rsid w:val="00B83C27"/>
    <w:rsid w:val="00B84BC3"/>
    <w:rsid w:val="00B84BDD"/>
    <w:rsid w:val="00B856A4"/>
    <w:rsid w:val="00B86A9E"/>
    <w:rsid w:val="00B87963"/>
    <w:rsid w:val="00B87A21"/>
    <w:rsid w:val="00B87CED"/>
    <w:rsid w:val="00B909FC"/>
    <w:rsid w:val="00B915F5"/>
    <w:rsid w:val="00B919CB"/>
    <w:rsid w:val="00B924F5"/>
    <w:rsid w:val="00B92812"/>
    <w:rsid w:val="00B930E0"/>
    <w:rsid w:val="00B94099"/>
    <w:rsid w:val="00B94373"/>
    <w:rsid w:val="00B94794"/>
    <w:rsid w:val="00B95E61"/>
    <w:rsid w:val="00B97CC2"/>
    <w:rsid w:val="00BA138B"/>
    <w:rsid w:val="00BA20B8"/>
    <w:rsid w:val="00BA27AE"/>
    <w:rsid w:val="00BA3888"/>
    <w:rsid w:val="00BA39DE"/>
    <w:rsid w:val="00BA4543"/>
    <w:rsid w:val="00BA458A"/>
    <w:rsid w:val="00BA528C"/>
    <w:rsid w:val="00BA76DB"/>
    <w:rsid w:val="00BB0118"/>
    <w:rsid w:val="00BB02AD"/>
    <w:rsid w:val="00BB074A"/>
    <w:rsid w:val="00BB0F6F"/>
    <w:rsid w:val="00BB16F1"/>
    <w:rsid w:val="00BB1785"/>
    <w:rsid w:val="00BB18EF"/>
    <w:rsid w:val="00BB1E4D"/>
    <w:rsid w:val="00BB317D"/>
    <w:rsid w:val="00BB4030"/>
    <w:rsid w:val="00BB45A1"/>
    <w:rsid w:val="00BB46DB"/>
    <w:rsid w:val="00BB5936"/>
    <w:rsid w:val="00BB625B"/>
    <w:rsid w:val="00BB6335"/>
    <w:rsid w:val="00BB66A4"/>
    <w:rsid w:val="00BB7686"/>
    <w:rsid w:val="00BB7802"/>
    <w:rsid w:val="00BC0981"/>
    <w:rsid w:val="00BC0C91"/>
    <w:rsid w:val="00BC107F"/>
    <w:rsid w:val="00BC23F9"/>
    <w:rsid w:val="00BC25CC"/>
    <w:rsid w:val="00BC3082"/>
    <w:rsid w:val="00BC311A"/>
    <w:rsid w:val="00BC3421"/>
    <w:rsid w:val="00BC36B2"/>
    <w:rsid w:val="00BC3F26"/>
    <w:rsid w:val="00BC46D2"/>
    <w:rsid w:val="00BC5AD9"/>
    <w:rsid w:val="00BC67B0"/>
    <w:rsid w:val="00BC6B07"/>
    <w:rsid w:val="00BC732C"/>
    <w:rsid w:val="00BD0644"/>
    <w:rsid w:val="00BD09E6"/>
    <w:rsid w:val="00BD0D8B"/>
    <w:rsid w:val="00BD1645"/>
    <w:rsid w:val="00BD16D4"/>
    <w:rsid w:val="00BD1B9F"/>
    <w:rsid w:val="00BD1C06"/>
    <w:rsid w:val="00BD28E2"/>
    <w:rsid w:val="00BD2996"/>
    <w:rsid w:val="00BD2AF4"/>
    <w:rsid w:val="00BD3A86"/>
    <w:rsid w:val="00BD3FCA"/>
    <w:rsid w:val="00BD4421"/>
    <w:rsid w:val="00BD4C84"/>
    <w:rsid w:val="00BD4DAA"/>
    <w:rsid w:val="00BD4E7B"/>
    <w:rsid w:val="00BD64CA"/>
    <w:rsid w:val="00BD766F"/>
    <w:rsid w:val="00BE074E"/>
    <w:rsid w:val="00BE0A21"/>
    <w:rsid w:val="00BE0CDC"/>
    <w:rsid w:val="00BE129C"/>
    <w:rsid w:val="00BE16E3"/>
    <w:rsid w:val="00BE1E8A"/>
    <w:rsid w:val="00BE2580"/>
    <w:rsid w:val="00BE266D"/>
    <w:rsid w:val="00BE34D5"/>
    <w:rsid w:val="00BE3938"/>
    <w:rsid w:val="00BE3B1C"/>
    <w:rsid w:val="00BE418A"/>
    <w:rsid w:val="00BE4C11"/>
    <w:rsid w:val="00BE4DE4"/>
    <w:rsid w:val="00BE591B"/>
    <w:rsid w:val="00BE5DF3"/>
    <w:rsid w:val="00BE652C"/>
    <w:rsid w:val="00BE6A1C"/>
    <w:rsid w:val="00BE6BFD"/>
    <w:rsid w:val="00BE71C0"/>
    <w:rsid w:val="00BE740E"/>
    <w:rsid w:val="00BE77E3"/>
    <w:rsid w:val="00BF0AC0"/>
    <w:rsid w:val="00BF0AED"/>
    <w:rsid w:val="00BF0E7E"/>
    <w:rsid w:val="00BF16A5"/>
    <w:rsid w:val="00BF21D0"/>
    <w:rsid w:val="00BF248F"/>
    <w:rsid w:val="00BF2DBB"/>
    <w:rsid w:val="00BF4A35"/>
    <w:rsid w:val="00BF610C"/>
    <w:rsid w:val="00BF6FA0"/>
    <w:rsid w:val="00BF72F6"/>
    <w:rsid w:val="00BF75E0"/>
    <w:rsid w:val="00BF7EC1"/>
    <w:rsid w:val="00C00576"/>
    <w:rsid w:val="00C0060B"/>
    <w:rsid w:val="00C00FEC"/>
    <w:rsid w:val="00C013B6"/>
    <w:rsid w:val="00C01A6C"/>
    <w:rsid w:val="00C0210C"/>
    <w:rsid w:val="00C0277D"/>
    <w:rsid w:val="00C02F26"/>
    <w:rsid w:val="00C03105"/>
    <w:rsid w:val="00C03DB9"/>
    <w:rsid w:val="00C04B93"/>
    <w:rsid w:val="00C05154"/>
    <w:rsid w:val="00C053A1"/>
    <w:rsid w:val="00C05BB6"/>
    <w:rsid w:val="00C05DCE"/>
    <w:rsid w:val="00C06341"/>
    <w:rsid w:val="00C07E0E"/>
    <w:rsid w:val="00C103A5"/>
    <w:rsid w:val="00C1147C"/>
    <w:rsid w:val="00C11A56"/>
    <w:rsid w:val="00C12511"/>
    <w:rsid w:val="00C125A1"/>
    <w:rsid w:val="00C14B74"/>
    <w:rsid w:val="00C15A0D"/>
    <w:rsid w:val="00C16198"/>
    <w:rsid w:val="00C20449"/>
    <w:rsid w:val="00C2083D"/>
    <w:rsid w:val="00C20900"/>
    <w:rsid w:val="00C2123E"/>
    <w:rsid w:val="00C2134D"/>
    <w:rsid w:val="00C21F58"/>
    <w:rsid w:val="00C221FC"/>
    <w:rsid w:val="00C227CC"/>
    <w:rsid w:val="00C22C1F"/>
    <w:rsid w:val="00C22E2F"/>
    <w:rsid w:val="00C23590"/>
    <w:rsid w:val="00C24A0F"/>
    <w:rsid w:val="00C24A53"/>
    <w:rsid w:val="00C24A59"/>
    <w:rsid w:val="00C25002"/>
    <w:rsid w:val="00C25A6B"/>
    <w:rsid w:val="00C26B0B"/>
    <w:rsid w:val="00C3113D"/>
    <w:rsid w:val="00C31A00"/>
    <w:rsid w:val="00C31E84"/>
    <w:rsid w:val="00C32206"/>
    <w:rsid w:val="00C3235E"/>
    <w:rsid w:val="00C328DA"/>
    <w:rsid w:val="00C330BF"/>
    <w:rsid w:val="00C336FE"/>
    <w:rsid w:val="00C3404B"/>
    <w:rsid w:val="00C3411B"/>
    <w:rsid w:val="00C34579"/>
    <w:rsid w:val="00C34A05"/>
    <w:rsid w:val="00C3576F"/>
    <w:rsid w:val="00C35CCE"/>
    <w:rsid w:val="00C4004C"/>
    <w:rsid w:val="00C40051"/>
    <w:rsid w:val="00C4032F"/>
    <w:rsid w:val="00C404E8"/>
    <w:rsid w:val="00C408C5"/>
    <w:rsid w:val="00C40A2D"/>
    <w:rsid w:val="00C40B38"/>
    <w:rsid w:val="00C40CEB"/>
    <w:rsid w:val="00C40D27"/>
    <w:rsid w:val="00C41125"/>
    <w:rsid w:val="00C41F21"/>
    <w:rsid w:val="00C42D7F"/>
    <w:rsid w:val="00C43714"/>
    <w:rsid w:val="00C4397D"/>
    <w:rsid w:val="00C43AA8"/>
    <w:rsid w:val="00C44047"/>
    <w:rsid w:val="00C45155"/>
    <w:rsid w:val="00C453C5"/>
    <w:rsid w:val="00C45A6D"/>
    <w:rsid w:val="00C462CA"/>
    <w:rsid w:val="00C464A2"/>
    <w:rsid w:val="00C47BFC"/>
    <w:rsid w:val="00C5006A"/>
    <w:rsid w:val="00C504C7"/>
    <w:rsid w:val="00C50C0F"/>
    <w:rsid w:val="00C51739"/>
    <w:rsid w:val="00C51B75"/>
    <w:rsid w:val="00C51DCF"/>
    <w:rsid w:val="00C527CC"/>
    <w:rsid w:val="00C532FC"/>
    <w:rsid w:val="00C5332A"/>
    <w:rsid w:val="00C53439"/>
    <w:rsid w:val="00C53A43"/>
    <w:rsid w:val="00C546F8"/>
    <w:rsid w:val="00C5498F"/>
    <w:rsid w:val="00C54C3C"/>
    <w:rsid w:val="00C55235"/>
    <w:rsid w:val="00C564D6"/>
    <w:rsid w:val="00C5671B"/>
    <w:rsid w:val="00C6029F"/>
    <w:rsid w:val="00C6340E"/>
    <w:rsid w:val="00C6388D"/>
    <w:rsid w:val="00C64CD0"/>
    <w:rsid w:val="00C6530C"/>
    <w:rsid w:val="00C65F61"/>
    <w:rsid w:val="00C66587"/>
    <w:rsid w:val="00C6679A"/>
    <w:rsid w:val="00C6684F"/>
    <w:rsid w:val="00C66BB4"/>
    <w:rsid w:val="00C66CB9"/>
    <w:rsid w:val="00C66CE2"/>
    <w:rsid w:val="00C66F77"/>
    <w:rsid w:val="00C67C2F"/>
    <w:rsid w:val="00C70A7F"/>
    <w:rsid w:val="00C70E70"/>
    <w:rsid w:val="00C72080"/>
    <w:rsid w:val="00C73FBC"/>
    <w:rsid w:val="00C743DD"/>
    <w:rsid w:val="00C7497F"/>
    <w:rsid w:val="00C74BA9"/>
    <w:rsid w:val="00C74F72"/>
    <w:rsid w:val="00C75A78"/>
    <w:rsid w:val="00C75BF4"/>
    <w:rsid w:val="00C75F8D"/>
    <w:rsid w:val="00C76A04"/>
    <w:rsid w:val="00C77380"/>
    <w:rsid w:val="00C8276C"/>
    <w:rsid w:val="00C82971"/>
    <w:rsid w:val="00C829F4"/>
    <w:rsid w:val="00C82E4A"/>
    <w:rsid w:val="00C83DA0"/>
    <w:rsid w:val="00C8490D"/>
    <w:rsid w:val="00C86E89"/>
    <w:rsid w:val="00C87E8A"/>
    <w:rsid w:val="00C904B3"/>
    <w:rsid w:val="00C90894"/>
    <w:rsid w:val="00C913D6"/>
    <w:rsid w:val="00C91567"/>
    <w:rsid w:val="00C956BB"/>
    <w:rsid w:val="00C959B6"/>
    <w:rsid w:val="00C96399"/>
    <w:rsid w:val="00C96B7F"/>
    <w:rsid w:val="00C96D57"/>
    <w:rsid w:val="00C973D9"/>
    <w:rsid w:val="00C97736"/>
    <w:rsid w:val="00CA05B0"/>
    <w:rsid w:val="00CA1A0E"/>
    <w:rsid w:val="00CA345A"/>
    <w:rsid w:val="00CA3CF4"/>
    <w:rsid w:val="00CA3E6A"/>
    <w:rsid w:val="00CA3FB4"/>
    <w:rsid w:val="00CA4625"/>
    <w:rsid w:val="00CA5605"/>
    <w:rsid w:val="00CA5DC5"/>
    <w:rsid w:val="00CA6B14"/>
    <w:rsid w:val="00CA6BF8"/>
    <w:rsid w:val="00CA7580"/>
    <w:rsid w:val="00CA7979"/>
    <w:rsid w:val="00CA79EC"/>
    <w:rsid w:val="00CA7CEF"/>
    <w:rsid w:val="00CB1E3C"/>
    <w:rsid w:val="00CB1E82"/>
    <w:rsid w:val="00CB2273"/>
    <w:rsid w:val="00CB2ADA"/>
    <w:rsid w:val="00CB33DA"/>
    <w:rsid w:val="00CB3AF0"/>
    <w:rsid w:val="00CB4BA8"/>
    <w:rsid w:val="00CB52D7"/>
    <w:rsid w:val="00CB57DF"/>
    <w:rsid w:val="00CB5DD9"/>
    <w:rsid w:val="00CB5F33"/>
    <w:rsid w:val="00CB6924"/>
    <w:rsid w:val="00CB6E29"/>
    <w:rsid w:val="00CB6E4B"/>
    <w:rsid w:val="00CC0A7F"/>
    <w:rsid w:val="00CC2132"/>
    <w:rsid w:val="00CC4D1E"/>
    <w:rsid w:val="00CC4F6F"/>
    <w:rsid w:val="00CC6372"/>
    <w:rsid w:val="00CC6732"/>
    <w:rsid w:val="00CC6CCF"/>
    <w:rsid w:val="00CC6DFC"/>
    <w:rsid w:val="00CC756D"/>
    <w:rsid w:val="00CC7A53"/>
    <w:rsid w:val="00CD0F37"/>
    <w:rsid w:val="00CD19FA"/>
    <w:rsid w:val="00CD22C0"/>
    <w:rsid w:val="00CD4618"/>
    <w:rsid w:val="00CD51ED"/>
    <w:rsid w:val="00CD5754"/>
    <w:rsid w:val="00CD5C03"/>
    <w:rsid w:val="00CD6061"/>
    <w:rsid w:val="00CD63F5"/>
    <w:rsid w:val="00CD687B"/>
    <w:rsid w:val="00CD6ACF"/>
    <w:rsid w:val="00CD7F2E"/>
    <w:rsid w:val="00CE01CF"/>
    <w:rsid w:val="00CE01F4"/>
    <w:rsid w:val="00CE0A8A"/>
    <w:rsid w:val="00CE0DA6"/>
    <w:rsid w:val="00CE1991"/>
    <w:rsid w:val="00CE2324"/>
    <w:rsid w:val="00CE2866"/>
    <w:rsid w:val="00CE2B32"/>
    <w:rsid w:val="00CE38B9"/>
    <w:rsid w:val="00CE3C96"/>
    <w:rsid w:val="00CE4402"/>
    <w:rsid w:val="00CE4841"/>
    <w:rsid w:val="00CE505D"/>
    <w:rsid w:val="00CE51A8"/>
    <w:rsid w:val="00CE64F3"/>
    <w:rsid w:val="00CE658C"/>
    <w:rsid w:val="00CE6723"/>
    <w:rsid w:val="00CE691B"/>
    <w:rsid w:val="00CE6972"/>
    <w:rsid w:val="00CE717C"/>
    <w:rsid w:val="00CE752C"/>
    <w:rsid w:val="00CE76FE"/>
    <w:rsid w:val="00CF0AD6"/>
    <w:rsid w:val="00CF0BFE"/>
    <w:rsid w:val="00CF0D3C"/>
    <w:rsid w:val="00CF146F"/>
    <w:rsid w:val="00CF1BB5"/>
    <w:rsid w:val="00CF1EF2"/>
    <w:rsid w:val="00CF369B"/>
    <w:rsid w:val="00CF3B7E"/>
    <w:rsid w:val="00CF442F"/>
    <w:rsid w:val="00CF4BB3"/>
    <w:rsid w:val="00CF4C8A"/>
    <w:rsid w:val="00CF576E"/>
    <w:rsid w:val="00CF5C8D"/>
    <w:rsid w:val="00CF6336"/>
    <w:rsid w:val="00CF6801"/>
    <w:rsid w:val="00CF6FC8"/>
    <w:rsid w:val="00D00E28"/>
    <w:rsid w:val="00D01650"/>
    <w:rsid w:val="00D01D30"/>
    <w:rsid w:val="00D01FB0"/>
    <w:rsid w:val="00D0269E"/>
    <w:rsid w:val="00D03939"/>
    <w:rsid w:val="00D03ED3"/>
    <w:rsid w:val="00D043E6"/>
    <w:rsid w:val="00D04C0C"/>
    <w:rsid w:val="00D04C6D"/>
    <w:rsid w:val="00D05D6C"/>
    <w:rsid w:val="00D06647"/>
    <w:rsid w:val="00D06DB9"/>
    <w:rsid w:val="00D07115"/>
    <w:rsid w:val="00D07CE9"/>
    <w:rsid w:val="00D07F1C"/>
    <w:rsid w:val="00D102F7"/>
    <w:rsid w:val="00D102FC"/>
    <w:rsid w:val="00D1033F"/>
    <w:rsid w:val="00D104BB"/>
    <w:rsid w:val="00D10720"/>
    <w:rsid w:val="00D10864"/>
    <w:rsid w:val="00D10BBE"/>
    <w:rsid w:val="00D10F54"/>
    <w:rsid w:val="00D12B76"/>
    <w:rsid w:val="00D12FE1"/>
    <w:rsid w:val="00D13A1F"/>
    <w:rsid w:val="00D149D4"/>
    <w:rsid w:val="00D14AF3"/>
    <w:rsid w:val="00D15536"/>
    <w:rsid w:val="00D15810"/>
    <w:rsid w:val="00D15EDE"/>
    <w:rsid w:val="00D166CE"/>
    <w:rsid w:val="00D16D4E"/>
    <w:rsid w:val="00D16D71"/>
    <w:rsid w:val="00D16F86"/>
    <w:rsid w:val="00D16FE3"/>
    <w:rsid w:val="00D20B63"/>
    <w:rsid w:val="00D20B99"/>
    <w:rsid w:val="00D2152C"/>
    <w:rsid w:val="00D21E63"/>
    <w:rsid w:val="00D223F0"/>
    <w:rsid w:val="00D2242B"/>
    <w:rsid w:val="00D247E9"/>
    <w:rsid w:val="00D2525E"/>
    <w:rsid w:val="00D254A6"/>
    <w:rsid w:val="00D257F7"/>
    <w:rsid w:val="00D26179"/>
    <w:rsid w:val="00D26FAA"/>
    <w:rsid w:val="00D270F4"/>
    <w:rsid w:val="00D27C57"/>
    <w:rsid w:val="00D27F41"/>
    <w:rsid w:val="00D304A1"/>
    <w:rsid w:val="00D31091"/>
    <w:rsid w:val="00D3231E"/>
    <w:rsid w:val="00D32B86"/>
    <w:rsid w:val="00D33F7D"/>
    <w:rsid w:val="00D3508C"/>
    <w:rsid w:val="00D353E0"/>
    <w:rsid w:val="00D35D30"/>
    <w:rsid w:val="00D36350"/>
    <w:rsid w:val="00D36441"/>
    <w:rsid w:val="00D3656F"/>
    <w:rsid w:val="00D365AA"/>
    <w:rsid w:val="00D37074"/>
    <w:rsid w:val="00D37896"/>
    <w:rsid w:val="00D4064E"/>
    <w:rsid w:val="00D40D0C"/>
    <w:rsid w:val="00D417A4"/>
    <w:rsid w:val="00D4277C"/>
    <w:rsid w:val="00D42F9D"/>
    <w:rsid w:val="00D43B47"/>
    <w:rsid w:val="00D441C6"/>
    <w:rsid w:val="00D44D39"/>
    <w:rsid w:val="00D44E9B"/>
    <w:rsid w:val="00D45143"/>
    <w:rsid w:val="00D46994"/>
    <w:rsid w:val="00D4796F"/>
    <w:rsid w:val="00D47AEB"/>
    <w:rsid w:val="00D5048D"/>
    <w:rsid w:val="00D50DB9"/>
    <w:rsid w:val="00D51302"/>
    <w:rsid w:val="00D51B49"/>
    <w:rsid w:val="00D52C43"/>
    <w:rsid w:val="00D52FA6"/>
    <w:rsid w:val="00D531AE"/>
    <w:rsid w:val="00D53611"/>
    <w:rsid w:val="00D53F58"/>
    <w:rsid w:val="00D54260"/>
    <w:rsid w:val="00D5477A"/>
    <w:rsid w:val="00D54AEA"/>
    <w:rsid w:val="00D55101"/>
    <w:rsid w:val="00D56A15"/>
    <w:rsid w:val="00D56F26"/>
    <w:rsid w:val="00D57CF5"/>
    <w:rsid w:val="00D60935"/>
    <w:rsid w:val="00D61243"/>
    <w:rsid w:val="00D612A8"/>
    <w:rsid w:val="00D638FA"/>
    <w:rsid w:val="00D63962"/>
    <w:rsid w:val="00D63D0F"/>
    <w:rsid w:val="00D63D6A"/>
    <w:rsid w:val="00D64201"/>
    <w:rsid w:val="00D642E9"/>
    <w:rsid w:val="00D6507F"/>
    <w:rsid w:val="00D6520D"/>
    <w:rsid w:val="00D65D32"/>
    <w:rsid w:val="00D66C46"/>
    <w:rsid w:val="00D70109"/>
    <w:rsid w:val="00D705C3"/>
    <w:rsid w:val="00D710CC"/>
    <w:rsid w:val="00D712CE"/>
    <w:rsid w:val="00D71E4E"/>
    <w:rsid w:val="00D7274E"/>
    <w:rsid w:val="00D72A68"/>
    <w:rsid w:val="00D72F84"/>
    <w:rsid w:val="00D730BC"/>
    <w:rsid w:val="00D73912"/>
    <w:rsid w:val="00D73C5B"/>
    <w:rsid w:val="00D75E2E"/>
    <w:rsid w:val="00D76199"/>
    <w:rsid w:val="00D76D16"/>
    <w:rsid w:val="00D76DAB"/>
    <w:rsid w:val="00D773B8"/>
    <w:rsid w:val="00D77D83"/>
    <w:rsid w:val="00D80C92"/>
    <w:rsid w:val="00D81C73"/>
    <w:rsid w:val="00D82479"/>
    <w:rsid w:val="00D8251E"/>
    <w:rsid w:val="00D829B4"/>
    <w:rsid w:val="00D834AB"/>
    <w:rsid w:val="00D83EFA"/>
    <w:rsid w:val="00D84596"/>
    <w:rsid w:val="00D845B4"/>
    <w:rsid w:val="00D84DEC"/>
    <w:rsid w:val="00D85226"/>
    <w:rsid w:val="00D85E87"/>
    <w:rsid w:val="00D86A72"/>
    <w:rsid w:val="00D87B94"/>
    <w:rsid w:val="00D87E18"/>
    <w:rsid w:val="00D87E6E"/>
    <w:rsid w:val="00D87ECC"/>
    <w:rsid w:val="00D911A1"/>
    <w:rsid w:val="00D91810"/>
    <w:rsid w:val="00D92D49"/>
    <w:rsid w:val="00D92EC1"/>
    <w:rsid w:val="00D93AAD"/>
    <w:rsid w:val="00D93CDF"/>
    <w:rsid w:val="00D94947"/>
    <w:rsid w:val="00D953CE"/>
    <w:rsid w:val="00D957D3"/>
    <w:rsid w:val="00D96DEA"/>
    <w:rsid w:val="00D97121"/>
    <w:rsid w:val="00D9738F"/>
    <w:rsid w:val="00DA04CD"/>
    <w:rsid w:val="00DA07A4"/>
    <w:rsid w:val="00DA1B7D"/>
    <w:rsid w:val="00DA30B0"/>
    <w:rsid w:val="00DA3246"/>
    <w:rsid w:val="00DA34F1"/>
    <w:rsid w:val="00DA37D6"/>
    <w:rsid w:val="00DA44BA"/>
    <w:rsid w:val="00DA4E41"/>
    <w:rsid w:val="00DA7B3F"/>
    <w:rsid w:val="00DB117A"/>
    <w:rsid w:val="00DB2184"/>
    <w:rsid w:val="00DB26F2"/>
    <w:rsid w:val="00DB29C4"/>
    <w:rsid w:val="00DB2D30"/>
    <w:rsid w:val="00DB412E"/>
    <w:rsid w:val="00DB4262"/>
    <w:rsid w:val="00DB4CB1"/>
    <w:rsid w:val="00DB5173"/>
    <w:rsid w:val="00DB6FC5"/>
    <w:rsid w:val="00DB7873"/>
    <w:rsid w:val="00DB7DC3"/>
    <w:rsid w:val="00DC047C"/>
    <w:rsid w:val="00DC0F0F"/>
    <w:rsid w:val="00DC103D"/>
    <w:rsid w:val="00DC187B"/>
    <w:rsid w:val="00DC23D7"/>
    <w:rsid w:val="00DC263A"/>
    <w:rsid w:val="00DC293E"/>
    <w:rsid w:val="00DC311D"/>
    <w:rsid w:val="00DC473D"/>
    <w:rsid w:val="00DC615A"/>
    <w:rsid w:val="00DC71D5"/>
    <w:rsid w:val="00DC76D3"/>
    <w:rsid w:val="00DC7BD0"/>
    <w:rsid w:val="00DD0386"/>
    <w:rsid w:val="00DD0FBF"/>
    <w:rsid w:val="00DD12E4"/>
    <w:rsid w:val="00DD1A43"/>
    <w:rsid w:val="00DD2C91"/>
    <w:rsid w:val="00DD2DFD"/>
    <w:rsid w:val="00DD2F26"/>
    <w:rsid w:val="00DD31DB"/>
    <w:rsid w:val="00DD4AA4"/>
    <w:rsid w:val="00DD4EF8"/>
    <w:rsid w:val="00DD63DA"/>
    <w:rsid w:val="00DD6831"/>
    <w:rsid w:val="00DD69B8"/>
    <w:rsid w:val="00DD6F32"/>
    <w:rsid w:val="00DD73C2"/>
    <w:rsid w:val="00DD7F47"/>
    <w:rsid w:val="00DE06AC"/>
    <w:rsid w:val="00DE0D5B"/>
    <w:rsid w:val="00DE1559"/>
    <w:rsid w:val="00DE1702"/>
    <w:rsid w:val="00DE2FA3"/>
    <w:rsid w:val="00DE319B"/>
    <w:rsid w:val="00DE3694"/>
    <w:rsid w:val="00DE3B9E"/>
    <w:rsid w:val="00DE3E78"/>
    <w:rsid w:val="00DE48A8"/>
    <w:rsid w:val="00DE6252"/>
    <w:rsid w:val="00DE643F"/>
    <w:rsid w:val="00DE6FC8"/>
    <w:rsid w:val="00DF0044"/>
    <w:rsid w:val="00DF1424"/>
    <w:rsid w:val="00DF15BF"/>
    <w:rsid w:val="00DF17CF"/>
    <w:rsid w:val="00DF34FE"/>
    <w:rsid w:val="00DF375D"/>
    <w:rsid w:val="00DF56AA"/>
    <w:rsid w:val="00DF56AF"/>
    <w:rsid w:val="00DF627A"/>
    <w:rsid w:val="00DF6717"/>
    <w:rsid w:val="00DF6C99"/>
    <w:rsid w:val="00DF7880"/>
    <w:rsid w:val="00DF789E"/>
    <w:rsid w:val="00DF78E7"/>
    <w:rsid w:val="00DF7950"/>
    <w:rsid w:val="00DF79E8"/>
    <w:rsid w:val="00E00F2B"/>
    <w:rsid w:val="00E00FA2"/>
    <w:rsid w:val="00E013FC"/>
    <w:rsid w:val="00E021E3"/>
    <w:rsid w:val="00E02D24"/>
    <w:rsid w:val="00E03780"/>
    <w:rsid w:val="00E0557F"/>
    <w:rsid w:val="00E05BC9"/>
    <w:rsid w:val="00E065F1"/>
    <w:rsid w:val="00E07E91"/>
    <w:rsid w:val="00E110E0"/>
    <w:rsid w:val="00E11250"/>
    <w:rsid w:val="00E114B1"/>
    <w:rsid w:val="00E12103"/>
    <w:rsid w:val="00E12D4C"/>
    <w:rsid w:val="00E12EFA"/>
    <w:rsid w:val="00E12F8F"/>
    <w:rsid w:val="00E1332E"/>
    <w:rsid w:val="00E13714"/>
    <w:rsid w:val="00E13A40"/>
    <w:rsid w:val="00E13B25"/>
    <w:rsid w:val="00E14C82"/>
    <w:rsid w:val="00E1502B"/>
    <w:rsid w:val="00E15371"/>
    <w:rsid w:val="00E164A6"/>
    <w:rsid w:val="00E17575"/>
    <w:rsid w:val="00E17586"/>
    <w:rsid w:val="00E17A7F"/>
    <w:rsid w:val="00E200E5"/>
    <w:rsid w:val="00E20A93"/>
    <w:rsid w:val="00E21056"/>
    <w:rsid w:val="00E21871"/>
    <w:rsid w:val="00E21AFA"/>
    <w:rsid w:val="00E2278B"/>
    <w:rsid w:val="00E24104"/>
    <w:rsid w:val="00E2423E"/>
    <w:rsid w:val="00E242F4"/>
    <w:rsid w:val="00E247DC"/>
    <w:rsid w:val="00E249EC"/>
    <w:rsid w:val="00E2693F"/>
    <w:rsid w:val="00E26A25"/>
    <w:rsid w:val="00E27892"/>
    <w:rsid w:val="00E30058"/>
    <w:rsid w:val="00E302D0"/>
    <w:rsid w:val="00E30330"/>
    <w:rsid w:val="00E3062E"/>
    <w:rsid w:val="00E30C25"/>
    <w:rsid w:val="00E311C4"/>
    <w:rsid w:val="00E311F3"/>
    <w:rsid w:val="00E32063"/>
    <w:rsid w:val="00E3529F"/>
    <w:rsid w:val="00E35707"/>
    <w:rsid w:val="00E3583D"/>
    <w:rsid w:val="00E36539"/>
    <w:rsid w:val="00E366F6"/>
    <w:rsid w:val="00E36710"/>
    <w:rsid w:val="00E36AA1"/>
    <w:rsid w:val="00E401FD"/>
    <w:rsid w:val="00E401FE"/>
    <w:rsid w:val="00E4112A"/>
    <w:rsid w:val="00E41ECB"/>
    <w:rsid w:val="00E42676"/>
    <w:rsid w:val="00E427A6"/>
    <w:rsid w:val="00E43722"/>
    <w:rsid w:val="00E43FA5"/>
    <w:rsid w:val="00E462D7"/>
    <w:rsid w:val="00E46DA9"/>
    <w:rsid w:val="00E477F8"/>
    <w:rsid w:val="00E50246"/>
    <w:rsid w:val="00E50859"/>
    <w:rsid w:val="00E5155B"/>
    <w:rsid w:val="00E52626"/>
    <w:rsid w:val="00E54986"/>
    <w:rsid w:val="00E54FDB"/>
    <w:rsid w:val="00E555E0"/>
    <w:rsid w:val="00E5617D"/>
    <w:rsid w:val="00E563D7"/>
    <w:rsid w:val="00E567C4"/>
    <w:rsid w:val="00E62713"/>
    <w:rsid w:val="00E62E7F"/>
    <w:rsid w:val="00E637D8"/>
    <w:rsid w:val="00E6389F"/>
    <w:rsid w:val="00E649CC"/>
    <w:rsid w:val="00E653E8"/>
    <w:rsid w:val="00E655E0"/>
    <w:rsid w:val="00E663F4"/>
    <w:rsid w:val="00E666F2"/>
    <w:rsid w:val="00E66DD4"/>
    <w:rsid w:val="00E66F72"/>
    <w:rsid w:val="00E6730C"/>
    <w:rsid w:val="00E675DB"/>
    <w:rsid w:val="00E67F0A"/>
    <w:rsid w:val="00E70EAC"/>
    <w:rsid w:val="00E70EBE"/>
    <w:rsid w:val="00E71872"/>
    <w:rsid w:val="00E7255D"/>
    <w:rsid w:val="00E729F0"/>
    <w:rsid w:val="00E7320A"/>
    <w:rsid w:val="00E73385"/>
    <w:rsid w:val="00E73444"/>
    <w:rsid w:val="00E73591"/>
    <w:rsid w:val="00E73C66"/>
    <w:rsid w:val="00E73EE9"/>
    <w:rsid w:val="00E748CC"/>
    <w:rsid w:val="00E74A54"/>
    <w:rsid w:val="00E74BD7"/>
    <w:rsid w:val="00E74F15"/>
    <w:rsid w:val="00E74F6B"/>
    <w:rsid w:val="00E75415"/>
    <w:rsid w:val="00E76A5E"/>
    <w:rsid w:val="00E774AC"/>
    <w:rsid w:val="00E775B1"/>
    <w:rsid w:val="00E810A7"/>
    <w:rsid w:val="00E8152A"/>
    <w:rsid w:val="00E8156C"/>
    <w:rsid w:val="00E81E0B"/>
    <w:rsid w:val="00E82A30"/>
    <w:rsid w:val="00E83DCC"/>
    <w:rsid w:val="00E8460E"/>
    <w:rsid w:val="00E84CEB"/>
    <w:rsid w:val="00E8593F"/>
    <w:rsid w:val="00E864C7"/>
    <w:rsid w:val="00E87F4F"/>
    <w:rsid w:val="00E90B25"/>
    <w:rsid w:val="00E90B5E"/>
    <w:rsid w:val="00E911E1"/>
    <w:rsid w:val="00E91421"/>
    <w:rsid w:val="00E9161D"/>
    <w:rsid w:val="00E91CDA"/>
    <w:rsid w:val="00E91D6C"/>
    <w:rsid w:val="00E9229F"/>
    <w:rsid w:val="00E92BFF"/>
    <w:rsid w:val="00E93629"/>
    <w:rsid w:val="00E93B5C"/>
    <w:rsid w:val="00E94CEC"/>
    <w:rsid w:val="00E9589A"/>
    <w:rsid w:val="00E97177"/>
    <w:rsid w:val="00E97540"/>
    <w:rsid w:val="00E97A3B"/>
    <w:rsid w:val="00E97B76"/>
    <w:rsid w:val="00EA031A"/>
    <w:rsid w:val="00EA046F"/>
    <w:rsid w:val="00EA048F"/>
    <w:rsid w:val="00EA04EF"/>
    <w:rsid w:val="00EA06C8"/>
    <w:rsid w:val="00EA0969"/>
    <w:rsid w:val="00EA11CF"/>
    <w:rsid w:val="00EA3439"/>
    <w:rsid w:val="00EA381D"/>
    <w:rsid w:val="00EA5E2E"/>
    <w:rsid w:val="00EA6028"/>
    <w:rsid w:val="00EA6514"/>
    <w:rsid w:val="00EA6C79"/>
    <w:rsid w:val="00EA6F19"/>
    <w:rsid w:val="00EA6F38"/>
    <w:rsid w:val="00EA7598"/>
    <w:rsid w:val="00EA7EB2"/>
    <w:rsid w:val="00EB1E97"/>
    <w:rsid w:val="00EB2F96"/>
    <w:rsid w:val="00EB3E60"/>
    <w:rsid w:val="00EB5DDE"/>
    <w:rsid w:val="00EB639C"/>
    <w:rsid w:val="00EB6B95"/>
    <w:rsid w:val="00EB6E5D"/>
    <w:rsid w:val="00EB7090"/>
    <w:rsid w:val="00EC0611"/>
    <w:rsid w:val="00EC069C"/>
    <w:rsid w:val="00EC0E00"/>
    <w:rsid w:val="00EC12C3"/>
    <w:rsid w:val="00EC1BBE"/>
    <w:rsid w:val="00EC2B68"/>
    <w:rsid w:val="00EC3AEF"/>
    <w:rsid w:val="00EC3CCA"/>
    <w:rsid w:val="00EC4221"/>
    <w:rsid w:val="00EC4511"/>
    <w:rsid w:val="00EC5613"/>
    <w:rsid w:val="00EC58FF"/>
    <w:rsid w:val="00EC5CD7"/>
    <w:rsid w:val="00EC6C5F"/>
    <w:rsid w:val="00EC7361"/>
    <w:rsid w:val="00ED18A0"/>
    <w:rsid w:val="00ED2ADC"/>
    <w:rsid w:val="00ED33CD"/>
    <w:rsid w:val="00ED36F7"/>
    <w:rsid w:val="00ED384B"/>
    <w:rsid w:val="00ED4A75"/>
    <w:rsid w:val="00ED6561"/>
    <w:rsid w:val="00ED70F5"/>
    <w:rsid w:val="00EE051F"/>
    <w:rsid w:val="00EE18CE"/>
    <w:rsid w:val="00EE1A17"/>
    <w:rsid w:val="00EE1F69"/>
    <w:rsid w:val="00EE3076"/>
    <w:rsid w:val="00EE38B6"/>
    <w:rsid w:val="00EE5AC0"/>
    <w:rsid w:val="00EE5EEE"/>
    <w:rsid w:val="00EE5FB3"/>
    <w:rsid w:val="00EE64B5"/>
    <w:rsid w:val="00EE7C96"/>
    <w:rsid w:val="00EE7F79"/>
    <w:rsid w:val="00EF00B1"/>
    <w:rsid w:val="00EF00C4"/>
    <w:rsid w:val="00EF02A1"/>
    <w:rsid w:val="00EF0CFC"/>
    <w:rsid w:val="00EF0EA1"/>
    <w:rsid w:val="00EF238F"/>
    <w:rsid w:val="00EF328C"/>
    <w:rsid w:val="00EF406B"/>
    <w:rsid w:val="00EF4C6F"/>
    <w:rsid w:val="00EF4E85"/>
    <w:rsid w:val="00EF51D8"/>
    <w:rsid w:val="00EF599F"/>
    <w:rsid w:val="00EF5C40"/>
    <w:rsid w:val="00EF715A"/>
    <w:rsid w:val="00EF750D"/>
    <w:rsid w:val="00F029A4"/>
    <w:rsid w:val="00F02FB0"/>
    <w:rsid w:val="00F0423B"/>
    <w:rsid w:val="00F04944"/>
    <w:rsid w:val="00F04B71"/>
    <w:rsid w:val="00F04E13"/>
    <w:rsid w:val="00F04E18"/>
    <w:rsid w:val="00F04F7B"/>
    <w:rsid w:val="00F0638D"/>
    <w:rsid w:val="00F0647D"/>
    <w:rsid w:val="00F06E14"/>
    <w:rsid w:val="00F07155"/>
    <w:rsid w:val="00F127F1"/>
    <w:rsid w:val="00F12C0B"/>
    <w:rsid w:val="00F137CB"/>
    <w:rsid w:val="00F13D56"/>
    <w:rsid w:val="00F14476"/>
    <w:rsid w:val="00F15073"/>
    <w:rsid w:val="00F159D9"/>
    <w:rsid w:val="00F179D4"/>
    <w:rsid w:val="00F17A8C"/>
    <w:rsid w:val="00F20EDE"/>
    <w:rsid w:val="00F22A23"/>
    <w:rsid w:val="00F22F74"/>
    <w:rsid w:val="00F2408B"/>
    <w:rsid w:val="00F25791"/>
    <w:rsid w:val="00F25E59"/>
    <w:rsid w:val="00F269CC"/>
    <w:rsid w:val="00F26C11"/>
    <w:rsid w:val="00F27A6D"/>
    <w:rsid w:val="00F27A80"/>
    <w:rsid w:val="00F30469"/>
    <w:rsid w:val="00F30C70"/>
    <w:rsid w:val="00F31B5D"/>
    <w:rsid w:val="00F32331"/>
    <w:rsid w:val="00F32477"/>
    <w:rsid w:val="00F32710"/>
    <w:rsid w:val="00F332F9"/>
    <w:rsid w:val="00F33525"/>
    <w:rsid w:val="00F33C56"/>
    <w:rsid w:val="00F347C7"/>
    <w:rsid w:val="00F34848"/>
    <w:rsid w:val="00F361D7"/>
    <w:rsid w:val="00F363E2"/>
    <w:rsid w:val="00F36B7E"/>
    <w:rsid w:val="00F36BF1"/>
    <w:rsid w:val="00F37009"/>
    <w:rsid w:val="00F3788B"/>
    <w:rsid w:val="00F40A32"/>
    <w:rsid w:val="00F41070"/>
    <w:rsid w:val="00F412AF"/>
    <w:rsid w:val="00F422C9"/>
    <w:rsid w:val="00F428FE"/>
    <w:rsid w:val="00F42D46"/>
    <w:rsid w:val="00F43F9C"/>
    <w:rsid w:val="00F44110"/>
    <w:rsid w:val="00F442A5"/>
    <w:rsid w:val="00F4496C"/>
    <w:rsid w:val="00F44F3A"/>
    <w:rsid w:val="00F47F16"/>
    <w:rsid w:val="00F47F95"/>
    <w:rsid w:val="00F50612"/>
    <w:rsid w:val="00F5099F"/>
    <w:rsid w:val="00F51BE5"/>
    <w:rsid w:val="00F51F10"/>
    <w:rsid w:val="00F5215F"/>
    <w:rsid w:val="00F529A5"/>
    <w:rsid w:val="00F52ED2"/>
    <w:rsid w:val="00F52EFA"/>
    <w:rsid w:val="00F5303A"/>
    <w:rsid w:val="00F5310D"/>
    <w:rsid w:val="00F5343D"/>
    <w:rsid w:val="00F53CAF"/>
    <w:rsid w:val="00F54936"/>
    <w:rsid w:val="00F555D6"/>
    <w:rsid w:val="00F55B96"/>
    <w:rsid w:val="00F5612D"/>
    <w:rsid w:val="00F56372"/>
    <w:rsid w:val="00F57D42"/>
    <w:rsid w:val="00F600DF"/>
    <w:rsid w:val="00F601F3"/>
    <w:rsid w:val="00F60CBA"/>
    <w:rsid w:val="00F60F00"/>
    <w:rsid w:val="00F614C0"/>
    <w:rsid w:val="00F63507"/>
    <w:rsid w:val="00F635D5"/>
    <w:rsid w:val="00F647CD"/>
    <w:rsid w:val="00F659F0"/>
    <w:rsid w:val="00F65F36"/>
    <w:rsid w:val="00F66735"/>
    <w:rsid w:val="00F66AEA"/>
    <w:rsid w:val="00F671A6"/>
    <w:rsid w:val="00F67864"/>
    <w:rsid w:val="00F70D47"/>
    <w:rsid w:val="00F70E33"/>
    <w:rsid w:val="00F71278"/>
    <w:rsid w:val="00F7294A"/>
    <w:rsid w:val="00F72ECA"/>
    <w:rsid w:val="00F73D57"/>
    <w:rsid w:val="00F74150"/>
    <w:rsid w:val="00F74646"/>
    <w:rsid w:val="00F74648"/>
    <w:rsid w:val="00F75674"/>
    <w:rsid w:val="00F75D27"/>
    <w:rsid w:val="00F76CFD"/>
    <w:rsid w:val="00F7718D"/>
    <w:rsid w:val="00F80F5A"/>
    <w:rsid w:val="00F81B24"/>
    <w:rsid w:val="00F82EB1"/>
    <w:rsid w:val="00F82F2C"/>
    <w:rsid w:val="00F83848"/>
    <w:rsid w:val="00F8401E"/>
    <w:rsid w:val="00F84336"/>
    <w:rsid w:val="00F84C9D"/>
    <w:rsid w:val="00F86182"/>
    <w:rsid w:val="00F866B8"/>
    <w:rsid w:val="00F8685F"/>
    <w:rsid w:val="00F86AB9"/>
    <w:rsid w:val="00F86F12"/>
    <w:rsid w:val="00F90772"/>
    <w:rsid w:val="00F90ADD"/>
    <w:rsid w:val="00F91466"/>
    <w:rsid w:val="00F914D2"/>
    <w:rsid w:val="00F91BA4"/>
    <w:rsid w:val="00F926A5"/>
    <w:rsid w:val="00F92768"/>
    <w:rsid w:val="00F93C06"/>
    <w:rsid w:val="00F93C0F"/>
    <w:rsid w:val="00F95516"/>
    <w:rsid w:val="00F958CC"/>
    <w:rsid w:val="00F96342"/>
    <w:rsid w:val="00F97422"/>
    <w:rsid w:val="00F975E9"/>
    <w:rsid w:val="00FA0B6D"/>
    <w:rsid w:val="00FA1B7D"/>
    <w:rsid w:val="00FA29C2"/>
    <w:rsid w:val="00FA3009"/>
    <w:rsid w:val="00FA36D8"/>
    <w:rsid w:val="00FA3B45"/>
    <w:rsid w:val="00FA3C5E"/>
    <w:rsid w:val="00FA6DC8"/>
    <w:rsid w:val="00FA6DE8"/>
    <w:rsid w:val="00FA71A9"/>
    <w:rsid w:val="00FA7639"/>
    <w:rsid w:val="00FB0262"/>
    <w:rsid w:val="00FB0F87"/>
    <w:rsid w:val="00FB15B8"/>
    <w:rsid w:val="00FB1C53"/>
    <w:rsid w:val="00FB2426"/>
    <w:rsid w:val="00FB2573"/>
    <w:rsid w:val="00FB260D"/>
    <w:rsid w:val="00FB2C55"/>
    <w:rsid w:val="00FB4E9B"/>
    <w:rsid w:val="00FB5344"/>
    <w:rsid w:val="00FB5547"/>
    <w:rsid w:val="00FB70F3"/>
    <w:rsid w:val="00FB7307"/>
    <w:rsid w:val="00FC07B9"/>
    <w:rsid w:val="00FC07E0"/>
    <w:rsid w:val="00FC1310"/>
    <w:rsid w:val="00FC1D0D"/>
    <w:rsid w:val="00FC363A"/>
    <w:rsid w:val="00FC3F76"/>
    <w:rsid w:val="00FC49F0"/>
    <w:rsid w:val="00FC4E21"/>
    <w:rsid w:val="00FC5C88"/>
    <w:rsid w:val="00FC5F6D"/>
    <w:rsid w:val="00FC604B"/>
    <w:rsid w:val="00FC6D1D"/>
    <w:rsid w:val="00FC7541"/>
    <w:rsid w:val="00FD0107"/>
    <w:rsid w:val="00FD034E"/>
    <w:rsid w:val="00FD084B"/>
    <w:rsid w:val="00FD0F4F"/>
    <w:rsid w:val="00FD16F0"/>
    <w:rsid w:val="00FD2C2F"/>
    <w:rsid w:val="00FD2E75"/>
    <w:rsid w:val="00FD34D9"/>
    <w:rsid w:val="00FD3B31"/>
    <w:rsid w:val="00FD4B10"/>
    <w:rsid w:val="00FD55F6"/>
    <w:rsid w:val="00FD6245"/>
    <w:rsid w:val="00FE02F9"/>
    <w:rsid w:val="00FE044E"/>
    <w:rsid w:val="00FE1318"/>
    <w:rsid w:val="00FE14E0"/>
    <w:rsid w:val="00FE1823"/>
    <w:rsid w:val="00FE1BFA"/>
    <w:rsid w:val="00FE2E19"/>
    <w:rsid w:val="00FE33EF"/>
    <w:rsid w:val="00FE3713"/>
    <w:rsid w:val="00FE447D"/>
    <w:rsid w:val="00FE456D"/>
    <w:rsid w:val="00FE487A"/>
    <w:rsid w:val="00FE4EE7"/>
    <w:rsid w:val="00FE547B"/>
    <w:rsid w:val="00FE5B3E"/>
    <w:rsid w:val="00FE6086"/>
    <w:rsid w:val="00FE6215"/>
    <w:rsid w:val="00FE73EB"/>
    <w:rsid w:val="00FE7D2A"/>
    <w:rsid w:val="00FE7E0B"/>
    <w:rsid w:val="00FF0569"/>
    <w:rsid w:val="00FF0823"/>
    <w:rsid w:val="00FF0B35"/>
    <w:rsid w:val="00FF110A"/>
    <w:rsid w:val="00FF206E"/>
    <w:rsid w:val="00FF3C69"/>
    <w:rsid w:val="00FF5248"/>
    <w:rsid w:val="00FF5FEF"/>
    <w:rsid w:val="00FF64CD"/>
    <w:rsid w:val="00FF6A54"/>
    <w:rsid w:val="00FF6C10"/>
    <w:rsid w:val="00FF6E0A"/>
    <w:rsid w:val="00FF6FE2"/>
    <w:rsid w:val="00FF7757"/>
    <w:rsid w:val="00FF7998"/>
    <w:rsid w:val="00FF7E4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colormru v:ext="edit" colors="red,#4d4d4f"/>
    </o:shapedefaults>
    <o:shapelayout v:ext="edit">
      <o:idmap v:ext="edit" data="1"/>
    </o:shapelayout>
  </w:shapeDefaults>
  <w:decimalSymbol w:val="."/>
  <w:listSeparator w:val=","/>
  <w14:docId w14:val="35320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uiPriority="2" w:qFormat="1"/>
    <w:lsdException w:name="heading 4" w:uiPriority="2"/>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390D91"/>
    <w:pPr>
      <w:spacing w:after="240" w:line="240" w:lineRule="atLeast"/>
    </w:pPr>
    <w:rPr>
      <w:rFonts w:ascii="Arial" w:hAnsi="Arial"/>
      <w:sz w:val="20"/>
    </w:rPr>
  </w:style>
  <w:style w:type="paragraph" w:styleId="Heading1">
    <w:name w:val="heading 1"/>
    <w:basedOn w:val="Normal"/>
    <w:next w:val="Normal"/>
    <w:link w:val="Heading1Char"/>
    <w:uiPriority w:val="1"/>
    <w:qFormat/>
    <w:rsid w:val="00F20EDE"/>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F20EDE"/>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F20EDE"/>
    <w:pPr>
      <w:keepNext/>
      <w:spacing w:before="60" w:after="60"/>
      <w:outlineLvl w:val="2"/>
    </w:pPr>
    <w:rPr>
      <w:rFonts w:cs="Arial"/>
      <w:b/>
      <w:bCs/>
      <w:szCs w:val="26"/>
    </w:rPr>
  </w:style>
  <w:style w:type="paragraph" w:styleId="Heading4">
    <w:name w:val="heading 4"/>
    <w:basedOn w:val="BodySubHeader"/>
    <w:next w:val="Normal"/>
    <w:uiPriority w:val="2"/>
    <w:qFormat/>
    <w:rsid w:val="00F20EDE"/>
    <w:pPr>
      <w:outlineLvl w:val="3"/>
    </w:pPr>
    <w:rPr>
      <w:rFonts w:cs="Arial"/>
    </w:rPr>
  </w:style>
  <w:style w:type="paragraph" w:styleId="Heading5">
    <w:name w:val="heading 5"/>
    <w:basedOn w:val="Normal"/>
    <w:next w:val="Normal"/>
    <w:semiHidden/>
    <w:qFormat/>
    <w:rsid w:val="00F20EDE"/>
    <w:pPr>
      <w:numPr>
        <w:ilvl w:val="4"/>
        <w:numId w:val="61"/>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61"/>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61"/>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61"/>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6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aliases w:val="List Bullet 1"/>
    <w:basedOn w:val="Normal"/>
    <w:qFormat/>
    <w:rsid w:val="001C6AEE"/>
    <w:pPr>
      <w:numPr>
        <w:numId w:val="58"/>
      </w:numPr>
      <w:spacing w:after="80"/>
    </w:pPr>
  </w:style>
  <w:style w:type="paragraph" w:styleId="ListBullet2">
    <w:name w:val="List Bullet 2"/>
    <w:basedOn w:val="Normal"/>
    <w:qFormat/>
    <w:rsid w:val="001C6AEE"/>
    <w:pPr>
      <w:numPr>
        <w:numId w:val="60"/>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next w:val="Paragraph"/>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qFormat/>
    <w:rsid w:val="00D61243"/>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semiHidden/>
    <w:rsid w:val="00EE7F79"/>
    <w:pPr>
      <w:spacing w:line="240" w:lineRule="auto"/>
    </w:pPr>
    <w:rPr>
      <w:szCs w:val="20"/>
    </w:rPr>
  </w:style>
  <w:style w:type="character" w:customStyle="1" w:styleId="CommentTextChar">
    <w:name w:val="Comment Text Char"/>
    <w:basedOn w:val="DefaultParagraphFont"/>
    <w:link w:val="CommentText"/>
    <w:uiPriority w:val="99"/>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4B124D"/>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2"/>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20EDE"/>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F20EDE"/>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F20EDE"/>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4B124D"/>
    <w:rPr>
      <w:rFonts w:cs="Arial"/>
    </w:rPr>
  </w:style>
  <w:style w:type="paragraph" w:customStyle="1" w:styleId="Bulletlevel1last">
    <w:name w:val="Bullet level 1 last"/>
    <w:basedOn w:val="ListBulletLast"/>
    <w:uiPriority w:val="6"/>
    <w:qFormat/>
    <w:rsid w:val="004B124D"/>
  </w:style>
  <w:style w:type="paragraph" w:customStyle="1" w:styleId="Numberlistlevel2">
    <w:name w:val="Number list level 2"/>
    <w:basedOn w:val="ListNumber2"/>
    <w:uiPriority w:val="11"/>
    <w:qFormat/>
    <w:rsid w:val="00801FEB"/>
    <w:pPr>
      <w:ind w:left="766" w:hanging="295"/>
    </w:pPr>
  </w:style>
  <w:style w:type="paragraph" w:customStyle="1" w:styleId="Numberlistlast">
    <w:name w:val="Number list last"/>
    <w:basedOn w:val="ListNumberLast"/>
    <w:next w:val="Paragraph"/>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B124D"/>
    <w:pPr>
      <w:spacing w:after="240"/>
    </w:pPr>
  </w:style>
  <w:style w:type="table" w:customStyle="1" w:styleId="ACMAtablestyle">
    <w:name w:val="ACMA table style"/>
    <w:basedOn w:val="TableNormal"/>
    <w:uiPriority w:val="99"/>
    <w:rsid w:val="00F361D7"/>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E87F4F"/>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Protectivemarking">
    <w:name w:val="Protective marking"/>
    <w:basedOn w:val="Normal"/>
    <w:uiPriority w:val="99"/>
    <w:qFormat/>
    <w:rsid w:val="00390D91"/>
    <w:pPr>
      <w:tabs>
        <w:tab w:val="left" w:pos="720"/>
      </w:tabs>
      <w:spacing w:after="0" w:line="240" w:lineRule="auto"/>
      <w:jc w:val="center"/>
    </w:pPr>
    <w:rPr>
      <w:rFonts w:cs="Arial"/>
      <w:b/>
      <w:bCs/>
      <w:color w:val="FF0000"/>
      <w:sz w:val="32"/>
      <w:lang w:eastAsia="en-US"/>
    </w:rPr>
  </w:style>
  <w:style w:type="paragraph" w:styleId="Revision">
    <w:name w:val="Revision"/>
    <w:hidden/>
    <w:semiHidden/>
    <w:rsid w:val="00023A36"/>
    <w:rPr>
      <w:rFonts w:ascii="Arial" w:hAnsi="Arial"/>
      <w:sz w:val="20"/>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qFormat/>
    <w:rsid w:val="00C45A6D"/>
    <w:rPr>
      <w:rFonts w:ascii="Arial" w:hAnsi="Arial"/>
      <w:sz w:val="16"/>
      <w:szCs w:val="16"/>
    </w:rPr>
  </w:style>
  <w:style w:type="paragraph" w:styleId="NormalWeb">
    <w:name w:val="Normal (Web)"/>
    <w:basedOn w:val="Normal"/>
    <w:uiPriority w:val="99"/>
    <w:semiHidden/>
    <w:unhideWhenUsed/>
    <w:rsid w:val="00F30C70"/>
    <w:pPr>
      <w:spacing w:before="100" w:beforeAutospacing="1" w:after="100" w:afterAutospacing="1" w:line="240" w:lineRule="auto"/>
    </w:pPr>
    <w:rPr>
      <w:rFonts w:ascii="Times New Roman" w:hAnsi="Times New Roman"/>
      <w:sz w:val="24"/>
    </w:rPr>
  </w:style>
  <w:style w:type="paragraph" w:styleId="ListParagraph">
    <w:name w:val="List Paragraph"/>
    <w:aliases w:val="List Paragraph1,Recommendation"/>
    <w:basedOn w:val="Normal"/>
    <w:link w:val="ListParagraphChar"/>
    <w:uiPriority w:val="34"/>
    <w:qFormat/>
    <w:rsid w:val="00551FF6"/>
    <w:pPr>
      <w:ind w:left="720"/>
      <w:contextualSpacing/>
    </w:pPr>
  </w:style>
  <w:style w:type="paragraph" w:customStyle="1" w:styleId="Tablehead">
    <w:name w:val="Table_head"/>
    <w:basedOn w:val="Normal"/>
    <w:next w:val="Normal"/>
    <w:link w:val="TableheadChar"/>
    <w:uiPriority w:val="99"/>
    <w:qFormat/>
    <w:rsid w:val="00BD1645"/>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hAnsi="Times New Roman"/>
      <w:b/>
      <w:sz w:val="22"/>
      <w:szCs w:val="20"/>
      <w:lang w:val="fr-FR" w:eastAsia="en-US"/>
    </w:rPr>
  </w:style>
  <w:style w:type="character" w:customStyle="1" w:styleId="TableheadChar">
    <w:name w:val="Table_head Char"/>
    <w:basedOn w:val="DefaultParagraphFont"/>
    <w:link w:val="Tablehead"/>
    <w:uiPriority w:val="99"/>
    <w:locked/>
    <w:rsid w:val="00BD1645"/>
    <w:rPr>
      <w:b/>
      <w:sz w:val="22"/>
      <w:szCs w:val="20"/>
      <w:lang w:val="fr-FR" w:eastAsia="en-US"/>
    </w:rPr>
  </w:style>
  <w:style w:type="paragraph" w:customStyle="1" w:styleId="Tabletext">
    <w:name w:val="Table_text"/>
    <w:basedOn w:val="Normal"/>
    <w:link w:val="TabletextChar"/>
    <w:qFormat/>
    <w:rsid w:val="00BD164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hAnsi="Times New Roman"/>
      <w:sz w:val="22"/>
      <w:szCs w:val="20"/>
      <w:lang w:val="fr-FR" w:eastAsia="en-US"/>
    </w:rPr>
  </w:style>
  <w:style w:type="character" w:customStyle="1" w:styleId="TabletextChar">
    <w:name w:val="Table_text Char"/>
    <w:basedOn w:val="DefaultParagraphFont"/>
    <w:link w:val="Tabletext"/>
    <w:locked/>
    <w:rsid w:val="00BD1645"/>
    <w:rPr>
      <w:sz w:val="22"/>
      <w:szCs w:val="20"/>
      <w:lang w:val="fr-FR" w:eastAsia="en-US"/>
    </w:rPr>
  </w:style>
  <w:style w:type="paragraph" w:customStyle="1" w:styleId="Tabletitle">
    <w:name w:val="Table_title"/>
    <w:basedOn w:val="Normal"/>
    <w:next w:val="Tablehead"/>
    <w:link w:val="Tabletitle0"/>
    <w:rsid w:val="00E13714"/>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w:hAnsi="Times New Roman"/>
      <w:b/>
      <w:sz w:val="24"/>
      <w:szCs w:val="20"/>
      <w:lang w:val="fr-FR" w:eastAsia="en-US"/>
    </w:rPr>
  </w:style>
  <w:style w:type="character" w:customStyle="1" w:styleId="Tabletitle0">
    <w:name w:val="Table_title Знак"/>
    <w:link w:val="Tabletitle"/>
    <w:locked/>
    <w:rsid w:val="00E13714"/>
    <w:rPr>
      <w:b/>
      <w:szCs w:val="20"/>
      <w:lang w:val="fr-FR" w:eastAsia="en-US"/>
    </w:rPr>
  </w:style>
  <w:style w:type="paragraph" w:customStyle="1" w:styleId="TableHeading0">
    <w:name w:val="Table Heading"/>
    <w:basedOn w:val="Normal"/>
    <w:qFormat/>
    <w:rsid w:val="00C408C5"/>
    <w:pPr>
      <w:spacing w:after="0"/>
    </w:pPr>
    <w:rPr>
      <w:b/>
    </w:rPr>
  </w:style>
  <w:style w:type="table" w:styleId="GridTable1Light">
    <w:name w:val="Grid Table 1 Light"/>
    <w:basedOn w:val="TableNormal"/>
    <w:rsid w:val="004A00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CMASpaceaftertable">
    <w:name w:val="ACMA_Space after table"/>
    <w:basedOn w:val="Normal"/>
    <w:qFormat/>
    <w:rsid w:val="00F57D42"/>
    <w:rPr>
      <w:rFonts w:cs="Arial"/>
    </w:rPr>
  </w:style>
  <w:style w:type="paragraph" w:styleId="Bibliography">
    <w:name w:val="Bibliography"/>
    <w:basedOn w:val="Normal"/>
    <w:next w:val="Normal"/>
    <w:unhideWhenUsed/>
    <w:rsid w:val="00B26B42"/>
  </w:style>
  <w:style w:type="character" w:customStyle="1" w:styleId="ListParagraphChar">
    <w:name w:val="List Paragraph Char"/>
    <w:aliases w:val="List Paragraph1 Char,Recommendation Char"/>
    <w:basedOn w:val="DefaultParagraphFont"/>
    <w:link w:val="ListParagraph"/>
    <w:uiPriority w:val="34"/>
    <w:locked/>
    <w:rsid w:val="00A05A78"/>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8554">
      <w:bodyDiv w:val="1"/>
      <w:marLeft w:val="0"/>
      <w:marRight w:val="0"/>
      <w:marTop w:val="0"/>
      <w:marBottom w:val="0"/>
      <w:divBdr>
        <w:top w:val="none" w:sz="0" w:space="0" w:color="auto"/>
        <w:left w:val="none" w:sz="0" w:space="0" w:color="auto"/>
        <w:bottom w:val="none" w:sz="0" w:space="0" w:color="auto"/>
        <w:right w:val="none" w:sz="0" w:space="0" w:color="auto"/>
      </w:divBdr>
    </w:div>
    <w:div w:id="170219497">
      <w:bodyDiv w:val="1"/>
      <w:marLeft w:val="0"/>
      <w:marRight w:val="0"/>
      <w:marTop w:val="0"/>
      <w:marBottom w:val="0"/>
      <w:divBdr>
        <w:top w:val="none" w:sz="0" w:space="0" w:color="auto"/>
        <w:left w:val="none" w:sz="0" w:space="0" w:color="auto"/>
        <w:bottom w:val="none" w:sz="0" w:space="0" w:color="auto"/>
        <w:right w:val="none" w:sz="0" w:space="0" w:color="auto"/>
      </w:divBdr>
    </w:div>
    <w:div w:id="198905361">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290476964">
      <w:bodyDiv w:val="1"/>
      <w:marLeft w:val="0"/>
      <w:marRight w:val="0"/>
      <w:marTop w:val="0"/>
      <w:marBottom w:val="0"/>
      <w:divBdr>
        <w:top w:val="none" w:sz="0" w:space="0" w:color="auto"/>
        <w:left w:val="none" w:sz="0" w:space="0" w:color="auto"/>
        <w:bottom w:val="none" w:sz="0" w:space="0" w:color="auto"/>
        <w:right w:val="none" w:sz="0" w:space="0" w:color="auto"/>
      </w:divBdr>
    </w:div>
    <w:div w:id="328749364">
      <w:bodyDiv w:val="1"/>
      <w:marLeft w:val="0"/>
      <w:marRight w:val="0"/>
      <w:marTop w:val="0"/>
      <w:marBottom w:val="0"/>
      <w:divBdr>
        <w:top w:val="none" w:sz="0" w:space="0" w:color="auto"/>
        <w:left w:val="none" w:sz="0" w:space="0" w:color="auto"/>
        <w:bottom w:val="none" w:sz="0" w:space="0" w:color="auto"/>
        <w:right w:val="none" w:sz="0" w:space="0" w:color="auto"/>
      </w:divBdr>
    </w:div>
    <w:div w:id="357314497">
      <w:bodyDiv w:val="1"/>
      <w:marLeft w:val="0"/>
      <w:marRight w:val="0"/>
      <w:marTop w:val="0"/>
      <w:marBottom w:val="0"/>
      <w:divBdr>
        <w:top w:val="none" w:sz="0" w:space="0" w:color="auto"/>
        <w:left w:val="none" w:sz="0" w:space="0" w:color="auto"/>
        <w:bottom w:val="none" w:sz="0" w:space="0" w:color="auto"/>
        <w:right w:val="none" w:sz="0" w:space="0" w:color="auto"/>
      </w:divBdr>
    </w:div>
    <w:div w:id="558979318">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733090238">
      <w:bodyDiv w:val="1"/>
      <w:marLeft w:val="0"/>
      <w:marRight w:val="0"/>
      <w:marTop w:val="0"/>
      <w:marBottom w:val="0"/>
      <w:divBdr>
        <w:top w:val="none" w:sz="0" w:space="0" w:color="auto"/>
        <w:left w:val="none" w:sz="0" w:space="0" w:color="auto"/>
        <w:bottom w:val="none" w:sz="0" w:space="0" w:color="auto"/>
        <w:right w:val="none" w:sz="0" w:space="0" w:color="auto"/>
      </w:divBdr>
    </w:div>
    <w:div w:id="988172937">
      <w:bodyDiv w:val="1"/>
      <w:marLeft w:val="0"/>
      <w:marRight w:val="0"/>
      <w:marTop w:val="0"/>
      <w:marBottom w:val="0"/>
      <w:divBdr>
        <w:top w:val="none" w:sz="0" w:space="0" w:color="auto"/>
        <w:left w:val="none" w:sz="0" w:space="0" w:color="auto"/>
        <w:bottom w:val="none" w:sz="0" w:space="0" w:color="auto"/>
        <w:right w:val="none" w:sz="0" w:space="0" w:color="auto"/>
      </w:divBdr>
      <w:divsChild>
        <w:div w:id="767848511">
          <w:marLeft w:val="0"/>
          <w:marRight w:val="0"/>
          <w:marTop w:val="0"/>
          <w:marBottom w:val="0"/>
          <w:divBdr>
            <w:top w:val="none" w:sz="0" w:space="0" w:color="auto"/>
            <w:left w:val="none" w:sz="0" w:space="0" w:color="auto"/>
            <w:bottom w:val="none" w:sz="0" w:space="0" w:color="auto"/>
            <w:right w:val="none" w:sz="0" w:space="0" w:color="auto"/>
          </w:divBdr>
          <w:divsChild>
            <w:div w:id="1062676200">
              <w:marLeft w:val="0"/>
              <w:marRight w:val="0"/>
              <w:marTop w:val="0"/>
              <w:marBottom w:val="0"/>
              <w:divBdr>
                <w:top w:val="none" w:sz="0" w:space="0" w:color="auto"/>
                <w:left w:val="none" w:sz="0" w:space="0" w:color="auto"/>
                <w:bottom w:val="none" w:sz="0" w:space="0" w:color="auto"/>
                <w:right w:val="none" w:sz="0" w:space="0" w:color="auto"/>
              </w:divBdr>
              <w:divsChild>
                <w:div w:id="1705979612">
                  <w:marLeft w:val="0"/>
                  <w:marRight w:val="0"/>
                  <w:marTop w:val="0"/>
                  <w:marBottom w:val="0"/>
                  <w:divBdr>
                    <w:top w:val="none" w:sz="0" w:space="0" w:color="auto"/>
                    <w:left w:val="none" w:sz="0" w:space="0" w:color="auto"/>
                    <w:bottom w:val="none" w:sz="0" w:space="0" w:color="auto"/>
                    <w:right w:val="none" w:sz="0" w:space="0" w:color="auto"/>
                  </w:divBdr>
                  <w:divsChild>
                    <w:div w:id="940843663">
                      <w:marLeft w:val="0"/>
                      <w:marRight w:val="0"/>
                      <w:marTop w:val="0"/>
                      <w:marBottom w:val="0"/>
                      <w:divBdr>
                        <w:top w:val="none" w:sz="0" w:space="0" w:color="auto"/>
                        <w:left w:val="none" w:sz="0" w:space="0" w:color="auto"/>
                        <w:bottom w:val="none" w:sz="0" w:space="0" w:color="auto"/>
                        <w:right w:val="none" w:sz="0" w:space="0" w:color="auto"/>
                      </w:divBdr>
                      <w:divsChild>
                        <w:div w:id="1984777316">
                          <w:marLeft w:val="0"/>
                          <w:marRight w:val="0"/>
                          <w:marTop w:val="0"/>
                          <w:marBottom w:val="0"/>
                          <w:divBdr>
                            <w:top w:val="none" w:sz="0" w:space="0" w:color="auto"/>
                            <w:left w:val="none" w:sz="0" w:space="0" w:color="auto"/>
                            <w:bottom w:val="none" w:sz="0" w:space="0" w:color="auto"/>
                            <w:right w:val="none" w:sz="0" w:space="0" w:color="auto"/>
                          </w:divBdr>
                          <w:divsChild>
                            <w:div w:id="899441093">
                              <w:marLeft w:val="0"/>
                              <w:marRight w:val="0"/>
                              <w:marTop w:val="0"/>
                              <w:marBottom w:val="0"/>
                              <w:divBdr>
                                <w:top w:val="none" w:sz="0" w:space="0" w:color="auto"/>
                                <w:left w:val="none" w:sz="0" w:space="0" w:color="auto"/>
                                <w:bottom w:val="none" w:sz="0" w:space="0" w:color="auto"/>
                                <w:right w:val="none" w:sz="0" w:space="0" w:color="auto"/>
                              </w:divBdr>
                              <w:divsChild>
                                <w:div w:id="3206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30152">
      <w:bodyDiv w:val="1"/>
      <w:marLeft w:val="0"/>
      <w:marRight w:val="0"/>
      <w:marTop w:val="0"/>
      <w:marBottom w:val="0"/>
      <w:divBdr>
        <w:top w:val="none" w:sz="0" w:space="0" w:color="auto"/>
        <w:left w:val="none" w:sz="0" w:space="0" w:color="auto"/>
        <w:bottom w:val="none" w:sz="0" w:space="0" w:color="auto"/>
        <w:right w:val="none" w:sz="0" w:space="0" w:color="auto"/>
      </w:divBdr>
      <w:divsChild>
        <w:div w:id="943803934">
          <w:marLeft w:val="0"/>
          <w:marRight w:val="0"/>
          <w:marTop w:val="0"/>
          <w:marBottom w:val="0"/>
          <w:divBdr>
            <w:top w:val="none" w:sz="0" w:space="0" w:color="auto"/>
            <w:left w:val="none" w:sz="0" w:space="0" w:color="auto"/>
            <w:bottom w:val="none" w:sz="0" w:space="0" w:color="auto"/>
            <w:right w:val="none" w:sz="0" w:space="0" w:color="auto"/>
          </w:divBdr>
          <w:divsChild>
            <w:div w:id="1086421946">
              <w:marLeft w:val="0"/>
              <w:marRight w:val="0"/>
              <w:marTop w:val="375"/>
              <w:marBottom w:val="375"/>
              <w:divBdr>
                <w:top w:val="none" w:sz="0" w:space="0" w:color="auto"/>
                <w:left w:val="none" w:sz="0" w:space="0" w:color="auto"/>
                <w:bottom w:val="none" w:sz="0" w:space="0" w:color="auto"/>
                <w:right w:val="none" w:sz="0" w:space="0" w:color="auto"/>
              </w:divBdr>
              <w:divsChild>
                <w:div w:id="1923563820">
                  <w:marLeft w:val="0"/>
                  <w:marRight w:val="0"/>
                  <w:marTop w:val="0"/>
                  <w:marBottom w:val="0"/>
                  <w:divBdr>
                    <w:top w:val="none" w:sz="0" w:space="0" w:color="auto"/>
                    <w:left w:val="none" w:sz="0" w:space="0" w:color="auto"/>
                    <w:bottom w:val="none" w:sz="0" w:space="0" w:color="auto"/>
                    <w:right w:val="none" w:sz="0" w:space="0" w:color="auto"/>
                  </w:divBdr>
                  <w:divsChild>
                    <w:div w:id="17826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43209">
              <w:marLeft w:val="0"/>
              <w:marRight w:val="0"/>
              <w:marTop w:val="375"/>
              <w:marBottom w:val="0"/>
              <w:divBdr>
                <w:top w:val="none" w:sz="0" w:space="0" w:color="auto"/>
                <w:left w:val="none" w:sz="0" w:space="0" w:color="auto"/>
                <w:bottom w:val="none" w:sz="0" w:space="0" w:color="auto"/>
                <w:right w:val="none" w:sz="0" w:space="0" w:color="auto"/>
              </w:divBdr>
              <w:divsChild>
                <w:div w:id="419181358">
                  <w:marLeft w:val="0"/>
                  <w:marRight w:val="0"/>
                  <w:marTop w:val="0"/>
                  <w:marBottom w:val="450"/>
                  <w:divBdr>
                    <w:top w:val="none" w:sz="0" w:space="0" w:color="auto"/>
                    <w:left w:val="none" w:sz="0" w:space="0" w:color="auto"/>
                    <w:bottom w:val="none" w:sz="0" w:space="0" w:color="auto"/>
                    <w:right w:val="none" w:sz="0" w:space="0" w:color="auto"/>
                  </w:divBdr>
                </w:div>
                <w:div w:id="284849868">
                  <w:marLeft w:val="0"/>
                  <w:marRight w:val="0"/>
                  <w:marTop w:val="0"/>
                  <w:marBottom w:val="450"/>
                  <w:divBdr>
                    <w:top w:val="none" w:sz="0" w:space="0" w:color="auto"/>
                    <w:left w:val="none" w:sz="0" w:space="0" w:color="auto"/>
                    <w:bottom w:val="none" w:sz="0" w:space="0" w:color="auto"/>
                    <w:right w:val="none" w:sz="0" w:space="0" w:color="auto"/>
                  </w:divBdr>
                </w:div>
                <w:div w:id="868832219">
                  <w:marLeft w:val="0"/>
                  <w:marRight w:val="0"/>
                  <w:marTop w:val="0"/>
                  <w:marBottom w:val="450"/>
                  <w:divBdr>
                    <w:top w:val="none" w:sz="0" w:space="0" w:color="auto"/>
                    <w:left w:val="none" w:sz="0" w:space="0" w:color="auto"/>
                    <w:bottom w:val="none" w:sz="0" w:space="0" w:color="auto"/>
                    <w:right w:val="none" w:sz="0" w:space="0" w:color="auto"/>
                  </w:divBdr>
                  <w:divsChild>
                    <w:div w:id="392244132">
                      <w:marLeft w:val="0"/>
                      <w:marRight w:val="0"/>
                      <w:marTop w:val="0"/>
                      <w:marBottom w:val="0"/>
                      <w:divBdr>
                        <w:top w:val="none" w:sz="0" w:space="0" w:color="auto"/>
                        <w:left w:val="none" w:sz="0" w:space="0" w:color="auto"/>
                        <w:bottom w:val="none" w:sz="0" w:space="0" w:color="auto"/>
                        <w:right w:val="none" w:sz="0" w:space="0" w:color="auto"/>
                      </w:divBdr>
                    </w:div>
                    <w:div w:id="1031497727">
                      <w:marLeft w:val="0"/>
                      <w:marRight w:val="0"/>
                      <w:marTop w:val="0"/>
                      <w:marBottom w:val="225"/>
                      <w:divBdr>
                        <w:top w:val="none" w:sz="0" w:space="0" w:color="auto"/>
                        <w:left w:val="none" w:sz="0" w:space="0" w:color="auto"/>
                        <w:bottom w:val="none" w:sz="0" w:space="0" w:color="auto"/>
                        <w:right w:val="none" w:sz="0" w:space="0" w:color="auto"/>
                      </w:divBdr>
                    </w:div>
                    <w:div w:id="1086463193">
                      <w:marLeft w:val="0"/>
                      <w:marRight w:val="0"/>
                      <w:marTop w:val="0"/>
                      <w:marBottom w:val="0"/>
                      <w:divBdr>
                        <w:top w:val="none" w:sz="0" w:space="0" w:color="auto"/>
                        <w:left w:val="none" w:sz="0" w:space="0" w:color="auto"/>
                        <w:bottom w:val="none" w:sz="0" w:space="0" w:color="auto"/>
                        <w:right w:val="none" w:sz="0" w:space="0" w:color="auto"/>
                      </w:divBdr>
                    </w:div>
                  </w:divsChild>
                </w:div>
                <w:div w:id="687947008">
                  <w:marLeft w:val="0"/>
                  <w:marRight w:val="0"/>
                  <w:marTop w:val="0"/>
                  <w:marBottom w:val="450"/>
                  <w:divBdr>
                    <w:top w:val="none" w:sz="0" w:space="0" w:color="auto"/>
                    <w:left w:val="none" w:sz="0" w:space="0" w:color="auto"/>
                    <w:bottom w:val="none" w:sz="0" w:space="0" w:color="auto"/>
                    <w:right w:val="none" w:sz="0" w:space="0" w:color="auto"/>
                  </w:divBdr>
                </w:div>
                <w:div w:id="1267352690">
                  <w:marLeft w:val="0"/>
                  <w:marRight w:val="0"/>
                  <w:marTop w:val="0"/>
                  <w:marBottom w:val="450"/>
                  <w:divBdr>
                    <w:top w:val="none" w:sz="0" w:space="0" w:color="auto"/>
                    <w:left w:val="none" w:sz="0" w:space="0" w:color="auto"/>
                    <w:bottom w:val="none" w:sz="0" w:space="0" w:color="auto"/>
                    <w:right w:val="none" w:sz="0" w:space="0" w:color="auto"/>
                  </w:divBdr>
                </w:div>
                <w:div w:id="1552687152">
                  <w:marLeft w:val="0"/>
                  <w:marRight w:val="0"/>
                  <w:marTop w:val="0"/>
                  <w:marBottom w:val="450"/>
                  <w:divBdr>
                    <w:top w:val="none" w:sz="0" w:space="0" w:color="auto"/>
                    <w:left w:val="none" w:sz="0" w:space="0" w:color="auto"/>
                    <w:bottom w:val="none" w:sz="0" w:space="0" w:color="auto"/>
                    <w:right w:val="none" w:sz="0" w:space="0" w:color="auto"/>
                  </w:divBdr>
                </w:div>
                <w:div w:id="1428429394">
                  <w:marLeft w:val="0"/>
                  <w:marRight w:val="0"/>
                  <w:marTop w:val="0"/>
                  <w:marBottom w:val="450"/>
                  <w:divBdr>
                    <w:top w:val="none" w:sz="0" w:space="0" w:color="auto"/>
                    <w:left w:val="none" w:sz="0" w:space="0" w:color="auto"/>
                    <w:bottom w:val="none" w:sz="0" w:space="0" w:color="auto"/>
                    <w:right w:val="none" w:sz="0" w:space="0" w:color="auto"/>
                  </w:divBdr>
                  <w:divsChild>
                    <w:div w:id="1960453525">
                      <w:marLeft w:val="0"/>
                      <w:marRight w:val="0"/>
                      <w:marTop w:val="0"/>
                      <w:marBottom w:val="0"/>
                      <w:divBdr>
                        <w:top w:val="none" w:sz="0" w:space="0" w:color="auto"/>
                        <w:left w:val="none" w:sz="0" w:space="0" w:color="auto"/>
                        <w:bottom w:val="none" w:sz="0" w:space="0" w:color="auto"/>
                        <w:right w:val="none" w:sz="0" w:space="0" w:color="auto"/>
                      </w:divBdr>
                    </w:div>
                  </w:divsChild>
                </w:div>
                <w:div w:id="377096472">
                  <w:marLeft w:val="0"/>
                  <w:marRight w:val="0"/>
                  <w:marTop w:val="0"/>
                  <w:marBottom w:val="450"/>
                  <w:divBdr>
                    <w:top w:val="none" w:sz="0" w:space="0" w:color="auto"/>
                    <w:left w:val="none" w:sz="0" w:space="0" w:color="auto"/>
                    <w:bottom w:val="none" w:sz="0" w:space="0" w:color="auto"/>
                    <w:right w:val="none" w:sz="0" w:space="0" w:color="auto"/>
                  </w:divBdr>
                  <w:divsChild>
                    <w:div w:id="1104611462">
                      <w:marLeft w:val="0"/>
                      <w:marRight w:val="0"/>
                      <w:marTop w:val="120"/>
                      <w:marBottom w:val="0"/>
                      <w:divBdr>
                        <w:top w:val="none" w:sz="0" w:space="0" w:color="auto"/>
                        <w:left w:val="none" w:sz="0" w:space="0" w:color="auto"/>
                        <w:bottom w:val="none" w:sz="0" w:space="0" w:color="auto"/>
                        <w:right w:val="none" w:sz="0" w:space="0" w:color="auto"/>
                      </w:divBdr>
                    </w:div>
                  </w:divsChild>
                </w:div>
                <w:div w:id="181166959">
                  <w:marLeft w:val="0"/>
                  <w:marRight w:val="0"/>
                  <w:marTop w:val="0"/>
                  <w:marBottom w:val="450"/>
                  <w:divBdr>
                    <w:top w:val="none" w:sz="0" w:space="0" w:color="auto"/>
                    <w:left w:val="none" w:sz="0" w:space="0" w:color="auto"/>
                    <w:bottom w:val="none" w:sz="0" w:space="0" w:color="auto"/>
                    <w:right w:val="none" w:sz="0" w:space="0" w:color="auto"/>
                  </w:divBdr>
                  <w:divsChild>
                    <w:div w:id="1459956232">
                      <w:marLeft w:val="0"/>
                      <w:marRight w:val="0"/>
                      <w:marTop w:val="0"/>
                      <w:marBottom w:val="0"/>
                      <w:divBdr>
                        <w:top w:val="none" w:sz="0" w:space="0" w:color="auto"/>
                        <w:left w:val="none" w:sz="0" w:space="0" w:color="auto"/>
                        <w:bottom w:val="none" w:sz="0" w:space="0" w:color="auto"/>
                        <w:right w:val="none" w:sz="0" w:space="0" w:color="auto"/>
                      </w:divBdr>
                    </w:div>
                  </w:divsChild>
                </w:div>
                <w:div w:id="1194346114">
                  <w:marLeft w:val="0"/>
                  <w:marRight w:val="0"/>
                  <w:marTop w:val="0"/>
                  <w:marBottom w:val="450"/>
                  <w:divBdr>
                    <w:top w:val="none" w:sz="0" w:space="0" w:color="auto"/>
                    <w:left w:val="none" w:sz="0" w:space="0" w:color="auto"/>
                    <w:bottom w:val="none" w:sz="0" w:space="0" w:color="auto"/>
                    <w:right w:val="none" w:sz="0" w:space="0" w:color="auto"/>
                  </w:divBdr>
                </w:div>
              </w:divsChild>
            </w:div>
            <w:div w:id="1593928323">
              <w:marLeft w:val="0"/>
              <w:marRight w:val="0"/>
              <w:marTop w:val="0"/>
              <w:marBottom w:val="0"/>
              <w:divBdr>
                <w:top w:val="single" w:sz="6" w:space="15" w:color="E9E9E9"/>
                <w:left w:val="none" w:sz="0" w:space="0" w:color="auto"/>
                <w:bottom w:val="none" w:sz="0" w:space="15" w:color="auto"/>
                <w:right w:val="none" w:sz="0" w:space="0" w:color="auto"/>
              </w:divBdr>
              <w:divsChild>
                <w:div w:id="8006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7539">
          <w:marLeft w:val="0"/>
          <w:marRight w:val="0"/>
          <w:marTop w:val="0"/>
          <w:marBottom w:val="0"/>
          <w:divBdr>
            <w:top w:val="none" w:sz="0" w:space="0" w:color="auto"/>
            <w:left w:val="none" w:sz="0" w:space="0" w:color="auto"/>
            <w:bottom w:val="none" w:sz="0" w:space="0" w:color="auto"/>
            <w:right w:val="none" w:sz="0" w:space="0" w:color="auto"/>
          </w:divBdr>
          <w:divsChild>
            <w:div w:id="2145267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1385396">
      <w:bodyDiv w:val="1"/>
      <w:marLeft w:val="0"/>
      <w:marRight w:val="0"/>
      <w:marTop w:val="0"/>
      <w:marBottom w:val="0"/>
      <w:divBdr>
        <w:top w:val="none" w:sz="0" w:space="0" w:color="auto"/>
        <w:left w:val="none" w:sz="0" w:space="0" w:color="auto"/>
        <w:bottom w:val="none" w:sz="0" w:space="0" w:color="auto"/>
        <w:right w:val="none" w:sz="0" w:space="0" w:color="auto"/>
      </w:divBdr>
    </w:div>
    <w:div w:id="1194491537">
      <w:bodyDiv w:val="1"/>
      <w:marLeft w:val="0"/>
      <w:marRight w:val="0"/>
      <w:marTop w:val="0"/>
      <w:marBottom w:val="0"/>
      <w:divBdr>
        <w:top w:val="none" w:sz="0" w:space="0" w:color="auto"/>
        <w:left w:val="none" w:sz="0" w:space="0" w:color="auto"/>
        <w:bottom w:val="none" w:sz="0" w:space="0" w:color="auto"/>
        <w:right w:val="none" w:sz="0" w:space="0" w:color="auto"/>
      </w:divBdr>
    </w:div>
    <w:div w:id="1218712216">
      <w:bodyDiv w:val="1"/>
      <w:marLeft w:val="0"/>
      <w:marRight w:val="0"/>
      <w:marTop w:val="0"/>
      <w:marBottom w:val="0"/>
      <w:divBdr>
        <w:top w:val="none" w:sz="0" w:space="0" w:color="auto"/>
        <w:left w:val="none" w:sz="0" w:space="0" w:color="auto"/>
        <w:bottom w:val="none" w:sz="0" w:space="0" w:color="auto"/>
        <w:right w:val="none" w:sz="0" w:space="0" w:color="auto"/>
      </w:divBdr>
    </w:div>
    <w:div w:id="1318455149">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1674989">
      <w:bodyDiv w:val="1"/>
      <w:marLeft w:val="0"/>
      <w:marRight w:val="0"/>
      <w:marTop w:val="0"/>
      <w:marBottom w:val="0"/>
      <w:divBdr>
        <w:top w:val="none" w:sz="0" w:space="0" w:color="auto"/>
        <w:left w:val="none" w:sz="0" w:space="0" w:color="auto"/>
        <w:bottom w:val="none" w:sz="0" w:space="0" w:color="auto"/>
        <w:right w:val="none" w:sz="0" w:space="0" w:color="auto"/>
      </w:divBdr>
      <w:divsChild>
        <w:div w:id="19976062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69403384">
      <w:bodyDiv w:val="1"/>
      <w:marLeft w:val="0"/>
      <w:marRight w:val="0"/>
      <w:marTop w:val="0"/>
      <w:marBottom w:val="0"/>
      <w:divBdr>
        <w:top w:val="none" w:sz="0" w:space="0" w:color="auto"/>
        <w:left w:val="none" w:sz="0" w:space="0" w:color="auto"/>
        <w:bottom w:val="none" w:sz="0" w:space="0" w:color="auto"/>
        <w:right w:val="none" w:sz="0" w:space="0" w:color="auto"/>
      </w:divBdr>
    </w:div>
    <w:div w:id="1782411119">
      <w:bodyDiv w:val="1"/>
      <w:marLeft w:val="0"/>
      <w:marRight w:val="0"/>
      <w:marTop w:val="0"/>
      <w:marBottom w:val="0"/>
      <w:divBdr>
        <w:top w:val="none" w:sz="0" w:space="0" w:color="auto"/>
        <w:left w:val="none" w:sz="0" w:space="0" w:color="auto"/>
        <w:bottom w:val="none" w:sz="0" w:space="0" w:color="auto"/>
        <w:right w:val="none" w:sz="0" w:space="0" w:color="auto"/>
      </w:divBdr>
    </w:div>
    <w:div w:id="1797334379">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81835502">
      <w:bodyDiv w:val="1"/>
      <w:marLeft w:val="0"/>
      <w:marRight w:val="0"/>
      <w:marTop w:val="0"/>
      <w:marBottom w:val="0"/>
      <w:divBdr>
        <w:top w:val="none" w:sz="0" w:space="0" w:color="auto"/>
        <w:left w:val="none" w:sz="0" w:space="0" w:color="auto"/>
        <w:bottom w:val="none" w:sz="0" w:space="0" w:color="auto"/>
        <w:right w:val="none" w:sz="0" w:space="0" w:color="auto"/>
      </w:divBdr>
    </w:div>
    <w:div w:id="2019917281">
      <w:bodyDiv w:val="1"/>
      <w:marLeft w:val="0"/>
      <w:marRight w:val="0"/>
      <w:marTop w:val="0"/>
      <w:marBottom w:val="0"/>
      <w:divBdr>
        <w:top w:val="none" w:sz="0" w:space="0" w:color="auto"/>
        <w:left w:val="none" w:sz="0" w:space="0" w:color="auto"/>
        <w:bottom w:val="none" w:sz="0" w:space="0" w:color="auto"/>
        <w:right w:val="none" w:sz="0" w:space="0" w:color="auto"/>
      </w:divBdr>
    </w:div>
    <w:div w:id="202239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F2021L00617" TargetMode="External"/><Relationship Id="rId117" Type="http://schemas.openxmlformats.org/officeDocument/2006/relationships/footer" Target="footer8.xml"/><Relationship Id="rId21" Type="http://schemas.openxmlformats.org/officeDocument/2006/relationships/header" Target="header7.xml"/><Relationship Id="rId42" Type="http://schemas.openxmlformats.org/officeDocument/2006/relationships/hyperlink" Target="https://www.acma.gov.au/consultations/2021-03/draft-five-year-spectrum-outlook-2021-26-consultation-102021" TargetMode="External"/><Relationship Id="rId47" Type="http://schemas.openxmlformats.org/officeDocument/2006/relationships/hyperlink" Target="https://www.acma.gov.au/publications/2019-09/instruction/rali-fx19-broadband-wireless-access-1900-1920-and-3575-3700-mhz-bands" TargetMode="External"/><Relationship Id="rId63" Type="http://schemas.openxmlformats.org/officeDocument/2006/relationships/image" Target="media/image9.png"/><Relationship Id="rId68" Type="http://schemas.openxmlformats.org/officeDocument/2006/relationships/image" Target="media/image11.png"/><Relationship Id="rId84" Type="http://schemas.openxmlformats.org/officeDocument/2006/relationships/hyperlink" Target="https://www.acma.gov.au/publications/2019-10/rules/embargo-41" TargetMode="External"/><Relationship Id="rId89" Type="http://schemas.openxmlformats.org/officeDocument/2006/relationships/hyperlink" Target="https://www.itu.int/dms_pubrec/itu-r/rec/m/R-REC-M.1036-3-200707-S!!PDF-E.pdf" TargetMode="External"/><Relationship Id="rId112" Type="http://schemas.openxmlformats.org/officeDocument/2006/relationships/hyperlink" Target="https://www.acma.gov.au/publication-submissions" TargetMode="External"/><Relationship Id="rId16" Type="http://schemas.openxmlformats.org/officeDocument/2006/relationships/header" Target="header4.xml"/><Relationship Id="rId107" Type="http://schemas.openxmlformats.org/officeDocument/2006/relationships/image" Target="media/image20.png"/><Relationship Id="rId11" Type="http://schemas.openxmlformats.org/officeDocument/2006/relationships/hyperlink" Target="http://i.creativecommons.org/l/by/3.0/88x31.png" TargetMode="External"/><Relationship Id="rId32" Type="http://schemas.openxmlformats.org/officeDocument/2006/relationships/hyperlink" Target="https://www.legislation.gov.au/Details/C2019C00262" TargetMode="External"/><Relationship Id="rId37" Type="http://schemas.openxmlformats.org/officeDocument/2006/relationships/hyperlink" Target="https://www.acma.gov.au/fees-apparatus-licences" TargetMode="External"/><Relationship Id="rId53" Type="http://schemas.openxmlformats.org/officeDocument/2006/relationships/image" Target="media/image5.png"/><Relationship Id="rId58" Type="http://schemas.openxmlformats.org/officeDocument/2006/relationships/hyperlink" Target="https://www.acma.gov.au/publications/2019-11/rules/embargo-76" TargetMode="External"/><Relationship Id="rId74" Type="http://schemas.openxmlformats.org/officeDocument/2006/relationships/hyperlink" Target="https://www.legislation.gov.au/Details/F2017C01051" TargetMode="External"/><Relationship Id="rId79" Type="http://schemas.openxmlformats.org/officeDocument/2006/relationships/hyperlink" Target="https://www.acma.gov.au/publications/2019-08/instruction/rali-ms33-frequency-coordination-and-licensing-procedures-apparatus-licensed-pts-2-ghz-bands" TargetMode="External"/><Relationship Id="rId102" Type="http://schemas.openxmlformats.org/officeDocument/2006/relationships/hyperlink" Target="https://www.legislation.gov.au/Details/F2012L00733" TargetMode="External"/><Relationship Id="rId5" Type="http://schemas.openxmlformats.org/officeDocument/2006/relationships/webSettings" Target="webSettings.xml"/><Relationship Id="rId90" Type="http://schemas.openxmlformats.org/officeDocument/2006/relationships/hyperlink" Target="https://www.itu.int/dms_pubrec/itu-r/rec/m/R-REC-M.1036-3-200707-S!!PDF-E.pdf" TargetMode="External"/><Relationship Id="rId95" Type="http://schemas.openxmlformats.org/officeDocument/2006/relationships/image" Target="media/image16.png"/><Relationship Id="rId22" Type="http://schemas.openxmlformats.org/officeDocument/2006/relationships/footer" Target="footer4.xml"/><Relationship Id="rId27" Type="http://schemas.openxmlformats.org/officeDocument/2006/relationships/hyperlink" Target="https://www.legislation.gov.au/Details/F2021C00645" TargetMode="External"/><Relationship Id="rId43" Type="http://schemas.openxmlformats.org/officeDocument/2006/relationships/hyperlink" Target="https://www.legislation.gov.au/Details/F2021L00617" TargetMode="External"/><Relationship Id="rId48" Type="http://schemas.openxmlformats.org/officeDocument/2006/relationships/hyperlink" Target="https://www.legislation.gov.au/Details/F2021C00645" TargetMode="External"/><Relationship Id="rId64" Type="http://schemas.openxmlformats.org/officeDocument/2006/relationships/hyperlink" Target="https://web.acma.gov.au/rrl/register_search.main_page" TargetMode="External"/><Relationship Id="rId69" Type="http://schemas.openxmlformats.org/officeDocument/2006/relationships/hyperlink" Target="https://web.acma.gov.au/rrl/register_search.main_page" TargetMode="External"/><Relationship Id="rId113" Type="http://schemas.openxmlformats.org/officeDocument/2006/relationships/hyperlink" Target="https://www.acma.gov.au/privacy-policy" TargetMode="External"/><Relationship Id="rId118" Type="http://schemas.openxmlformats.org/officeDocument/2006/relationships/header" Target="header11.xml"/><Relationship Id="rId80" Type="http://schemas.openxmlformats.org/officeDocument/2006/relationships/hyperlink" Target="https://web.acma.gov.au/rrl/register_search.main_page" TargetMode="External"/><Relationship Id="rId85" Type="http://schemas.openxmlformats.org/officeDocument/2006/relationships/hyperlink" Target="https://www.acma.gov.au/publications/2019-08/instruction/rali-ms32-mid-west-radio-quiet-zone" TargetMode="External"/><Relationship Id="rId12" Type="http://schemas.openxmlformats.org/officeDocument/2006/relationships/image" Target="media/image3.png"/><Relationship Id="rId17" Type="http://schemas.openxmlformats.org/officeDocument/2006/relationships/footer" Target="footer2.xml"/><Relationship Id="rId33" Type="http://schemas.openxmlformats.org/officeDocument/2006/relationships/hyperlink" Target="https://digitaleconomy.pmc.gov.au/sites/default/files/2021-07/digital-economy-strategy.pdf" TargetMode="External"/><Relationship Id="rId38" Type="http://schemas.openxmlformats.org/officeDocument/2006/relationships/hyperlink" Target="https://www.acma.gov.au/area-wide-apparatus-licence" TargetMode="External"/><Relationship Id="rId59" Type="http://schemas.openxmlformats.org/officeDocument/2006/relationships/hyperlink" Target="https://www.legislation.gov.au/Details/F2012L00733" TargetMode="External"/><Relationship Id="rId103" Type="http://schemas.openxmlformats.org/officeDocument/2006/relationships/hyperlink" Target="https://www.acma.gov.au/consultations/2021-03/draft-five-year-spectrum-outlook-2021-26-consultation-102021" TargetMode="External"/><Relationship Id="rId108" Type="http://schemas.openxmlformats.org/officeDocument/2006/relationships/image" Target="media/image21.png"/><Relationship Id="rId54" Type="http://schemas.openxmlformats.org/officeDocument/2006/relationships/hyperlink" Target="https://web.acma.gov.au/rrl/register_search.main_page" TargetMode="External"/><Relationship Id="rId70" Type="http://schemas.openxmlformats.org/officeDocument/2006/relationships/image" Target="media/image12.png"/><Relationship Id="rId75" Type="http://schemas.openxmlformats.org/officeDocument/2006/relationships/hyperlink" Target="https://web.acma.gov.au/rrl/register_search.main_page" TargetMode="External"/><Relationship Id="rId91" Type="http://schemas.openxmlformats.org/officeDocument/2006/relationships/image" Target="media/image14.png"/><Relationship Id="rId96" Type="http://schemas.openxmlformats.org/officeDocument/2006/relationships/hyperlink" Target="https://www.etsi.org/technologies/de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https://acmagovau-my.sharepoint.com/personal/prasanna_sooriyaaratchi_acma_gov_au/Documents/Downloads/Embargo-76-15112019.docx?web=1" TargetMode="External"/><Relationship Id="rId49" Type="http://schemas.openxmlformats.org/officeDocument/2006/relationships/hyperlink" Target="https://www.acma.gov.au/publications/2019-08/instruction/rali-ms33-frequency-coordination-and-licensing-procedures-apparatus-licensed-pts-2-ghz-bands" TargetMode="External"/><Relationship Id="rId114" Type="http://schemas.openxmlformats.org/officeDocument/2006/relationships/header" Target="header9.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acma.gov.au/five-year-spectrum-outlook" TargetMode="External"/><Relationship Id="rId44" Type="http://schemas.openxmlformats.org/officeDocument/2006/relationships/hyperlink" Target="https://www.legislation.gov.au/Details/F2012L00733" TargetMode="External"/><Relationship Id="rId52" Type="http://schemas.openxmlformats.org/officeDocument/2006/relationships/hyperlink" Target="https://www.acma.gov.au/2-ghz-technical-framework" TargetMode="External"/><Relationship Id="rId60" Type="http://schemas.openxmlformats.org/officeDocument/2006/relationships/image" Target="media/image7.png"/><Relationship Id="rId65" Type="http://schemas.openxmlformats.org/officeDocument/2006/relationships/hyperlink" Target="https://www.acma.gov.au/publications/2019-09/instruction/rali-fx19-broadband-wireless-access-1900-1920-and-3575-3700-mhz-bands" TargetMode="External"/><Relationship Id="rId73" Type="http://schemas.openxmlformats.org/officeDocument/2006/relationships/hyperlink" Target="https://www.legislation.gov.au/Details/F2017L01079" TargetMode="External"/><Relationship Id="rId78" Type="http://schemas.openxmlformats.org/officeDocument/2006/relationships/hyperlink" Target="https://www.acma.gov.au/sites/default/files/2019-08/RALI-MS34-PTS.docx" TargetMode="External"/><Relationship Id="rId81" Type="http://schemas.openxmlformats.org/officeDocument/2006/relationships/hyperlink" Target="https://web.acma.gov.au/rrl/register_search.main_page" TargetMode="External"/><Relationship Id="rId86" Type="http://schemas.openxmlformats.org/officeDocument/2006/relationships/image" Target="media/image13.png"/><Relationship Id="rId94" Type="http://schemas.openxmlformats.org/officeDocument/2006/relationships/image" Target="media/image15.png"/><Relationship Id="rId99" Type="http://schemas.openxmlformats.org/officeDocument/2006/relationships/hyperlink" Target="https://www.etsi.org/deliver/etsi_tr/103400_103499/103459/01.02.01_60/tr_103459v010201p.pdf" TargetMode="External"/><Relationship Id="rId101" Type="http://schemas.openxmlformats.org/officeDocument/2006/relationships/hyperlink" Target="https://www.mfa-tech.org/wp-content/uploads/MulteFire_Release-1.1_WhitePaper_03JAN.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39" Type="http://schemas.openxmlformats.org/officeDocument/2006/relationships/image" Target="media/image4.png"/><Relationship Id="rId109" Type="http://schemas.openxmlformats.org/officeDocument/2006/relationships/image" Target="media/image22.png"/><Relationship Id="rId34" Type="http://schemas.openxmlformats.org/officeDocument/2006/relationships/hyperlink" Target="https://www.industry.gov.au/news-media/australias-tech-future" TargetMode="External"/><Relationship Id="rId50" Type="http://schemas.openxmlformats.org/officeDocument/2006/relationships/hyperlink" Target="https://www.acma.gov.au/sites/default/files/2019-08/RALI-MS34-PTS.docx" TargetMode="External"/><Relationship Id="rId55" Type="http://schemas.openxmlformats.org/officeDocument/2006/relationships/hyperlink" Target="https://www.acma.gov.au/publications/2019-09/instruction/rali-fx3-microwave-fixed-services" TargetMode="External"/><Relationship Id="rId76" Type="http://schemas.openxmlformats.org/officeDocument/2006/relationships/hyperlink" Target="https://www.legislation.gov.au/Details/F2015L00723" TargetMode="External"/><Relationship Id="rId97" Type="http://schemas.openxmlformats.org/officeDocument/2006/relationships/hyperlink" Target="https://www.etsi.org/standards" TargetMode="External"/><Relationship Id="rId104" Type="http://schemas.openxmlformats.org/officeDocument/2006/relationships/image" Target="media/image1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eb.acma.gov.au/rrl/register_search.main_page" TargetMode="External"/><Relationship Id="rId92" Type="http://schemas.openxmlformats.org/officeDocument/2006/relationships/hyperlink" Target="https://www.etsi.org/deliver/etsi_ts/138100_138199/13810101/16.05.00_60/ts_13810101v160500p.pdf" TargetMode="External"/><Relationship Id="rId2" Type="http://schemas.openxmlformats.org/officeDocument/2006/relationships/numbering" Target="numbering.xml"/><Relationship Id="rId29" Type="http://schemas.openxmlformats.org/officeDocument/2006/relationships/hyperlink" Target="https://www.etsi.org/committee/dect" TargetMode="External"/><Relationship Id="rId24" Type="http://schemas.openxmlformats.org/officeDocument/2006/relationships/header" Target="header8.xml"/><Relationship Id="rId40" Type="http://schemas.openxmlformats.org/officeDocument/2006/relationships/hyperlink" Target="https://www.legislation.gov.au/Series/F2005B01374" TargetMode="External"/><Relationship Id="rId45" Type="http://schemas.openxmlformats.org/officeDocument/2006/relationships/hyperlink" Target="https://www.acma.gov.au/theACMA/rali-fx3-microwave-fixed-services-frequency-coordination" TargetMode="External"/><Relationship Id="rId66" Type="http://schemas.openxmlformats.org/officeDocument/2006/relationships/hyperlink" Target="https://www.acma.gov.au/publications/2019-11/rules/embargo-76" TargetMode="External"/><Relationship Id="rId87" Type="http://schemas.openxmlformats.org/officeDocument/2006/relationships/hyperlink" Target="https://www.itu.int/dms_pub/itu-r/oth/0C/0A/R0C0A00000F0068PDFE.pdf" TargetMode="External"/><Relationship Id="rId110" Type="http://schemas.openxmlformats.org/officeDocument/2006/relationships/hyperlink" Target="https://www.acma.gov.au/have-your-say" TargetMode="External"/><Relationship Id="rId115" Type="http://schemas.openxmlformats.org/officeDocument/2006/relationships/header" Target="header10.xml"/><Relationship Id="rId61" Type="http://schemas.openxmlformats.org/officeDocument/2006/relationships/image" Target="media/image8.png"/><Relationship Id="rId82" Type="http://schemas.openxmlformats.org/officeDocument/2006/relationships/hyperlink" Target="https://www.legislation.gov.au/Series/F2015L01438" TargetMode="External"/><Relationship Id="rId19" Type="http://schemas.openxmlformats.org/officeDocument/2006/relationships/header" Target="header5.xml"/><Relationship Id="rId14" Type="http://schemas.openxmlformats.org/officeDocument/2006/relationships/hyperlink" Target="mailto:info@acma.gov.au" TargetMode="External"/><Relationship Id="rId30" Type="http://schemas.openxmlformats.org/officeDocument/2006/relationships/hyperlink" Target="https://www.mfa-tech.org/" TargetMode="External"/><Relationship Id="rId35" Type="http://schemas.openxmlformats.org/officeDocument/2006/relationships/hyperlink" Target="https://www.acma.gov.au/radcomms-licensing-and-allocation-reform" TargetMode="External"/><Relationship Id="rId56" Type="http://schemas.openxmlformats.org/officeDocument/2006/relationships/image" Target="media/image6.png"/><Relationship Id="rId77" Type="http://schemas.openxmlformats.org/officeDocument/2006/relationships/hyperlink" Target="https://web.acma.gov.au/rrl/register_search.main_page" TargetMode="External"/><Relationship Id="rId100" Type="http://schemas.openxmlformats.org/officeDocument/2006/relationships/hyperlink" Target="https://www.3gpp.org/news-events/1875-mc_services" TargetMode="External"/><Relationship Id="rId105"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hyperlink" Target="https://www.acma.gov.au/1800-mhz-technical-framework" TargetMode="External"/><Relationship Id="rId72" Type="http://schemas.openxmlformats.org/officeDocument/2006/relationships/hyperlink" Target="https://www.legislation.gov.au/Details/F2014L01800" TargetMode="External"/><Relationship Id="rId93" Type="http://schemas.openxmlformats.org/officeDocument/2006/relationships/hyperlink" Target="https://gsacom.com/gambod/" TargetMode="External"/><Relationship Id="rId98" Type="http://schemas.openxmlformats.org/officeDocument/2006/relationships/hyperlink" Target="https://www.etsi.org/deliver/etsi_ts/122200_122299/122289/16.01.00_60/ts_122289v160100p.pdf" TargetMode="Externa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s://www.legislation.gov.au/Details/F2012L00733" TargetMode="External"/><Relationship Id="rId67" Type="http://schemas.openxmlformats.org/officeDocument/2006/relationships/image" Target="media/image10.png"/><Relationship Id="rId116" Type="http://schemas.openxmlformats.org/officeDocument/2006/relationships/footer" Target="footer7.xml"/><Relationship Id="rId20" Type="http://schemas.openxmlformats.org/officeDocument/2006/relationships/header" Target="header6.xml"/><Relationship Id="rId41" Type="http://schemas.openxmlformats.org/officeDocument/2006/relationships/hyperlink" Target="https://www.legislation.gov.au/Series/F2014L01800" TargetMode="External"/><Relationship Id="rId62" Type="http://schemas.openxmlformats.org/officeDocument/2006/relationships/hyperlink" Target="https://web.acma.gov.au/rrl/register_search.main_page" TargetMode="External"/><Relationship Id="rId83" Type="http://schemas.openxmlformats.org/officeDocument/2006/relationships/hyperlink" Target="https://www.legislation.gov.au/Details/F2011L01520" TargetMode="External"/><Relationship Id="rId88" Type="http://schemas.openxmlformats.org/officeDocument/2006/relationships/hyperlink" Target="https://www.legislation.gov.au/Details/F2021L00617" TargetMode="External"/><Relationship Id="rId111" Type="http://schemas.openxmlformats.org/officeDocument/2006/relationships/hyperlink" Target="mailto:xxx@acma.gov.au" TargetMode="External"/><Relationship Id="rId15" Type="http://schemas.openxmlformats.org/officeDocument/2006/relationships/header" Target="header3.xml"/><Relationship Id="rId36" Type="http://schemas.openxmlformats.org/officeDocument/2006/relationships/hyperlink" Target="https://www.acma.gov.au/publications/2021-03/rules/our-approach-radcomms-licensing-and-allocation" TargetMode="External"/><Relationship Id="rId57" Type="http://schemas.openxmlformats.org/officeDocument/2006/relationships/hyperlink" Target="https://www.acma.gov.au/19-ghz-spectrum-arrangements" TargetMode="External"/><Relationship Id="rId106" Type="http://schemas.openxmlformats.org/officeDocument/2006/relationships/image" Target="media/image19.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tsi.org/newsroom/press-releases/1839-2020-10-etsi-launches-dect-2020-new-radio-interface-for-iot" TargetMode="External"/><Relationship Id="rId2" Type="http://schemas.openxmlformats.org/officeDocument/2006/relationships/hyperlink" Target="https://www.acma.gov.au/publications/2020-08/report/corporate-plan-2020-21" TargetMode="External"/><Relationship Id="rId1" Type="http://schemas.openxmlformats.org/officeDocument/2006/relationships/hyperlink" Target="https://www.dect.org/dect-technology" TargetMode="External"/><Relationship Id="rId6" Type="http://schemas.openxmlformats.org/officeDocument/2006/relationships/hyperlink" Target="https://www.legislation.gov.au/Series/F2015L01438" TargetMode="External"/><Relationship Id="rId5" Type="http://schemas.openxmlformats.org/officeDocument/2006/relationships/hyperlink" Target="https://www.acma.gov.au/publications/2021-09/plan/five-year-spectrum-outlook-2021-26" TargetMode="External"/><Relationship Id="rId4" Type="http://schemas.openxmlformats.org/officeDocument/2006/relationships/hyperlink" Target="https://uic.org/rail-system/frm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CEP13</b:Tag>
    <b:SourceType>Report</b:SourceType>
    <b:Guid>{179FCD50-9732-4E4E-A26E-C3B0CF2A5D03}</b:Guid>
    <b:Author>
      <b:Author>
        <b:Corporate>ECC Decision (05)01</b:Corporate>
      </b:Author>
    </b:Author>
    <b:Title>The use of the band 27.5-29.5 GHz by the Fixed Service and uncoordinated Earth stations of the Fixed-Satellite Service (Earth-to-space)</b:Title>
    <b:Year>2013</b:Year>
    <b:RefOrder>18</b:RefOrder>
  </b:Source>
</b:Sources>
</file>

<file path=customXml/itemProps1.xml><?xml version="1.0" encoding="utf-8"?>
<ds:datastoreItem xmlns:ds="http://schemas.openxmlformats.org/officeDocument/2006/customXml" ds:itemID="{6249EBA0-0DF0-4DB2-B14D-A8B2797E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10350</Words>
  <Characters>55373</Characters>
  <Application>Microsoft Office Word</Application>
  <DocSecurity>0</DocSecurity>
  <Lines>1457</Lines>
  <Paragraphs>912</Paragraphs>
  <ScaleCrop>false</ScaleCrop>
  <Manager/>
  <Company/>
  <LinksUpToDate>false</LinksUpToDate>
  <CharactersWithSpaces>64811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2023-03-28T23:18:00Z</dcterms:created>
  <dcterms:modified xsi:type="dcterms:W3CDTF">2023-03-28T23:18:00Z</dcterms:modified>
  <cp:category/>
</cp:coreProperties>
</file>