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E9A" w14:textId="3D0B7F74" w:rsidR="00CB3DA1" w:rsidRDefault="00CB3DA1" w:rsidP="00CB3DA1">
      <w:pPr>
        <w:pStyle w:val="Reporttitle"/>
      </w:pPr>
      <w:r w:rsidRPr="00CB3DA1">
        <w:t>Regulatory guide</w:t>
      </w:r>
      <w:r w:rsidR="003A26FE">
        <w:t xml:space="preserve"> </w:t>
      </w:r>
      <w:r w:rsidRPr="00CB3DA1">
        <w:t xml:space="preserve">No. </w:t>
      </w:r>
      <w:r w:rsidR="00281359">
        <w:t>5</w:t>
      </w:r>
      <w:r w:rsidR="003A26FE">
        <w:t>:</w:t>
      </w:r>
      <w:r w:rsidRPr="00CB3DA1">
        <w:t xml:space="preserve"> </w:t>
      </w:r>
    </w:p>
    <w:p w14:paraId="35F21341" w14:textId="56442FB3" w:rsidR="00F06E14" w:rsidRDefault="00281359" w:rsidP="00CB3DA1">
      <w:pPr>
        <w:pStyle w:val="Reportsubtitle"/>
      </w:pPr>
      <w:r>
        <w:t>Infringement notices</w:t>
      </w:r>
    </w:p>
    <w:p w14:paraId="22D96714" w14:textId="756D7EE0" w:rsidR="00C97736" w:rsidRPr="000D76E0" w:rsidRDefault="00CB3DA1"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ISSUED </w:t>
      </w:r>
      <w:r w:rsidR="00281359">
        <w:t>SEPTEMBER</w:t>
      </w:r>
      <w:r w:rsidR="00674AD6">
        <w:t xml:space="preserve"> </w:t>
      </w:r>
      <w:r w:rsidR="007B00BD">
        <w:t>2011, UPDATED</w:t>
      </w:r>
      <w:r w:rsidR="00867CA5">
        <w:t xml:space="preserve"> </w:t>
      </w:r>
      <w:r w:rsidR="0087396B">
        <w:t>FEBRUARY</w:t>
      </w:r>
      <w:r w:rsidR="00867CA5">
        <w:t xml:space="preserve"> 2023</w:t>
      </w:r>
    </w:p>
    <w:p w14:paraId="0954222A" w14:textId="77777777" w:rsidR="0005011A" w:rsidRPr="00F44F3A" w:rsidRDefault="0005011A" w:rsidP="00FC07B9">
      <w:pPr>
        <w:pStyle w:val="ACMACorporateAddressHeader"/>
      </w:pPr>
      <w:r w:rsidRPr="00F44F3A">
        <w:lastRenderedPageBreak/>
        <w:t>Canberra</w:t>
      </w:r>
    </w:p>
    <w:p w14:paraId="7BAF6C1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D1949B" w14:textId="77777777" w:rsidR="0005011A" w:rsidRPr="00FC07B9" w:rsidRDefault="0005011A" w:rsidP="00FC07B9">
      <w:pPr>
        <w:pStyle w:val="ACMACorporateAddresses"/>
      </w:pPr>
      <w:r w:rsidRPr="00FC07B9">
        <w:t>PO Box 78</w:t>
      </w:r>
      <w:r w:rsidRPr="00FC07B9">
        <w:br/>
        <w:t>Belconnen ACT 2616</w:t>
      </w:r>
    </w:p>
    <w:p w14:paraId="6A3EBC4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C9AB97" w14:textId="77777777" w:rsidR="0005011A" w:rsidRPr="00F44F3A" w:rsidRDefault="0005011A" w:rsidP="00FC07B9">
      <w:pPr>
        <w:pStyle w:val="ACMACorporateAddressHeader"/>
      </w:pPr>
      <w:r w:rsidRPr="00F44F3A">
        <w:t>Melbourne</w:t>
      </w:r>
    </w:p>
    <w:p w14:paraId="6AC8716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6B298EA"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CA11A7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B80BEFD" w14:textId="77777777" w:rsidR="0005011A" w:rsidRPr="00F44F3A" w:rsidRDefault="0005011A" w:rsidP="00FC07B9">
      <w:pPr>
        <w:pStyle w:val="ACMACorporateAddressHeader"/>
      </w:pPr>
      <w:r w:rsidRPr="00F44F3A">
        <w:t>Sydney</w:t>
      </w:r>
    </w:p>
    <w:p w14:paraId="552BCA7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C045B2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E28D78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FE14E61" w14:textId="77777777" w:rsidR="00140318" w:rsidRPr="006D46E5" w:rsidRDefault="00140318" w:rsidP="00FC07B9">
      <w:pPr>
        <w:pStyle w:val="ACMACopyrightHeader"/>
      </w:pPr>
      <w:r w:rsidRPr="00140318">
        <w:t>Copyright notice</w:t>
      </w:r>
    </w:p>
    <w:p w14:paraId="2188AE24" w14:textId="77777777" w:rsidR="00140318" w:rsidRPr="006D46E5" w:rsidRDefault="00623FF9" w:rsidP="00623FF9">
      <w:pPr>
        <w:pStyle w:val="ACMACClogo"/>
      </w:pPr>
      <w:r w:rsidRPr="00623FF9">
        <w:rPr>
          <w:noProof/>
        </w:rPr>
        <w:drawing>
          <wp:inline distT="0" distB="0" distL="0" distR="0" wp14:anchorId="0ECD5452" wp14:editId="76288C3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38D58D2" w14:textId="77777777" w:rsidR="00AA2DE5" w:rsidRDefault="00E93DF3" w:rsidP="00AA2DE5">
      <w:pPr>
        <w:pStyle w:val="ACMACorporateAddresses"/>
        <w:rPr>
          <w:rStyle w:val="Hyperlink"/>
        </w:rPr>
      </w:pPr>
      <w:hyperlink r:id="rId13" w:history="1">
        <w:r w:rsidR="00AA2DE5">
          <w:rPr>
            <w:rStyle w:val="Hyperlink"/>
          </w:rPr>
          <w:t>https://creativecommons.org/licenses/by/4.0/</w:t>
        </w:r>
      </w:hyperlink>
    </w:p>
    <w:p w14:paraId="30953D8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6866BB62" w14:textId="17D4E8BA" w:rsidR="00AA2DE5" w:rsidRDefault="00AA2DE5" w:rsidP="00AA2DE5">
      <w:pPr>
        <w:pStyle w:val="ACMACorporateAddresses"/>
      </w:pPr>
      <w:r>
        <w:t>We request attribution as © Commonwealth of Australia (Australian Communications and Media Authority) 20</w:t>
      </w:r>
      <w:r w:rsidR="00867CA5">
        <w:t>23</w:t>
      </w:r>
      <w:r>
        <w:t>.</w:t>
      </w:r>
    </w:p>
    <w:p w14:paraId="482FA027" w14:textId="77777777" w:rsidR="00AA2DE5" w:rsidRDefault="00AA2DE5" w:rsidP="00AA2DE5">
      <w:pPr>
        <w:pStyle w:val="ACMACorporateAddresses"/>
      </w:pPr>
      <w:r>
        <w:t>All other rights are reserved.</w:t>
      </w:r>
    </w:p>
    <w:p w14:paraId="661FD42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E1BC4A5" w14:textId="77777777" w:rsidR="00AA2DE5" w:rsidRDefault="00AA2DE5" w:rsidP="00AA2DE5">
      <w:pPr>
        <w:pStyle w:val="ACMACorporateAddresses"/>
      </w:pPr>
      <w:r>
        <w:t>Written enquiries may be sent to:</w:t>
      </w:r>
    </w:p>
    <w:p w14:paraId="3A53E94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028FBAB" w14:textId="77777777" w:rsidR="00D16FE3" w:rsidRDefault="00D16FE3" w:rsidP="00D16FE3">
      <w:pPr>
        <w:pStyle w:val="ACMACorporateAddresses"/>
        <w:rPr>
          <w:rStyle w:val="Hyperlink"/>
        </w:rPr>
      </w:pPr>
    </w:p>
    <w:p w14:paraId="7F4BB5C5"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3852A289" w14:textId="0FFC19AF" w:rsidR="00A22E54" w:rsidRDefault="00A22E54">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\t "Exec summary heading,1" </w:instrText>
      </w:r>
      <w:r>
        <w:rPr>
          <w:rFonts w:cs="Arial"/>
        </w:rPr>
        <w:fldChar w:fldCharType="separate"/>
      </w:r>
      <w:r>
        <w:t>Overview</w:t>
      </w:r>
      <w:r>
        <w:tab/>
      </w:r>
      <w:r>
        <w:fldChar w:fldCharType="begin"/>
      </w:r>
      <w:r>
        <w:instrText xml:space="preserve"> PAGEREF _Toc126587090 \h </w:instrText>
      </w:r>
      <w:r>
        <w:fldChar w:fldCharType="separate"/>
      </w:r>
      <w:r>
        <w:t>1</w:t>
      </w:r>
      <w:r>
        <w:fldChar w:fldCharType="end"/>
      </w:r>
    </w:p>
    <w:p w14:paraId="553227AD" w14:textId="4F13662F" w:rsidR="00A22E54" w:rsidRDefault="00A22E54">
      <w:pPr>
        <w:pStyle w:val="TOC2"/>
        <w:rPr>
          <w:rFonts w:asciiTheme="minorHAnsi" w:eastAsiaTheme="minorEastAsia" w:hAnsiTheme="minorHAnsi" w:cstheme="minorBidi"/>
          <w:spacing w:val="0"/>
          <w:sz w:val="22"/>
          <w:szCs w:val="22"/>
        </w:rPr>
      </w:pPr>
      <w:r>
        <w:t>1.</w:t>
      </w:r>
      <w:r>
        <w:rPr>
          <w:rFonts w:asciiTheme="minorHAnsi" w:eastAsiaTheme="minorEastAsia" w:hAnsiTheme="minorHAnsi" w:cstheme="minorBidi"/>
          <w:spacing w:val="0"/>
          <w:sz w:val="22"/>
          <w:szCs w:val="22"/>
        </w:rPr>
        <w:tab/>
      </w:r>
      <w:r>
        <w:t>Purpose of this guide</w:t>
      </w:r>
      <w:r>
        <w:tab/>
      </w:r>
      <w:r>
        <w:fldChar w:fldCharType="begin"/>
      </w:r>
      <w:r>
        <w:instrText xml:space="preserve"> PAGEREF _Toc126587091 \h </w:instrText>
      </w:r>
      <w:r>
        <w:fldChar w:fldCharType="separate"/>
      </w:r>
      <w:r>
        <w:t>2</w:t>
      </w:r>
      <w:r>
        <w:fldChar w:fldCharType="end"/>
      </w:r>
    </w:p>
    <w:p w14:paraId="002903C0" w14:textId="67B7B01B" w:rsidR="00A22E54" w:rsidRDefault="00A22E54">
      <w:pPr>
        <w:pStyle w:val="TOC2"/>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What is an infringement notice?</w:t>
      </w:r>
      <w:r>
        <w:tab/>
      </w:r>
      <w:r>
        <w:fldChar w:fldCharType="begin"/>
      </w:r>
      <w:r>
        <w:instrText xml:space="preserve"> PAGEREF _Toc126587092 \h </w:instrText>
      </w:r>
      <w:r>
        <w:fldChar w:fldCharType="separate"/>
      </w:r>
      <w:r>
        <w:t>2</w:t>
      </w:r>
      <w:r>
        <w:fldChar w:fldCharType="end"/>
      </w:r>
    </w:p>
    <w:p w14:paraId="40817F71" w14:textId="5F2E3AAE" w:rsidR="00A22E54" w:rsidRDefault="00A22E54">
      <w:pPr>
        <w:pStyle w:val="TOC2"/>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Overview of the ACMA’s power to give an  infringement notice</w:t>
      </w:r>
      <w:r>
        <w:tab/>
      </w:r>
      <w:r>
        <w:fldChar w:fldCharType="begin"/>
      </w:r>
      <w:r>
        <w:instrText xml:space="preserve"> PAGEREF _Toc126587093 \h </w:instrText>
      </w:r>
      <w:r>
        <w:fldChar w:fldCharType="separate"/>
      </w:r>
      <w:r>
        <w:t>2</w:t>
      </w:r>
      <w:r>
        <w:fldChar w:fldCharType="end"/>
      </w:r>
    </w:p>
    <w:p w14:paraId="4302EFB6" w14:textId="7E5F0C4C" w:rsidR="00A22E54" w:rsidRDefault="00A22E54">
      <w:pPr>
        <w:pStyle w:val="TOC2"/>
        <w:rPr>
          <w:rFonts w:asciiTheme="minorHAnsi" w:eastAsiaTheme="minorEastAsia" w:hAnsiTheme="minorHAnsi" w:cstheme="minorBidi"/>
          <w:spacing w:val="0"/>
          <w:sz w:val="22"/>
          <w:szCs w:val="22"/>
        </w:rPr>
      </w:pPr>
      <w:r>
        <w:t>4.</w:t>
      </w:r>
      <w:r>
        <w:rPr>
          <w:rFonts w:asciiTheme="minorHAnsi" w:eastAsiaTheme="minorEastAsia" w:hAnsiTheme="minorHAnsi" w:cstheme="minorBidi"/>
          <w:spacing w:val="0"/>
          <w:sz w:val="22"/>
          <w:szCs w:val="22"/>
        </w:rPr>
        <w:tab/>
      </w:r>
      <w:r>
        <w:t>Discretionary factors</w:t>
      </w:r>
      <w:r>
        <w:tab/>
      </w:r>
      <w:r>
        <w:fldChar w:fldCharType="begin"/>
      </w:r>
      <w:r>
        <w:instrText xml:space="preserve"> PAGEREF _Toc126587094 \h </w:instrText>
      </w:r>
      <w:r>
        <w:fldChar w:fldCharType="separate"/>
      </w:r>
      <w:r>
        <w:t>3</w:t>
      </w:r>
      <w:r>
        <w:fldChar w:fldCharType="end"/>
      </w:r>
    </w:p>
    <w:p w14:paraId="62B3034A" w14:textId="07BE93FC" w:rsidR="00A22E54" w:rsidRDefault="00A22E54">
      <w:pPr>
        <w:pStyle w:val="TOC2"/>
        <w:rPr>
          <w:rFonts w:asciiTheme="minorHAnsi" w:eastAsiaTheme="minorEastAsia" w:hAnsiTheme="minorHAnsi" w:cstheme="minorBidi"/>
          <w:spacing w:val="0"/>
          <w:sz w:val="22"/>
          <w:szCs w:val="22"/>
        </w:rPr>
      </w:pPr>
      <w:r>
        <w:t>5.</w:t>
      </w:r>
      <w:r>
        <w:rPr>
          <w:rFonts w:asciiTheme="minorHAnsi" w:eastAsiaTheme="minorEastAsia" w:hAnsiTheme="minorHAnsi" w:cstheme="minorBidi"/>
          <w:spacing w:val="0"/>
          <w:sz w:val="22"/>
          <w:szCs w:val="22"/>
        </w:rPr>
        <w:tab/>
      </w:r>
      <w:r>
        <w:t>Guiding principles</w:t>
      </w:r>
      <w:r>
        <w:tab/>
      </w:r>
      <w:r>
        <w:fldChar w:fldCharType="begin"/>
      </w:r>
      <w:r>
        <w:instrText xml:space="preserve"> PAGEREF _Toc126587095 \h </w:instrText>
      </w:r>
      <w:r>
        <w:fldChar w:fldCharType="separate"/>
      </w:r>
      <w:r>
        <w:t>3</w:t>
      </w:r>
      <w:r>
        <w:fldChar w:fldCharType="end"/>
      </w:r>
    </w:p>
    <w:p w14:paraId="0892167D" w14:textId="105E4D97" w:rsidR="00A22E54" w:rsidRDefault="00A22E54">
      <w:pPr>
        <w:pStyle w:val="TOC2"/>
        <w:rPr>
          <w:rFonts w:asciiTheme="minorHAnsi" w:eastAsiaTheme="minorEastAsia" w:hAnsiTheme="minorHAnsi" w:cstheme="minorBidi"/>
          <w:spacing w:val="0"/>
          <w:sz w:val="22"/>
          <w:szCs w:val="22"/>
        </w:rPr>
      </w:pPr>
      <w:r>
        <w:t>6.</w:t>
      </w:r>
      <w:r>
        <w:rPr>
          <w:rFonts w:asciiTheme="minorHAnsi" w:eastAsiaTheme="minorEastAsia" w:hAnsiTheme="minorHAnsi" w:cstheme="minorBidi"/>
          <w:spacing w:val="0"/>
          <w:sz w:val="22"/>
          <w:szCs w:val="22"/>
        </w:rPr>
        <w:tab/>
      </w:r>
      <w:r>
        <w:t>Who can issue an infringement notice?</w:t>
      </w:r>
      <w:r>
        <w:tab/>
      </w:r>
      <w:r>
        <w:fldChar w:fldCharType="begin"/>
      </w:r>
      <w:r>
        <w:instrText xml:space="preserve"> PAGEREF _Toc126587096 \h </w:instrText>
      </w:r>
      <w:r>
        <w:fldChar w:fldCharType="separate"/>
      </w:r>
      <w:r>
        <w:t>4</w:t>
      </w:r>
      <w:r>
        <w:fldChar w:fldCharType="end"/>
      </w:r>
    </w:p>
    <w:p w14:paraId="67755C66" w14:textId="6CE35273" w:rsidR="00A22E54" w:rsidRDefault="00A22E54">
      <w:pPr>
        <w:pStyle w:val="TOC2"/>
        <w:rPr>
          <w:rFonts w:asciiTheme="minorHAnsi" w:eastAsiaTheme="minorEastAsia" w:hAnsiTheme="minorHAnsi" w:cstheme="minorBidi"/>
          <w:spacing w:val="0"/>
          <w:sz w:val="22"/>
          <w:szCs w:val="22"/>
        </w:rPr>
      </w:pPr>
      <w:r>
        <w:t>7.</w:t>
      </w:r>
      <w:r>
        <w:rPr>
          <w:rFonts w:asciiTheme="minorHAnsi" w:eastAsiaTheme="minorEastAsia" w:hAnsiTheme="minorHAnsi" w:cstheme="minorBidi"/>
          <w:spacing w:val="0"/>
          <w:sz w:val="22"/>
          <w:szCs w:val="22"/>
        </w:rPr>
        <w:tab/>
      </w:r>
      <w:r>
        <w:t>Penalty amount</w:t>
      </w:r>
      <w:r>
        <w:tab/>
      </w:r>
      <w:r>
        <w:fldChar w:fldCharType="begin"/>
      </w:r>
      <w:r>
        <w:instrText xml:space="preserve"> PAGEREF _Toc126587097 \h </w:instrText>
      </w:r>
      <w:r>
        <w:fldChar w:fldCharType="separate"/>
      </w:r>
      <w:r>
        <w:t>4</w:t>
      </w:r>
      <w:r>
        <w:fldChar w:fldCharType="end"/>
      </w:r>
    </w:p>
    <w:p w14:paraId="1C66AE97" w14:textId="010C78DA" w:rsidR="00A22E54" w:rsidRDefault="00A22E54">
      <w:pPr>
        <w:pStyle w:val="TOC2"/>
        <w:rPr>
          <w:rFonts w:asciiTheme="minorHAnsi" w:eastAsiaTheme="minorEastAsia" w:hAnsiTheme="minorHAnsi" w:cstheme="minorBidi"/>
          <w:spacing w:val="0"/>
          <w:sz w:val="22"/>
          <w:szCs w:val="22"/>
        </w:rPr>
      </w:pPr>
      <w:r>
        <w:t>8.</w:t>
      </w:r>
      <w:r>
        <w:rPr>
          <w:rFonts w:asciiTheme="minorHAnsi" w:eastAsiaTheme="minorEastAsia" w:hAnsiTheme="minorHAnsi" w:cstheme="minorBidi"/>
          <w:spacing w:val="0"/>
          <w:sz w:val="22"/>
          <w:szCs w:val="22"/>
        </w:rPr>
        <w:tab/>
      </w:r>
      <w:r>
        <w:t>Timeframe for payment</w:t>
      </w:r>
      <w:r>
        <w:tab/>
      </w:r>
      <w:r>
        <w:fldChar w:fldCharType="begin"/>
      </w:r>
      <w:r>
        <w:instrText xml:space="preserve"> PAGEREF _Toc126587098 \h </w:instrText>
      </w:r>
      <w:r>
        <w:fldChar w:fldCharType="separate"/>
      </w:r>
      <w:r>
        <w:t>4</w:t>
      </w:r>
      <w:r>
        <w:fldChar w:fldCharType="end"/>
      </w:r>
    </w:p>
    <w:p w14:paraId="2A44A229" w14:textId="37A77000" w:rsidR="00A22E54" w:rsidRDefault="00A22E54">
      <w:pPr>
        <w:pStyle w:val="TOC2"/>
        <w:rPr>
          <w:rFonts w:asciiTheme="minorHAnsi" w:eastAsiaTheme="minorEastAsia" w:hAnsiTheme="minorHAnsi" w:cstheme="minorBidi"/>
          <w:spacing w:val="0"/>
          <w:sz w:val="22"/>
          <w:szCs w:val="22"/>
        </w:rPr>
      </w:pPr>
      <w:r>
        <w:t>9.</w:t>
      </w:r>
      <w:r>
        <w:rPr>
          <w:rFonts w:asciiTheme="minorHAnsi" w:eastAsiaTheme="minorEastAsia" w:hAnsiTheme="minorHAnsi" w:cstheme="minorBidi"/>
          <w:spacing w:val="0"/>
          <w:sz w:val="22"/>
          <w:szCs w:val="22"/>
        </w:rPr>
        <w:tab/>
      </w:r>
      <w:r>
        <w:t>Withdrawing an infringement notice</w:t>
      </w:r>
      <w:r>
        <w:tab/>
      </w:r>
      <w:r>
        <w:fldChar w:fldCharType="begin"/>
      </w:r>
      <w:r>
        <w:instrText xml:space="preserve"> PAGEREF _Toc126587099 \h </w:instrText>
      </w:r>
      <w:r>
        <w:fldChar w:fldCharType="separate"/>
      </w:r>
      <w:r>
        <w:t>4</w:t>
      </w:r>
      <w:r>
        <w:fldChar w:fldCharType="end"/>
      </w:r>
    </w:p>
    <w:p w14:paraId="260DC76D" w14:textId="39456376" w:rsidR="00A22E54" w:rsidRDefault="00A22E54">
      <w:pPr>
        <w:pStyle w:val="TOC2"/>
        <w:rPr>
          <w:rFonts w:asciiTheme="minorHAnsi" w:eastAsiaTheme="minorEastAsia" w:hAnsiTheme="minorHAnsi" w:cstheme="minorBidi"/>
          <w:spacing w:val="0"/>
          <w:sz w:val="22"/>
          <w:szCs w:val="22"/>
        </w:rPr>
      </w:pPr>
      <w:r>
        <w:t>10.</w:t>
      </w:r>
      <w:r>
        <w:rPr>
          <w:rFonts w:asciiTheme="minorHAnsi" w:eastAsiaTheme="minorEastAsia" w:hAnsiTheme="minorHAnsi" w:cstheme="minorBidi"/>
          <w:spacing w:val="0"/>
          <w:sz w:val="22"/>
          <w:szCs w:val="22"/>
        </w:rPr>
        <w:tab/>
      </w:r>
      <w:r>
        <w:t>Consequences if the penalty is paid</w:t>
      </w:r>
      <w:r>
        <w:tab/>
      </w:r>
      <w:r>
        <w:fldChar w:fldCharType="begin"/>
      </w:r>
      <w:r>
        <w:instrText xml:space="preserve"> PAGEREF _Toc126587100 \h </w:instrText>
      </w:r>
      <w:r>
        <w:fldChar w:fldCharType="separate"/>
      </w:r>
      <w:r>
        <w:t>5</w:t>
      </w:r>
      <w:r>
        <w:fldChar w:fldCharType="end"/>
      </w:r>
    </w:p>
    <w:p w14:paraId="79A873D7" w14:textId="076286D7" w:rsidR="00A22E54" w:rsidRDefault="00A22E54">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Consequences if the penalty is not paid</w:t>
      </w:r>
      <w:r>
        <w:tab/>
      </w:r>
      <w:r>
        <w:fldChar w:fldCharType="begin"/>
      </w:r>
      <w:r>
        <w:instrText xml:space="preserve"> PAGEREF _Toc126587101 \h </w:instrText>
      </w:r>
      <w:r>
        <w:fldChar w:fldCharType="separate"/>
      </w:r>
      <w:r>
        <w:t>5</w:t>
      </w:r>
      <w:r>
        <w:fldChar w:fldCharType="end"/>
      </w:r>
    </w:p>
    <w:p w14:paraId="4E70F7BD" w14:textId="7734C21C" w:rsidR="00A22E54" w:rsidRDefault="00A22E54">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Publication</w:t>
      </w:r>
      <w:r>
        <w:tab/>
      </w:r>
      <w:r>
        <w:fldChar w:fldCharType="begin"/>
      </w:r>
      <w:r>
        <w:instrText xml:space="preserve"> PAGEREF _Toc126587102 \h </w:instrText>
      </w:r>
      <w:r>
        <w:fldChar w:fldCharType="separate"/>
      </w:r>
      <w:r>
        <w:t>5</w:t>
      </w:r>
      <w:r>
        <w:fldChar w:fldCharType="end"/>
      </w:r>
    </w:p>
    <w:p w14:paraId="37F255D0" w14:textId="495FD4DD" w:rsidR="004D56FF" w:rsidRPr="000D76E0" w:rsidRDefault="00A22E54">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rPr>
        <w:fldChar w:fldCharType="end"/>
      </w:r>
    </w:p>
    <w:p w14:paraId="66D2F0AA" w14:textId="2C524B9B" w:rsidR="009D6C71" w:rsidRPr="009174F3" w:rsidRDefault="00CB3DA1" w:rsidP="009174F3">
      <w:pPr>
        <w:pStyle w:val="Execsummaryheading"/>
      </w:pPr>
      <w:bookmarkStart w:id="0" w:name="_Toc126587090"/>
      <w:r>
        <w:lastRenderedPageBreak/>
        <w:t>Overview</w:t>
      </w:r>
      <w:bookmarkEnd w:id="0"/>
    </w:p>
    <w:p w14:paraId="7D0E4C04" w14:textId="1E64E295" w:rsidR="00CB3DA1" w:rsidRPr="00DD3AA5" w:rsidRDefault="00CB3DA1" w:rsidP="00102966">
      <w:pPr>
        <w:spacing w:after="80"/>
        <w:rPr>
          <w:rFonts w:cs="Arial"/>
          <w:szCs w:val="20"/>
        </w:rPr>
      </w:pPr>
      <w:r w:rsidRPr="00DD3AA5">
        <w:rPr>
          <w:rFonts w:cs="Arial"/>
          <w:szCs w:val="20"/>
        </w:rPr>
        <w:t>The Australian Communications and Media Authority (ACMA) issues regulatory guides to assist both industry and the community by:</w:t>
      </w:r>
    </w:p>
    <w:p w14:paraId="28872BFE" w14:textId="77777777" w:rsidR="00CB3DA1" w:rsidRPr="00DD3AA5" w:rsidRDefault="00CB3DA1" w:rsidP="00CB3DA1">
      <w:pPr>
        <w:pStyle w:val="ListBullet"/>
        <w:rPr>
          <w:rFonts w:cs="Arial"/>
          <w:szCs w:val="20"/>
        </w:rPr>
      </w:pPr>
      <w:r w:rsidRPr="00DD3AA5">
        <w:rPr>
          <w:rFonts w:cs="Arial"/>
          <w:szCs w:val="20"/>
        </w:rPr>
        <w:t>giving practical guidance (for example, guidance about the ACMA’s approach to a particular issue or describing the steps of a process)</w:t>
      </w:r>
    </w:p>
    <w:p w14:paraId="64AF7089" w14:textId="77777777" w:rsidR="00CB3DA1" w:rsidRPr="00DD3AA5" w:rsidRDefault="00CB3DA1" w:rsidP="00CB3DA1">
      <w:pPr>
        <w:pStyle w:val="ListBullet"/>
        <w:rPr>
          <w:rFonts w:cs="Arial"/>
          <w:szCs w:val="20"/>
        </w:rPr>
      </w:pPr>
      <w:r w:rsidRPr="00DD3AA5">
        <w:rPr>
          <w:rFonts w:cs="Arial"/>
          <w:szCs w:val="20"/>
        </w:rPr>
        <w:t>describing the principles underlying the ACMA’s approach in particular areas</w:t>
      </w:r>
    </w:p>
    <w:p w14:paraId="397D19A0" w14:textId="77777777" w:rsidR="00CB3DA1" w:rsidRPr="00DD3AA5" w:rsidRDefault="00CB3DA1" w:rsidP="00CB3DA1">
      <w:pPr>
        <w:pStyle w:val="ListBullet"/>
        <w:rPr>
          <w:rFonts w:cs="Arial"/>
          <w:szCs w:val="20"/>
        </w:rPr>
      </w:pPr>
      <w:r w:rsidRPr="00DD3AA5">
        <w:rPr>
          <w:rFonts w:cs="Arial"/>
          <w:szCs w:val="20"/>
        </w:rPr>
        <w:t>explaining the ACMA’s view on the interpretation of the law or its application to a regulated industry</w:t>
      </w:r>
    </w:p>
    <w:p w14:paraId="0F4CF182" w14:textId="09CCA121" w:rsidR="00CB3DA1" w:rsidRDefault="00CB3DA1" w:rsidP="00CB3DA1">
      <w:pPr>
        <w:pStyle w:val="ListBullet"/>
        <w:spacing w:after="240"/>
        <w:rPr>
          <w:rFonts w:cs="Arial"/>
          <w:szCs w:val="20"/>
        </w:rPr>
      </w:pPr>
      <w:r w:rsidRPr="00DD3AA5">
        <w:rPr>
          <w:rFonts w:cs="Arial"/>
          <w:szCs w:val="20"/>
        </w:rPr>
        <w:t>explaining when and how the ACMA will exercise specific powers under the legislation it administers.</w:t>
      </w:r>
    </w:p>
    <w:p w14:paraId="681597D6" w14:textId="67F8D013" w:rsidR="0044713E" w:rsidRDefault="00CB3DA1" w:rsidP="0044713E">
      <w:pPr>
        <w:pStyle w:val="Paragraph"/>
      </w:pPr>
      <w:r w:rsidRPr="00DD3AA5">
        <w:t>A regulatory guide does not constitute or replace legal advice on obligations under the</w:t>
      </w:r>
      <w:r>
        <w:t xml:space="preserve"> </w:t>
      </w:r>
      <w:r w:rsidRPr="00DD3AA5">
        <w:t>relevant legislation.</w:t>
      </w:r>
    </w:p>
    <w:p w14:paraId="4B626452" w14:textId="77777777" w:rsidR="00D20BBD" w:rsidRPr="00520473" w:rsidRDefault="0044713E" w:rsidP="00D20BBD">
      <w:pPr>
        <w:pStyle w:val="Heading2"/>
        <w:tabs>
          <w:tab w:val="left" w:pos="567"/>
        </w:tabs>
        <w:spacing w:after="120"/>
      </w:pPr>
      <w:r>
        <w:br w:type="page"/>
      </w:r>
      <w:bookmarkStart w:id="1" w:name="_Toc302986661"/>
      <w:bookmarkStart w:id="2" w:name="_Toc126587091"/>
      <w:r w:rsidR="00D20BBD" w:rsidRPr="00520473">
        <w:lastRenderedPageBreak/>
        <w:t>1.</w:t>
      </w:r>
      <w:r w:rsidR="00D20BBD" w:rsidRPr="00520473">
        <w:tab/>
        <w:t>Purpose of this guide</w:t>
      </w:r>
      <w:bookmarkEnd w:id="1"/>
      <w:bookmarkEnd w:id="2"/>
      <w:r w:rsidR="00D20BBD" w:rsidRPr="00520473">
        <w:t xml:space="preserve"> </w:t>
      </w:r>
    </w:p>
    <w:p w14:paraId="18AF6846" w14:textId="41318D0A" w:rsidR="00D20BBD" w:rsidRPr="00520473" w:rsidRDefault="00D20BBD" w:rsidP="003A26FE">
      <w:pPr>
        <w:tabs>
          <w:tab w:val="left" w:pos="567"/>
        </w:tabs>
        <w:spacing w:after="120"/>
        <w:ind w:left="567" w:hanging="567"/>
        <w:rPr>
          <w:rFonts w:cs="Arial"/>
        </w:rPr>
      </w:pPr>
      <w:r w:rsidRPr="00520473">
        <w:rPr>
          <w:rFonts w:cs="Arial"/>
        </w:rPr>
        <w:t>1.1</w:t>
      </w:r>
      <w:r w:rsidRPr="00520473">
        <w:rPr>
          <w:rFonts w:cs="Arial"/>
        </w:rPr>
        <w:tab/>
        <w:t xml:space="preserve">The ACMA is empowered to issue an infringement notice in certain instances under the </w:t>
      </w:r>
      <w:r w:rsidRPr="00520473">
        <w:rPr>
          <w:rFonts w:cs="Arial"/>
          <w:i/>
        </w:rPr>
        <w:t>Do Not Call Register Act 2006</w:t>
      </w:r>
      <w:r w:rsidRPr="00520473">
        <w:rPr>
          <w:rFonts w:cs="Arial"/>
        </w:rPr>
        <w:t xml:space="preserve"> (DNCR Act), </w:t>
      </w:r>
      <w:r w:rsidRPr="00520473">
        <w:rPr>
          <w:rFonts w:cs="Arial"/>
          <w:i/>
        </w:rPr>
        <w:t>Spam Act 2003</w:t>
      </w:r>
      <w:r w:rsidRPr="00520473">
        <w:rPr>
          <w:rFonts w:cs="Arial"/>
        </w:rPr>
        <w:t xml:space="preserve">, </w:t>
      </w:r>
      <w:r w:rsidRPr="00520473">
        <w:rPr>
          <w:rFonts w:cs="Arial"/>
          <w:i/>
        </w:rPr>
        <w:t>Telecommunications Act 1997</w:t>
      </w:r>
      <w:r>
        <w:rPr>
          <w:rFonts w:cs="Arial"/>
          <w:i/>
        </w:rPr>
        <w:t>,</w:t>
      </w:r>
      <w:r w:rsidRPr="00520473">
        <w:rPr>
          <w:rFonts w:cs="Arial"/>
        </w:rPr>
        <w:t xml:space="preserve"> </w:t>
      </w:r>
      <w:r w:rsidRPr="00520473">
        <w:rPr>
          <w:rFonts w:cs="Arial"/>
          <w:i/>
        </w:rPr>
        <w:t>Broadcasting Services Act 1992</w:t>
      </w:r>
      <w:r w:rsidRPr="00520473">
        <w:rPr>
          <w:rFonts w:cs="Arial"/>
        </w:rPr>
        <w:t xml:space="preserve"> (BSA)</w:t>
      </w:r>
      <w:r w:rsidR="00DD3DA2">
        <w:rPr>
          <w:rFonts w:cs="Arial"/>
        </w:rPr>
        <w:t xml:space="preserve">, </w:t>
      </w:r>
      <w:r w:rsidR="00DD3DA2">
        <w:rPr>
          <w:rFonts w:cs="Arial"/>
          <w:i/>
          <w:iCs/>
        </w:rPr>
        <w:t>Radiocommunications Act 1992</w:t>
      </w:r>
      <w:r w:rsidR="00C53FE9">
        <w:rPr>
          <w:rFonts w:cs="Arial"/>
        </w:rPr>
        <w:t xml:space="preserve"> </w:t>
      </w:r>
      <w:r>
        <w:rPr>
          <w:rFonts w:cs="Arial"/>
        </w:rPr>
        <w:t xml:space="preserve">and the </w:t>
      </w:r>
      <w:r w:rsidRPr="00346B1E">
        <w:rPr>
          <w:rFonts w:cs="Arial"/>
          <w:i/>
        </w:rPr>
        <w:t>Interactive Gambling Act 2001</w:t>
      </w:r>
      <w:r>
        <w:rPr>
          <w:rFonts w:cs="Arial"/>
          <w:i/>
        </w:rPr>
        <w:t xml:space="preserve"> </w:t>
      </w:r>
      <w:r>
        <w:rPr>
          <w:rFonts w:cs="Arial"/>
        </w:rPr>
        <w:t xml:space="preserve">(IGA) </w:t>
      </w:r>
      <w:r w:rsidR="003A26FE">
        <w:rPr>
          <w:rFonts w:cs="Arial"/>
        </w:rPr>
        <w:t>–</w:t>
      </w:r>
      <w:r w:rsidRPr="00520473">
        <w:rPr>
          <w:rFonts w:cs="Arial"/>
        </w:rPr>
        <w:t xml:space="preserve">collectively, the Acts.  </w:t>
      </w:r>
    </w:p>
    <w:p w14:paraId="1C3FFEAD" w14:textId="77777777" w:rsidR="00D20BBD" w:rsidRPr="00520473" w:rsidRDefault="00D20BBD" w:rsidP="003A26FE">
      <w:pPr>
        <w:tabs>
          <w:tab w:val="left" w:pos="567"/>
        </w:tabs>
        <w:spacing w:after="120"/>
        <w:ind w:left="567" w:hanging="567"/>
        <w:rPr>
          <w:rFonts w:cs="Arial"/>
        </w:rPr>
      </w:pPr>
      <w:r w:rsidRPr="00520473">
        <w:rPr>
          <w:rFonts w:cs="Arial"/>
        </w:rPr>
        <w:t>1.2</w:t>
      </w:r>
      <w:r w:rsidRPr="00520473">
        <w:rPr>
          <w:rFonts w:cs="Arial"/>
        </w:rPr>
        <w:tab/>
        <w:t>While there are certain statutory differences between the various provisions under which an infringement notice can be given, the ACMA will seek to take a consistent approach in its exercise of this power.</w:t>
      </w:r>
    </w:p>
    <w:p w14:paraId="5E1A03FE" w14:textId="77777777" w:rsidR="00D20BBD" w:rsidRPr="00520473" w:rsidRDefault="00D20BBD" w:rsidP="003A26FE">
      <w:pPr>
        <w:tabs>
          <w:tab w:val="left" w:pos="567"/>
        </w:tabs>
        <w:spacing w:after="120"/>
        <w:ind w:left="567" w:hanging="567"/>
        <w:rPr>
          <w:rFonts w:cs="Arial"/>
        </w:rPr>
      </w:pPr>
      <w:r w:rsidRPr="00520473">
        <w:rPr>
          <w:rFonts w:cs="Arial"/>
        </w:rPr>
        <w:t>1.3</w:t>
      </w:r>
      <w:r w:rsidRPr="00520473">
        <w:rPr>
          <w:rFonts w:cs="Arial"/>
        </w:rPr>
        <w:tab/>
        <w:t xml:space="preserve">The purpose of this guide is to explain the ACMA’s approach to giving an infringement notice.  </w:t>
      </w:r>
    </w:p>
    <w:p w14:paraId="27181C9D" w14:textId="052DF4D3" w:rsidR="00D20BBD" w:rsidRPr="00520473" w:rsidRDefault="00D20BBD" w:rsidP="003A26FE">
      <w:pPr>
        <w:tabs>
          <w:tab w:val="left" w:pos="567"/>
        </w:tabs>
        <w:spacing w:after="120"/>
        <w:ind w:left="567" w:hanging="567"/>
        <w:rPr>
          <w:rFonts w:cs="Arial"/>
        </w:rPr>
      </w:pPr>
      <w:r w:rsidRPr="00520473">
        <w:rPr>
          <w:rFonts w:cs="Arial"/>
        </w:rPr>
        <w:t>1.4</w:t>
      </w:r>
      <w:r w:rsidRPr="00520473">
        <w:rPr>
          <w:rFonts w:cs="Arial"/>
        </w:rPr>
        <w:tab/>
        <w:t>This regulatory guide should be read in conjunction with</w:t>
      </w:r>
      <w:r w:rsidR="003A26FE">
        <w:rPr>
          <w:rFonts w:cs="Arial"/>
        </w:rPr>
        <w:t xml:space="preserve"> the</w:t>
      </w:r>
      <w:r w:rsidRPr="0023320A">
        <w:rPr>
          <w:rFonts w:cs="Arial"/>
        </w:rPr>
        <w:t xml:space="preserve"> </w:t>
      </w:r>
      <w:bookmarkStart w:id="3" w:name="_Hlk27657399"/>
      <w:r w:rsidRPr="00102966">
        <w:rPr>
          <w:rFonts w:cs="Arial"/>
          <w:i/>
        </w:rPr>
        <w:t xml:space="preserve">Regulatory </w:t>
      </w:r>
      <w:r w:rsidR="00B24F8E" w:rsidRPr="00102966">
        <w:rPr>
          <w:rFonts w:cs="Arial"/>
          <w:i/>
        </w:rPr>
        <w:t>g</w:t>
      </w:r>
      <w:r w:rsidRPr="00102966">
        <w:rPr>
          <w:rFonts w:cs="Arial"/>
          <w:i/>
        </w:rPr>
        <w:t>uide</w:t>
      </w:r>
      <w:r w:rsidR="003A26FE">
        <w:rPr>
          <w:rFonts w:cs="Arial"/>
          <w:i/>
        </w:rPr>
        <w:t xml:space="preserve"> </w:t>
      </w:r>
      <w:r w:rsidRPr="00102966">
        <w:rPr>
          <w:rFonts w:cs="Arial"/>
          <w:i/>
        </w:rPr>
        <w:t>No</w:t>
      </w:r>
      <w:r w:rsidR="00B24F8E" w:rsidRPr="00102966">
        <w:rPr>
          <w:rFonts w:cs="Arial"/>
          <w:i/>
        </w:rPr>
        <w:t>. 6:</w:t>
      </w:r>
      <w:r w:rsidRPr="00102966">
        <w:rPr>
          <w:rFonts w:cs="Arial"/>
          <w:i/>
        </w:rPr>
        <w:t xml:space="preserve"> </w:t>
      </w:r>
      <w:r w:rsidRPr="00102966">
        <w:rPr>
          <w:rFonts w:cs="Arial"/>
          <w:i/>
          <w:iCs/>
        </w:rPr>
        <w:t xml:space="preserve">Publication of </w:t>
      </w:r>
      <w:r w:rsidR="00B24F8E" w:rsidRPr="00102966">
        <w:rPr>
          <w:rFonts w:cs="Arial"/>
          <w:i/>
          <w:iCs/>
        </w:rPr>
        <w:t>i</w:t>
      </w:r>
      <w:r w:rsidRPr="00102966">
        <w:rPr>
          <w:rFonts w:cs="Arial"/>
          <w:i/>
          <w:iCs/>
        </w:rPr>
        <w:t xml:space="preserve">nvestigations and </w:t>
      </w:r>
      <w:r w:rsidR="00B24F8E" w:rsidRPr="00102966">
        <w:rPr>
          <w:rFonts w:cs="Arial"/>
          <w:i/>
          <w:iCs/>
        </w:rPr>
        <w:t>e</w:t>
      </w:r>
      <w:r w:rsidRPr="00102966">
        <w:rPr>
          <w:rFonts w:cs="Arial"/>
          <w:i/>
          <w:iCs/>
        </w:rPr>
        <w:t xml:space="preserve">nforcement </w:t>
      </w:r>
      <w:r w:rsidR="00B24F8E" w:rsidRPr="00102966">
        <w:rPr>
          <w:rFonts w:cs="Arial"/>
          <w:i/>
          <w:iCs/>
        </w:rPr>
        <w:t>a</w:t>
      </w:r>
      <w:r w:rsidRPr="00102966">
        <w:rPr>
          <w:rFonts w:cs="Arial"/>
          <w:i/>
          <w:iCs/>
        </w:rPr>
        <w:t>ctions</w:t>
      </w:r>
      <w:r w:rsidRPr="00520473">
        <w:rPr>
          <w:rFonts w:cs="Arial"/>
        </w:rPr>
        <w:t xml:space="preserve"> </w:t>
      </w:r>
      <w:bookmarkEnd w:id="3"/>
      <w:r w:rsidRPr="00520473">
        <w:rPr>
          <w:rFonts w:cs="Arial"/>
        </w:rPr>
        <w:t xml:space="preserve">and the </w:t>
      </w:r>
      <w:hyperlink r:id="rId24" w:history="1">
        <w:r w:rsidRPr="003F480C">
          <w:rPr>
            <w:rStyle w:val="Hyperlink"/>
            <w:rFonts w:cs="Arial"/>
          </w:rPr>
          <w:t>ACMA compliance and enforcement policy</w:t>
        </w:r>
      </w:hyperlink>
      <w:r w:rsidRPr="003F480C">
        <w:rPr>
          <w:rFonts w:cs="Arial"/>
        </w:rPr>
        <w:t>.</w:t>
      </w:r>
    </w:p>
    <w:p w14:paraId="630E77BE" w14:textId="12F48F0E" w:rsidR="00D20BBD" w:rsidRPr="00520473" w:rsidRDefault="00D20BBD" w:rsidP="00D20BBD">
      <w:pPr>
        <w:tabs>
          <w:tab w:val="left" w:pos="567"/>
        </w:tabs>
        <w:ind w:left="567" w:hanging="567"/>
        <w:rPr>
          <w:rFonts w:cs="Arial"/>
        </w:rPr>
      </w:pPr>
      <w:r w:rsidRPr="00520473">
        <w:rPr>
          <w:rFonts w:cs="Arial"/>
        </w:rPr>
        <w:t>1.5</w:t>
      </w:r>
      <w:r w:rsidRPr="00520473">
        <w:rPr>
          <w:rFonts w:cs="Arial"/>
        </w:rPr>
        <w:tab/>
        <w:t xml:space="preserve">This guide does not constitute legal advice. </w:t>
      </w:r>
      <w:r w:rsidR="002D08F0">
        <w:rPr>
          <w:rFonts w:cs="Arial"/>
        </w:rPr>
        <w:t>The ACMA encourages</w:t>
      </w:r>
      <w:r w:rsidR="002D08F0" w:rsidRPr="00520473">
        <w:rPr>
          <w:rFonts w:cs="Arial"/>
        </w:rPr>
        <w:t xml:space="preserve"> </w:t>
      </w:r>
      <w:r w:rsidRPr="00520473">
        <w:rPr>
          <w:rFonts w:cs="Arial"/>
        </w:rPr>
        <w:t>obtain</w:t>
      </w:r>
      <w:r w:rsidR="002D08F0">
        <w:rPr>
          <w:rFonts w:cs="Arial"/>
        </w:rPr>
        <w:t>ing</w:t>
      </w:r>
      <w:r w:rsidRPr="00520473">
        <w:rPr>
          <w:rFonts w:cs="Arial"/>
        </w:rPr>
        <w:t xml:space="preserve"> professional advice about the consequences of </w:t>
      </w:r>
      <w:r w:rsidR="002D08F0">
        <w:rPr>
          <w:rFonts w:cs="Arial"/>
        </w:rPr>
        <w:t xml:space="preserve">it </w:t>
      </w:r>
      <w:r w:rsidRPr="00520473">
        <w:rPr>
          <w:rFonts w:cs="Arial"/>
        </w:rPr>
        <w:t xml:space="preserve">giving an infringement notice. </w:t>
      </w:r>
    </w:p>
    <w:p w14:paraId="3D14A384" w14:textId="77777777" w:rsidR="00D20BBD" w:rsidRPr="00520473" w:rsidRDefault="00D20BBD" w:rsidP="00D20BBD">
      <w:pPr>
        <w:pStyle w:val="Heading2"/>
        <w:tabs>
          <w:tab w:val="left" w:pos="567"/>
        </w:tabs>
      </w:pPr>
      <w:bookmarkStart w:id="4" w:name="_Toc302986662"/>
      <w:bookmarkStart w:id="5" w:name="_Toc126587092"/>
      <w:r w:rsidRPr="00520473">
        <w:t>2.</w:t>
      </w:r>
      <w:r w:rsidRPr="00520473">
        <w:tab/>
        <w:t>What is an infringement notice?</w:t>
      </w:r>
      <w:bookmarkEnd w:id="4"/>
      <w:bookmarkEnd w:id="5"/>
    </w:p>
    <w:p w14:paraId="5BD1E395" w14:textId="77777777" w:rsidR="00D20BBD" w:rsidRPr="00520473" w:rsidRDefault="00D20BBD" w:rsidP="003A26FE">
      <w:pPr>
        <w:tabs>
          <w:tab w:val="left" w:pos="567"/>
        </w:tabs>
        <w:spacing w:after="120"/>
        <w:ind w:left="567" w:hanging="567"/>
        <w:rPr>
          <w:rFonts w:cs="Arial"/>
        </w:rPr>
      </w:pPr>
      <w:r w:rsidRPr="00520473">
        <w:rPr>
          <w:rFonts w:cs="Arial"/>
        </w:rPr>
        <w:t>2.1</w:t>
      </w:r>
      <w:r w:rsidRPr="00520473">
        <w:rPr>
          <w:rFonts w:cs="Arial"/>
        </w:rPr>
        <w:tab/>
        <w:t>An infringement notice is an administrative enforcement remedy that the ACMA may issue in certain limited circumstances. Infringement notices are a valuable enforcement and regulatory tool as they can provide a timely and cost-efficient outcome for both the ACMA and the entity or person that is the subject of an investigation.</w:t>
      </w:r>
    </w:p>
    <w:p w14:paraId="1E14A2CC" w14:textId="77777777" w:rsidR="00D20BBD" w:rsidRPr="00520473" w:rsidRDefault="00D20BBD" w:rsidP="003A26FE">
      <w:pPr>
        <w:tabs>
          <w:tab w:val="left" w:pos="567"/>
        </w:tabs>
        <w:spacing w:after="120"/>
        <w:ind w:left="567" w:hanging="567"/>
        <w:rPr>
          <w:rFonts w:cs="Arial"/>
        </w:rPr>
      </w:pPr>
      <w:r w:rsidRPr="00520473">
        <w:rPr>
          <w:rFonts w:cs="Arial"/>
        </w:rPr>
        <w:t>2.2</w:t>
      </w:r>
      <w:r w:rsidRPr="00520473">
        <w:rPr>
          <w:rFonts w:cs="Arial"/>
        </w:rPr>
        <w:tab/>
        <w:t xml:space="preserve">In issuing the infringement notice, the recipient is put on notice that the ACMA has reasonable grounds to believe that they have contravened the law. They are given the option of resolving the matter immediately by paying the penalty specified in the infringement notice or having the matter determined by the relevant court (see sections 10 and 11 below).  </w:t>
      </w:r>
    </w:p>
    <w:p w14:paraId="18B63385" w14:textId="0536A344" w:rsidR="00D20BBD" w:rsidRPr="00520473" w:rsidRDefault="00D20BBD" w:rsidP="00D20BBD">
      <w:pPr>
        <w:tabs>
          <w:tab w:val="left" w:pos="567"/>
        </w:tabs>
        <w:ind w:left="567" w:hanging="567"/>
        <w:rPr>
          <w:rFonts w:cs="Arial"/>
        </w:rPr>
      </w:pPr>
      <w:r w:rsidRPr="00520473">
        <w:rPr>
          <w:rFonts w:cs="Arial"/>
        </w:rPr>
        <w:t>2.3</w:t>
      </w:r>
      <w:r w:rsidRPr="00520473">
        <w:rPr>
          <w:rFonts w:cs="Arial"/>
        </w:rPr>
        <w:tab/>
        <w:t xml:space="preserve">The Acts set the amount of penalty that can be sought in an infringement notice. These prescribed infringement notice penalties are significantly less than the penalties that the relevant court could otherwise impose. </w:t>
      </w:r>
    </w:p>
    <w:p w14:paraId="20E32CC4" w14:textId="77777777" w:rsidR="00D20BBD" w:rsidRPr="00520473" w:rsidRDefault="00D20BBD" w:rsidP="003A26FE">
      <w:pPr>
        <w:pStyle w:val="Heading2"/>
        <w:keepNext w:val="0"/>
        <w:tabs>
          <w:tab w:val="left" w:pos="567"/>
        </w:tabs>
      </w:pPr>
      <w:bookmarkStart w:id="6" w:name="_Toc302986663"/>
      <w:bookmarkStart w:id="7" w:name="_Toc126587093"/>
      <w:r w:rsidRPr="00520473">
        <w:t>3.</w:t>
      </w:r>
      <w:r w:rsidRPr="00520473">
        <w:tab/>
        <w:t xml:space="preserve">Overview of the ACMA’s power to give an </w:t>
      </w:r>
      <w:r w:rsidRPr="00520473">
        <w:tab/>
        <w:t>infringement notice</w:t>
      </w:r>
      <w:bookmarkEnd w:id="6"/>
      <w:bookmarkEnd w:id="7"/>
    </w:p>
    <w:p w14:paraId="4F534656" w14:textId="58530C84" w:rsidR="0044713E" w:rsidRDefault="00D20BBD" w:rsidP="00A22E54">
      <w:pPr>
        <w:spacing w:after="120" w:line="240" w:lineRule="auto"/>
        <w:ind w:left="567" w:hanging="567"/>
        <w:rPr>
          <w:rFonts w:cs="Arial"/>
        </w:rPr>
      </w:pPr>
      <w:r w:rsidRPr="00520473">
        <w:rPr>
          <w:rFonts w:cs="Arial"/>
        </w:rPr>
        <w:t>3.1</w:t>
      </w:r>
      <w:r>
        <w:rPr>
          <w:rFonts w:cs="Arial"/>
        </w:rPr>
        <w:tab/>
      </w:r>
      <w:r w:rsidRPr="00520473">
        <w:rPr>
          <w:rFonts w:cs="Arial"/>
        </w:rPr>
        <w:t>The ACMA’s power to issue an infringement notice is limited to those provisions that are specified as being an infringement notice provision.</w:t>
      </w:r>
      <w:r w:rsidRPr="00520473">
        <w:rPr>
          <w:rFonts w:cs="Arial"/>
          <w:vertAlign w:val="superscript"/>
        </w:rPr>
        <w:footnoteReference w:id="1"/>
      </w:r>
      <w:r w:rsidRPr="00520473">
        <w:rPr>
          <w:rFonts w:cs="Arial"/>
        </w:rPr>
        <w:t xml:space="preserve"> It follows that an infringement notice is not an enforcement remedy that can be applied for all contraventions of the laws the ACMA administers</w:t>
      </w:r>
      <w:r>
        <w:rPr>
          <w:rFonts w:cs="Arial"/>
        </w:rPr>
        <w:t>.</w:t>
      </w:r>
    </w:p>
    <w:p w14:paraId="4E5E396E" w14:textId="77777777" w:rsidR="00D20BBD" w:rsidRPr="00520473" w:rsidRDefault="00D20BBD" w:rsidP="003A26FE">
      <w:pPr>
        <w:tabs>
          <w:tab w:val="left" w:pos="567"/>
        </w:tabs>
        <w:spacing w:after="120"/>
        <w:ind w:left="567" w:hanging="567"/>
        <w:rPr>
          <w:rFonts w:cs="Arial"/>
        </w:rPr>
      </w:pPr>
      <w:r w:rsidRPr="00520473">
        <w:rPr>
          <w:rFonts w:cs="Arial"/>
        </w:rPr>
        <w:t>3.2</w:t>
      </w:r>
      <w:r w:rsidRPr="00520473">
        <w:rPr>
          <w:rFonts w:cs="Arial"/>
        </w:rPr>
        <w:tab/>
        <w:t xml:space="preserve">Where the ACMA is empowered to give an infringement notice, it is under no obligation to do so. The decision to give an infringement notice is made in light of the facts of the matter. </w:t>
      </w:r>
    </w:p>
    <w:p w14:paraId="0FCE222E" w14:textId="77777777" w:rsidR="00D20BBD" w:rsidRPr="00520473" w:rsidRDefault="00D20BBD" w:rsidP="003A26FE">
      <w:pPr>
        <w:tabs>
          <w:tab w:val="left" w:pos="567"/>
        </w:tabs>
        <w:spacing w:after="120"/>
        <w:ind w:left="567" w:hanging="567"/>
        <w:rPr>
          <w:rFonts w:cs="Arial"/>
        </w:rPr>
      </w:pPr>
      <w:r w:rsidRPr="00520473">
        <w:rPr>
          <w:rFonts w:cs="Arial"/>
        </w:rPr>
        <w:lastRenderedPageBreak/>
        <w:t>3.3</w:t>
      </w:r>
      <w:r w:rsidRPr="00520473">
        <w:rPr>
          <w:rFonts w:cs="Arial"/>
        </w:rPr>
        <w:tab/>
        <w:t xml:space="preserve">There are strict time limits within which an infringement notice may be issued by the ACMA (generally within 12 months of the alleged contravention). </w:t>
      </w:r>
    </w:p>
    <w:p w14:paraId="720203CB" w14:textId="27E02799" w:rsidR="00D20BBD" w:rsidRPr="00520473" w:rsidRDefault="00D20BBD" w:rsidP="00D20BBD">
      <w:pPr>
        <w:tabs>
          <w:tab w:val="left" w:pos="567"/>
        </w:tabs>
        <w:spacing w:after="80"/>
        <w:ind w:left="567" w:hanging="567"/>
        <w:rPr>
          <w:rFonts w:cs="Arial"/>
        </w:rPr>
      </w:pPr>
      <w:r w:rsidRPr="00520473">
        <w:rPr>
          <w:rFonts w:cs="Arial"/>
        </w:rPr>
        <w:t>3.4</w:t>
      </w:r>
      <w:r w:rsidRPr="00520473">
        <w:rPr>
          <w:rFonts w:cs="Arial"/>
        </w:rPr>
        <w:tab/>
        <w:t>The Acts also set out what information must be included in the infringement notice. That information includes:</w:t>
      </w:r>
    </w:p>
    <w:p w14:paraId="52586EB8"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the name of the person who issued it</w:t>
      </w:r>
    </w:p>
    <w:p w14:paraId="259C58F2"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the nature or details of the alleged contravention/offence</w:t>
      </w:r>
    </w:p>
    <w:p w14:paraId="7A0CF60E"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the amount of the penalty imposed and how it was calculated</w:t>
      </w:r>
    </w:p>
    <w:p w14:paraId="5E48757D"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when the penalty must be paid</w:t>
      </w:r>
    </w:p>
    <w:p w14:paraId="1CD026BC"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 xml:space="preserve">how the penalty may be paid </w:t>
      </w:r>
    </w:p>
    <w:p w14:paraId="786ACA78"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the effect and consequences of withdrawing the notice</w:t>
      </w:r>
    </w:p>
    <w:p w14:paraId="33E64512" w14:textId="77777777" w:rsidR="00D20BBD" w:rsidRPr="00520473" w:rsidRDefault="00D20BBD" w:rsidP="00D20BBD">
      <w:pPr>
        <w:pStyle w:val="ListBullet"/>
        <w:tabs>
          <w:tab w:val="clear" w:pos="295"/>
          <w:tab w:val="num" w:pos="1134"/>
        </w:tabs>
        <w:ind w:left="1134" w:hanging="567"/>
        <w:rPr>
          <w:rFonts w:cs="Arial"/>
        </w:rPr>
      </w:pPr>
      <w:r w:rsidRPr="00520473">
        <w:rPr>
          <w:rFonts w:cs="Arial"/>
        </w:rPr>
        <w:t>the consequences of paying the penalty</w:t>
      </w:r>
    </w:p>
    <w:p w14:paraId="23F49789" w14:textId="77777777" w:rsidR="00D20BBD" w:rsidRPr="00520473" w:rsidRDefault="00D20BBD" w:rsidP="003A26FE">
      <w:pPr>
        <w:pStyle w:val="ListBullet"/>
        <w:tabs>
          <w:tab w:val="clear" w:pos="295"/>
          <w:tab w:val="num" w:pos="1134"/>
        </w:tabs>
        <w:spacing w:after="120"/>
        <w:ind w:left="1134" w:hanging="567"/>
        <w:rPr>
          <w:rFonts w:cs="Arial"/>
        </w:rPr>
      </w:pPr>
      <w:r w:rsidRPr="00520473">
        <w:rPr>
          <w:rFonts w:cs="Arial"/>
        </w:rPr>
        <w:t>the consequences of not paying the penalty.</w:t>
      </w:r>
    </w:p>
    <w:p w14:paraId="79662DFF" w14:textId="77777777" w:rsidR="00D20BBD" w:rsidRPr="00520473" w:rsidRDefault="00D20BBD" w:rsidP="00D20BBD">
      <w:pPr>
        <w:tabs>
          <w:tab w:val="left" w:pos="567"/>
        </w:tabs>
        <w:ind w:left="567" w:hanging="567"/>
        <w:rPr>
          <w:rFonts w:cs="Arial"/>
        </w:rPr>
      </w:pPr>
      <w:r w:rsidRPr="00520473">
        <w:rPr>
          <w:rFonts w:cs="Arial"/>
        </w:rPr>
        <w:t>3.5</w:t>
      </w:r>
      <w:r w:rsidRPr="00520473">
        <w:rPr>
          <w:rFonts w:cs="Arial"/>
        </w:rPr>
        <w:tab/>
        <w:t xml:space="preserve">The decision to give an infringement notice is made in light of the facts of the matter. </w:t>
      </w:r>
    </w:p>
    <w:p w14:paraId="5FFF7790" w14:textId="77777777" w:rsidR="00D20BBD" w:rsidRPr="00520473" w:rsidRDefault="00D20BBD" w:rsidP="00D20BBD">
      <w:pPr>
        <w:pStyle w:val="Heading2"/>
        <w:tabs>
          <w:tab w:val="left" w:pos="567"/>
        </w:tabs>
        <w:rPr>
          <w:szCs w:val="24"/>
        </w:rPr>
      </w:pPr>
      <w:bookmarkStart w:id="8" w:name="_Toc302986664"/>
      <w:bookmarkStart w:id="9" w:name="_Toc126587094"/>
      <w:r w:rsidRPr="00520473">
        <w:t>4.</w:t>
      </w:r>
      <w:r w:rsidRPr="00520473">
        <w:tab/>
        <w:t>Discretionary factors</w:t>
      </w:r>
      <w:bookmarkEnd w:id="8"/>
      <w:bookmarkEnd w:id="9"/>
      <w:r w:rsidRPr="00520473">
        <w:t xml:space="preserve"> </w:t>
      </w:r>
    </w:p>
    <w:p w14:paraId="669AA6C0" w14:textId="77777777" w:rsidR="00D20BBD" w:rsidRPr="00520473" w:rsidRDefault="00D20BBD" w:rsidP="00A22E54">
      <w:pPr>
        <w:pStyle w:val="ACMABodyText"/>
        <w:spacing w:before="0" w:after="80" w:line="240" w:lineRule="atLeast"/>
        <w:ind w:left="567" w:hanging="567"/>
        <w:rPr>
          <w:rFonts w:cs="Arial"/>
          <w:snapToGrid/>
          <w:sz w:val="20"/>
          <w:szCs w:val="24"/>
          <w:lang w:eastAsia="en-AU"/>
        </w:rPr>
      </w:pPr>
      <w:r w:rsidRPr="00520473">
        <w:rPr>
          <w:rFonts w:cs="Arial"/>
          <w:snapToGrid/>
          <w:sz w:val="20"/>
          <w:szCs w:val="24"/>
          <w:lang w:eastAsia="en-AU"/>
        </w:rPr>
        <w:t>4.1</w:t>
      </w:r>
      <w:r w:rsidRPr="00520473">
        <w:rPr>
          <w:rFonts w:cs="Arial"/>
          <w:szCs w:val="24"/>
        </w:rPr>
        <w:tab/>
      </w:r>
      <w:r w:rsidRPr="00520473">
        <w:rPr>
          <w:rFonts w:cs="Arial"/>
          <w:snapToGrid/>
          <w:sz w:val="20"/>
          <w:szCs w:val="24"/>
          <w:lang w:eastAsia="en-AU"/>
        </w:rPr>
        <w:t xml:space="preserve">In determining whether an infringement notice is an appropriate enforcement response, the ACMA considers a range of factors including, but not limited to:  </w:t>
      </w:r>
    </w:p>
    <w:p w14:paraId="55FC12FA" w14:textId="64387822" w:rsidR="00D20BBD" w:rsidRPr="00520473" w:rsidRDefault="00D20BBD" w:rsidP="003A26FE">
      <w:pPr>
        <w:pStyle w:val="ListBullet"/>
        <w:tabs>
          <w:tab w:val="clear" w:pos="295"/>
          <w:tab w:val="num" w:pos="1134"/>
        </w:tabs>
        <w:ind w:left="1134" w:hanging="567"/>
        <w:rPr>
          <w:rFonts w:cs="Arial"/>
        </w:rPr>
      </w:pPr>
      <w:r w:rsidRPr="00520473">
        <w:rPr>
          <w:rFonts w:cs="Arial"/>
        </w:rPr>
        <w:t xml:space="preserve">the nature and seriousness of the conduct  </w:t>
      </w:r>
    </w:p>
    <w:p w14:paraId="4270EAFE" w14:textId="77777777" w:rsidR="00D20BBD" w:rsidRPr="00520473" w:rsidRDefault="00D20BBD" w:rsidP="003A26FE">
      <w:pPr>
        <w:pStyle w:val="ListBullet"/>
        <w:tabs>
          <w:tab w:val="clear" w:pos="295"/>
          <w:tab w:val="num" w:pos="1134"/>
        </w:tabs>
        <w:ind w:left="1134" w:hanging="567"/>
        <w:rPr>
          <w:rFonts w:cs="Arial"/>
        </w:rPr>
      </w:pPr>
      <w:r w:rsidRPr="00520473">
        <w:rPr>
          <w:rFonts w:cs="Arial"/>
        </w:rPr>
        <w:t xml:space="preserve">whether the conduct was deliberate, reckless or inadvertent </w:t>
      </w:r>
    </w:p>
    <w:p w14:paraId="00F3FAE1" w14:textId="77777777" w:rsidR="00D20BBD" w:rsidRPr="00520473" w:rsidRDefault="00D20BBD" w:rsidP="003A26FE">
      <w:pPr>
        <w:pStyle w:val="ListBullet"/>
        <w:tabs>
          <w:tab w:val="clear" w:pos="295"/>
          <w:tab w:val="num" w:pos="1134"/>
        </w:tabs>
        <w:ind w:left="1134" w:hanging="567"/>
        <w:rPr>
          <w:rFonts w:cs="Arial"/>
        </w:rPr>
      </w:pPr>
      <w:r w:rsidRPr="00520473">
        <w:rPr>
          <w:rFonts w:cs="Arial"/>
        </w:rPr>
        <w:t>what, if any, action was taken following the ACMA bringing the issues of concern to the person’s attention (for example, through a formal warning)</w:t>
      </w:r>
      <w:r w:rsidRPr="00520473">
        <w:rPr>
          <w:rFonts w:cs="Arial"/>
          <w:vertAlign w:val="superscript"/>
        </w:rPr>
        <w:footnoteReference w:id="2"/>
      </w:r>
    </w:p>
    <w:p w14:paraId="2AEC2CBB" w14:textId="77777777" w:rsidR="00D20BBD" w:rsidRPr="00520473" w:rsidRDefault="00D20BBD" w:rsidP="003A26FE">
      <w:pPr>
        <w:pStyle w:val="ListBullet"/>
        <w:tabs>
          <w:tab w:val="clear" w:pos="295"/>
          <w:tab w:val="num" w:pos="1134"/>
        </w:tabs>
        <w:spacing w:after="120"/>
        <w:ind w:left="1134" w:hanging="567"/>
        <w:rPr>
          <w:rFonts w:cs="Arial"/>
        </w:rPr>
      </w:pPr>
      <w:r w:rsidRPr="00520473">
        <w:rPr>
          <w:rFonts w:cs="Arial"/>
        </w:rPr>
        <w:t>the impact of issuing the infringement notice on other enforcement action in progress or that may be taken by the ACMA.</w:t>
      </w:r>
    </w:p>
    <w:p w14:paraId="417CD51B" w14:textId="77777777" w:rsidR="00D20BBD" w:rsidRPr="00520473" w:rsidRDefault="00D20BBD" w:rsidP="003A26FE">
      <w:pPr>
        <w:pStyle w:val="ACMABodyText"/>
        <w:spacing w:before="0" w:after="80" w:line="240" w:lineRule="atLeast"/>
        <w:ind w:left="567" w:hanging="567"/>
        <w:rPr>
          <w:rFonts w:cs="Arial"/>
          <w:snapToGrid/>
          <w:sz w:val="20"/>
          <w:szCs w:val="24"/>
          <w:lang w:eastAsia="en-AU"/>
        </w:rPr>
      </w:pPr>
      <w:r w:rsidRPr="00520473">
        <w:rPr>
          <w:rFonts w:cs="Arial"/>
          <w:snapToGrid/>
          <w:sz w:val="20"/>
          <w:szCs w:val="24"/>
          <w:lang w:eastAsia="en-AU"/>
        </w:rPr>
        <w:t>4.2</w:t>
      </w:r>
      <w:r w:rsidRPr="00520473">
        <w:rPr>
          <w:rFonts w:cs="Arial"/>
          <w:snapToGrid/>
          <w:sz w:val="20"/>
          <w:szCs w:val="24"/>
          <w:lang w:eastAsia="en-AU"/>
        </w:rPr>
        <w:tab/>
        <w:t>An infringement notice may not, however, be an appropriate enforcement response where:</w:t>
      </w:r>
    </w:p>
    <w:p w14:paraId="6D08439C" w14:textId="77777777" w:rsidR="00D20BBD" w:rsidRPr="00520473" w:rsidRDefault="00D20BBD" w:rsidP="003A26FE">
      <w:pPr>
        <w:pStyle w:val="ListBullet"/>
        <w:tabs>
          <w:tab w:val="clear" w:pos="295"/>
          <w:tab w:val="num" w:pos="1134"/>
        </w:tabs>
        <w:ind w:left="1134" w:hanging="567"/>
        <w:rPr>
          <w:rFonts w:cs="Arial"/>
        </w:rPr>
      </w:pPr>
      <w:r w:rsidRPr="00520473">
        <w:rPr>
          <w:rFonts w:cs="Arial"/>
        </w:rPr>
        <w:t>the ACMA has previously taken action against the recipient for similar contraventions</w:t>
      </w:r>
    </w:p>
    <w:p w14:paraId="7116B540" w14:textId="77777777" w:rsidR="00D20BBD" w:rsidRPr="00520473" w:rsidRDefault="00D20BBD" w:rsidP="003A26FE">
      <w:pPr>
        <w:pStyle w:val="ListBullet"/>
        <w:tabs>
          <w:tab w:val="clear" w:pos="295"/>
          <w:tab w:val="num" w:pos="1134"/>
        </w:tabs>
        <w:ind w:left="1134" w:hanging="567"/>
        <w:rPr>
          <w:rFonts w:cs="Arial"/>
        </w:rPr>
      </w:pPr>
      <w:r w:rsidRPr="00520473">
        <w:rPr>
          <w:rFonts w:cs="Arial"/>
        </w:rPr>
        <w:t>the contraventions have occurred over an extended period of time</w:t>
      </w:r>
    </w:p>
    <w:p w14:paraId="0F344294" w14:textId="77777777" w:rsidR="00D20BBD" w:rsidRPr="00520473" w:rsidRDefault="00D20BBD" w:rsidP="003A26FE">
      <w:pPr>
        <w:pStyle w:val="ListBullet"/>
        <w:tabs>
          <w:tab w:val="clear" w:pos="295"/>
          <w:tab w:val="num" w:pos="1134"/>
        </w:tabs>
        <w:ind w:left="1134" w:hanging="567"/>
        <w:rPr>
          <w:rFonts w:cs="Arial"/>
        </w:rPr>
      </w:pPr>
      <w:r w:rsidRPr="00520473">
        <w:rPr>
          <w:rFonts w:cs="Arial"/>
        </w:rPr>
        <w:t>the recipient has, as a consequence of the contraventions, obtained a financial or other advantage, to the detriment of others</w:t>
      </w:r>
    </w:p>
    <w:p w14:paraId="7D3088CE" w14:textId="56084CD4" w:rsidR="00D20BBD" w:rsidRDefault="00D20BBD" w:rsidP="00DF08EF">
      <w:pPr>
        <w:pStyle w:val="ListBullet"/>
        <w:tabs>
          <w:tab w:val="clear" w:pos="295"/>
          <w:tab w:val="num" w:pos="1134"/>
        </w:tabs>
        <w:ind w:left="1134" w:hanging="567"/>
        <w:rPr>
          <w:rFonts w:cs="Arial"/>
        </w:rPr>
      </w:pPr>
      <w:r w:rsidRPr="00520473">
        <w:rPr>
          <w:rFonts w:cs="Arial"/>
        </w:rPr>
        <w:t>the recipient’s conduct is the subject of other compliance or enforcement action by the ACMA.</w:t>
      </w:r>
    </w:p>
    <w:p w14:paraId="6D9D47D0" w14:textId="77777777" w:rsidR="00DF08EF" w:rsidRPr="00520473" w:rsidRDefault="00DF08EF" w:rsidP="00DF08EF">
      <w:pPr>
        <w:pStyle w:val="Heading2"/>
        <w:tabs>
          <w:tab w:val="left" w:pos="567"/>
        </w:tabs>
      </w:pPr>
      <w:bookmarkStart w:id="10" w:name="_Toc302986665"/>
      <w:bookmarkStart w:id="11" w:name="_Toc126587095"/>
      <w:r w:rsidRPr="00520473">
        <w:t>5.</w:t>
      </w:r>
      <w:r w:rsidRPr="00520473">
        <w:tab/>
        <w:t>Guiding principles</w:t>
      </w:r>
      <w:bookmarkEnd w:id="10"/>
      <w:bookmarkEnd w:id="11"/>
    </w:p>
    <w:p w14:paraId="45D8F7F7" w14:textId="77777777" w:rsidR="00DF08EF" w:rsidRPr="00520473" w:rsidRDefault="00DF08EF" w:rsidP="003A26FE">
      <w:pPr>
        <w:pStyle w:val="ACMABodyText"/>
        <w:keepNext/>
        <w:spacing w:before="0" w:after="80"/>
        <w:ind w:left="567" w:hanging="567"/>
        <w:rPr>
          <w:rFonts w:cs="Arial"/>
          <w:snapToGrid/>
          <w:sz w:val="20"/>
          <w:szCs w:val="24"/>
          <w:lang w:eastAsia="en-AU"/>
        </w:rPr>
      </w:pPr>
      <w:r w:rsidRPr="00520473">
        <w:rPr>
          <w:rFonts w:cs="Arial"/>
          <w:snapToGrid/>
          <w:sz w:val="20"/>
          <w:szCs w:val="24"/>
          <w:lang w:eastAsia="en-AU"/>
        </w:rPr>
        <w:t>5.1</w:t>
      </w:r>
      <w:r w:rsidRPr="00520473">
        <w:rPr>
          <w:rFonts w:cs="Arial"/>
          <w:snapToGrid/>
          <w:sz w:val="20"/>
          <w:szCs w:val="24"/>
          <w:lang w:eastAsia="en-AU"/>
        </w:rPr>
        <w:tab/>
        <w:t>The ACMA may consider issuing an infringement notice instead of:</w:t>
      </w:r>
    </w:p>
    <w:p w14:paraId="2FAD8CE2" w14:textId="77777777" w:rsidR="00DF08EF" w:rsidRPr="00520473" w:rsidRDefault="00DF08EF" w:rsidP="003A26FE">
      <w:pPr>
        <w:pStyle w:val="ListBullet"/>
        <w:tabs>
          <w:tab w:val="clear" w:pos="295"/>
          <w:tab w:val="num" w:pos="1134"/>
        </w:tabs>
        <w:ind w:left="1134" w:hanging="567"/>
        <w:rPr>
          <w:rFonts w:cs="Arial"/>
        </w:rPr>
      </w:pPr>
      <w:r w:rsidRPr="00520473">
        <w:rPr>
          <w:rFonts w:cs="Arial"/>
        </w:rPr>
        <w:t xml:space="preserve">taking other administrative action, including taking licensing action (for example, imposing conditions on a licence or suspending/cancelling a licence), issuing a </w:t>
      </w:r>
      <w:hyperlink r:id="rId25" w:history="1">
        <w:r w:rsidRPr="00520473">
          <w:rPr>
            <w:rStyle w:val="Hyperlink"/>
            <w:rFonts w:cs="Arial"/>
          </w:rPr>
          <w:t>remedial direction</w:t>
        </w:r>
      </w:hyperlink>
      <w:r w:rsidRPr="00520473">
        <w:rPr>
          <w:rFonts w:cs="Arial"/>
        </w:rPr>
        <w:t xml:space="preserve"> and accepting an </w:t>
      </w:r>
      <w:hyperlink r:id="rId26" w:history="1">
        <w:r w:rsidRPr="00520473">
          <w:rPr>
            <w:rStyle w:val="Hyperlink"/>
            <w:rFonts w:cs="Arial"/>
          </w:rPr>
          <w:t>enforceable undertaking</w:t>
        </w:r>
      </w:hyperlink>
    </w:p>
    <w:p w14:paraId="30027EE3" w14:textId="77777777" w:rsidR="00DF08EF" w:rsidRPr="00520473" w:rsidRDefault="00DF08EF" w:rsidP="003A26FE">
      <w:pPr>
        <w:pStyle w:val="ListBullet"/>
        <w:tabs>
          <w:tab w:val="clear" w:pos="295"/>
          <w:tab w:val="num" w:pos="1134"/>
        </w:tabs>
        <w:spacing w:after="120"/>
        <w:ind w:left="1134" w:hanging="567"/>
        <w:rPr>
          <w:rFonts w:cs="Arial"/>
        </w:rPr>
      </w:pPr>
      <w:r w:rsidRPr="00520473">
        <w:rPr>
          <w:rFonts w:cs="Arial"/>
        </w:rPr>
        <w:t>commencing civil proceedings or, if relevant, referring a matter to the Commonwealth Director of Public Prosecutions.</w:t>
      </w:r>
    </w:p>
    <w:p w14:paraId="6ACA9A90" w14:textId="77777777" w:rsidR="00DF08EF" w:rsidRPr="00520473" w:rsidRDefault="00DF08EF" w:rsidP="003A26FE">
      <w:pPr>
        <w:tabs>
          <w:tab w:val="left" w:pos="567"/>
        </w:tabs>
        <w:spacing w:after="120"/>
        <w:ind w:left="567" w:hanging="567"/>
        <w:rPr>
          <w:rFonts w:cs="Arial"/>
        </w:rPr>
      </w:pPr>
      <w:r w:rsidRPr="00520473">
        <w:rPr>
          <w:rFonts w:cs="Arial"/>
        </w:rPr>
        <w:lastRenderedPageBreak/>
        <w:t>5.2</w:t>
      </w:r>
      <w:r w:rsidRPr="00520473">
        <w:rPr>
          <w:rFonts w:cs="Arial"/>
        </w:rPr>
        <w:tab/>
        <w:t xml:space="preserve">The ACMA may consider giving an infringement notice at the time when it has gathered sufficient evidence and information to have reasonable grounds for believing that the contravention/s or offence has occurred. The point in time at which that requisite belief can be formed will turn, among other things, on the nature and complexity of the issues involved and the quality of the evidence and information obtained. </w:t>
      </w:r>
    </w:p>
    <w:p w14:paraId="799866D1" w14:textId="77777777" w:rsidR="00DF08EF" w:rsidRPr="00520473" w:rsidRDefault="00DF08EF" w:rsidP="00DF08EF">
      <w:pPr>
        <w:tabs>
          <w:tab w:val="left" w:pos="567"/>
        </w:tabs>
        <w:ind w:left="567" w:hanging="567"/>
        <w:rPr>
          <w:rFonts w:cs="Arial"/>
        </w:rPr>
      </w:pPr>
      <w:r w:rsidRPr="00520473">
        <w:rPr>
          <w:rFonts w:cs="Arial"/>
        </w:rPr>
        <w:t>5.3</w:t>
      </w:r>
      <w:r w:rsidRPr="00520473">
        <w:rPr>
          <w:rFonts w:cs="Arial"/>
        </w:rPr>
        <w:tab/>
        <w:t xml:space="preserve">As noted in section 3, there are strict time limits within which an infringement may be issued by the ACMA. It follows that an infringement notice will not be available as an option if the relevant time limit has elapsed. </w:t>
      </w:r>
    </w:p>
    <w:p w14:paraId="66AD5E54" w14:textId="77777777" w:rsidR="00DF08EF" w:rsidRPr="00520473" w:rsidRDefault="00DF08EF" w:rsidP="00DF08EF">
      <w:pPr>
        <w:pStyle w:val="Heading2"/>
        <w:tabs>
          <w:tab w:val="left" w:pos="567"/>
        </w:tabs>
      </w:pPr>
      <w:bookmarkStart w:id="12" w:name="_Toc302986666"/>
      <w:bookmarkStart w:id="13" w:name="_Toc126587096"/>
      <w:r w:rsidRPr="00520473">
        <w:t>6.</w:t>
      </w:r>
      <w:r w:rsidRPr="00520473">
        <w:tab/>
        <w:t>Who can issue an infringement notice?</w:t>
      </w:r>
      <w:bookmarkEnd w:id="12"/>
      <w:bookmarkEnd w:id="13"/>
    </w:p>
    <w:p w14:paraId="2408A6D7" w14:textId="6565A098" w:rsidR="00DF08EF" w:rsidRPr="00520473" w:rsidRDefault="00DF08EF" w:rsidP="003A26FE">
      <w:pPr>
        <w:tabs>
          <w:tab w:val="left" w:pos="567"/>
        </w:tabs>
        <w:spacing w:after="120"/>
        <w:ind w:left="567" w:hanging="567"/>
        <w:rPr>
          <w:rFonts w:cs="Arial"/>
        </w:rPr>
      </w:pPr>
      <w:r w:rsidRPr="00520473">
        <w:rPr>
          <w:rFonts w:cs="Arial"/>
        </w:rPr>
        <w:t>6.1</w:t>
      </w:r>
      <w:r w:rsidRPr="00520473">
        <w:rPr>
          <w:rFonts w:cs="Arial"/>
        </w:rPr>
        <w:tab/>
        <w:t>Only the Chair or a member of staff of the ACMA who has a written authorisation can issue an infringement notice.</w:t>
      </w:r>
      <w:r w:rsidRPr="00520473">
        <w:rPr>
          <w:rFonts w:cs="Arial"/>
          <w:vertAlign w:val="superscript"/>
        </w:rPr>
        <w:footnoteReference w:id="3"/>
      </w:r>
      <w:r w:rsidRPr="00520473">
        <w:rPr>
          <w:rFonts w:cs="Arial"/>
        </w:rPr>
        <w:t xml:space="preserve">  </w:t>
      </w:r>
    </w:p>
    <w:p w14:paraId="7AF55647" w14:textId="77777777" w:rsidR="00DF08EF" w:rsidRPr="00520473" w:rsidRDefault="00DF08EF" w:rsidP="00DF08EF">
      <w:pPr>
        <w:tabs>
          <w:tab w:val="left" w:pos="567"/>
        </w:tabs>
        <w:ind w:left="567" w:hanging="567"/>
        <w:rPr>
          <w:rFonts w:cs="Arial"/>
        </w:rPr>
      </w:pPr>
      <w:r w:rsidRPr="00520473">
        <w:rPr>
          <w:rFonts w:cs="Arial"/>
        </w:rPr>
        <w:t>6.2</w:t>
      </w:r>
      <w:r w:rsidRPr="00520473">
        <w:rPr>
          <w:rFonts w:cs="Arial"/>
        </w:rPr>
        <w:tab/>
        <w:t xml:space="preserve">As noted in section 3, the name of the person who issues the infringement notice will be set out in the notice. </w:t>
      </w:r>
    </w:p>
    <w:p w14:paraId="30FBC945" w14:textId="77777777" w:rsidR="00DF08EF" w:rsidRPr="00520473" w:rsidRDefault="00DF08EF" w:rsidP="00DF08EF">
      <w:pPr>
        <w:pStyle w:val="Heading2"/>
        <w:tabs>
          <w:tab w:val="left" w:pos="567"/>
        </w:tabs>
      </w:pPr>
      <w:bookmarkStart w:id="14" w:name="_Toc302986667"/>
      <w:bookmarkStart w:id="15" w:name="_Toc126587097"/>
      <w:r w:rsidRPr="00520473">
        <w:t>7.</w:t>
      </w:r>
      <w:r w:rsidRPr="00520473">
        <w:tab/>
        <w:t>Penalty amount</w:t>
      </w:r>
      <w:bookmarkEnd w:id="14"/>
      <w:bookmarkEnd w:id="15"/>
    </w:p>
    <w:p w14:paraId="46653010" w14:textId="77777777" w:rsidR="00DF08EF" w:rsidRPr="00520473" w:rsidRDefault="00DF08EF" w:rsidP="003A26FE">
      <w:pPr>
        <w:tabs>
          <w:tab w:val="left" w:pos="567"/>
        </w:tabs>
        <w:spacing w:after="120"/>
        <w:ind w:left="567" w:hanging="567"/>
        <w:rPr>
          <w:rFonts w:cs="Arial"/>
        </w:rPr>
      </w:pPr>
      <w:r w:rsidRPr="00520473">
        <w:rPr>
          <w:rFonts w:cs="Arial"/>
        </w:rPr>
        <w:t>7.1</w:t>
      </w:r>
      <w:r w:rsidRPr="00520473">
        <w:rPr>
          <w:rFonts w:cs="Arial"/>
        </w:rPr>
        <w:tab/>
        <w:t xml:space="preserve">As noted in section 2, that penalty is significantly less than the penalty that potentially may be imposed should the matter proceed to court.  </w:t>
      </w:r>
    </w:p>
    <w:p w14:paraId="32F1A10B" w14:textId="77777777" w:rsidR="00DF08EF" w:rsidRPr="00520473" w:rsidRDefault="00DF08EF" w:rsidP="00DF08EF">
      <w:pPr>
        <w:tabs>
          <w:tab w:val="left" w:pos="567"/>
        </w:tabs>
        <w:ind w:left="567" w:hanging="567"/>
        <w:rPr>
          <w:rFonts w:cs="Arial"/>
        </w:rPr>
      </w:pPr>
      <w:r w:rsidRPr="00520473">
        <w:rPr>
          <w:rFonts w:cs="Arial"/>
        </w:rPr>
        <w:t>7.2</w:t>
      </w:r>
      <w:r w:rsidRPr="00520473">
        <w:rPr>
          <w:rFonts w:cs="Arial"/>
        </w:rPr>
        <w:tab/>
        <w:t>The ACMA will set out in the infringement notice the amount of the penalty and how it was calculated.</w:t>
      </w:r>
    </w:p>
    <w:p w14:paraId="7ABBE48E" w14:textId="341842D5" w:rsidR="00DF08EF" w:rsidRPr="00520473" w:rsidRDefault="00DF08EF" w:rsidP="00DF08EF">
      <w:pPr>
        <w:pStyle w:val="Heading2"/>
        <w:tabs>
          <w:tab w:val="left" w:pos="567"/>
        </w:tabs>
      </w:pPr>
      <w:bookmarkStart w:id="16" w:name="_Toc302986668"/>
      <w:bookmarkStart w:id="17" w:name="_Toc126587098"/>
      <w:r w:rsidRPr="00520473">
        <w:t>8.</w:t>
      </w:r>
      <w:r w:rsidRPr="00520473">
        <w:tab/>
        <w:t>Time</w:t>
      </w:r>
      <w:r w:rsidR="001D0EE5">
        <w:t>frame</w:t>
      </w:r>
      <w:r w:rsidRPr="00520473">
        <w:t xml:space="preserve"> for payment</w:t>
      </w:r>
      <w:bookmarkEnd w:id="16"/>
      <w:bookmarkEnd w:id="17"/>
    </w:p>
    <w:p w14:paraId="153C1952" w14:textId="31A3E32F" w:rsidR="00DF08EF" w:rsidRPr="00520473" w:rsidRDefault="00DF08EF" w:rsidP="003A26FE">
      <w:pPr>
        <w:tabs>
          <w:tab w:val="left" w:pos="567"/>
        </w:tabs>
        <w:spacing w:after="120"/>
        <w:ind w:left="567" w:hanging="567"/>
        <w:rPr>
          <w:rFonts w:cs="Arial"/>
        </w:rPr>
      </w:pPr>
      <w:r w:rsidRPr="00520473">
        <w:rPr>
          <w:rFonts w:cs="Arial"/>
        </w:rPr>
        <w:t xml:space="preserve">8.1 </w:t>
      </w:r>
      <w:r w:rsidRPr="00520473">
        <w:rPr>
          <w:rFonts w:cs="Arial"/>
        </w:rPr>
        <w:tab/>
        <w:t>Generally, the penalty is required to be paid within 28 days after the infringement notice is given. However, the ACMA may extend the time for payment.</w:t>
      </w:r>
    </w:p>
    <w:p w14:paraId="3DA40A79" w14:textId="77777777" w:rsidR="00DF08EF" w:rsidRPr="00520473" w:rsidRDefault="00DF08EF" w:rsidP="003A26FE">
      <w:pPr>
        <w:tabs>
          <w:tab w:val="left" w:pos="567"/>
        </w:tabs>
        <w:spacing w:after="120"/>
        <w:ind w:left="567" w:hanging="567"/>
        <w:rPr>
          <w:rFonts w:cs="Arial"/>
        </w:rPr>
      </w:pPr>
      <w:r w:rsidRPr="00520473">
        <w:rPr>
          <w:rFonts w:cs="Arial"/>
        </w:rPr>
        <w:t>8.2</w:t>
      </w:r>
      <w:r w:rsidRPr="00520473">
        <w:rPr>
          <w:rFonts w:cs="Arial"/>
        </w:rPr>
        <w:tab/>
        <w:t>Requests for extensions of time must be received before the due date for payment and will be considered on a case-by-case basis. The request should be directed to the issuing officer in the first instance. The period sought as well as the reasons for the request should also be set out.</w:t>
      </w:r>
    </w:p>
    <w:p w14:paraId="17784E7D" w14:textId="004847DD" w:rsidR="00DF08EF" w:rsidRDefault="00DF08EF" w:rsidP="00DF08EF">
      <w:pPr>
        <w:pStyle w:val="ListBullet"/>
        <w:numPr>
          <w:ilvl w:val="0"/>
          <w:numId w:val="0"/>
        </w:numPr>
        <w:ind w:left="567" w:hanging="567"/>
        <w:rPr>
          <w:rFonts w:cs="Arial"/>
        </w:rPr>
      </w:pPr>
      <w:r w:rsidRPr="00520473">
        <w:rPr>
          <w:rFonts w:cs="Arial"/>
        </w:rPr>
        <w:t>8.3</w:t>
      </w:r>
      <w:r w:rsidRPr="00520473">
        <w:rPr>
          <w:rFonts w:cs="Arial"/>
        </w:rPr>
        <w:tab/>
      </w:r>
      <w:r>
        <w:rPr>
          <w:rFonts w:cs="Arial"/>
        </w:rPr>
        <w:tab/>
      </w:r>
      <w:r w:rsidRPr="00520473">
        <w:rPr>
          <w:rFonts w:cs="Arial"/>
        </w:rPr>
        <w:t>If an extension is granted, the recipient will be notified in writing. Liability will be discharged if the penalty is paid by the new date.</w:t>
      </w:r>
    </w:p>
    <w:p w14:paraId="584FDBDF" w14:textId="77777777" w:rsidR="00DF08EF" w:rsidRPr="00520473" w:rsidRDefault="00DF08EF" w:rsidP="00DF08EF">
      <w:pPr>
        <w:pStyle w:val="Heading2"/>
        <w:tabs>
          <w:tab w:val="left" w:pos="567"/>
        </w:tabs>
      </w:pPr>
      <w:bookmarkStart w:id="18" w:name="_Toc302986669"/>
      <w:bookmarkStart w:id="19" w:name="_Toc126587099"/>
      <w:r w:rsidRPr="00520473">
        <w:t>9.</w:t>
      </w:r>
      <w:r w:rsidRPr="00520473">
        <w:tab/>
        <w:t>Withdrawing an infringement notice</w:t>
      </w:r>
      <w:bookmarkEnd w:id="18"/>
      <w:bookmarkEnd w:id="19"/>
      <w:r w:rsidRPr="00520473">
        <w:t xml:space="preserve"> </w:t>
      </w:r>
    </w:p>
    <w:p w14:paraId="0AB2DCD9" w14:textId="77777777" w:rsidR="00DF08EF" w:rsidRPr="00520473" w:rsidRDefault="00DF08EF" w:rsidP="003A26FE">
      <w:pPr>
        <w:tabs>
          <w:tab w:val="left" w:pos="567"/>
        </w:tabs>
        <w:spacing w:after="120"/>
        <w:ind w:left="567" w:hanging="567"/>
        <w:rPr>
          <w:rFonts w:cs="Arial"/>
        </w:rPr>
      </w:pPr>
      <w:r w:rsidRPr="00520473">
        <w:rPr>
          <w:rFonts w:cs="Arial"/>
        </w:rPr>
        <w:t xml:space="preserve">9.1 </w:t>
      </w:r>
      <w:r w:rsidRPr="00520473">
        <w:rPr>
          <w:rFonts w:cs="Arial"/>
        </w:rPr>
        <w:tab/>
        <w:t xml:space="preserve">An infringement notice may be withdrawn by the ACMA of its own volition or following a request for withdrawal from the recipient of the notice.  </w:t>
      </w:r>
    </w:p>
    <w:p w14:paraId="0ACF145A" w14:textId="77777777" w:rsidR="00DF08EF" w:rsidRPr="00520473" w:rsidRDefault="00DF08EF" w:rsidP="00DF08EF">
      <w:pPr>
        <w:tabs>
          <w:tab w:val="left" w:pos="567"/>
        </w:tabs>
        <w:spacing w:after="80"/>
        <w:ind w:left="567" w:hanging="567"/>
        <w:rPr>
          <w:rFonts w:cs="Arial"/>
        </w:rPr>
      </w:pPr>
      <w:r w:rsidRPr="00520473">
        <w:rPr>
          <w:rFonts w:cs="Arial"/>
        </w:rPr>
        <w:t>9.2</w:t>
      </w:r>
      <w:r w:rsidRPr="00520473">
        <w:rPr>
          <w:rFonts w:cs="Arial"/>
        </w:rPr>
        <w:tab/>
        <w:t xml:space="preserve">Factors that may have a bearing on whether a notice should be withdrawn include whether there is further information or evidence suggesting that: </w:t>
      </w:r>
    </w:p>
    <w:p w14:paraId="454C77EB" w14:textId="77777777" w:rsidR="00DF08EF" w:rsidRPr="00520473" w:rsidRDefault="00DF08EF" w:rsidP="00DF08EF">
      <w:pPr>
        <w:pStyle w:val="ListBullet"/>
        <w:tabs>
          <w:tab w:val="clear" w:pos="295"/>
          <w:tab w:val="num" w:pos="1134"/>
        </w:tabs>
        <w:ind w:left="1134" w:hanging="567"/>
        <w:rPr>
          <w:rFonts w:cs="Arial"/>
        </w:rPr>
      </w:pPr>
      <w:r w:rsidRPr="00520473">
        <w:rPr>
          <w:rFonts w:cs="Arial"/>
        </w:rPr>
        <w:t>the recipient of the notice did not breach the Act</w:t>
      </w:r>
    </w:p>
    <w:p w14:paraId="21A14731" w14:textId="77777777" w:rsidR="00DF08EF" w:rsidRPr="00520473" w:rsidRDefault="00DF08EF" w:rsidP="003A26FE">
      <w:pPr>
        <w:pStyle w:val="ListBullet"/>
        <w:tabs>
          <w:tab w:val="clear" w:pos="295"/>
          <w:tab w:val="num" w:pos="1134"/>
        </w:tabs>
        <w:spacing w:after="120"/>
        <w:ind w:left="1134" w:hanging="567"/>
        <w:rPr>
          <w:rFonts w:cs="Arial"/>
        </w:rPr>
      </w:pPr>
      <w:r w:rsidRPr="00520473">
        <w:rPr>
          <w:rFonts w:cs="Arial"/>
        </w:rPr>
        <w:t xml:space="preserve">the conduct is more serious than initially believed and, as a consequence, the matter would be more appropriately dealt with by the court. </w:t>
      </w:r>
    </w:p>
    <w:p w14:paraId="4334EDF4" w14:textId="77777777" w:rsidR="00DF08EF" w:rsidRPr="00520473" w:rsidRDefault="00DF08EF" w:rsidP="003A26FE">
      <w:pPr>
        <w:tabs>
          <w:tab w:val="left" w:pos="567"/>
        </w:tabs>
        <w:spacing w:after="120"/>
        <w:ind w:left="567" w:hanging="567"/>
        <w:rPr>
          <w:rFonts w:cs="Arial"/>
        </w:rPr>
      </w:pPr>
      <w:r w:rsidRPr="00520473">
        <w:rPr>
          <w:rFonts w:cs="Arial"/>
        </w:rPr>
        <w:t>9.3</w:t>
      </w:r>
      <w:r w:rsidRPr="00520473">
        <w:rPr>
          <w:rFonts w:cs="Arial"/>
        </w:rPr>
        <w:tab/>
        <w:t xml:space="preserve">The decision as to who should consider an application for withdrawal will be made in light of the facts of the case including the basis/reasons for the request. In most cases, the officer who issued the notice will be best placed to consider the request. As the issuing officer, they will be aware of the factual issues and in </w:t>
      </w:r>
      <w:r w:rsidRPr="00520473">
        <w:rPr>
          <w:rFonts w:cs="Arial"/>
        </w:rPr>
        <w:lastRenderedPageBreak/>
        <w:t xml:space="preserve">a position to make an informed and timely decision, </w:t>
      </w:r>
      <w:proofErr w:type="gramStart"/>
      <w:r w:rsidRPr="00520473">
        <w:rPr>
          <w:rFonts w:cs="Arial"/>
        </w:rPr>
        <w:t>taking into account</w:t>
      </w:r>
      <w:proofErr w:type="gramEnd"/>
      <w:r w:rsidRPr="00520473">
        <w:rPr>
          <w:rFonts w:cs="Arial"/>
        </w:rPr>
        <w:t xml:space="preserve"> the reasons for the request and any new information or facts presented.  </w:t>
      </w:r>
    </w:p>
    <w:p w14:paraId="60998A99" w14:textId="77777777" w:rsidR="00DF08EF" w:rsidRPr="00520473" w:rsidRDefault="00DF08EF" w:rsidP="00DF08EF">
      <w:pPr>
        <w:tabs>
          <w:tab w:val="left" w:pos="567"/>
        </w:tabs>
        <w:ind w:left="567" w:hanging="567"/>
        <w:rPr>
          <w:rFonts w:cs="Arial"/>
        </w:rPr>
      </w:pPr>
      <w:r w:rsidRPr="00520473">
        <w:rPr>
          <w:rFonts w:cs="Arial"/>
        </w:rPr>
        <w:t>9.4</w:t>
      </w:r>
      <w:r w:rsidRPr="00520473">
        <w:rPr>
          <w:rFonts w:cs="Arial"/>
        </w:rPr>
        <w:tab/>
        <w:t xml:space="preserve">Requests for withdrawal should therefore be directed to the officer specified in the notice, in the first instance. The request must generally be made within 28 days of the date of the notice. The reasons for the request should be set out.  </w:t>
      </w:r>
    </w:p>
    <w:p w14:paraId="7D66EB11" w14:textId="77777777" w:rsidR="00DF08EF" w:rsidRPr="00520473" w:rsidRDefault="00DF08EF" w:rsidP="00A22E54">
      <w:pPr>
        <w:pStyle w:val="Heading3"/>
        <w:tabs>
          <w:tab w:val="left" w:pos="567"/>
        </w:tabs>
      </w:pPr>
      <w:r w:rsidRPr="00520473">
        <w:tab/>
      </w:r>
      <w:bookmarkStart w:id="20" w:name="_Toc302986670"/>
      <w:bookmarkStart w:id="21" w:name="_Toc27657261"/>
      <w:r w:rsidRPr="00520473">
        <w:t>Effect of withdrawing an infringement notice</w:t>
      </w:r>
      <w:bookmarkEnd w:id="20"/>
      <w:bookmarkEnd w:id="21"/>
      <w:r w:rsidRPr="00520473">
        <w:t xml:space="preserve"> </w:t>
      </w:r>
    </w:p>
    <w:p w14:paraId="7054E30F" w14:textId="77777777" w:rsidR="00DF08EF" w:rsidRDefault="00DF08EF" w:rsidP="003A26FE">
      <w:pPr>
        <w:tabs>
          <w:tab w:val="left" w:pos="567"/>
        </w:tabs>
        <w:spacing w:after="120"/>
        <w:ind w:left="567" w:hanging="567"/>
        <w:rPr>
          <w:rFonts w:cs="Arial"/>
        </w:rPr>
      </w:pPr>
      <w:r w:rsidRPr="00520473">
        <w:rPr>
          <w:rFonts w:cs="Arial"/>
        </w:rPr>
        <w:t>9.5</w:t>
      </w:r>
      <w:r w:rsidRPr="00520473">
        <w:rPr>
          <w:rFonts w:cs="Arial"/>
        </w:rPr>
        <w:tab/>
        <w:t>If the infringement notice is withdrawn after payment of the penalty, the penalty paid will be refunded.</w:t>
      </w:r>
    </w:p>
    <w:p w14:paraId="0397A845" w14:textId="27278678" w:rsidR="00DF08EF" w:rsidRPr="00520473" w:rsidRDefault="00DF08EF" w:rsidP="00DF08EF">
      <w:pPr>
        <w:tabs>
          <w:tab w:val="left" w:pos="567"/>
        </w:tabs>
        <w:ind w:left="567" w:hanging="567"/>
        <w:rPr>
          <w:rFonts w:cs="Arial"/>
        </w:rPr>
      </w:pPr>
      <w:r w:rsidRPr="00520473">
        <w:rPr>
          <w:rFonts w:cs="Arial"/>
        </w:rPr>
        <w:t>9.6</w:t>
      </w:r>
      <w:r w:rsidRPr="00520473">
        <w:rPr>
          <w:rFonts w:cs="Arial"/>
        </w:rPr>
        <w:tab/>
        <w:t>In the event that an infringement notice is withdrawn, the ACMA will consider what, if any, further action is appropriate</w:t>
      </w:r>
      <w:r w:rsidR="001D0EE5">
        <w:rPr>
          <w:rFonts w:cs="Arial"/>
        </w:rPr>
        <w:t xml:space="preserve"> (s</w:t>
      </w:r>
      <w:r w:rsidRPr="00520473">
        <w:rPr>
          <w:rFonts w:cs="Arial"/>
        </w:rPr>
        <w:t>ee section 11</w:t>
      </w:r>
      <w:r w:rsidR="001D0EE5">
        <w:rPr>
          <w:rFonts w:cs="Arial"/>
        </w:rPr>
        <w:t>)</w:t>
      </w:r>
      <w:r w:rsidRPr="00520473">
        <w:rPr>
          <w:rFonts w:cs="Arial"/>
        </w:rPr>
        <w:t>.</w:t>
      </w:r>
    </w:p>
    <w:p w14:paraId="6C1F0F3E" w14:textId="77777777" w:rsidR="00DF08EF" w:rsidRPr="00520473" w:rsidRDefault="00DF08EF" w:rsidP="00DF08EF">
      <w:pPr>
        <w:pStyle w:val="Heading2"/>
        <w:tabs>
          <w:tab w:val="left" w:pos="567"/>
        </w:tabs>
      </w:pPr>
      <w:bookmarkStart w:id="22" w:name="_Toc302986671"/>
      <w:bookmarkStart w:id="23" w:name="_Toc126587100"/>
      <w:r w:rsidRPr="00520473">
        <w:t>10.</w:t>
      </w:r>
      <w:r w:rsidRPr="00520473">
        <w:tab/>
        <w:t>Consequences if the penalty is paid</w:t>
      </w:r>
      <w:bookmarkEnd w:id="22"/>
      <w:bookmarkEnd w:id="23"/>
      <w:r w:rsidRPr="00520473">
        <w:t xml:space="preserve"> </w:t>
      </w:r>
    </w:p>
    <w:p w14:paraId="7E98B5DB" w14:textId="3428E329" w:rsidR="00DF08EF" w:rsidRPr="00520473" w:rsidRDefault="00DF08EF" w:rsidP="003A26FE">
      <w:pPr>
        <w:tabs>
          <w:tab w:val="left" w:pos="567"/>
        </w:tabs>
        <w:spacing w:after="120"/>
        <w:ind w:left="567" w:hanging="567"/>
        <w:rPr>
          <w:rFonts w:cs="Arial"/>
        </w:rPr>
      </w:pPr>
      <w:r w:rsidRPr="00520473">
        <w:rPr>
          <w:rFonts w:cs="Arial"/>
        </w:rPr>
        <w:t>10.1</w:t>
      </w:r>
      <w:r w:rsidRPr="00520473">
        <w:rPr>
          <w:rFonts w:cs="Arial"/>
        </w:rPr>
        <w:tab/>
        <w:t>If the recipient pays the infringement notice penalty within time</w:t>
      </w:r>
      <w:r w:rsidR="00EF782D">
        <w:rPr>
          <w:rFonts w:cs="Arial"/>
        </w:rPr>
        <w:t xml:space="preserve"> – </w:t>
      </w:r>
      <w:r w:rsidRPr="00520473">
        <w:rPr>
          <w:rFonts w:cs="Arial"/>
        </w:rPr>
        <w:t>that is, 28 days after the notice is given or the extended date (see section 8)</w:t>
      </w:r>
      <w:r w:rsidR="00EF782D">
        <w:rPr>
          <w:rFonts w:cs="Arial"/>
        </w:rPr>
        <w:t xml:space="preserve"> – </w:t>
      </w:r>
      <w:r w:rsidRPr="00520473">
        <w:rPr>
          <w:rFonts w:cs="Arial"/>
        </w:rPr>
        <w:t xml:space="preserve">their liability for the alleged contravention/s or offence, the subject of the notice, is discharged. </w:t>
      </w:r>
    </w:p>
    <w:p w14:paraId="438587F9" w14:textId="77777777" w:rsidR="00DF08EF" w:rsidRPr="00520473" w:rsidRDefault="00DF08EF" w:rsidP="00DF08EF">
      <w:pPr>
        <w:tabs>
          <w:tab w:val="left" w:pos="567"/>
        </w:tabs>
        <w:ind w:left="567" w:hanging="567"/>
        <w:rPr>
          <w:rFonts w:cs="Arial"/>
        </w:rPr>
      </w:pPr>
      <w:r w:rsidRPr="00520473">
        <w:rPr>
          <w:rFonts w:cs="Arial"/>
        </w:rPr>
        <w:t>10.2</w:t>
      </w:r>
      <w:r w:rsidRPr="00520473">
        <w:rPr>
          <w:rFonts w:cs="Arial"/>
        </w:rPr>
        <w:tab/>
        <w:t>As a consequence, proceedings cannot be instituted with respect to the contravention/s or offence, the subject of the notice. Payment does not, however, equate to a finding that the contravention/s or offences occurred.</w:t>
      </w:r>
    </w:p>
    <w:p w14:paraId="74BE2735" w14:textId="77777777" w:rsidR="00DF08EF" w:rsidRPr="00520473" w:rsidRDefault="00DF08EF" w:rsidP="00DF08EF">
      <w:pPr>
        <w:pStyle w:val="Heading2"/>
        <w:tabs>
          <w:tab w:val="left" w:pos="567"/>
        </w:tabs>
      </w:pPr>
      <w:bookmarkStart w:id="24" w:name="_Toc302986672"/>
      <w:bookmarkStart w:id="25" w:name="_Toc126587101"/>
      <w:r w:rsidRPr="00520473">
        <w:t>11</w:t>
      </w:r>
      <w:r>
        <w:t>.</w:t>
      </w:r>
      <w:r w:rsidRPr="00520473">
        <w:tab/>
        <w:t>Consequences if the penalty is not paid</w:t>
      </w:r>
      <w:bookmarkEnd w:id="24"/>
      <w:bookmarkEnd w:id="25"/>
      <w:r w:rsidRPr="00520473">
        <w:t xml:space="preserve"> </w:t>
      </w:r>
    </w:p>
    <w:p w14:paraId="3DF30E98" w14:textId="77777777" w:rsidR="00DF08EF" w:rsidRPr="00520473" w:rsidRDefault="00DF08EF" w:rsidP="003A26FE">
      <w:pPr>
        <w:tabs>
          <w:tab w:val="left" w:pos="567"/>
        </w:tabs>
        <w:spacing w:after="120"/>
        <w:ind w:left="567" w:hanging="567"/>
        <w:rPr>
          <w:rFonts w:cs="Arial"/>
        </w:rPr>
      </w:pPr>
      <w:r w:rsidRPr="00520473">
        <w:rPr>
          <w:rFonts w:cs="Arial"/>
        </w:rPr>
        <w:t>11.1</w:t>
      </w:r>
      <w:r w:rsidRPr="00520473">
        <w:rPr>
          <w:rFonts w:cs="Arial"/>
        </w:rPr>
        <w:tab/>
        <w:t xml:space="preserve">In the event that the penalty is not paid, the ACMA will consider further enforcement action. That action may include commencing civil penalty proceedings or, where an infringement notice may be issued instead of prosecution, referral to the Commonwealth Director of Public Prosecutions.  </w:t>
      </w:r>
    </w:p>
    <w:p w14:paraId="3083BE41" w14:textId="77777777" w:rsidR="00DF08EF" w:rsidRPr="00520473" w:rsidRDefault="00DF08EF" w:rsidP="003A26FE">
      <w:pPr>
        <w:tabs>
          <w:tab w:val="left" w:pos="567"/>
        </w:tabs>
        <w:spacing w:after="120"/>
        <w:ind w:left="567" w:hanging="567"/>
        <w:rPr>
          <w:rFonts w:cs="Arial"/>
        </w:rPr>
      </w:pPr>
      <w:r w:rsidRPr="00520473">
        <w:rPr>
          <w:rFonts w:cs="Arial"/>
        </w:rPr>
        <w:t>11.2</w:t>
      </w:r>
      <w:r w:rsidRPr="00520473">
        <w:rPr>
          <w:rFonts w:cs="Arial"/>
        </w:rPr>
        <w:tab/>
        <w:t xml:space="preserve">In the event that litigation is commenced, it is the court’s role to consider and determine whether the alleged contravention/s or offence/s have been established and, if so, the orders that should follow. As noted in section 2, the penalties that the court can impose are potentially significantly higher than the amount payable under the infringement notice.  </w:t>
      </w:r>
    </w:p>
    <w:p w14:paraId="6FF9AC32" w14:textId="325F7621" w:rsidR="00DF08EF" w:rsidRDefault="00DF08EF" w:rsidP="00DF08EF">
      <w:pPr>
        <w:pStyle w:val="ListBullet"/>
        <w:numPr>
          <w:ilvl w:val="0"/>
          <w:numId w:val="0"/>
        </w:numPr>
        <w:ind w:left="567" w:hanging="567"/>
        <w:rPr>
          <w:rFonts w:cs="Arial"/>
        </w:rPr>
      </w:pPr>
      <w:r w:rsidRPr="00520473">
        <w:rPr>
          <w:rFonts w:cs="Arial"/>
        </w:rPr>
        <w:t>11.3</w:t>
      </w:r>
      <w:r w:rsidRPr="00520473">
        <w:rPr>
          <w:rFonts w:cs="Arial"/>
        </w:rPr>
        <w:tab/>
        <w:t>The ACMA will determine what action should be taken in light of the facts of the case.</w:t>
      </w:r>
    </w:p>
    <w:p w14:paraId="268EF36A" w14:textId="77777777" w:rsidR="00DF08EF" w:rsidRPr="00520473" w:rsidRDefault="00DF08EF" w:rsidP="00DF08EF">
      <w:pPr>
        <w:pStyle w:val="Heading2"/>
        <w:tabs>
          <w:tab w:val="left" w:pos="567"/>
          <w:tab w:val="left" w:pos="1134"/>
        </w:tabs>
      </w:pPr>
      <w:bookmarkStart w:id="26" w:name="_Toc302986673"/>
      <w:bookmarkStart w:id="27" w:name="_Toc126587102"/>
      <w:r w:rsidRPr="00520473">
        <w:t>12</w:t>
      </w:r>
      <w:r>
        <w:t>.</w:t>
      </w:r>
      <w:r w:rsidRPr="00520473">
        <w:tab/>
        <w:t>Publication</w:t>
      </w:r>
      <w:bookmarkEnd w:id="26"/>
      <w:bookmarkEnd w:id="27"/>
      <w:r w:rsidRPr="00520473">
        <w:t xml:space="preserve">  </w:t>
      </w:r>
    </w:p>
    <w:p w14:paraId="551CE154" w14:textId="32417AF4" w:rsidR="00DF08EF" w:rsidRPr="00DF08EF" w:rsidRDefault="00DF08EF" w:rsidP="003A26FE">
      <w:pPr>
        <w:pStyle w:val="ACMABodyText"/>
        <w:spacing w:line="240" w:lineRule="atLeast"/>
        <w:ind w:left="567" w:hanging="567"/>
        <w:rPr>
          <w:rFonts w:cs="Arial"/>
          <w:snapToGrid/>
          <w:sz w:val="20"/>
          <w:lang w:eastAsia="en-AU"/>
        </w:rPr>
      </w:pPr>
      <w:r w:rsidRPr="00DF08EF">
        <w:rPr>
          <w:rFonts w:cs="Arial"/>
          <w:sz w:val="20"/>
        </w:rPr>
        <w:t>12.1</w:t>
      </w:r>
      <w:r w:rsidRPr="00DF08EF">
        <w:rPr>
          <w:rFonts w:cs="Arial"/>
          <w:sz w:val="20"/>
        </w:rPr>
        <w:tab/>
        <w:t xml:space="preserve">The ACMA’s policy is set out </w:t>
      </w:r>
      <w:r w:rsidRPr="00102966">
        <w:rPr>
          <w:rFonts w:cs="Arial"/>
          <w:i/>
          <w:sz w:val="20"/>
        </w:rPr>
        <w:t xml:space="preserve">in </w:t>
      </w:r>
      <w:r w:rsidR="00B24F8E" w:rsidRPr="00102966">
        <w:rPr>
          <w:rFonts w:cs="Arial"/>
          <w:i/>
          <w:sz w:val="20"/>
        </w:rPr>
        <w:t>Regulatory guide</w:t>
      </w:r>
      <w:r w:rsidR="00EF782D">
        <w:rPr>
          <w:rFonts w:cs="Arial"/>
          <w:i/>
          <w:sz w:val="20"/>
        </w:rPr>
        <w:t xml:space="preserve"> </w:t>
      </w:r>
      <w:r w:rsidR="00B24F8E" w:rsidRPr="00102966">
        <w:rPr>
          <w:rFonts w:cs="Arial"/>
          <w:i/>
          <w:sz w:val="20"/>
        </w:rPr>
        <w:t>No. 6: Publication of investigations and enforcement actions</w:t>
      </w:r>
      <w:r w:rsidRPr="00DF08EF">
        <w:rPr>
          <w:rFonts w:cs="Arial"/>
          <w:i/>
          <w:iCs/>
          <w:sz w:val="20"/>
        </w:rPr>
        <w:t xml:space="preserve">. </w:t>
      </w:r>
    </w:p>
    <w:p w14:paraId="1F361D9D" w14:textId="0F2B1831" w:rsidR="00D20BBD" w:rsidRPr="003A26FE" w:rsidRDefault="00DF08EF" w:rsidP="003A26FE">
      <w:pPr>
        <w:tabs>
          <w:tab w:val="left" w:pos="567"/>
        </w:tabs>
        <w:ind w:left="567" w:hanging="567"/>
        <w:rPr>
          <w:rFonts w:cs="Arial"/>
          <w:szCs w:val="20"/>
        </w:rPr>
      </w:pPr>
      <w:r w:rsidRPr="00DF08EF">
        <w:rPr>
          <w:rFonts w:cs="Arial"/>
          <w:szCs w:val="20"/>
        </w:rPr>
        <w:t>12.2</w:t>
      </w:r>
      <w:r w:rsidRPr="00DF08EF">
        <w:rPr>
          <w:rFonts w:cs="Arial"/>
          <w:szCs w:val="20"/>
        </w:rPr>
        <w:tab/>
        <w:t>In summary, the ACMA will not publicise the giving of an infringement notice unless and until the recipient party has paid the penalty specified in the notice.</w:t>
      </w:r>
    </w:p>
    <w:sectPr w:rsidR="00D20BBD" w:rsidRPr="003A26FE" w:rsidSect="00C77380">
      <w:headerReference w:type="even" r:id="rId27"/>
      <w:headerReference w:type="default" r:id="rId28"/>
      <w:footerReference w:type="even" r:id="rId29"/>
      <w:footerReference w:type="default" r:id="rId3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DB53" w14:textId="77777777" w:rsidR="00960A12" w:rsidRDefault="00960A12">
      <w:r>
        <w:separator/>
      </w:r>
    </w:p>
  </w:endnote>
  <w:endnote w:type="continuationSeparator" w:id="0">
    <w:p w14:paraId="0603425C" w14:textId="77777777" w:rsidR="00960A12" w:rsidRDefault="0096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15A" w14:textId="77777777" w:rsidR="005E250B" w:rsidRDefault="005E250B" w:rsidP="005E250B">
    <w:pPr>
      <w:pStyle w:val="Footer"/>
      <w:jc w:val="right"/>
    </w:pPr>
    <w:r w:rsidRPr="005E250B">
      <w:rPr>
        <w:noProof/>
        <w:vertAlign w:val="subscript"/>
      </w:rPr>
      <w:drawing>
        <wp:inline distT="0" distB="0" distL="0" distR="0" wp14:anchorId="4A66AE9F" wp14:editId="6045E3A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E1E0"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500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EFD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63E0E0E"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A75"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0C83EC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16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73D5465"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37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0FA845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75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9157EB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884F" w14:textId="77777777" w:rsidR="00960A12" w:rsidRDefault="00960A12" w:rsidP="003A26FE">
      <w:pPr>
        <w:spacing w:after="120"/>
      </w:pPr>
      <w:r>
        <w:separator/>
      </w:r>
    </w:p>
  </w:footnote>
  <w:footnote w:type="continuationSeparator" w:id="0">
    <w:p w14:paraId="331BE902" w14:textId="77777777" w:rsidR="00960A12" w:rsidRDefault="00960A12">
      <w:r>
        <w:continuationSeparator/>
      </w:r>
    </w:p>
  </w:footnote>
  <w:footnote w:id="1">
    <w:p w14:paraId="2D960612" w14:textId="3188CE67" w:rsidR="00D20BBD" w:rsidRPr="00E77CB8" w:rsidRDefault="00D20BBD" w:rsidP="00D20BBD">
      <w:pPr>
        <w:pStyle w:val="FootnoteText"/>
        <w:rPr>
          <w:rFonts w:cs="Arial"/>
        </w:rPr>
      </w:pPr>
      <w:r w:rsidRPr="00E77CB8">
        <w:rPr>
          <w:rStyle w:val="FootnoteReference"/>
          <w:rFonts w:cs="Arial"/>
        </w:rPr>
        <w:footnoteRef/>
      </w:r>
      <w:r w:rsidRPr="00E77CB8">
        <w:rPr>
          <w:rFonts w:cs="Arial"/>
        </w:rPr>
        <w:t xml:space="preserve"> </w:t>
      </w:r>
      <w:r>
        <w:rPr>
          <w:rFonts w:cs="Arial"/>
        </w:rPr>
        <w:t xml:space="preserve">Subsection 572M(1) of the </w:t>
      </w:r>
      <w:r w:rsidRPr="00E77CB8">
        <w:rPr>
          <w:rFonts w:cs="Arial"/>
        </w:rPr>
        <w:t xml:space="preserve">Telecommunications Act </w:t>
      </w:r>
      <w:r>
        <w:rPr>
          <w:rFonts w:cs="Arial"/>
        </w:rPr>
        <w:t xml:space="preserve">provides that an authorised infringement notice officer must have </w:t>
      </w:r>
      <w:r w:rsidRPr="00E77CB8">
        <w:rPr>
          <w:rFonts w:cs="Arial"/>
        </w:rPr>
        <w:t xml:space="preserve">regard to </w:t>
      </w:r>
      <w:r>
        <w:rPr>
          <w:rFonts w:cs="Arial"/>
        </w:rPr>
        <w:t xml:space="preserve">the infringement notice </w:t>
      </w:r>
      <w:r w:rsidRPr="00E77CB8">
        <w:rPr>
          <w:rFonts w:cs="Arial"/>
        </w:rPr>
        <w:t>guidelines in force under s</w:t>
      </w:r>
      <w:r>
        <w:rPr>
          <w:rFonts w:cs="Arial"/>
        </w:rPr>
        <w:t>ubs</w:t>
      </w:r>
      <w:r w:rsidRPr="00E77CB8">
        <w:rPr>
          <w:rFonts w:cs="Arial"/>
        </w:rPr>
        <w:t xml:space="preserve">ection </w:t>
      </w:r>
      <w:r>
        <w:rPr>
          <w:rFonts w:cs="Arial"/>
        </w:rPr>
        <w:t xml:space="preserve">572M(2). </w:t>
      </w:r>
      <w:r w:rsidRPr="00E77CB8">
        <w:rPr>
          <w:rFonts w:cs="Arial"/>
        </w:rPr>
        <w:t>S</w:t>
      </w:r>
      <w:r>
        <w:rPr>
          <w:rFonts w:cs="Arial"/>
        </w:rPr>
        <w:t>ee too subs</w:t>
      </w:r>
      <w:r w:rsidRPr="00E77CB8">
        <w:rPr>
          <w:rFonts w:cs="Arial"/>
        </w:rPr>
        <w:t>ection 572M(3) of the Telecommunications Act. S</w:t>
      </w:r>
      <w:r>
        <w:rPr>
          <w:rFonts w:cs="Arial"/>
        </w:rPr>
        <w:t>ubs</w:t>
      </w:r>
      <w:r w:rsidRPr="00E77CB8">
        <w:rPr>
          <w:rFonts w:cs="Arial"/>
        </w:rPr>
        <w:t>ection 215(2) of the BSA provides that in exercising infringement notice powers under Part 14E of that Act</w:t>
      </w:r>
      <w:r>
        <w:rPr>
          <w:rFonts w:cs="Arial"/>
        </w:rPr>
        <w:t>,</w:t>
      </w:r>
      <w:r w:rsidRPr="00E77CB8">
        <w:rPr>
          <w:rFonts w:cs="Arial"/>
        </w:rPr>
        <w:t xml:space="preserve"> regard must be had to the enforcement guidelines in force under s</w:t>
      </w:r>
      <w:r>
        <w:rPr>
          <w:rFonts w:cs="Arial"/>
        </w:rPr>
        <w:t>ubs</w:t>
      </w:r>
      <w:r w:rsidRPr="00E77CB8">
        <w:rPr>
          <w:rFonts w:cs="Arial"/>
        </w:rPr>
        <w:t xml:space="preserve">ection 215(4). </w:t>
      </w:r>
      <w:r>
        <w:rPr>
          <w:rFonts w:cs="Arial"/>
        </w:rPr>
        <w:t>See section 64C of the IGA</w:t>
      </w:r>
      <w:r w:rsidR="00E10164">
        <w:rPr>
          <w:rFonts w:cs="Arial"/>
        </w:rPr>
        <w:t>, section 270 of the Radiocommunications Act</w:t>
      </w:r>
      <w:r>
        <w:rPr>
          <w:rFonts w:cs="Arial"/>
        </w:rPr>
        <w:t xml:space="preserve"> and Part 5 of the </w:t>
      </w:r>
      <w:r w:rsidRPr="0023320A">
        <w:rPr>
          <w:rFonts w:cs="Arial"/>
          <w:i/>
          <w:iCs/>
        </w:rPr>
        <w:t xml:space="preserve">Regulatory Powers (Standard Provisions) Act 2014 </w:t>
      </w:r>
      <w:r>
        <w:rPr>
          <w:rFonts w:cs="Arial"/>
        </w:rPr>
        <w:t>with respect to using infringement notices under the IGA</w:t>
      </w:r>
      <w:r w:rsidR="00B322CA">
        <w:rPr>
          <w:rFonts w:cs="Arial"/>
        </w:rPr>
        <w:t xml:space="preserve"> and the Radiocommunications Act</w:t>
      </w:r>
      <w:r>
        <w:rPr>
          <w:rFonts w:cs="Arial"/>
        </w:rPr>
        <w:t>.</w:t>
      </w:r>
    </w:p>
  </w:footnote>
  <w:footnote w:id="2">
    <w:p w14:paraId="0A24848D" w14:textId="77777777" w:rsidR="00D20BBD" w:rsidRPr="00E77CB8" w:rsidRDefault="00D20BBD" w:rsidP="003A26FE">
      <w:pPr>
        <w:pStyle w:val="FootnoteText"/>
        <w:spacing w:after="0"/>
        <w:rPr>
          <w:rFonts w:cs="Arial"/>
        </w:rPr>
      </w:pPr>
      <w:r w:rsidRPr="00E77CB8">
        <w:rPr>
          <w:rStyle w:val="FootnoteReference"/>
          <w:rFonts w:cs="Arial"/>
        </w:rPr>
        <w:footnoteRef/>
      </w:r>
      <w:r w:rsidRPr="00E77CB8">
        <w:rPr>
          <w:rFonts w:cs="Arial"/>
        </w:rPr>
        <w:t xml:space="preserve"> A formal warning under section 205XA of the BSA must have been issued </w:t>
      </w:r>
      <w:r>
        <w:rPr>
          <w:rFonts w:cs="Arial"/>
        </w:rPr>
        <w:t xml:space="preserve">in relation to the contravention or a similar contravention </w:t>
      </w:r>
      <w:r w:rsidRPr="00E77CB8">
        <w:rPr>
          <w:rFonts w:cs="Arial"/>
        </w:rPr>
        <w:t>before an infringement notice can be given under Part 14E of that Act</w:t>
      </w:r>
      <w:r>
        <w:rPr>
          <w:rFonts w:cs="Arial"/>
        </w:rPr>
        <w:t xml:space="preserve"> (section 205Y)</w:t>
      </w:r>
      <w:r w:rsidRPr="00E77CB8">
        <w:rPr>
          <w:rFonts w:cs="Arial"/>
        </w:rPr>
        <w:t>.</w:t>
      </w:r>
    </w:p>
  </w:footnote>
  <w:footnote w:id="3">
    <w:p w14:paraId="054413A4" w14:textId="3C690989" w:rsidR="00DF08EF" w:rsidRPr="00E77CB8" w:rsidRDefault="00DF08EF" w:rsidP="00DF08EF">
      <w:pPr>
        <w:pStyle w:val="FootnoteText"/>
        <w:rPr>
          <w:rFonts w:cs="Arial"/>
        </w:rPr>
      </w:pPr>
      <w:r w:rsidRPr="00E77CB8">
        <w:rPr>
          <w:rStyle w:val="FootnoteReference"/>
          <w:rFonts w:cs="Arial"/>
        </w:rPr>
        <w:footnoteRef/>
      </w:r>
      <w:r w:rsidRPr="00E77CB8">
        <w:rPr>
          <w:rFonts w:cs="Arial"/>
        </w:rPr>
        <w:t xml:space="preserve"> Sections 6 and 205ZE of the BSA</w:t>
      </w:r>
      <w:r>
        <w:rPr>
          <w:rFonts w:cs="Arial"/>
        </w:rPr>
        <w:t>,</w:t>
      </w:r>
      <w:r w:rsidRPr="00E77CB8">
        <w:rPr>
          <w:rFonts w:cs="Arial"/>
        </w:rPr>
        <w:t xml:space="preserve"> sections 7 and 572L of the Telecommunications Act</w:t>
      </w:r>
      <w:r>
        <w:rPr>
          <w:rFonts w:cs="Arial"/>
        </w:rPr>
        <w:t xml:space="preserve">, subsection 64C(2) of the IGA, </w:t>
      </w:r>
      <w:r w:rsidRPr="00E77CB8">
        <w:rPr>
          <w:rFonts w:cs="Arial"/>
        </w:rPr>
        <w:t>section 4 and clause 8 of Schedule 3 of the DNCR Act</w:t>
      </w:r>
      <w:r>
        <w:rPr>
          <w:rFonts w:cs="Arial"/>
        </w:rPr>
        <w:t>,</w:t>
      </w:r>
      <w:r w:rsidRPr="00E77CB8">
        <w:rPr>
          <w:rFonts w:cs="Arial"/>
        </w:rPr>
        <w:t xml:space="preserve"> clauses 2 and 9 of Schedule 3 </w:t>
      </w:r>
      <w:r>
        <w:rPr>
          <w:rFonts w:cs="Arial"/>
        </w:rPr>
        <w:t xml:space="preserve">of </w:t>
      </w:r>
      <w:r w:rsidRPr="00E77CB8">
        <w:rPr>
          <w:rFonts w:cs="Arial"/>
        </w:rPr>
        <w:t>the Spam Act</w:t>
      </w:r>
      <w:r w:rsidR="00ED582E">
        <w:rPr>
          <w:rFonts w:cs="Arial"/>
        </w:rPr>
        <w:t xml:space="preserve"> and</w:t>
      </w:r>
      <w:r w:rsidRPr="00E77CB8">
        <w:rPr>
          <w:rFonts w:cs="Arial"/>
        </w:rPr>
        <w:t xml:space="preserve"> </w:t>
      </w:r>
      <w:r w:rsidR="001077F6">
        <w:rPr>
          <w:rFonts w:cs="Arial"/>
        </w:rPr>
        <w:t>subsection 270(2) of the Radiocommunications Act</w:t>
      </w:r>
      <w:r w:rsidRPr="00E77CB8">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E7F" w14:textId="77777777" w:rsidR="00C053A1" w:rsidRPr="00A5474E" w:rsidRDefault="00C053A1" w:rsidP="00A5474E">
    <w:pPr>
      <w:pStyle w:val="Header"/>
    </w:pPr>
    <w:r>
      <w:rPr>
        <w:noProof/>
      </w:rPr>
      <w:drawing>
        <wp:inline distT="0" distB="0" distL="0" distR="0" wp14:anchorId="133E3B54" wp14:editId="5576D21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5556"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AD9"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E638"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A55797" w14:textId="77777777" w:rsidTr="003B0421">
      <w:trPr>
        <w:trHeight w:hRule="exact" w:val="988"/>
      </w:trPr>
      <w:tc>
        <w:tcPr>
          <w:tcW w:w="7678" w:type="dxa"/>
          <w:shd w:val="clear" w:color="auto" w:fill="auto"/>
        </w:tcPr>
        <w:p w14:paraId="14DB6459" w14:textId="77777777" w:rsidR="00971914" w:rsidRDefault="00971914" w:rsidP="00971914">
          <w:pPr>
            <w:pStyle w:val="Header"/>
          </w:pPr>
        </w:p>
      </w:tc>
    </w:tr>
    <w:tr w:rsidR="00971914" w14:paraId="2E42EEAA" w14:textId="77777777" w:rsidTr="003B0421">
      <w:tc>
        <w:tcPr>
          <w:tcW w:w="7678" w:type="dxa"/>
          <w:shd w:val="clear" w:color="auto" w:fill="auto"/>
        </w:tcPr>
        <w:p w14:paraId="451E161B" w14:textId="77777777" w:rsidR="00971914" w:rsidRDefault="00971914" w:rsidP="00971914">
          <w:pPr>
            <w:pStyle w:val="GridTable31"/>
          </w:pPr>
          <w:r>
            <w:t xml:space="preserve">Contents </w:t>
          </w:r>
          <w:r w:rsidRPr="00915B1C">
            <w:rPr>
              <w:b w:val="0"/>
              <w:spacing w:val="0"/>
              <w:sz w:val="28"/>
              <w:szCs w:val="28"/>
            </w:rPr>
            <w:t>(Continued)</w:t>
          </w:r>
        </w:p>
      </w:tc>
    </w:tr>
    <w:tr w:rsidR="00971914" w14:paraId="73B3A622" w14:textId="77777777" w:rsidTr="003B0421">
      <w:trPr>
        <w:trHeight w:val="1220"/>
      </w:trPr>
      <w:tc>
        <w:tcPr>
          <w:tcW w:w="7678" w:type="dxa"/>
          <w:shd w:val="clear" w:color="auto" w:fill="auto"/>
        </w:tcPr>
        <w:p w14:paraId="58CAB5F7" w14:textId="77777777" w:rsidR="00971914" w:rsidRDefault="00971914" w:rsidP="00971914"/>
      </w:tc>
    </w:tr>
  </w:tbl>
  <w:p w14:paraId="4DF96BA6"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1C0E434" w14:textId="77777777" w:rsidTr="003B0421">
      <w:trPr>
        <w:trHeight w:hRule="exact" w:val="988"/>
      </w:trPr>
      <w:tc>
        <w:tcPr>
          <w:tcW w:w="7678" w:type="dxa"/>
          <w:shd w:val="clear" w:color="auto" w:fill="auto"/>
        </w:tcPr>
        <w:p w14:paraId="4405E8CD" w14:textId="77777777" w:rsidR="00971914" w:rsidRDefault="00971914" w:rsidP="00971914">
          <w:pPr>
            <w:pStyle w:val="Header"/>
          </w:pPr>
        </w:p>
      </w:tc>
    </w:tr>
    <w:tr w:rsidR="00971914" w14:paraId="156B9F42" w14:textId="77777777" w:rsidTr="003B0421">
      <w:tc>
        <w:tcPr>
          <w:tcW w:w="7678" w:type="dxa"/>
          <w:shd w:val="clear" w:color="auto" w:fill="auto"/>
        </w:tcPr>
        <w:p w14:paraId="4FFF6FAA" w14:textId="77777777" w:rsidR="00971914" w:rsidRDefault="00971914" w:rsidP="00971914">
          <w:pPr>
            <w:pStyle w:val="GridTable31"/>
          </w:pPr>
          <w:r>
            <w:t xml:space="preserve">Contents </w:t>
          </w:r>
          <w:r w:rsidRPr="00915B1C">
            <w:rPr>
              <w:b w:val="0"/>
              <w:spacing w:val="0"/>
              <w:sz w:val="28"/>
              <w:szCs w:val="28"/>
            </w:rPr>
            <w:t>(Continued)</w:t>
          </w:r>
        </w:p>
      </w:tc>
    </w:tr>
    <w:tr w:rsidR="00971914" w14:paraId="338BC6B8" w14:textId="77777777" w:rsidTr="003B0421">
      <w:trPr>
        <w:trHeight w:val="1220"/>
      </w:trPr>
      <w:tc>
        <w:tcPr>
          <w:tcW w:w="7678" w:type="dxa"/>
          <w:shd w:val="clear" w:color="auto" w:fill="auto"/>
        </w:tcPr>
        <w:p w14:paraId="5CC959ED" w14:textId="77777777" w:rsidR="00971914" w:rsidRDefault="00971914" w:rsidP="00971914"/>
      </w:tc>
    </w:tr>
  </w:tbl>
  <w:p w14:paraId="145350B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AA1"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A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03AE"/>
    <w:multiLevelType w:val="hybridMultilevel"/>
    <w:tmpl w:val="B0043E5A"/>
    <w:lvl w:ilvl="0" w:tplc="E62243DC">
      <w:start w:val="1"/>
      <w:numFmt w:val="bullet"/>
      <w:lvlText w:val="&gt;"/>
      <w:lvlJc w:val="left"/>
      <w:pPr>
        <w:ind w:left="1440" w:hanging="360"/>
      </w:pPr>
      <w:rPr>
        <w:rFonts w:ascii="HelveticaNeueLT Std Lt" w:hAnsi="HelveticaNeueLT Std Lt"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10338D"/>
    <w:multiLevelType w:val="hybridMultilevel"/>
    <w:tmpl w:val="EC9A8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B1F10"/>
    <w:multiLevelType w:val="hybridMultilevel"/>
    <w:tmpl w:val="9686FE88"/>
    <w:lvl w:ilvl="0" w:tplc="E62243DC">
      <w:start w:val="1"/>
      <w:numFmt w:val="bullet"/>
      <w:lvlText w:val="&gt;"/>
      <w:lvlJc w:val="left"/>
      <w:pPr>
        <w:ind w:left="927" w:hanging="360"/>
      </w:pPr>
      <w:rPr>
        <w:rFonts w:ascii="HelveticaNeueLT Std Lt" w:hAnsi="HelveticaNeueLT Std Lt" w:hint="default"/>
        <w:sz w:val="20"/>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C7F1364"/>
    <w:multiLevelType w:val="hybridMultilevel"/>
    <w:tmpl w:val="1A40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6C6E"/>
    <w:multiLevelType w:val="multilevel"/>
    <w:tmpl w:val="8416C978"/>
    <w:lvl w:ilvl="0">
      <w:start w:val="1"/>
      <w:numFmt w:val="decimal"/>
      <w:lvlText w:val="%1."/>
      <w:lvlJc w:val="left"/>
      <w:pPr>
        <w:ind w:left="360" w:hanging="360"/>
      </w:pPr>
      <w:rPr>
        <w:rFonts w:hint="default"/>
      </w:rPr>
    </w:lvl>
    <w:lvl w:ilvl="1">
      <w:start w:val="1"/>
      <w:numFmt w:val="decimal"/>
      <w:lvlText w:val="%1.%2."/>
      <w:lvlJc w:val="left"/>
      <w:pPr>
        <w:ind w:left="998" w:hanging="431"/>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0776102">
    <w:abstractNumId w:val="3"/>
  </w:num>
  <w:num w:numId="2" w16cid:durableId="1701390365">
    <w:abstractNumId w:val="1"/>
  </w:num>
  <w:num w:numId="3" w16cid:durableId="917179032">
    <w:abstractNumId w:val="2"/>
  </w:num>
  <w:num w:numId="4" w16cid:durableId="86272715">
    <w:abstractNumId w:val="0"/>
  </w:num>
  <w:num w:numId="5" w16cid:durableId="371804675">
    <w:abstractNumId w:val="8"/>
  </w:num>
  <w:num w:numId="6" w16cid:durableId="1096945466">
    <w:abstractNumId w:val="12"/>
  </w:num>
  <w:num w:numId="7" w16cid:durableId="1135295355">
    <w:abstractNumId w:val="10"/>
  </w:num>
  <w:num w:numId="8" w16cid:durableId="296885621">
    <w:abstractNumId w:val="11"/>
  </w:num>
  <w:num w:numId="9" w16cid:durableId="539056434">
    <w:abstractNumId w:val="13"/>
  </w:num>
  <w:num w:numId="10" w16cid:durableId="201677703">
    <w:abstractNumId w:val="4"/>
  </w:num>
  <w:num w:numId="11" w16cid:durableId="719866198">
    <w:abstractNumId w:val="2"/>
    <w:lvlOverride w:ilvl="0">
      <w:startOverride w:val="1"/>
    </w:lvlOverride>
  </w:num>
  <w:num w:numId="12" w16cid:durableId="43481222">
    <w:abstractNumId w:val="7"/>
  </w:num>
  <w:num w:numId="13" w16cid:durableId="1435395412">
    <w:abstractNumId w:val="14"/>
  </w:num>
  <w:num w:numId="14" w16cid:durableId="2076736651">
    <w:abstractNumId w:val="5"/>
  </w:num>
  <w:num w:numId="15" w16cid:durableId="1987514490">
    <w:abstractNumId w:val="9"/>
  </w:num>
  <w:num w:numId="16" w16cid:durableId="1681855597">
    <w:abstractNumId w:val="6"/>
  </w:num>
  <w:num w:numId="17" w16cid:durableId="5588265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A1"/>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0F3D67"/>
    <w:rsid w:val="00102966"/>
    <w:rsid w:val="00103829"/>
    <w:rsid w:val="001077F6"/>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207"/>
    <w:rsid w:val="001633C4"/>
    <w:rsid w:val="001704D5"/>
    <w:rsid w:val="001709CF"/>
    <w:rsid w:val="00171591"/>
    <w:rsid w:val="00173981"/>
    <w:rsid w:val="0017719D"/>
    <w:rsid w:val="00183FD7"/>
    <w:rsid w:val="00185CAB"/>
    <w:rsid w:val="001875B7"/>
    <w:rsid w:val="00187CB3"/>
    <w:rsid w:val="0019050A"/>
    <w:rsid w:val="001910D4"/>
    <w:rsid w:val="001976E3"/>
    <w:rsid w:val="001A44EC"/>
    <w:rsid w:val="001B28D9"/>
    <w:rsid w:val="001B58AA"/>
    <w:rsid w:val="001B7D67"/>
    <w:rsid w:val="001B7E48"/>
    <w:rsid w:val="001C17CE"/>
    <w:rsid w:val="001C36CA"/>
    <w:rsid w:val="001C44D1"/>
    <w:rsid w:val="001C6AEE"/>
    <w:rsid w:val="001C7630"/>
    <w:rsid w:val="001D0EE5"/>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0B6E"/>
    <w:rsid w:val="0027165D"/>
    <w:rsid w:val="00273CEB"/>
    <w:rsid w:val="00281359"/>
    <w:rsid w:val="00281C89"/>
    <w:rsid w:val="0028282F"/>
    <w:rsid w:val="0029225A"/>
    <w:rsid w:val="0029593B"/>
    <w:rsid w:val="00297FC5"/>
    <w:rsid w:val="002A0417"/>
    <w:rsid w:val="002A16D8"/>
    <w:rsid w:val="002A1BC8"/>
    <w:rsid w:val="002A3EF2"/>
    <w:rsid w:val="002B0DED"/>
    <w:rsid w:val="002B19A2"/>
    <w:rsid w:val="002B381A"/>
    <w:rsid w:val="002B4FCC"/>
    <w:rsid w:val="002B7408"/>
    <w:rsid w:val="002B7CFD"/>
    <w:rsid w:val="002C210F"/>
    <w:rsid w:val="002D08F0"/>
    <w:rsid w:val="002D3600"/>
    <w:rsid w:val="002E4DDC"/>
    <w:rsid w:val="00302480"/>
    <w:rsid w:val="00302758"/>
    <w:rsid w:val="00307146"/>
    <w:rsid w:val="003165E6"/>
    <w:rsid w:val="003215B5"/>
    <w:rsid w:val="003221CF"/>
    <w:rsid w:val="003233ED"/>
    <w:rsid w:val="00324D9F"/>
    <w:rsid w:val="00327948"/>
    <w:rsid w:val="0033000F"/>
    <w:rsid w:val="00332011"/>
    <w:rsid w:val="00332518"/>
    <w:rsid w:val="00332925"/>
    <w:rsid w:val="003332ED"/>
    <w:rsid w:val="003368DC"/>
    <w:rsid w:val="00345927"/>
    <w:rsid w:val="0035004B"/>
    <w:rsid w:val="00350584"/>
    <w:rsid w:val="00351857"/>
    <w:rsid w:val="003545E8"/>
    <w:rsid w:val="003610E1"/>
    <w:rsid w:val="003671BE"/>
    <w:rsid w:val="00372485"/>
    <w:rsid w:val="00373200"/>
    <w:rsid w:val="00375EF5"/>
    <w:rsid w:val="003767A5"/>
    <w:rsid w:val="00381D15"/>
    <w:rsid w:val="00385254"/>
    <w:rsid w:val="003A04DB"/>
    <w:rsid w:val="003A26FE"/>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4713E"/>
    <w:rsid w:val="0045124D"/>
    <w:rsid w:val="00454596"/>
    <w:rsid w:val="0045605D"/>
    <w:rsid w:val="0046135B"/>
    <w:rsid w:val="00461D47"/>
    <w:rsid w:val="004718CC"/>
    <w:rsid w:val="00472D2A"/>
    <w:rsid w:val="00481695"/>
    <w:rsid w:val="00495A96"/>
    <w:rsid w:val="00495BB3"/>
    <w:rsid w:val="004A56BB"/>
    <w:rsid w:val="004A70D6"/>
    <w:rsid w:val="004B1751"/>
    <w:rsid w:val="004C0253"/>
    <w:rsid w:val="004D56FF"/>
    <w:rsid w:val="004E39D3"/>
    <w:rsid w:val="004E508A"/>
    <w:rsid w:val="004E5BFC"/>
    <w:rsid w:val="004E616D"/>
    <w:rsid w:val="004F1BDE"/>
    <w:rsid w:val="004F2CEE"/>
    <w:rsid w:val="004F32EF"/>
    <w:rsid w:val="004F556E"/>
    <w:rsid w:val="004F591C"/>
    <w:rsid w:val="004F7F44"/>
    <w:rsid w:val="005037B4"/>
    <w:rsid w:val="005079BF"/>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60"/>
    <w:rsid w:val="005938DF"/>
    <w:rsid w:val="00594E9C"/>
    <w:rsid w:val="005A099B"/>
    <w:rsid w:val="005A2D9C"/>
    <w:rsid w:val="005A55FE"/>
    <w:rsid w:val="005A6A11"/>
    <w:rsid w:val="005A6A60"/>
    <w:rsid w:val="005D2502"/>
    <w:rsid w:val="005D40BB"/>
    <w:rsid w:val="005D47F3"/>
    <w:rsid w:val="005D49BF"/>
    <w:rsid w:val="005D4AA5"/>
    <w:rsid w:val="005D6F4E"/>
    <w:rsid w:val="005D7C73"/>
    <w:rsid w:val="005E1E8F"/>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74AD6"/>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6F0DED"/>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00BD"/>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38EE"/>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67CA5"/>
    <w:rsid w:val="00870ABA"/>
    <w:rsid w:val="008710E1"/>
    <w:rsid w:val="008716E5"/>
    <w:rsid w:val="0087396B"/>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62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12"/>
    <w:rsid w:val="00960A33"/>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2E54"/>
    <w:rsid w:val="00A2440D"/>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4F8E"/>
    <w:rsid w:val="00B27442"/>
    <w:rsid w:val="00B31167"/>
    <w:rsid w:val="00B322CA"/>
    <w:rsid w:val="00B329D8"/>
    <w:rsid w:val="00B32BB9"/>
    <w:rsid w:val="00B33AE1"/>
    <w:rsid w:val="00B37C38"/>
    <w:rsid w:val="00B4288C"/>
    <w:rsid w:val="00B43262"/>
    <w:rsid w:val="00B44100"/>
    <w:rsid w:val="00B46CBA"/>
    <w:rsid w:val="00B46F94"/>
    <w:rsid w:val="00B6003C"/>
    <w:rsid w:val="00B60555"/>
    <w:rsid w:val="00B61F03"/>
    <w:rsid w:val="00B626E4"/>
    <w:rsid w:val="00B72F4A"/>
    <w:rsid w:val="00B83C27"/>
    <w:rsid w:val="00B84BC3"/>
    <w:rsid w:val="00B84BDD"/>
    <w:rsid w:val="00B92812"/>
    <w:rsid w:val="00BB45A1"/>
    <w:rsid w:val="00BB7686"/>
    <w:rsid w:val="00BC23F9"/>
    <w:rsid w:val="00BC3421"/>
    <w:rsid w:val="00BC732C"/>
    <w:rsid w:val="00BD4421"/>
    <w:rsid w:val="00BD7249"/>
    <w:rsid w:val="00BE03A8"/>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1F2A"/>
    <w:rsid w:val="00C53FE9"/>
    <w:rsid w:val="00C5498F"/>
    <w:rsid w:val="00C55235"/>
    <w:rsid w:val="00C64CD0"/>
    <w:rsid w:val="00C6684F"/>
    <w:rsid w:val="00C70E70"/>
    <w:rsid w:val="00C75F8D"/>
    <w:rsid w:val="00C77380"/>
    <w:rsid w:val="00C8321C"/>
    <w:rsid w:val="00C87E8A"/>
    <w:rsid w:val="00C97736"/>
    <w:rsid w:val="00CA345A"/>
    <w:rsid w:val="00CB1E82"/>
    <w:rsid w:val="00CB3DA1"/>
    <w:rsid w:val="00CB4BA8"/>
    <w:rsid w:val="00CB52D7"/>
    <w:rsid w:val="00CC6732"/>
    <w:rsid w:val="00CE3C96"/>
    <w:rsid w:val="00CE51A8"/>
    <w:rsid w:val="00CF369B"/>
    <w:rsid w:val="00D00E28"/>
    <w:rsid w:val="00D0190D"/>
    <w:rsid w:val="00D0269E"/>
    <w:rsid w:val="00D05D6C"/>
    <w:rsid w:val="00D15810"/>
    <w:rsid w:val="00D16D4E"/>
    <w:rsid w:val="00D16FE3"/>
    <w:rsid w:val="00D20BBD"/>
    <w:rsid w:val="00D27F41"/>
    <w:rsid w:val="00D36441"/>
    <w:rsid w:val="00D4064E"/>
    <w:rsid w:val="00D44E9B"/>
    <w:rsid w:val="00D45FD2"/>
    <w:rsid w:val="00D47AEB"/>
    <w:rsid w:val="00D50DB9"/>
    <w:rsid w:val="00D51302"/>
    <w:rsid w:val="00D52C43"/>
    <w:rsid w:val="00D530BA"/>
    <w:rsid w:val="00D6507F"/>
    <w:rsid w:val="00D730BC"/>
    <w:rsid w:val="00D73912"/>
    <w:rsid w:val="00D85226"/>
    <w:rsid w:val="00D87B94"/>
    <w:rsid w:val="00D92D49"/>
    <w:rsid w:val="00D92EC1"/>
    <w:rsid w:val="00D96DEA"/>
    <w:rsid w:val="00D97ADC"/>
    <w:rsid w:val="00DA2810"/>
    <w:rsid w:val="00DA4E41"/>
    <w:rsid w:val="00DB117A"/>
    <w:rsid w:val="00DB5173"/>
    <w:rsid w:val="00DB7873"/>
    <w:rsid w:val="00DC187B"/>
    <w:rsid w:val="00DC7DEF"/>
    <w:rsid w:val="00DD1A43"/>
    <w:rsid w:val="00DD3DA2"/>
    <w:rsid w:val="00DD73C2"/>
    <w:rsid w:val="00DE319B"/>
    <w:rsid w:val="00DF08EF"/>
    <w:rsid w:val="00DF34FE"/>
    <w:rsid w:val="00DF56AA"/>
    <w:rsid w:val="00DF56AF"/>
    <w:rsid w:val="00DF78E7"/>
    <w:rsid w:val="00E10164"/>
    <w:rsid w:val="00E110E0"/>
    <w:rsid w:val="00E15371"/>
    <w:rsid w:val="00E23372"/>
    <w:rsid w:val="00E24104"/>
    <w:rsid w:val="00E302D0"/>
    <w:rsid w:val="00E35707"/>
    <w:rsid w:val="00E359AB"/>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3DF3"/>
    <w:rsid w:val="00E94CEC"/>
    <w:rsid w:val="00EA04EF"/>
    <w:rsid w:val="00EA6F19"/>
    <w:rsid w:val="00EB7090"/>
    <w:rsid w:val="00EC1BBE"/>
    <w:rsid w:val="00EC2B68"/>
    <w:rsid w:val="00EC3AEF"/>
    <w:rsid w:val="00EC5CD7"/>
    <w:rsid w:val="00ED582E"/>
    <w:rsid w:val="00EE5FB3"/>
    <w:rsid w:val="00EE7F79"/>
    <w:rsid w:val="00EF715A"/>
    <w:rsid w:val="00EF782D"/>
    <w:rsid w:val="00F01BC3"/>
    <w:rsid w:val="00F06E14"/>
    <w:rsid w:val="00F179D4"/>
    <w:rsid w:val="00F21A02"/>
    <w:rsid w:val="00F33C56"/>
    <w:rsid w:val="00F347C7"/>
    <w:rsid w:val="00F34848"/>
    <w:rsid w:val="00F42D46"/>
    <w:rsid w:val="00F4496C"/>
    <w:rsid w:val="00F44F3A"/>
    <w:rsid w:val="00F45DD5"/>
    <w:rsid w:val="00F51F10"/>
    <w:rsid w:val="00F529A5"/>
    <w:rsid w:val="00F5334E"/>
    <w:rsid w:val="00F60F00"/>
    <w:rsid w:val="00F614C0"/>
    <w:rsid w:val="00F61C77"/>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ED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ACMA Footnote Text"/>
    <w:basedOn w:val="Normal"/>
    <w:link w:val="FootnoteTextChar"/>
    <w:rsid w:val="003A26FE"/>
    <w:pPr>
      <w:spacing w:after="4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ListParagraph">
    <w:name w:val="List Paragraph"/>
    <w:basedOn w:val="Normal"/>
    <w:uiPriority w:val="34"/>
    <w:qFormat/>
    <w:rsid w:val="00CB3DA1"/>
    <w:pPr>
      <w:ind w:left="720" w:hanging="567"/>
      <w:contextualSpacing/>
    </w:pPr>
    <w:rPr>
      <w:sz w:val="24"/>
    </w:rPr>
  </w:style>
  <w:style w:type="paragraph" w:styleId="BalloonText">
    <w:name w:val="Balloon Text"/>
    <w:basedOn w:val="Normal"/>
    <w:link w:val="BalloonTextChar"/>
    <w:semiHidden/>
    <w:unhideWhenUsed/>
    <w:rsid w:val="00CB3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3DA1"/>
    <w:rPr>
      <w:rFonts w:ascii="Segoe UI" w:hAnsi="Segoe UI" w:cs="Segoe UI"/>
      <w:sz w:val="18"/>
      <w:szCs w:val="18"/>
    </w:rPr>
  </w:style>
  <w:style w:type="character" w:customStyle="1" w:styleId="FootnoteTextChar">
    <w:name w:val="Footnote Text Char"/>
    <w:aliases w:val="Footnote text Char,ACMA Footnote Text Char"/>
    <w:link w:val="FootnoteText"/>
    <w:rsid w:val="003A26FE"/>
    <w:rPr>
      <w:rFonts w:ascii="Arial" w:hAnsi="Arial"/>
      <w:sz w:val="16"/>
      <w:szCs w:val="16"/>
    </w:rPr>
  </w:style>
  <w:style w:type="paragraph" w:customStyle="1" w:styleId="ACMABodyTextnumpara2">
    <w:name w:val="ACMA Body Text num para 2"/>
    <w:basedOn w:val="Normal"/>
    <w:link w:val="ACMABodyTextnumpara2Char"/>
    <w:rsid w:val="00CB3DA1"/>
    <w:pPr>
      <w:tabs>
        <w:tab w:val="left" w:pos="1440"/>
      </w:tabs>
      <w:suppressAutoHyphens/>
      <w:spacing w:before="80" w:after="120" w:line="280" w:lineRule="atLeast"/>
      <w:ind w:left="1440" w:hanging="720"/>
    </w:pPr>
    <w:rPr>
      <w:snapToGrid w:val="0"/>
      <w:sz w:val="24"/>
      <w:szCs w:val="20"/>
      <w:lang w:eastAsia="en-US"/>
    </w:rPr>
  </w:style>
  <w:style w:type="character" w:customStyle="1" w:styleId="ACMABodyTextnumpara2Char">
    <w:name w:val="ACMA Body Text num para 2 Char"/>
    <w:basedOn w:val="DefaultParagraphFont"/>
    <w:link w:val="ACMABodyTextnumpara2"/>
    <w:rsid w:val="00CB3DA1"/>
    <w:rPr>
      <w:rFonts w:ascii="Arial" w:hAnsi="Arial"/>
      <w:snapToGrid w:val="0"/>
      <w:szCs w:val="20"/>
      <w:lang w:eastAsia="en-US"/>
    </w:rPr>
  </w:style>
  <w:style w:type="paragraph" w:customStyle="1" w:styleId="ACMABodyText">
    <w:name w:val="ACMA Body Text"/>
    <w:link w:val="ACMABodyTextChar"/>
    <w:rsid w:val="00CB3DA1"/>
    <w:pPr>
      <w:suppressAutoHyphens/>
      <w:spacing w:before="80" w:after="120" w:line="280" w:lineRule="atLeast"/>
    </w:pPr>
    <w:rPr>
      <w:rFonts w:ascii="Arial" w:hAnsi="Arial"/>
      <w:snapToGrid w:val="0"/>
      <w:szCs w:val="20"/>
      <w:lang w:eastAsia="en-US"/>
    </w:rPr>
  </w:style>
  <w:style w:type="character" w:customStyle="1" w:styleId="ACMABodyTextChar">
    <w:name w:val="ACMA Body Text Char"/>
    <w:link w:val="ACMABodyText"/>
    <w:rsid w:val="00CB3DA1"/>
    <w:rPr>
      <w:rFonts w:ascii="Arial" w:hAnsi="Arial"/>
      <w:snapToGrid w:val="0"/>
      <w:szCs w:val="20"/>
      <w:lang w:eastAsia="en-US"/>
    </w:rPr>
  </w:style>
  <w:style w:type="paragraph" w:styleId="Revision">
    <w:name w:val="Revision"/>
    <w:hidden/>
    <w:semiHidden/>
    <w:rsid w:val="00E1016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19-06/guide/regulatory-guide-1-enforceable-undertaking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publications/2019-06/guide/regulatory-guide-no-4-remedial-direction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mpliance-and-enforcement-poli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9D4C2-0942-440A-8076-809F9EF9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1935</Words>
  <Characters>11036</Characters>
  <Application>Microsoft Office Word</Application>
  <DocSecurity>0</DocSecurity>
  <Lines>91</Lines>
  <Paragraphs>25</Paragraphs>
  <ScaleCrop>false</ScaleCrop>
  <Manager/>
  <Company/>
  <LinksUpToDate>false</LinksUpToDate>
  <CharactersWithSpaces>12946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2023-02-06T21:43:00Z</dcterms:created>
  <dcterms:modified xsi:type="dcterms:W3CDTF">2023-02-06T21:43:00Z</dcterms:modified>
  <cp:category/>
</cp:coreProperties>
</file>